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2CC46" w14:textId="77777777" w:rsidR="006326E5" w:rsidRPr="009C5B33" w:rsidRDefault="006326E5">
      <w:pPr>
        <w:rPr>
          <w:rFonts w:ascii="Arial" w:hAnsi="Arial" w:cs="Arial"/>
          <w:b/>
          <w:bCs/>
          <w:color w:val="000000" w:themeColor="text1"/>
          <w:sz w:val="24"/>
          <w:szCs w:val="24"/>
        </w:rPr>
      </w:pPr>
    </w:p>
    <w:p w14:paraId="46D15301" w14:textId="77777777" w:rsidR="00B61E6A" w:rsidRDefault="00B61E6A">
      <w:pPr>
        <w:suppressAutoHyphens w:val="0"/>
        <w:jc w:val="center"/>
        <w:rPr>
          <w:rFonts w:ascii="Arial" w:hAnsi="Arial" w:cs="Arial"/>
          <w:b/>
          <w:bCs/>
          <w:color w:val="000000" w:themeColor="text1"/>
          <w:sz w:val="40"/>
          <w:szCs w:val="40"/>
        </w:rPr>
      </w:pPr>
    </w:p>
    <w:p w14:paraId="6FFB75B7" w14:textId="77777777" w:rsidR="00B61E6A" w:rsidRDefault="00B61E6A">
      <w:pPr>
        <w:suppressAutoHyphens w:val="0"/>
        <w:jc w:val="center"/>
        <w:rPr>
          <w:rFonts w:ascii="Arial" w:hAnsi="Arial" w:cs="Arial"/>
          <w:b/>
          <w:bCs/>
          <w:color w:val="000000" w:themeColor="text1"/>
          <w:sz w:val="40"/>
          <w:szCs w:val="40"/>
        </w:rPr>
      </w:pPr>
    </w:p>
    <w:p w14:paraId="50DFDBAC" w14:textId="77777777" w:rsidR="00B61E6A" w:rsidRDefault="00B61E6A">
      <w:pPr>
        <w:suppressAutoHyphens w:val="0"/>
        <w:jc w:val="center"/>
        <w:rPr>
          <w:rFonts w:ascii="Arial" w:hAnsi="Arial" w:cs="Arial"/>
          <w:b/>
          <w:bCs/>
          <w:color w:val="000000" w:themeColor="text1"/>
          <w:sz w:val="40"/>
          <w:szCs w:val="40"/>
        </w:rPr>
      </w:pPr>
    </w:p>
    <w:p w14:paraId="5E2AEB20" w14:textId="77777777" w:rsidR="00B61E6A" w:rsidRDefault="00B61E6A">
      <w:pPr>
        <w:suppressAutoHyphens w:val="0"/>
        <w:jc w:val="center"/>
        <w:rPr>
          <w:rFonts w:ascii="Arial" w:hAnsi="Arial" w:cs="Arial"/>
          <w:b/>
          <w:bCs/>
          <w:color w:val="000000" w:themeColor="text1"/>
          <w:sz w:val="40"/>
          <w:szCs w:val="40"/>
        </w:rPr>
      </w:pPr>
    </w:p>
    <w:p w14:paraId="02D27F6F" w14:textId="77777777" w:rsidR="00B61E6A" w:rsidRDefault="00B61E6A">
      <w:pPr>
        <w:suppressAutoHyphens w:val="0"/>
        <w:jc w:val="center"/>
        <w:rPr>
          <w:rFonts w:ascii="Arial" w:hAnsi="Arial" w:cs="Arial"/>
          <w:b/>
          <w:bCs/>
          <w:color w:val="000000" w:themeColor="text1"/>
          <w:sz w:val="40"/>
          <w:szCs w:val="40"/>
        </w:rPr>
      </w:pPr>
    </w:p>
    <w:p w14:paraId="2E0752D5" w14:textId="77777777" w:rsidR="00B61E6A" w:rsidRDefault="00B61E6A">
      <w:pPr>
        <w:suppressAutoHyphens w:val="0"/>
        <w:jc w:val="center"/>
        <w:rPr>
          <w:rFonts w:ascii="Arial" w:hAnsi="Arial" w:cs="Arial"/>
          <w:b/>
          <w:bCs/>
          <w:color w:val="000000" w:themeColor="text1"/>
          <w:sz w:val="40"/>
          <w:szCs w:val="40"/>
        </w:rPr>
      </w:pPr>
    </w:p>
    <w:p w14:paraId="55AFCDBE" w14:textId="77777777" w:rsidR="00B61E6A" w:rsidRDefault="00B61E6A">
      <w:pPr>
        <w:suppressAutoHyphens w:val="0"/>
        <w:jc w:val="center"/>
        <w:rPr>
          <w:rFonts w:ascii="Arial" w:hAnsi="Arial" w:cs="Arial"/>
          <w:b/>
          <w:bCs/>
          <w:color w:val="000000" w:themeColor="text1"/>
          <w:sz w:val="40"/>
          <w:szCs w:val="40"/>
        </w:rPr>
      </w:pPr>
    </w:p>
    <w:p w14:paraId="2297CE1C" w14:textId="77777777" w:rsidR="00B61E6A" w:rsidRDefault="00B61E6A">
      <w:pPr>
        <w:suppressAutoHyphens w:val="0"/>
        <w:jc w:val="center"/>
        <w:rPr>
          <w:rFonts w:ascii="Arial" w:hAnsi="Arial" w:cs="Arial"/>
          <w:b/>
          <w:bCs/>
          <w:color w:val="000000" w:themeColor="text1"/>
          <w:sz w:val="40"/>
          <w:szCs w:val="40"/>
        </w:rPr>
      </w:pPr>
    </w:p>
    <w:p w14:paraId="6498726B" w14:textId="77777777" w:rsidR="00B61E6A" w:rsidRDefault="00B61E6A">
      <w:pPr>
        <w:suppressAutoHyphens w:val="0"/>
        <w:jc w:val="center"/>
        <w:rPr>
          <w:rFonts w:ascii="Arial" w:hAnsi="Arial" w:cs="Arial"/>
          <w:b/>
          <w:bCs/>
          <w:color w:val="000000" w:themeColor="text1"/>
          <w:sz w:val="40"/>
          <w:szCs w:val="40"/>
        </w:rPr>
      </w:pPr>
    </w:p>
    <w:p w14:paraId="02E36A82" w14:textId="34CAD69F" w:rsidR="006326E5" w:rsidRPr="00B61E6A" w:rsidRDefault="00DB389A">
      <w:pPr>
        <w:suppressAutoHyphens w:val="0"/>
        <w:jc w:val="center"/>
        <w:rPr>
          <w:rFonts w:ascii="Arial" w:hAnsi="Arial" w:cs="Arial"/>
          <w:b/>
          <w:bCs/>
          <w:color w:val="000000" w:themeColor="text1"/>
          <w:sz w:val="40"/>
          <w:szCs w:val="40"/>
        </w:rPr>
      </w:pPr>
      <w:r w:rsidRPr="00B61E6A">
        <w:rPr>
          <w:rFonts w:ascii="Arial" w:hAnsi="Arial" w:cs="Arial"/>
          <w:b/>
          <w:bCs/>
          <w:color w:val="000000" w:themeColor="text1"/>
          <w:sz w:val="40"/>
          <w:szCs w:val="40"/>
        </w:rPr>
        <w:t>Principles of Professional Legal Practice</w:t>
      </w:r>
    </w:p>
    <w:p w14:paraId="69799EDE" w14:textId="77777777" w:rsidR="006326E5" w:rsidRPr="00B61E6A" w:rsidRDefault="00DB389A">
      <w:pPr>
        <w:suppressAutoHyphens w:val="0"/>
        <w:jc w:val="center"/>
        <w:rPr>
          <w:rFonts w:ascii="Arial" w:hAnsi="Arial" w:cs="Arial"/>
          <w:b/>
          <w:bCs/>
          <w:color w:val="000000" w:themeColor="text1"/>
          <w:sz w:val="40"/>
          <w:szCs w:val="40"/>
        </w:rPr>
      </w:pPr>
      <w:r w:rsidRPr="00B61E6A">
        <w:rPr>
          <w:rFonts w:ascii="Arial" w:hAnsi="Arial" w:cs="Arial"/>
          <w:b/>
          <w:bCs/>
          <w:color w:val="000000" w:themeColor="text1"/>
          <w:sz w:val="40"/>
          <w:szCs w:val="40"/>
        </w:rPr>
        <w:t>BMLW4001</w:t>
      </w:r>
    </w:p>
    <w:p w14:paraId="79D099D7" w14:textId="77777777" w:rsidR="006326E5" w:rsidRPr="00B61E6A" w:rsidRDefault="00DB389A">
      <w:pPr>
        <w:suppressAutoHyphens w:val="0"/>
        <w:jc w:val="center"/>
        <w:rPr>
          <w:rFonts w:ascii="Arial" w:hAnsi="Arial" w:cs="Arial"/>
          <w:b/>
          <w:bCs/>
          <w:color w:val="000000" w:themeColor="text1"/>
          <w:sz w:val="40"/>
          <w:szCs w:val="40"/>
        </w:rPr>
      </w:pPr>
      <w:r w:rsidRPr="00B61E6A">
        <w:rPr>
          <w:rFonts w:ascii="Arial" w:hAnsi="Arial" w:cs="Arial"/>
          <w:b/>
          <w:bCs/>
          <w:color w:val="000000" w:themeColor="text1"/>
          <w:sz w:val="40"/>
          <w:szCs w:val="40"/>
        </w:rPr>
        <w:t>Saima Adeel Fakhr (2211521)</w:t>
      </w:r>
    </w:p>
    <w:p w14:paraId="52AAD33A" w14:textId="77777777" w:rsidR="006326E5" w:rsidRPr="009C5B33" w:rsidRDefault="00DB389A">
      <w:pPr>
        <w:pageBreakBefore/>
        <w:rPr>
          <w:rFonts w:ascii="Arial" w:hAnsi="Arial" w:cs="Arial"/>
          <w:b/>
          <w:bCs/>
          <w:color w:val="000000" w:themeColor="text1"/>
          <w:sz w:val="24"/>
          <w:szCs w:val="24"/>
        </w:rPr>
      </w:pPr>
      <w:r w:rsidRPr="009C5B33">
        <w:rPr>
          <w:rFonts w:ascii="Arial" w:hAnsi="Arial" w:cs="Arial"/>
          <w:b/>
          <w:bCs/>
          <w:color w:val="000000" w:themeColor="text1"/>
          <w:sz w:val="24"/>
          <w:szCs w:val="24"/>
        </w:rPr>
        <w:lastRenderedPageBreak/>
        <w:t>Task A</w:t>
      </w:r>
    </w:p>
    <w:p w14:paraId="7E76374D"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Dear Mr Money maker,</w:t>
      </w:r>
    </w:p>
    <w:p w14:paraId="18348002"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Thank you for coming to our office today and seeking legal advice on how much money you should invest in a new start-up company. As a solicitor, it is my duty to provide you with the necessary legal advice to help you make an informed decision.</w:t>
      </w:r>
    </w:p>
    <w:p w14:paraId="311F8A18"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Before I can give you a specific amount to invest, I must first advise you on some tactical and professional problems that may arise when investing in a new start-up company.</w:t>
      </w:r>
    </w:p>
    <w:p w14:paraId="22018B7E"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Firstly, it is important to note that investing in a new start-up company carries a significant amount of risk. The company may fail, and you may lose your entire investment. Therefore, it is crucial to conduct proper due diligence and seek professional advice before making any investment decisions.</w:t>
      </w:r>
    </w:p>
    <w:p w14:paraId="30513345"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Secondly, as a local businessman with a law degree, you are likely aware of the Financial Services and Markets Act 2000 (FSMA). This Act regulates financial services and activities in the UK and requires companies to be authorised by the Financial Conduct Authority (FCA) before offering financial products or services. Therefore, before investing in a new start-up company, you should ensure that the company is authorised by the FCA.</w:t>
      </w:r>
    </w:p>
    <w:p w14:paraId="3628B762"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Thirdly, it is important to comply with the Solicitors Regulation Authority (SRA) Code of Conduct, which sets out the ethical and professional standards expected of solicitors. The SRA Code of Conduct requires solicitors to act in the best interests of their clients and to provide competent and timely advice.</w:t>
      </w:r>
    </w:p>
    <w:p w14:paraId="530FF1DC"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There have been several high-profile money laundering cases in the UK in recent years. One notable case is the Danske Bank money laundering scandal, (BBC,2020 )which involved billions of pounds being laundered through the bank's Estonian branch between 2007 and 2015. The scandal implicated a number of individuals and companies in the UK, who are alleged to have helped facilitate the money laundering.</w:t>
      </w:r>
    </w:p>
    <w:p w14:paraId="25BE54CC"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Finally, the Money Laundering Regulations require solicitors to identify and verify the identity of their clients, as well as to conduct ongoing monitoring of their transactions. This is to prevent money laundering and other financial crimes.UK has also been working to crack down on money laundering more broadly. In 2017,(HM Government, 2017) the UK government introduced a new anti-money laundering law that requires businesses to carry out due diligence checks on their customers and report any suspicious activity to the authorities. The government has also established the National Economic Crime Centre to coordinate the fight against economic crime, including money laundering.</w:t>
      </w:r>
    </w:p>
    <w:p w14:paraId="11C7E1B7" w14:textId="77777777" w:rsidR="006326E5" w:rsidRPr="009C5B33" w:rsidRDefault="006326E5">
      <w:pPr>
        <w:rPr>
          <w:rFonts w:ascii="Arial" w:hAnsi="Arial" w:cs="Arial"/>
          <w:color w:val="000000" w:themeColor="text1"/>
          <w:sz w:val="24"/>
          <w:szCs w:val="24"/>
        </w:rPr>
      </w:pPr>
    </w:p>
    <w:p w14:paraId="3C2AE786"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 xml:space="preserve">In light of the above, I would advise you to conduct proper due diligence on the new start-up company, including reviewing its business plan, financial statements, and management team. You should also ensure that the company is authorised by the </w:t>
      </w:r>
      <w:r w:rsidRPr="009C5B33">
        <w:rPr>
          <w:rFonts w:ascii="Arial" w:hAnsi="Arial" w:cs="Arial"/>
          <w:color w:val="000000" w:themeColor="text1"/>
          <w:sz w:val="24"/>
          <w:szCs w:val="24"/>
        </w:rPr>
        <w:lastRenderedPageBreak/>
        <w:t>FCA and that you comply with the SRA Code of Conduct and the Money Laundering Regulations.</w:t>
      </w:r>
    </w:p>
    <w:p w14:paraId="5500C271"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I hope this advice is helpful. If you have any further questions or require additional legal advice, please do not hesitate to contact me.</w:t>
      </w:r>
    </w:p>
    <w:p w14:paraId="19303CD3"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Best regards,</w:t>
      </w:r>
    </w:p>
    <w:p w14:paraId="6A9A20F9"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Saima Adeel Fakhr (2211521)</w:t>
      </w:r>
    </w:p>
    <w:p w14:paraId="35EFE4BF" w14:textId="77777777" w:rsidR="006326E5" w:rsidRPr="009C5B33" w:rsidRDefault="006326E5">
      <w:pPr>
        <w:rPr>
          <w:rFonts w:ascii="Arial" w:hAnsi="Arial" w:cs="Arial"/>
          <w:color w:val="000000" w:themeColor="text1"/>
          <w:sz w:val="24"/>
          <w:szCs w:val="24"/>
        </w:rPr>
      </w:pPr>
    </w:p>
    <w:p w14:paraId="4F2749A1" w14:textId="77777777" w:rsidR="006326E5" w:rsidRPr="009C5B33" w:rsidRDefault="006326E5">
      <w:pPr>
        <w:rPr>
          <w:rFonts w:ascii="Arial" w:hAnsi="Arial" w:cs="Arial"/>
          <w:color w:val="000000" w:themeColor="text1"/>
          <w:sz w:val="24"/>
          <w:szCs w:val="24"/>
        </w:rPr>
      </w:pPr>
    </w:p>
    <w:p w14:paraId="314081F3" w14:textId="77777777" w:rsidR="006326E5" w:rsidRPr="009C5B33" w:rsidRDefault="006326E5">
      <w:pPr>
        <w:rPr>
          <w:rFonts w:ascii="Arial" w:hAnsi="Arial" w:cs="Arial"/>
          <w:b/>
          <w:bCs/>
          <w:color w:val="000000" w:themeColor="text1"/>
          <w:sz w:val="24"/>
          <w:szCs w:val="24"/>
        </w:rPr>
      </w:pPr>
    </w:p>
    <w:p w14:paraId="12C626AA" w14:textId="77777777" w:rsidR="006326E5" w:rsidRPr="009C5B33" w:rsidRDefault="006326E5">
      <w:pPr>
        <w:rPr>
          <w:rFonts w:ascii="Arial" w:hAnsi="Arial" w:cs="Arial"/>
          <w:b/>
          <w:bCs/>
          <w:color w:val="000000" w:themeColor="text1"/>
          <w:sz w:val="24"/>
          <w:szCs w:val="24"/>
        </w:rPr>
      </w:pPr>
    </w:p>
    <w:p w14:paraId="56C60400" w14:textId="77777777" w:rsidR="006326E5" w:rsidRPr="009C5B33" w:rsidRDefault="006326E5">
      <w:pPr>
        <w:rPr>
          <w:rFonts w:ascii="Arial" w:hAnsi="Arial" w:cs="Arial"/>
          <w:b/>
          <w:bCs/>
          <w:color w:val="000000" w:themeColor="text1"/>
          <w:sz w:val="24"/>
          <w:szCs w:val="24"/>
        </w:rPr>
      </w:pPr>
    </w:p>
    <w:p w14:paraId="05944F57" w14:textId="77777777" w:rsidR="006326E5" w:rsidRPr="009C5B33" w:rsidRDefault="006326E5">
      <w:pPr>
        <w:rPr>
          <w:rFonts w:ascii="Arial" w:hAnsi="Arial" w:cs="Arial"/>
          <w:b/>
          <w:bCs/>
          <w:color w:val="000000" w:themeColor="text1"/>
          <w:sz w:val="24"/>
          <w:szCs w:val="24"/>
        </w:rPr>
      </w:pPr>
    </w:p>
    <w:p w14:paraId="25B48031" w14:textId="77777777" w:rsidR="006326E5" w:rsidRPr="009C5B33" w:rsidRDefault="006326E5">
      <w:pPr>
        <w:rPr>
          <w:rFonts w:ascii="Arial" w:hAnsi="Arial" w:cs="Arial"/>
          <w:b/>
          <w:bCs/>
          <w:color w:val="000000" w:themeColor="text1"/>
          <w:sz w:val="24"/>
          <w:szCs w:val="24"/>
        </w:rPr>
      </w:pPr>
    </w:p>
    <w:p w14:paraId="18A6AB80" w14:textId="77777777" w:rsidR="006326E5" w:rsidRPr="009C5B33" w:rsidRDefault="006326E5">
      <w:pPr>
        <w:rPr>
          <w:rFonts w:ascii="Arial" w:hAnsi="Arial" w:cs="Arial"/>
          <w:b/>
          <w:bCs/>
          <w:color w:val="000000" w:themeColor="text1"/>
          <w:sz w:val="24"/>
          <w:szCs w:val="24"/>
        </w:rPr>
      </w:pPr>
    </w:p>
    <w:p w14:paraId="4D0DFCDB" w14:textId="77777777" w:rsidR="006326E5" w:rsidRPr="009C5B33" w:rsidRDefault="006326E5">
      <w:pPr>
        <w:rPr>
          <w:rFonts w:ascii="Arial" w:hAnsi="Arial" w:cs="Arial"/>
          <w:b/>
          <w:bCs/>
          <w:color w:val="000000" w:themeColor="text1"/>
          <w:sz w:val="24"/>
          <w:szCs w:val="24"/>
        </w:rPr>
      </w:pPr>
    </w:p>
    <w:p w14:paraId="2CAA2F9B" w14:textId="77777777" w:rsidR="006326E5" w:rsidRPr="009C5B33" w:rsidRDefault="006326E5">
      <w:pPr>
        <w:rPr>
          <w:rFonts w:ascii="Arial" w:hAnsi="Arial" w:cs="Arial"/>
          <w:b/>
          <w:bCs/>
          <w:color w:val="000000" w:themeColor="text1"/>
          <w:sz w:val="24"/>
          <w:szCs w:val="24"/>
        </w:rPr>
      </w:pPr>
    </w:p>
    <w:p w14:paraId="17F1232E" w14:textId="77777777" w:rsidR="006326E5" w:rsidRPr="009C5B33" w:rsidRDefault="006326E5">
      <w:pPr>
        <w:rPr>
          <w:rFonts w:ascii="Arial" w:hAnsi="Arial" w:cs="Arial"/>
          <w:b/>
          <w:bCs/>
          <w:color w:val="000000" w:themeColor="text1"/>
          <w:sz w:val="24"/>
          <w:szCs w:val="24"/>
        </w:rPr>
      </w:pPr>
    </w:p>
    <w:p w14:paraId="18DF5555" w14:textId="77777777" w:rsidR="006326E5" w:rsidRPr="009C5B33" w:rsidRDefault="006326E5">
      <w:pPr>
        <w:rPr>
          <w:rFonts w:ascii="Arial" w:hAnsi="Arial" w:cs="Arial"/>
          <w:b/>
          <w:bCs/>
          <w:color w:val="000000" w:themeColor="text1"/>
          <w:sz w:val="24"/>
          <w:szCs w:val="24"/>
        </w:rPr>
      </w:pPr>
    </w:p>
    <w:p w14:paraId="4AD96B81" w14:textId="77777777" w:rsidR="006326E5" w:rsidRPr="009C5B33" w:rsidRDefault="006326E5">
      <w:pPr>
        <w:rPr>
          <w:rFonts w:ascii="Arial" w:hAnsi="Arial" w:cs="Arial"/>
          <w:b/>
          <w:bCs/>
          <w:color w:val="000000" w:themeColor="text1"/>
          <w:sz w:val="24"/>
          <w:szCs w:val="24"/>
        </w:rPr>
      </w:pPr>
    </w:p>
    <w:p w14:paraId="11FE1499" w14:textId="77777777" w:rsidR="006326E5" w:rsidRPr="009C5B33" w:rsidRDefault="006326E5">
      <w:pPr>
        <w:rPr>
          <w:rFonts w:ascii="Arial" w:hAnsi="Arial" w:cs="Arial"/>
          <w:b/>
          <w:bCs/>
          <w:color w:val="000000" w:themeColor="text1"/>
          <w:sz w:val="24"/>
          <w:szCs w:val="24"/>
        </w:rPr>
      </w:pPr>
    </w:p>
    <w:p w14:paraId="5B68F82A" w14:textId="77777777" w:rsidR="006326E5" w:rsidRPr="009C5B33" w:rsidRDefault="006326E5">
      <w:pPr>
        <w:rPr>
          <w:rFonts w:ascii="Arial" w:hAnsi="Arial" w:cs="Arial"/>
          <w:b/>
          <w:bCs/>
          <w:color w:val="000000" w:themeColor="text1"/>
          <w:sz w:val="24"/>
          <w:szCs w:val="24"/>
        </w:rPr>
      </w:pPr>
    </w:p>
    <w:p w14:paraId="65054124" w14:textId="77777777" w:rsidR="006326E5" w:rsidRPr="009C5B33" w:rsidRDefault="006326E5">
      <w:pPr>
        <w:rPr>
          <w:rFonts w:ascii="Arial" w:hAnsi="Arial" w:cs="Arial"/>
          <w:b/>
          <w:bCs/>
          <w:color w:val="000000" w:themeColor="text1"/>
          <w:sz w:val="24"/>
          <w:szCs w:val="24"/>
        </w:rPr>
      </w:pPr>
    </w:p>
    <w:p w14:paraId="15A0F2C6" w14:textId="77777777" w:rsidR="006326E5" w:rsidRPr="009C5B33" w:rsidRDefault="006326E5">
      <w:pPr>
        <w:rPr>
          <w:rFonts w:ascii="Arial" w:hAnsi="Arial" w:cs="Arial"/>
          <w:b/>
          <w:bCs/>
          <w:color w:val="000000" w:themeColor="text1"/>
          <w:sz w:val="24"/>
          <w:szCs w:val="24"/>
        </w:rPr>
      </w:pPr>
    </w:p>
    <w:p w14:paraId="5A8E5099" w14:textId="77777777" w:rsidR="006326E5" w:rsidRPr="009C5B33" w:rsidRDefault="006326E5">
      <w:pPr>
        <w:rPr>
          <w:rFonts w:ascii="Arial" w:hAnsi="Arial" w:cs="Arial"/>
          <w:b/>
          <w:bCs/>
          <w:color w:val="000000" w:themeColor="text1"/>
          <w:sz w:val="24"/>
          <w:szCs w:val="24"/>
        </w:rPr>
      </w:pPr>
    </w:p>
    <w:p w14:paraId="20B6E00A" w14:textId="77777777" w:rsidR="006326E5" w:rsidRPr="009C5B33" w:rsidRDefault="006326E5">
      <w:pPr>
        <w:rPr>
          <w:rFonts w:ascii="Arial" w:hAnsi="Arial" w:cs="Arial"/>
          <w:b/>
          <w:bCs/>
          <w:color w:val="000000" w:themeColor="text1"/>
          <w:sz w:val="24"/>
          <w:szCs w:val="24"/>
        </w:rPr>
      </w:pPr>
    </w:p>
    <w:p w14:paraId="22BDAD09" w14:textId="77777777" w:rsidR="006326E5" w:rsidRPr="009C5B33" w:rsidRDefault="006326E5">
      <w:pPr>
        <w:rPr>
          <w:rFonts w:ascii="Arial" w:hAnsi="Arial" w:cs="Arial"/>
          <w:b/>
          <w:bCs/>
          <w:color w:val="000000" w:themeColor="text1"/>
          <w:sz w:val="24"/>
          <w:szCs w:val="24"/>
        </w:rPr>
      </w:pPr>
    </w:p>
    <w:p w14:paraId="61A3FE18" w14:textId="77777777" w:rsidR="006326E5" w:rsidRPr="009C5B33" w:rsidRDefault="006326E5">
      <w:pPr>
        <w:rPr>
          <w:rFonts w:ascii="Arial" w:hAnsi="Arial" w:cs="Arial"/>
          <w:b/>
          <w:bCs/>
          <w:color w:val="000000" w:themeColor="text1"/>
          <w:sz w:val="24"/>
          <w:szCs w:val="24"/>
        </w:rPr>
      </w:pPr>
    </w:p>
    <w:p w14:paraId="6B57D806" w14:textId="77777777" w:rsidR="006326E5" w:rsidRDefault="006326E5">
      <w:pPr>
        <w:rPr>
          <w:rFonts w:ascii="Arial" w:hAnsi="Arial" w:cs="Arial"/>
          <w:b/>
          <w:bCs/>
          <w:color w:val="000000" w:themeColor="text1"/>
          <w:sz w:val="24"/>
          <w:szCs w:val="24"/>
        </w:rPr>
      </w:pPr>
    </w:p>
    <w:p w14:paraId="2B7342AD" w14:textId="77777777" w:rsidR="00F11919" w:rsidRPr="009C5B33" w:rsidRDefault="00F11919">
      <w:pPr>
        <w:rPr>
          <w:rFonts w:ascii="Arial" w:hAnsi="Arial" w:cs="Arial"/>
          <w:b/>
          <w:bCs/>
          <w:color w:val="000000" w:themeColor="text1"/>
          <w:sz w:val="24"/>
          <w:szCs w:val="24"/>
        </w:rPr>
      </w:pPr>
    </w:p>
    <w:p w14:paraId="2407614E" w14:textId="77777777" w:rsidR="006326E5" w:rsidRPr="009C5B33" w:rsidRDefault="006326E5">
      <w:pPr>
        <w:rPr>
          <w:rFonts w:ascii="Arial" w:hAnsi="Arial" w:cs="Arial"/>
          <w:b/>
          <w:bCs/>
          <w:color w:val="000000" w:themeColor="text1"/>
          <w:sz w:val="24"/>
          <w:szCs w:val="24"/>
        </w:rPr>
      </w:pPr>
    </w:p>
    <w:p w14:paraId="4A2CC261" w14:textId="77777777" w:rsidR="006326E5" w:rsidRPr="009C5B33" w:rsidRDefault="006326E5">
      <w:pPr>
        <w:rPr>
          <w:rFonts w:ascii="Arial" w:hAnsi="Arial" w:cs="Arial"/>
          <w:b/>
          <w:bCs/>
          <w:color w:val="000000" w:themeColor="text1"/>
          <w:sz w:val="24"/>
          <w:szCs w:val="24"/>
        </w:rPr>
      </w:pPr>
    </w:p>
    <w:p w14:paraId="3229E34C" w14:textId="77777777" w:rsidR="006326E5" w:rsidRPr="009C5B33" w:rsidRDefault="006326E5">
      <w:pPr>
        <w:rPr>
          <w:rFonts w:ascii="Arial" w:hAnsi="Arial" w:cs="Arial"/>
          <w:b/>
          <w:bCs/>
          <w:color w:val="000000" w:themeColor="text1"/>
          <w:sz w:val="24"/>
          <w:szCs w:val="24"/>
        </w:rPr>
      </w:pPr>
    </w:p>
    <w:p w14:paraId="0C01AF35" w14:textId="77777777" w:rsidR="006326E5" w:rsidRPr="009C5B33" w:rsidRDefault="00DB389A">
      <w:pPr>
        <w:rPr>
          <w:rFonts w:ascii="Arial" w:hAnsi="Arial" w:cs="Arial"/>
          <w:b/>
          <w:bCs/>
          <w:color w:val="000000" w:themeColor="text1"/>
          <w:sz w:val="24"/>
          <w:szCs w:val="24"/>
        </w:rPr>
      </w:pPr>
      <w:r w:rsidRPr="009C5B33">
        <w:rPr>
          <w:rFonts w:ascii="Arial" w:hAnsi="Arial" w:cs="Arial"/>
          <w:b/>
          <w:bCs/>
          <w:color w:val="000000" w:themeColor="text1"/>
          <w:sz w:val="24"/>
          <w:szCs w:val="24"/>
        </w:rPr>
        <w:t>Task B</w:t>
      </w:r>
    </w:p>
    <w:p w14:paraId="37AB3A81" w14:textId="77777777" w:rsidR="006326E5" w:rsidRPr="009C5B33" w:rsidRDefault="006326E5">
      <w:pPr>
        <w:rPr>
          <w:rFonts w:ascii="Arial" w:hAnsi="Arial" w:cs="Arial"/>
          <w:b/>
          <w:bCs/>
          <w:color w:val="000000" w:themeColor="text1"/>
          <w:sz w:val="24"/>
          <w:szCs w:val="24"/>
        </w:rPr>
      </w:pPr>
    </w:p>
    <w:p w14:paraId="3EF02DD2" w14:textId="77777777" w:rsidR="006326E5" w:rsidRPr="009C5B33" w:rsidRDefault="006326E5">
      <w:pPr>
        <w:rPr>
          <w:rFonts w:ascii="Arial" w:hAnsi="Arial" w:cs="Arial"/>
          <w:b/>
          <w:bCs/>
          <w:color w:val="000000" w:themeColor="text1"/>
          <w:sz w:val="24"/>
          <w:szCs w:val="24"/>
        </w:rPr>
      </w:pPr>
    </w:p>
    <w:p w14:paraId="1F1AABA8" w14:textId="77777777" w:rsidR="006326E5" w:rsidRPr="009C5B33" w:rsidRDefault="006326E5">
      <w:pPr>
        <w:rPr>
          <w:rFonts w:ascii="Arial" w:hAnsi="Arial" w:cs="Arial"/>
          <w:b/>
          <w:bCs/>
          <w:color w:val="000000" w:themeColor="text1"/>
          <w:sz w:val="24"/>
          <w:szCs w:val="24"/>
        </w:rPr>
      </w:pPr>
    </w:p>
    <w:p w14:paraId="5D3801C1"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Dear [NQ Solicitor],</w:t>
      </w:r>
    </w:p>
    <w:p w14:paraId="48A82C05"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Congratulations, and welcome on qualifying as a solicitor and joining our firm. As you begin your legal career, it is essential to understand the core principles of the Solicitors Regulation Authority (SRA) Code of Conduct, which sets out the ethical and professional standards expected of all solicitors in England and Wales.</w:t>
      </w:r>
    </w:p>
    <w:p w14:paraId="76AD8CA9"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The SRA Code of Conduct consists of ten mandatory principles that govern the behaviour and conduct of solicitors. In this letter, I will focus on the first four principles, as well as rules 6.1 to 6.5, which relate to conflicts of interest and confidentiality.</w:t>
      </w:r>
    </w:p>
    <w:p w14:paraId="7AFA2F38"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Principle 1: Uphold the rule of law and the proper administration of justice This principle requires solicitors to act with integrity, independence, and in the best interests of their clients while maintaining the rule of law and the administration of justice.</w:t>
      </w:r>
    </w:p>
    <w:p w14:paraId="6AF2730C"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Principle 2: Act with integrity Solicitors must act honestly and with integrity in all their dealings with clients, the court, and other solicitors.</w:t>
      </w:r>
    </w:p>
    <w:p w14:paraId="72348F5D"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Principle 3: Not to allow their independence to be compromised Solicitors must maintain their independence and not allow their professional judgement to be influenced by their own interests or the interests of others.</w:t>
      </w:r>
    </w:p>
    <w:p w14:paraId="656CD44D"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Principle 4: Act in the best interests of each client Solicitors must act in the best interests of each client and provide competent and timely advice.</w:t>
      </w:r>
    </w:p>
    <w:p w14:paraId="1B196F02"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Rules 6.1 to 6.5: Conflicts of interest and confidentiality These rules require solicitors to identify and manage conflicts of interest and to maintain client confidentiality.</w:t>
      </w:r>
    </w:p>
    <w:p w14:paraId="39C45BD2"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Conflicts of interest can arise when a solicitor's duty to act in the best interests of one client conflicts with their duty to act in the best interests of another client. For example, if you are representing two clients who have opposing interests, such as in a divorce case, you must ensure that you do not disclose confidential information that may harm one client's interests to the other client. A conflict of interest arises when your duty to act in the best interests of one client conflicts with your duty to act in the best interests of another client, or your own interests. As a solicitor, you must identify and manage conflicts of interest to avoid breaching your professional obligations. Another example, if you are representing two clients in a dispute, and it becomes apparent that the interests of one client conflict with the interests of the other, you may need to withdraw from acting for one or both clients.</w:t>
      </w:r>
    </w:p>
    <w:p w14:paraId="3D0354B1" w14:textId="77777777" w:rsidR="006326E5" w:rsidRPr="009C5B33" w:rsidRDefault="006326E5">
      <w:pPr>
        <w:rPr>
          <w:rFonts w:ascii="Arial" w:hAnsi="Arial" w:cs="Arial"/>
          <w:color w:val="000000" w:themeColor="text1"/>
          <w:sz w:val="24"/>
          <w:szCs w:val="24"/>
        </w:rPr>
      </w:pPr>
    </w:p>
    <w:p w14:paraId="43D4D621"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lastRenderedPageBreak/>
        <w:t>Maintaining client confidentiality is crucial to ensure that clients can trust their solicitor to protect their private and sensitive information. Confidentiality is a fundamental principle of the legal profession. As a solicitor, you must maintain client confidentiality unless you have their consent or are required to disclose information by law or professional obligations. For example, if you are representing a client in a criminal case, you must ensure that you do not disclose any confidential information that may harm your client's case unless if you are representing a client in a criminal case and you become aware that they are planning to commit a serious crime, you may have a duty to disclose this information to the authorities.</w:t>
      </w:r>
    </w:p>
    <w:p w14:paraId="572782EF"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In conclusion, understanding and adhering to the core principles of the SRA Code of Conduct is essential for maintaining public confidence in the legal profession and upholding the highest ethical and professional standards. As a newly qualified solicitor, it is crucial to remember the core principles of the Code and to manage conflicts of interest and maintain client confidentiality at all times As you begin your legal career, I encourage you to familiarise yourself with the SRA Code of Conduct and to seek guidance from more senior colleagues if you have any questions or concerns</w:t>
      </w:r>
    </w:p>
    <w:p w14:paraId="21D6E796"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If you have any questions or require further guidance on the SRA Code of Conduct, please do not hesitate to ask. Always happy to help.</w:t>
      </w:r>
    </w:p>
    <w:p w14:paraId="4C7F3A63"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Best regards,</w:t>
      </w:r>
    </w:p>
    <w:p w14:paraId="47EFBA16" w14:textId="080AA3D1" w:rsidR="006326E5" w:rsidRDefault="00DB389A">
      <w:pPr>
        <w:rPr>
          <w:rFonts w:ascii="Arial" w:hAnsi="Arial" w:cs="Arial"/>
          <w:color w:val="000000" w:themeColor="text1"/>
          <w:sz w:val="24"/>
          <w:szCs w:val="24"/>
        </w:rPr>
      </w:pPr>
      <w:r w:rsidRPr="009C5B33">
        <w:rPr>
          <w:rFonts w:ascii="Arial" w:hAnsi="Arial" w:cs="Arial"/>
          <w:color w:val="000000" w:themeColor="text1"/>
          <w:sz w:val="24"/>
          <w:szCs w:val="24"/>
        </w:rPr>
        <w:t>Saima Adeel Fakhr (2211521)</w:t>
      </w:r>
    </w:p>
    <w:p w14:paraId="1B3B37D5" w14:textId="49D9B4FA" w:rsidR="00A33CF3" w:rsidRDefault="00A33CF3">
      <w:pPr>
        <w:rPr>
          <w:rFonts w:ascii="Arial" w:hAnsi="Arial" w:cs="Arial"/>
          <w:color w:val="000000" w:themeColor="text1"/>
          <w:sz w:val="24"/>
          <w:szCs w:val="24"/>
        </w:rPr>
      </w:pPr>
    </w:p>
    <w:p w14:paraId="4000C96A" w14:textId="793BC53D" w:rsidR="00A33CF3" w:rsidRDefault="00A33CF3">
      <w:pPr>
        <w:rPr>
          <w:rFonts w:ascii="Arial" w:hAnsi="Arial" w:cs="Arial"/>
          <w:color w:val="000000" w:themeColor="text1"/>
          <w:sz w:val="24"/>
          <w:szCs w:val="24"/>
        </w:rPr>
      </w:pPr>
    </w:p>
    <w:p w14:paraId="050ABE48" w14:textId="08329339" w:rsidR="00A33CF3" w:rsidRDefault="00A33CF3">
      <w:pPr>
        <w:rPr>
          <w:rFonts w:ascii="Arial" w:hAnsi="Arial" w:cs="Arial"/>
          <w:color w:val="000000" w:themeColor="text1"/>
          <w:sz w:val="24"/>
          <w:szCs w:val="24"/>
        </w:rPr>
      </w:pPr>
    </w:p>
    <w:p w14:paraId="174694A0" w14:textId="09C08A55" w:rsidR="00A33CF3" w:rsidRDefault="00A33CF3">
      <w:pPr>
        <w:rPr>
          <w:rFonts w:ascii="Arial" w:hAnsi="Arial" w:cs="Arial"/>
          <w:color w:val="000000" w:themeColor="text1"/>
          <w:sz w:val="24"/>
          <w:szCs w:val="24"/>
        </w:rPr>
      </w:pPr>
    </w:p>
    <w:p w14:paraId="3A8787F1" w14:textId="7C76F0B4" w:rsidR="00A33CF3" w:rsidRDefault="00A33CF3">
      <w:pPr>
        <w:rPr>
          <w:rFonts w:ascii="Arial" w:hAnsi="Arial" w:cs="Arial"/>
          <w:color w:val="000000" w:themeColor="text1"/>
          <w:sz w:val="24"/>
          <w:szCs w:val="24"/>
        </w:rPr>
      </w:pPr>
    </w:p>
    <w:p w14:paraId="79FD2685" w14:textId="7FBBA357" w:rsidR="00A33CF3" w:rsidRDefault="00A33CF3">
      <w:pPr>
        <w:rPr>
          <w:rFonts w:ascii="Arial" w:hAnsi="Arial" w:cs="Arial"/>
          <w:color w:val="000000" w:themeColor="text1"/>
          <w:sz w:val="24"/>
          <w:szCs w:val="24"/>
        </w:rPr>
      </w:pPr>
    </w:p>
    <w:p w14:paraId="5C763784" w14:textId="3E3CA6FC" w:rsidR="00A33CF3" w:rsidRDefault="00A33CF3">
      <w:pPr>
        <w:rPr>
          <w:rFonts w:ascii="Arial" w:hAnsi="Arial" w:cs="Arial"/>
          <w:color w:val="000000" w:themeColor="text1"/>
          <w:sz w:val="24"/>
          <w:szCs w:val="24"/>
        </w:rPr>
      </w:pPr>
    </w:p>
    <w:p w14:paraId="37DED7D5" w14:textId="7B0AC863" w:rsidR="00A33CF3" w:rsidRDefault="00A33CF3">
      <w:pPr>
        <w:rPr>
          <w:rFonts w:ascii="Arial" w:hAnsi="Arial" w:cs="Arial"/>
          <w:color w:val="000000" w:themeColor="text1"/>
          <w:sz w:val="24"/>
          <w:szCs w:val="24"/>
        </w:rPr>
      </w:pPr>
    </w:p>
    <w:p w14:paraId="67B67F24" w14:textId="77777777" w:rsidR="00A33CF3" w:rsidRPr="009C5B33" w:rsidRDefault="00A33CF3">
      <w:pPr>
        <w:rPr>
          <w:rFonts w:ascii="Arial" w:hAnsi="Arial" w:cs="Arial"/>
          <w:color w:val="000000" w:themeColor="text1"/>
          <w:sz w:val="24"/>
          <w:szCs w:val="24"/>
        </w:rPr>
      </w:pPr>
    </w:p>
    <w:p w14:paraId="52C2BAD4" w14:textId="5F38679C" w:rsidR="006326E5" w:rsidRDefault="006326E5">
      <w:pPr>
        <w:rPr>
          <w:rFonts w:ascii="Arial" w:hAnsi="Arial" w:cs="Arial"/>
          <w:color w:val="000000" w:themeColor="text1"/>
          <w:sz w:val="24"/>
          <w:szCs w:val="24"/>
        </w:rPr>
      </w:pPr>
    </w:p>
    <w:p w14:paraId="11EBBC38" w14:textId="1BA05D14" w:rsidR="00A33CF3" w:rsidRDefault="00A33CF3">
      <w:pPr>
        <w:rPr>
          <w:rFonts w:ascii="Arial" w:hAnsi="Arial" w:cs="Arial"/>
          <w:color w:val="000000" w:themeColor="text1"/>
          <w:sz w:val="24"/>
          <w:szCs w:val="24"/>
        </w:rPr>
      </w:pPr>
    </w:p>
    <w:p w14:paraId="721F8C99" w14:textId="3F61BC99" w:rsidR="00A33CF3" w:rsidRDefault="00A33CF3">
      <w:pPr>
        <w:rPr>
          <w:rFonts w:ascii="Arial" w:hAnsi="Arial" w:cs="Arial"/>
          <w:color w:val="000000" w:themeColor="text1"/>
          <w:sz w:val="24"/>
          <w:szCs w:val="24"/>
        </w:rPr>
      </w:pPr>
    </w:p>
    <w:p w14:paraId="238D0C88" w14:textId="752673CD" w:rsidR="00A33CF3" w:rsidRDefault="00A33CF3">
      <w:pPr>
        <w:rPr>
          <w:rFonts w:ascii="Arial" w:hAnsi="Arial" w:cs="Arial"/>
          <w:color w:val="000000" w:themeColor="text1"/>
          <w:sz w:val="24"/>
          <w:szCs w:val="24"/>
        </w:rPr>
      </w:pPr>
    </w:p>
    <w:p w14:paraId="5F357ABA" w14:textId="21B22A22" w:rsidR="00A33CF3" w:rsidRDefault="00A33CF3">
      <w:pPr>
        <w:rPr>
          <w:rFonts w:ascii="Arial" w:hAnsi="Arial" w:cs="Arial"/>
          <w:color w:val="000000" w:themeColor="text1"/>
          <w:sz w:val="24"/>
          <w:szCs w:val="24"/>
        </w:rPr>
      </w:pPr>
    </w:p>
    <w:p w14:paraId="09F37207" w14:textId="77777777" w:rsidR="00A3508A" w:rsidRDefault="00A3508A" w:rsidP="00A3508A">
      <w:pPr>
        <w:rPr>
          <w:rFonts w:ascii="Arial" w:hAnsi="Arial" w:cs="Arial"/>
          <w:color w:val="000000" w:themeColor="text1"/>
          <w:sz w:val="24"/>
          <w:szCs w:val="24"/>
        </w:rPr>
      </w:pPr>
    </w:p>
    <w:p w14:paraId="60185738" w14:textId="2A6E3958" w:rsidR="007050D6" w:rsidRPr="00A3508A" w:rsidRDefault="0073171C" w:rsidP="00B94802">
      <w:pPr>
        <w:ind w:left="720" w:firstLine="720"/>
        <w:rPr>
          <w:rFonts w:ascii="Arial" w:hAnsi="Arial" w:cs="Arial"/>
          <w:color w:val="000000" w:themeColor="text1"/>
          <w:sz w:val="24"/>
          <w:szCs w:val="24"/>
        </w:rPr>
      </w:pPr>
      <w:r>
        <w:rPr>
          <w:rFonts w:ascii="Times New Roman" w:hAnsi="Times New Roman"/>
          <w:b/>
          <w:bCs/>
          <w:noProof/>
          <w:color w:val="000000" w:themeColor="text1"/>
          <w:sz w:val="32"/>
          <w:szCs w:val="32"/>
          <w:u w:val="single"/>
        </w:rPr>
        <w:lastRenderedPageBreak/>
        <w:drawing>
          <wp:anchor distT="0" distB="0" distL="114300" distR="114300" simplePos="0" relativeHeight="251662336" behindDoc="1" locked="0" layoutInCell="1" allowOverlap="1" wp14:anchorId="027ED71F" wp14:editId="2FBFD078">
            <wp:simplePos x="0" y="0"/>
            <wp:positionH relativeFrom="column">
              <wp:posOffset>-928712</wp:posOffset>
            </wp:positionH>
            <wp:positionV relativeFrom="paragraph">
              <wp:posOffset>-440348</wp:posOffset>
            </wp:positionV>
            <wp:extent cx="8642508" cy="5158831"/>
            <wp:effectExtent l="12700" t="0" r="19050" b="4836160"/>
            <wp:wrapNone/>
            <wp:docPr id="6" name="Picture 6" descr="Hand with a g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and with a gavel"/>
                    <pic:cNvPicPr/>
                  </pic:nvPicPr>
                  <pic:blipFill>
                    <a:blip r:embed="rId7" cstate="print">
                      <a:extLst>
                        <a:ext uri="{28A0092B-C50C-407E-A947-70E740481C1C}">
                          <a14:useLocalDpi xmlns:a14="http://schemas.microsoft.com/office/drawing/2010/main" val="0"/>
                        </a:ext>
                      </a:extLst>
                    </a:blip>
                    <a:stretch>
                      <a:fillRect/>
                    </a:stretch>
                  </pic:blipFill>
                  <pic:spPr>
                    <a:xfrm>
                      <a:off x="0" y="0"/>
                      <a:ext cx="8642508" cy="5158831"/>
                    </a:xfrm>
                    <a:prstGeom prst="rect">
                      <a:avLst/>
                    </a:prstGeom>
                    <a:effectLst>
                      <a:reflection blurRad="6350" stA="50000" endA="295" endPos="92000" dist="101600" dir="5400000" sy="-100000" algn="bl" rotWithShape="0"/>
                    </a:effectLst>
                  </pic:spPr>
                </pic:pic>
              </a:graphicData>
            </a:graphic>
            <wp14:sizeRelH relativeFrom="margin">
              <wp14:pctWidth>0</wp14:pctWidth>
            </wp14:sizeRelH>
            <wp14:sizeRelV relativeFrom="margin">
              <wp14:pctHeight>0</wp14:pctHeight>
            </wp14:sizeRelV>
          </wp:anchor>
        </w:drawing>
      </w:r>
      <w:r w:rsidR="00F24537" w:rsidRPr="00377EE9">
        <w:rPr>
          <w:rFonts w:ascii="Times New Roman" w:hAnsi="Times New Roman"/>
          <w:b/>
          <w:bCs/>
          <w:i/>
          <w:iCs/>
          <w:color w:val="000000" w:themeColor="text1"/>
          <w:sz w:val="36"/>
          <w:szCs w:val="36"/>
          <w:highlight w:val="darkCyan"/>
          <w:u w:val="single"/>
        </w:rPr>
        <w:t xml:space="preserve">Funding </w:t>
      </w:r>
      <w:r w:rsidR="006A19C8" w:rsidRPr="00377EE9">
        <w:rPr>
          <w:rFonts w:ascii="Times New Roman" w:hAnsi="Times New Roman"/>
          <w:b/>
          <w:bCs/>
          <w:sz w:val="36"/>
          <w:szCs w:val="36"/>
          <w:highlight w:val="darkCyan"/>
          <w:u w:val="single"/>
        </w:rPr>
        <w:t>options for legal case</w:t>
      </w:r>
      <w:r w:rsidR="006A19C8" w:rsidRPr="002B2987">
        <w:rPr>
          <w:rFonts w:ascii="Times New Roman" w:hAnsi="Times New Roman"/>
          <w:b/>
          <w:bCs/>
          <w:sz w:val="40"/>
          <w:szCs w:val="40"/>
          <w:highlight w:val="darkCyan"/>
          <w:u w:val="single"/>
        </w:rPr>
        <w:t>s</w:t>
      </w:r>
      <w:r w:rsidR="006A19C8" w:rsidRPr="000534F5">
        <w:rPr>
          <w:rFonts w:ascii="Hadassah Friedlaender" w:hAnsi="Hadassah Friedlaender" w:cs="Hadassah Friedlaender" w:hint="cs"/>
          <w:sz w:val="28"/>
          <w:szCs w:val="28"/>
          <w:highlight w:val="darkGray"/>
        </w:rPr>
        <w:t>:</w:t>
      </w:r>
    </w:p>
    <w:p w14:paraId="6F451B80" w14:textId="29D6A46A" w:rsidR="007050D6" w:rsidRPr="007148B8" w:rsidRDefault="007050D6" w:rsidP="00B94802">
      <w:pPr>
        <w:ind w:left="720"/>
        <w:rPr>
          <w:rFonts w:ascii="Times New Roman" w:hAnsi="Times New Roman"/>
          <w:color w:val="000000" w:themeColor="text1"/>
          <w:sz w:val="26"/>
          <w:szCs w:val="26"/>
        </w:rPr>
      </w:pPr>
      <w:r w:rsidRPr="00BC57D6">
        <w:rPr>
          <w:rFonts w:ascii="Times New Roman" w:hAnsi="Times New Roman"/>
          <w:color w:val="000000" w:themeColor="text1"/>
          <w:sz w:val="26"/>
          <w:szCs w:val="26"/>
          <w:highlight w:val="darkGray"/>
        </w:rPr>
        <w:t>When faced with a legal issue, funding your case can be a significant concern. Our firm offers several funding options that cater to different financial needs. Below are the different funding options that new clients can choose from:</w:t>
      </w:r>
    </w:p>
    <w:p w14:paraId="410F1478" w14:textId="1032DD86" w:rsidR="007050D6" w:rsidRPr="00691DCA" w:rsidRDefault="00E8606C" w:rsidP="00B94802">
      <w:pPr>
        <w:ind w:left="2880" w:firstLine="720"/>
        <w:rPr>
          <w:rFonts w:ascii="Times New Roman" w:hAnsi="Times New Roman"/>
          <w:b/>
          <w:bCs/>
          <w:color w:val="000000" w:themeColor="text1"/>
          <w:sz w:val="28"/>
          <w:szCs w:val="28"/>
          <w:u w:val="single"/>
        </w:rPr>
      </w:pPr>
      <w:r w:rsidRPr="002B2987">
        <w:rPr>
          <w:rFonts w:ascii="Times New Roman" w:hAnsi="Times New Roman"/>
          <w:b/>
          <w:bCs/>
          <w:color w:val="000000" w:themeColor="text1"/>
          <w:sz w:val="28"/>
          <w:szCs w:val="28"/>
          <w:highlight w:val="darkCyan"/>
          <w:u w:val="single"/>
        </w:rPr>
        <w:t>1.</w:t>
      </w:r>
      <w:r w:rsidR="007050D6" w:rsidRPr="002B2987">
        <w:rPr>
          <w:rFonts w:ascii="Times New Roman" w:hAnsi="Times New Roman"/>
          <w:b/>
          <w:bCs/>
          <w:color w:val="000000" w:themeColor="text1"/>
          <w:sz w:val="28"/>
          <w:szCs w:val="28"/>
          <w:highlight w:val="darkCyan"/>
          <w:u w:val="single"/>
        </w:rPr>
        <w:t>Private Funding:</w:t>
      </w:r>
    </w:p>
    <w:p w14:paraId="64028D5A" w14:textId="01A29527" w:rsidR="006538CA" w:rsidRPr="00800A8E" w:rsidRDefault="007050D6" w:rsidP="00B94802">
      <w:pPr>
        <w:pStyle w:val="ListParagraph"/>
        <w:numPr>
          <w:ilvl w:val="0"/>
          <w:numId w:val="20"/>
        </w:numPr>
        <w:ind w:left="1440"/>
        <w:rPr>
          <w:rFonts w:ascii="Times New Roman" w:hAnsi="Times New Roman"/>
          <w:color w:val="000000" w:themeColor="text1"/>
          <w:sz w:val="26"/>
          <w:szCs w:val="26"/>
          <w:highlight w:val="darkGray"/>
        </w:rPr>
      </w:pPr>
      <w:r w:rsidRPr="00176681">
        <w:rPr>
          <w:rFonts w:ascii="Times New Roman" w:hAnsi="Times New Roman"/>
          <w:color w:val="000000" w:themeColor="text1"/>
          <w:sz w:val="26"/>
          <w:szCs w:val="26"/>
          <w:highlight w:val="darkGray"/>
        </w:rPr>
        <w:t>Advantages</w:t>
      </w:r>
      <w:r w:rsidR="00EF51D4" w:rsidRPr="00176681">
        <w:rPr>
          <w:rFonts w:ascii="Times New Roman" w:hAnsi="Times New Roman"/>
          <w:color w:val="000000" w:themeColor="text1"/>
          <w:sz w:val="26"/>
          <w:szCs w:val="26"/>
          <w:highlight w:val="darkGray"/>
        </w:rPr>
        <w:t>:</w:t>
      </w:r>
      <w:r w:rsidR="00800A8E">
        <w:rPr>
          <w:rFonts w:ascii="Times New Roman" w:hAnsi="Times New Roman"/>
          <w:color w:val="000000" w:themeColor="text1"/>
          <w:sz w:val="26"/>
          <w:szCs w:val="26"/>
          <w:highlight w:val="darkGray"/>
        </w:rPr>
        <w:tab/>
      </w:r>
      <w:r w:rsidRPr="000760EE">
        <w:rPr>
          <w:rFonts w:ascii="Times New Roman" w:hAnsi="Times New Roman"/>
          <w:color w:val="000000" w:themeColor="text1"/>
          <w:sz w:val="26"/>
          <w:szCs w:val="26"/>
          <w:highlight w:val="darkGray"/>
        </w:rPr>
        <w:t>Complete control over the case</w:t>
      </w:r>
      <w:r w:rsidRPr="00800A8E">
        <w:rPr>
          <w:rFonts w:ascii="Times New Roman" w:hAnsi="Times New Roman"/>
          <w:color w:val="000000" w:themeColor="text1"/>
          <w:sz w:val="26"/>
          <w:szCs w:val="26"/>
          <w:highlight w:val="darkGray"/>
        </w:rPr>
        <w:t>No conflict of interest</w:t>
      </w:r>
    </w:p>
    <w:p w14:paraId="2CBDDDB6" w14:textId="36287F71" w:rsidR="00CF13F1" w:rsidRPr="00800A8E" w:rsidRDefault="007050D6" w:rsidP="00B94802">
      <w:pPr>
        <w:pStyle w:val="ListParagraph"/>
        <w:numPr>
          <w:ilvl w:val="0"/>
          <w:numId w:val="20"/>
        </w:numPr>
        <w:ind w:left="1440"/>
        <w:rPr>
          <w:rFonts w:ascii="Times New Roman" w:hAnsi="Times New Roman"/>
          <w:color w:val="000000" w:themeColor="text1"/>
          <w:sz w:val="26"/>
          <w:szCs w:val="26"/>
          <w:highlight w:val="darkGray"/>
        </w:rPr>
      </w:pPr>
      <w:r w:rsidRPr="00176681">
        <w:rPr>
          <w:rFonts w:ascii="Times New Roman" w:hAnsi="Times New Roman"/>
          <w:color w:val="000000" w:themeColor="text1"/>
          <w:sz w:val="26"/>
          <w:szCs w:val="26"/>
          <w:highlight w:val="darkGray"/>
        </w:rPr>
        <w:t>Disadvantages</w:t>
      </w:r>
      <w:r w:rsidR="00BA67D8" w:rsidRPr="00176681">
        <w:rPr>
          <w:rFonts w:ascii="Times New Roman" w:hAnsi="Times New Roman"/>
          <w:color w:val="000000" w:themeColor="text1"/>
          <w:sz w:val="26"/>
          <w:szCs w:val="26"/>
          <w:highlight w:val="darkGray"/>
        </w:rPr>
        <w:t>:</w:t>
      </w:r>
      <w:r w:rsidR="00800A8E">
        <w:rPr>
          <w:rFonts w:ascii="Times New Roman" w:hAnsi="Times New Roman"/>
          <w:color w:val="000000" w:themeColor="text1"/>
          <w:sz w:val="26"/>
          <w:szCs w:val="26"/>
          <w:highlight w:val="darkGray"/>
        </w:rPr>
        <w:t xml:space="preserve">  </w:t>
      </w:r>
      <w:r w:rsidRPr="00800A8E">
        <w:rPr>
          <w:rFonts w:ascii="Times New Roman" w:hAnsi="Times New Roman"/>
          <w:color w:val="000000" w:themeColor="text1"/>
          <w:sz w:val="26"/>
          <w:szCs w:val="26"/>
          <w:highlight w:val="darkGray"/>
        </w:rPr>
        <w:t>Expensive</w:t>
      </w:r>
      <w:r w:rsidR="00800A8E">
        <w:rPr>
          <w:rFonts w:ascii="Times New Roman" w:hAnsi="Times New Roman"/>
          <w:color w:val="000000" w:themeColor="text1"/>
          <w:sz w:val="26"/>
          <w:szCs w:val="26"/>
          <w:highlight w:val="darkGray"/>
        </w:rPr>
        <w:tab/>
      </w:r>
      <w:r w:rsidR="00563F36">
        <w:rPr>
          <w:rFonts w:ascii="Times New Roman" w:hAnsi="Times New Roman"/>
          <w:color w:val="000000" w:themeColor="text1"/>
          <w:sz w:val="26"/>
          <w:szCs w:val="26"/>
          <w:highlight w:val="darkGray"/>
        </w:rPr>
        <w:t xml:space="preserve">       </w:t>
      </w:r>
      <w:r w:rsidRPr="00800A8E">
        <w:rPr>
          <w:rFonts w:ascii="Times New Roman" w:hAnsi="Times New Roman"/>
          <w:color w:val="000000" w:themeColor="text1"/>
          <w:sz w:val="26"/>
          <w:szCs w:val="26"/>
          <w:highlight w:val="darkGray"/>
        </w:rPr>
        <w:t>May not be suitable for all clients</w:t>
      </w:r>
    </w:p>
    <w:p w14:paraId="24BB4476" w14:textId="0E7CDA4B" w:rsidR="007050D6" w:rsidRPr="00176681" w:rsidRDefault="007050D6" w:rsidP="00B94802">
      <w:pPr>
        <w:ind w:left="720" w:firstLine="360"/>
        <w:rPr>
          <w:rFonts w:ascii="Times New Roman" w:hAnsi="Times New Roman"/>
          <w:color w:val="000000" w:themeColor="text1"/>
          <w:sz w:val="26"/>
          <w:szCs w:val="26"/>
          <w:highlight w:val="darkGray"/>
        </w:rPr>
      </w:pPr>
      <w:r w:rsidRPr="00176681">
        <w:rPr>
          <w:rFonts w:ascii="Times New Roman" w:hAnsi="Times New Roman"/>
          <w:color w:val="000000" w:themeColor="text1"/>
          <w:sz w:val="26"/>
          <w:szCs w:val="26"/>
          <w:highlight w:val="darkGray"/>
        </w:rPr>
        <w:t>Example</w:t>
      </w:r>
      <w:r w:rsidR="00CF13F1" w:rsidRPr="00176681">
        <w:rPr>
          <w:rFonts w:ascii="Times New Roman" w:hAnsi="Times New Roman"/>
          <w:color w:val="000000" w:themeColor="text1"/>
          <w:sz w:val="26"/>
          <w:szCs w:val="26"/>
          <w:highlight w:val="darkGray"/>
        </w:rPr>
        <w:t>:</w:t>
      </w:r>
      <w:r w:rsidRPr="00176681">
        <w:rPr>
          <w:rFonts w:ascii="Times New Roman" w:hAnsi="Times New Roman"/>
          <w:color w:val="000000" w:themeColor="text1"/>
          <w:sz w:val="26"/>
          <w:szCs w:val="26"/>
          <w:highlight w:val="darkGray"/>
        </w:rPr>
        <w:t>Business Law and Residential Conveyancing</w:t>
      </w:r>
    </w:p>
    <w:p w14:paraId="3F3E2BFF" w14:textId="3145A5EE" w:rsidR="007050D6" w:rsidRPr="002B2987" w:rsidRDefault="004A243D" w:rsidP="00B94802">
      <w:pPr>
        <w:ind w:left="1440"/>
        <w:rPr>
          <w:rFonts w:ascii="Times New Roman" w:hAnsi="Times New Roman"/>
          <w:b/>
          <w:bCs/>
          <w:color w:val="000000" w:themeColor="text1"/>
          <w:sz w:val="32"/>
          <w:szCs w:val="32"/>
          <w:highlight w:val="darkCyan"/>
          <w:u w:val="single"/>
        </w:rPr>
      </w:pPr>
      <w:r w:rsidRPr="002B2987">
        <w:rPr>
          <w:rFonts w:ascii="Times New Roman" w:hAnsi="Times New Roman"/>
          <w:b/>
          <w:bCs/>
          <w:color w:val="000000" w:themeColor="text1"/>
          <w:sz w:val="32"/>
          <w:szCs w:val="32"/>
          <w:highlight w:val="darkCyan"/>
          <w:u w:val="single"/>
        </w:rPr>
        <w:t xml:space="preserve">2. </w:t>
      </w:r>
      <w:r w:rsidR="007050D6" w:rsidRPr="002B2987">
        <w:rPr>
          <w:rFonts w:ascii="Times New Roman" w:hAnsi="Times New Roman"/>
          <w:b/>
          <w:bCs/>
          <w:color w:val="000000" w:themeColor="text1"/>
          <w:sz w:val="32"/>
          <w:szCs w:val="32"/>
          <w:highlight w:val="darkCyan"/>
          <w:u w:val="single"/>
        </w:rPr>
        <w:t>Conditional Fee Agreements (CFAs):</w:t>
      </w:r>
    </w:p>
    <w:p w14:paraId="5786F5EB" w14:textId="4938DCA1" w:rsidR="007050D6" w:rsidRPr="00496B28" w:rsidRDefault="007050D6" w:rsidP="00B94802">
      <w:pPr>
        <w:pStyle w:val="ListParagraph"/>
        <w:numPr>
          <w:ilvl w:val="0"/>
          <w:numId w:val="21"/>
        </w:numPr>
        <w:ind w:left="1440"/>
        <w:rPr>
          <w:rFonts w:ascii="Times New Roman" w:hAnsi="Times New Roman"/>
          <w:color w:val="000000" w:themeColor="text1"/>
          <w:sz w:val="26"/>
          <w:szCs w:val="26"/>
          <w:highlight w:val="darkGray"/>
        </w:rPr>
      </w:pPr>
      <w:r w:rsidRPr="00176681">
        <w:rPr>
          <w:rFonts w:ascii="Times New Roman" w:hAnsi="Times New Roman"/>
          <w:color w:val="000000" w:themeColor="text1"/>
          <w:sz w:val="26"/>
          <w:szCs w:val="26"/>
          <w:highlight w:val="darkGray"/>
        </w:rPr>
        <w:t>Advantages</w:t>
      </w:r>
      <w:r w:rsidR="00D847E1" w:rsidRPr="00176681">
        <w:rPr>
          <w:rFonts w:ascii="Times New Roman" w:hAnsi="Times New Roman"/>
          <w:color w:val="000000" w:themeColor="text1"/>
          <w:sz w:val="26"/>
          <w:szCs w:val="26"/>
          <w:highlight w:val="darkGray"/>
        </w:rPr>
        <w:t>:</w:t>
      </w:r>
      <w:r w:rsidR="00496B28">
        <w:rPr>
          <w:rFonts w:ascii="Times New Roman" w:hAnsi="Times New Roman"/>
          <w:color w:val="000000" w:themeColor="text1"/>
          <w:sz w:val="26"/>
          <w:szCs w:val="26"/>
          <w:highlight w:val="darkGray"/>
        </w:rPr>
        <w:t xml:space="preserve"> </w:t>
      </w:r>
      <w:r w:rsidR="002B6632">
        <w:rPr>
          <w:rFonts w:ascii="Times New Roman" w:hAnsi="Times New Roman"/>
          <w:color w:val="000000" w:themeColor="text1"/>
          <w:sz w:val="26"/>
          <w:szCs w:val="26"/>
          <w:highlight w:val="darkGray"/>
        </w:rPr>
        <w:tab/>
      </w:r>
      <w:r w:rsidR="002B6632" w:rsidRPr="00566FC9">
        <w:rPr>
          <w:rFonts w:ascii="Times New Roman" w:hAnsi="Times New Roman"/>
          <w:color w:val="000000" w:themeColor="text1"/>
          <w:sz w:val="26"/>
          <w:szCs w:val="26"/>
        </w:rPr>
        <w:tab/>
      </w:r>
      <w:r w:rsidR="002B6632" w:rsidRPr="00566FC9">
        <w:rPr>
          <w:rFonts w:ascii="Times New Roman" w:hAnsi="Times New Roman"/>
          <w:color w:val="000000" w:themeColor="text1"/>
          <w:sz w:val="26"/>
          <w:szCs w:val="26"/>
        </w:rPr>
        <w:tab/>
      </w:r>
      <w:r w:rsidR="002B6632" w:rsidRPr="00566FC9">
        <w:rPr>
          <w:rFonts w:ascii="Times New Roman" w:hAnsi="Times New Roman"/>
          <w:color w:val="000000" w:themeColor="text1"/>
          <w:sz w:val="26"/>
          <w:szCs w:val="26"/>
        </w:rPr>
        <w:tab/>
      </w:r>
      <w:r w:rsidR="00496B28" w:rsidRPr="00566FC9">
        <w:rPr>
          <w:rFonts w:ascii="Times New Roman" w:hAnsi="Times New Roman"/>
          <w:color w:val="000000" w:themeColor="text1"/>
          <w:sz w:val="26"/>
          <w:szCs w:val="26"/>
          <w:highlight w:val="darkGray"/>
        </w:rPr>
        <w:t>“</w:t>
      </w:r>
      <w:r w:rsidRPr="00566FC9">
        <w:rPr>
          <w:rFonts w:ascii="Times New Roman" w:hAnsi="Times New Roman"/>
          <w:color w:val="000000" w:themeColor="text1"/>
          <w:sz w:val="26"/>
          <w:szCs w:val="26"/>
          <w:highlight w:val="darkGray"/>
        </w:rPr>
        <w:t>No win, no fee" agreement</w:t>
      </w:r>
    </w:p>
    <w:p w14:paraId="6F95162E" w14:textId="7A72A904" w:rsidR="007050D6" w:rsidRPr="00BA426C" w:rsidRDefault="00B65329" w:rsidP="00B94802">
      <w:pPr>
        <w:ind w:left="720"/>
        <w:rPr>
          <w:rFonts w:ascii="Times New Roman" w:hAnsi="Times New Roman"/>
          <w:color w:val="000000" w:themeColor="text1"/>
          <w:sz w:val="26"/>
          <w:szCs w:val="26"/>
        </w:rPr>
      </w:pPr>
      <w:r>
        <w:rPr>
          <w:rFonts w:ascii="Times New Roman" w:hAnsi="Times New Roman"/>
          <w:color w:val="000000" w:themeColor="text1"/>
          <w:sz w:val="26"/>
          <w:szCs w:val="26"/>
          <w:highlight w:val="darkGray"/>
        </w:rPr>
        <w:t xml:space="preserve">   </w:t>
      </w:r>
      <w:r w:rsidR="007050D6" w:rsidRPr="00124DC8">
        <w:rPr>
          <w:rFonts w:ascii="Times New Roman" w:hAnsi="Times New Roman"/>
          <w:color w:val="000000" w:themeColor="text1"/>
          <w:sz w:val="26"/>
          <w:szCs w:val="26"/>
          <w:highlight w:val="darkGray"/>
        </w:rPr>
        <w:t>Allows clients with limited financial resources to pursue their claim</w:t>
      </w:r>
    </w:p>
    <w:p w14:paraId="33A24146" w14:textId="117A0E44" w:rsidR="007050D6" w:rsidRPr="002B6632" w:rsidRDefault="007050D6" w:rsidP="00B94802">
      <w:pPr>
        <w:pStyle w:val="ListParagraph"/>
        <w:numPr>
          <w:ilvl w:val="0"/>
          <w:numId w:val="21"/>
        </w:numPr>
        <w:ind w:left="1440"/>
        <w:rPr>
          <w:rFonts w:ascii="Times New Roman" w:hAnsi="Times New Roman"/>
          <w:color w:val="000000" w:themeColor="text1"/>
          <w:sz w:val="26"/>
          <w:szCs w:val="26"/>
          <w:highlight w:val="darkGray"/>
        </w:rPr>
      </w:pPr>
      <w:r w:rsidRPr="002B6632">
        <w:rPr>
          <w:rFonts w:ascii="Times New Roman" w:hAnsi="Times New Roman"/>
          <w:color w:val="000000" w:themeColor="text1"/>
          <w:sz w:val="26"/>
          <w:szCs w:val="26"/>
          <w:highlight w:val="darkGray"/>
        </w:rPr>
        <w:t>Disadvantages</w:t>
      </w:r>
      <w:r w:rsidR="00D847E1" w:rsidRPr="002B6632">
        <w:rPr>
          <w:rFonts w:ascii="Times New Roman" w:hAnsi="Times New Roman"/>
          <w:color w:val="000000" w:themeColor="text1"/>
          <w:sz w:val="26"/>
          <w:szCs w:val="26"/>
          <w:highlight w:val="darkGray"/>
        </w:rPr>
        <w:t>:</w:t>
      </w:r>
      <w:r w:rsidRPr="002B6632">
        <w:rPr>
          <w:rFonts w:ascii="Times New Roman" w:hAnsi="Times New Roman"/>
          <w:color w:val="000000" w:themeColor="text1"/>
          <w:sz w:val="26"/>
          <w:szCs w:val="26"/>
          <w:highlight w:val="darkGray"/>
        </w:rPr>
        <w:t>Success fee can be high</w:t>
      </w:r>
    </w:p>
    <w:p w14:paraId="0C6EFCC9" w14:textId="77777777" w:rsidR="008B6415" w:rsidRDefault="007050D6" w:rsidP="00B94802">
      <w:pPr>
        <w:ind w:left="720"/>
        <w:rPr>
          <w:rFonts w:ascii="Times New Roman" w:hAnsi="Times New Roman"/>
          <w:color w:val="000000" w:themeColor="text1"/>
          <w:sz w:val="26"/>
          <w:szCs w:val="26"/>
          <w:highlight w:val="darkGray"/>
        </w:rPr>
      </w:pPr>
      <w:r w:rsidRPr="002B6632">
        <w:rPr>
          <w:rFonts w:ascii="Times New Roman" w:hAnsi="Times New Roman"/>
          <w:color w:val="000000" w:themeColor="text1"/>
          <w:sz w:val="26"/>
          <w:szCs w:val="26"/>
          <w:highlight w:val="darkGray"/>
        </w:rPr>
        <w:t>Example</w:t>
      </w:r>
      <w:r w:rsidR="00D847E1" w:rsidRPr="002B6632">
        <w:rPr>
          <w:rFonts w:ascii="Times New Roman" w:hAnsi="Times New Roman"/>
          <w:color w:val="000000" w:themeColor="text1"/>
          <w:sz w:val="26"/>
          <w:szCs w:val="26"/>
          <w:highlight w:val="darkGray"/>
        </w:rPr>
        <w:t>:</w:t>
      </w:r>
      <w:r w:rsidRPr="002B6632">
        <w:rPr>
          <w:rFonts w:ascii="Times New Roman" w:hAnsi="Times New Roman"/>
          <w:color w:val="000000" w:themeColor="text1"/>
          <w:sz w:val="26"/>
          <w:szCs w:val="26"/>
          <w:highlight w:val="darkGray"/>
        </w:rPr>
        <w:t>Personal Injury and Medical Negligence Claims</w:t>
      </w:r>
    </w:p>
    <w:p w14:paraId="1C0CC5D1" w14:textId="6D1D50D2" w:rsidR="007050D6" w:rsidRPr="008B6415" w:rsidRDefault="002F4CA1" w:rsidP="00B94802">
      <w:pPr>
        <w:ind w:left="2880" w:firstLine="720"/>
        <w:rPr>
          <w:rFonts w:ascii="Times New Roman" w:hAnsi="Times New Roman"/>
          <w:color w:val="000000" w:themeColor="text1"/>
          <w:sz w:val="26"/>
          <w:szCs w:val="26"/>
          <w:highlight w:val="darkGray"/>
        </w:rPr>
      </w:pPr>
      <w:r>
        <w:rPr>
          <w:rFonts w:ascii="Times New Roman" w:hAnsi="Times New Roman"/>
          <w:b/>
          <w:bCs/>
          <w:color w:val="000000" w:themeColor="text1"/>
          <w:sz w:val="32"/>
          <w:szCs w:val="32"/>
          <w:highlight w:val="darkCyan"/>
          <w:u w:val="single"/>
        </w:rPr>
        <w:t xml:space="preserve">3. </w:t>
      </w:r>
      <w:r w:rsidR="007050D6" w:rsidRPr="008B6415">
        <w:rPr>
          <w:rFonts w:ascii="Times New Roman" w:hAnsi="Times New Roman"/>
          <w:b/>
          <w:bCs/>
          <w:color w:val="000000" w:themeColor="text1"/>
          <w:sz w:val="32"/>
          <w:szCs w:val="32"/>
          <w:highlight w:val="darkCyan"/>
          <w:u w:val="single"/>
        </w:rPr>
        <w:t>Legal Aid:</w:t>
      </w:r>
    </w:p>
    <w:p w14:paraId="448A8728" w14:textId="23A197AE" w:rsidR="007050D6" w:rsidRPr="00304E6C" w:rsidRDefault="007050D6" w:rsidP="00B94802">
      <w:pPr>
        <w:pStyle w:val="ListParagraph"/>
        <w:numPr>
          <w:ilvl w:val="0"/>
          <w:numId w:val="21"/>
        </w:numPr>
        <w:ind w:left="1440"/>
        <w:rPr>
          <w:rFonts w:ascii="Times New Roman" w:hAnsi="Times New Roman"/>
          <w:color w:val="000000" w:themeColor="text1"/>
          <w:sz w:val="26"/>
          <w:szCs w:val="26"/>
          <w:highlight w:val="darkGray"/>
        </w:rPr>
      </w:pPr>
      <w:r w:rsidRPr="002B6632">
        <w:rPr>
          <w:rFonts w:ascii="Times New Roman" w:hAnsi="Times New Roman"/>
          <w:color w:val="000000" w:themeColor="text1"/>
          <w:sz w:val="26"/>
          <w:szCs w:val="26"/>
          <w:highlight w:val="darkGray"/>
        </w:rPr>
        <w:t>Advantages</w:t>
      </w:r>
      <w:r w:rsidR="006538CA" w:rsidRPr="002B6632">
        <w:rPr>
          <w:rFonts w:ascii="Times New Roman" w:hAnsi="Times New Roman"/>
          <w:color w:val="000000" w:themeColor="text1"/>
          <w:sz w:val="26"/>
          <w:szCs w:val="26"/>
          <w:highlight w:val="darkGray"/>
        </w:rPr>
        <w:t>:</w:t>
      </w:r>
      <w:r w:rsidRPr="00304E6C">
        <w:rPr>
          <w:rFonts w:ascii="Times New Roman" w:hAnsi="Times New Roman"/>
          <w:color w:val="000000" w:themeColor="text1"/>
          <w:sz w:val="26"/>
          <w:szCs w:val="26"/>
          <w:highlight w:val="darkGray"/>
        </w:rPr>
        <w:t>Free for eligible clients</w:t>
      </w:r>
    </w:p>
    <w:p w14:paraId="4AF9092A" w14:textId="155933E9" w:rsidR="00D847E1" w:rsidRPr="00A4446A" w:rsidRDefault="007050D6" w:rsidP="00B94802">
      <w:pPr>
        <w:pStyle w:val="ListParagraph"/>
        <w:numPr>
          <w:ilvl w:val="0"/>
          <w:numId w:val="21"/>
        </w:numPr>
        <w:ind w:left="1440"/>
        <w:rPr>
          <w:rFonts w:ascii="Times New Roman" w:hAnsi="Times New Roman"/>
          <w:color w:val="000000" w:themeColor="text1"/>
          <w:sz w:val="26"/>
          <w:szCs w:val="26"/>
          <w:highlight w:val="darkGray"/>
        </w:rPr>
      </w:pPr>
      <w:r w:rsidRPr="00B65329">
        <w:rPr>
          <w:rFonts w:ascii="Times New Roman" w:hAnsi="Times New Roman"/>
          <w:color w:val="000000" w:themeColor="text1"/>
          <w:sz w:val="26"/>
          <w:szCs w:val="26"/>
          <w:highlight w:val="darkGray"/>
        </w:rPr>
        <w:t>Disadvantages</w:t>
      </w:r>
      <w:r w:rsidR="00A4446A">
        <w:rPr>
          <w:rFonts w:ascii="Times New Roman" w:hAnsi="Times New Roman"/>
          <w:color w:val="000000" w:themeColor="text1"/>
          <w:sz w:val="26"/>
          <w:szCs w:val="26"/>
        </w:rPr>
        <w:t xml:space="preserve">:         </w:t>
      </w:r>
      <w:r w:rsidRPr="00A4446A">
        <w:rPr>
          <w:rFonts w:ascii="Times New Roman" w:hAnsi="Times New Roman"/>
          <w:color w:val="000000" w:themeColor="text1"/>
          <w:sz w:val="26"/>
          <w:szCs w:val="26"/>
          <w:highlight w:val="darkGray"/>
        </w:rPr>
        <w:t>Strict eligibility criteria</w:t>
      </w:r>
    </w:p>
    <w:p w14:paraId="6029ACAD" w14:textId="300ECA38" w:rsidR="007050D6" w:rsidRDefault="007050D6" w:rsidP="00B94802">
      <w:pPr>
        <w:pStyle w:val="ListParagraph"/>
        <w:numPr>
          <w:ilvl w:val="0"/>
          <w:numId w:val="23"/>
        </w:numPr>
        <w:ind w:left="1440"/>
        <w:rPr>
          <w:rFonts w:ascii="Times New Roman" w:hAnsi="Times New Roman"/>
          <w:color w:val="000000" w:themeColor="text1"/>
          <w:sz w:val="26"/>
          <w:szCs w:val="26"/>
        </w:rPr>
      </w:pPr>
      <w:r w:rsidRPr="00EE2B2F">
        <w:rPr>
          <w:rFonts w:ascii="Times New Roman" w:hAnsi="Times New Roman"/>
          <w:color w:val="000000" w:themeColor="text1"/>
          <w:sz w:val="26"/>
          <w:szCs w:val="26"/>
        </w:rPr>
        <w:t>Example</w:t>
      </w:r>
      <w:r w:rsidR="00794A01" w:rsidRPr="00EE2B2F">
        <w:rPr>
          <w:rFonts w:ascii="Times New Roman" w:hAnsi="Times New Roman"/>
          <w:color w:val="000000" w:themeColor="text1"/>
          <w:sz w:val="26"/>
          <w:szCs w:val="26"/>
        </w:rPr>
        <w:t xml:space="preserve"> </w:t>
      </w:r>
      <w:r w:rsidRPr="00EE2B2F">
        <w:rPr>
          <w:rFonts w:ascii="Times New Roman" w:hAnsi="Times New Roman"/>
          <w:color w:val="000000" w:themeColor="text1"/>
          <w:sz w:val="26"/>
          <w:szCs w:val="26"/>
        </w:rPr>
        <w:t>Public Law/Children Law/Care Law Advice</w:t>
      </w:r>
    </w:p>
    <w:p w14:paraId="1A1A35B2" w14:textId="4682F423" w:rsidR="00CA7794" w:rsidRPr="00EE2B2F" w:rsidRDefault="00CA7794" w:rsidP="00B94802">
      <w:pPr>
        <w:pStyle w:val="ListParagraph"/>
        <w:ind w:left="1440"/>
        <w:rPr>
          <w:rFonts w:ascii="Times New Roman" w:hAnsi="Times New Roman"/>
          <w:color w:val="000000" w:themeColor="text1"/>
          <w:sz w:val="26"/>
          <w:szCs w:val="26"/>
        </w:rPr>
      </w:pPr>
    </w:p>
    <w:p w14:paraId="39D25784" w14:textId="1D07615E" w:rsidR="007050D6" w:rsidRPr="00917232" w:rsidRDefault="007050D6" w:rsidP="00B94802">
      <w:pPr>
        <w:pStyle w:val="ListParagraph"/>
        <w:numPr>
          <w:ilvl w:val="0"/>
          <w:numId w:val="28"/>
        </w:numPr>
        <w:ind w:left="3240"/>
        <w:rPr>
          <w:rFonts w:ascii="Times New Roman" w:hAnsi="Times New Roman"/>
          <w:b/>
          <w:bCs/>
          <w:color w:val="000000" w:themeColor="text1"/>
          <w:sz w:val="26"/>
          <w:szCs w:val="26"/>
        </w:rPr>
      </w:pPr>
      <w:r w:rsidRPr="00917232">
        <w:rPr>
          <w:rFonts w:ascii="Times New Roman" w:hAnsi="Times New Roman"/>
          <w:b/>
          <w:bCs/>
          <w:color w:val="000000" w:themeColor="text1"/>
          <w:sz w:val="32"/>
          <w:szCs w:val="32"/>
          <w:highlight w:val="darkCyan"/>
          <w:u w:val="single"/>
        </w:rPr>
        <w:t>Third-Party Funding</w:t>
      </w:r>
      <w:r w:rsidRPr="00917232">
        <w:rPr>
          <w:rFonts w:ascii="Times New Roman" w:hAnsi="Times New Roman"/>
          <w:b/>
          <w:bCs/>
          <w:color w:val="000000" w:themeColor="text1"/>
          <w:sz w:val="26"/>
          <w:szCs w:val="26"/>
        </w:rPr>
        <w:t>:</w:t>
      </w:r>
    </w:p>
    <w:p w14:paraId="769A9053" w14:textId="564AB5EC" w:rsidR="00794A01" w:rsidRPr="00ED7FEB" w:rsidRDefault="007050D6" w:rsidP="00B94802">
      <w:pPr>
        <w:pStyle w:val="ListParagraph"/>
        <w:numPr>
          <w:ilvl w:val="2"/>
          <w:numId w:val="23"/>
        </w:numPr>
        <w:ind w:left="1440"/>
        <w:rPr>
          <w:rFonts w:ascii="Times New Roman" w:hAnsi="Times New Roman"/>
          <w:color w:val="000000" w:themeColor="text1"/>
          <w:sz w:val="26"/>
          <w:szCs w:val="26"/>
          <w:highlight w:val="darkGray"/>
        </w:rPr>
      </w:pPr>
      <w:r w:rsidRPr="00ED7FEB">
        <w:rPr>
          <w:rFonts w:ascii="Times New Roman" w:hAnsi="Times New Roman"/>
          <w:color w:val="000000" w:themeColor="text1"/>
          <w:sz w:val="26"/>
          <w:szCs w:val="26"/>
          <w:highlight w:val="darkGray"/>
        </w:rPr>
        <w:t>Advantage</w:t>
      </w:r>
      <w:r w:rsidR="006538CA" w:rsidRPr="00ED7FEB">
        <w:rPr>
          <w:rFonts w:ascii="Times New Roman" w:hAnsi="Times New Roman"/>
          <w:color w:val="000000" w:themeColor="text1"/>
          <w:sz w:val="26"/>
          <w:szCs w:val="26"/>
          <w:highlight w:val="darkGray"/>
        </w:rPr>
        <w:t xml:space="preserve">s: </w:t>
      </w:r>
      <w:r w:rsidRPr="00ED7FEB">
        <w:rPr>
          <w:rFonts w:ascii="Times New Roman" w:hAnsi="Times New Roman"/>
          <w:color w:val="000000" w:themeColor="text1"/>
          <w:sz w:val="26"/>
          <w:szCs w:val="26"/>
          <w:highlight w:val="darkGray"/>
        </w:rPr>
        <w:t>Allows clients to pursue their case without paying for legal services upfront Disadvantages</w:t>
      </w:r>
      <w:r w:rsidR="006538CA" w:rsidRPr="00ED7FEB">
        <w:rPr>
          <w:rFonts w:ascii="Times New Roman" w:hAnsi="Times New Roman"/>
          <w:color w:val="000000" w:themeColor="text1"/>
          <w:sz w:val="26"/>
          <w:szCs w:val="26"/>
          <w:highlight w:val="darkGray"/>
        </w:rPr>
        <w:t>:</w:t>
      </w:r>
      <w:r w:rsidRPr="00ED7FEB">
        <w:rPr>
          <w:rFonts w:ascii="Times New Roman" w:hAnsi="Times New Roman"/>
          <w:color w:val="000000" w:themeColor="text1"/>
          <w:sz w:val="26"/>
          <w:szCs w:val="26"/>
          <w:highlight w:val="darkGray"/>
        </w:rPr>
        <w:t>Third-party funder takes a share of the damages awarded</w:t>
      </w:r>
    </w:p>
    <w:p w14:paraId="31E7DAAB" w14:textId="4824F1EC" w:rsidR="007050D6" w:rsidRPr="00ED7FEB" w:rsidRDefault="007050D6" w:rsidP="00B94802">
      <w:pPr>
        <w:pStyle w:val="ListParagraph"/>
        <w:numPr>
          <w:ilvl w:val="0"/>
          <w:numId w:val="21"/>
        </w:numPr>
        <w:ind w:left="1440"/>
        <w:rPr>
          <w:rFonts w:ascii="Times New Roman" w:hAnsi="Times New Roman"/>
          <w:color w:val="000000" w:themeColor="text1"/>
          <w:sz w:val="26"/>
          <w:szCs w:val="26"/>
          <w:highlight w:val="darkGray"/>
        </w:rPr>
      </w:pPr>
      <w:r w:rsidRPr="00ED7FEB">
        <w:rPr>
          <w:rFonts w:ascii="Times New Roman" w:hAnsi="Times New Roman"/>
          <w:color w:val="000000" w:themeColor="text1"/>
          <w:sz w:val="26"/>
          <w:szCs w:val="26"/>
          <w:highlight w:val="darkGray"/>
        </w:rPr>
        <w:t>Example</w:t>
      </w:r>
      <w:r w:rsidR="000F7DE7" w:rsidRPr="00ED7FEB">
        <w:rPr>
          <w:rFonts w:ascii="Times New Roman" w:hAnsi="Times New Roman"/>
          <w:color w:val="000000" w:themeColor="text1"/>
          <w:sz w:val="26"/>
          <w:szCs w:val="26"/>
          <w:highlight w:val="darkGray"/>
        </w:rPr>
        <w:t xml:space="preserve"> </w:t>
      </w:r>
      <w:r w:rsidR="00D746B0" w:rsidRPr="00ED7FEB">
        <w:rPr>
          <w:rFonts w:ascii="Times New Roman" w:hAnsi="Times New Roman"/>
          <w:color w:val="000000" w:themeColor="text1"/>
          <w:sz w:val="26"/>
          <w:szCs w:val="26"/>
          <w:highlight w:val="darkGray"/>
        </w:rPr>
        <w:t xml:space="preserve">Commercial </w:t>
      </w:r>
      <w:r w:rsidRPr="00ED7FEB">
        <w:rPr>
          <w:rFonts w:ascii="Times New Roman" w:hAnsi="Times New Roman"/>
          <w:color w:val="000000" w:themeColor="text1"/>
          <w:sz w:val="26"/>
          <w:szCs w:val="26"/>
          <w:highlight w:val="darkGray"/>
        </w:rPr>
        <w:t>Litigation</w:t>
      </w:r>
    </w:p>
    <w:p w14:paraId="061A432B" w14:textId="3C28B69B" w:rsidR="00363FC8" w:rsidRDefault="007050D6" w:rsidP="00B94802">
      <w:pPr>
        <w:ind w:left="720"/>
        <w:rPr>
          <w:rFonts w:ascii="Times New Roman" w:hAnsi="Times New Roman"/>
          <w:color w:val="000000" w:themeColor="text1"/>
          <w:sz w:val="26"/>
          <w:szCs w:val="26"/>
        </w:rPr>
      </w:pPr>
      <w:r w:rsidRPr="00ED7FEB">
        <w:rPr>
          <w:rFonts w:ascii="Times New Roman" w:hAnsi="Times New Roman"/>
          <w:color w:val="000000" w:themeColor="text1"/>
          <w:sz w:val="26"/>
          <w:szCs w:val="26"/>
          <w:highlight w:val="darkGray"/>
        </w:rPr>
        <w:t>At our firm, we understand the importance of funding your case and offer a range of funding options to cater to different needs. It is crucial to understand the different funding options and choose the one that is most suitable for your financial situation. We work with our clients to identify the most appropriate funding option for their case. Contact us today to discuss your funding options</w:t>
      </w:r>
      <w:r w:rsidR="00755C50">
        <w:rPr>
          <w:rFonts w:ascii="Times New Roman" w:hAnsi="Times New Roman"/>
          <w:color w:val="000000" w:themeColor="text1"/>
          <w:sz w:val="26"/>
          <w:szCs w:val="26"/>
        </w:rPr>
        <w:t>.</w:t>
      </w:r>
    </w:p>
    <w:p w14:paraId="17C57F6C" w14:textId="00F23260" w:rsidR="00465D50" w:rsidRDefault="0073171C" w:rsidP="0094661F">
      <w:pPr>
        <w:ind w:left="1440"/>
        <w:rPr>
          <w:rFonts w:ascii="Arial" w:hAnsi="Arial" w:cs="Arial"/>
          <w:b/>
          <w:bCs/>
          <w:color w:val="000000" w:themeColor="text1"/>
          <w:sz w:val="24"/>
          <w:szCs w:val="24"/>
        </w:rPr>
      </w:pPr>
      <w:r w:rsidRPr="00ED7FEB">
        <w:rPr>
          <w:rFonts w:ascii="Arial" w:hAnsi="Arial" w:cs="Arial"/>
          <w:b/>
          <w:bCs/>
          <w:noProof/>
          <w:color w:val="000000" w:themeColor="text1"/>
          <w:sz w:val="40"/>
          <w:szCs w:val="40"/>
          <w:highlight w:val="darkGray"/>
        </w:rPr>
        <w:drawing>
          <wp:anchor distT="0" distB="0" distL="114300" distR="114300" simplePos="0" relativeHeight="251661312" behindDoc="1" locked="0" layoutInCell="1" allowOverlap="1" wp14:anchorId="78EA417B" wp14:editId="4BD0FD71">
            <wp:simplePos x="0" y="0"/>
            <wp:positionH relativeFrom="column">
              <wp:posOffset>-926123</wp:posOffset>
            </wp:positionH>
            <wp:positionV relativeFrom="paragraph">
              <wp:posOffset>258445</wp:posOffset>
            </wp:positionV>
            <wp:extent cx="8016875" cy="2174240"/>
            <wp:effectExtent l="0" t="0" r="0" b="0"/>
            <wp:wrapNone/>
            <wp:docPr id="5" name="Picture 5" descr="People discussing work at law fi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eople discussing work at law firm"/>
                    <pic:cNvPicPr/>
                  </pic:nvPicPr>
                  <pic:blipFill>
                    <a:blip r:embed="rId8" cstate="print">
                      <a:extLst>
                        <a:ext uri="{28A0092B-C50C-407E-A947-70E740481C1C}">
                          <a14:useLocalDpi xmlns:a14="http://schemas.microsoft.com/office/drawing/2010/main" val="0"/>
                        </a:ext>
                      </a:extLst>
                    </a:blip>
                    <a:stretch>
                      <a:fillRect/>
                    </a:stretch>
                  </pic:blipFill>
                  <pic:spPr>
                    <a:xfrm>
                      <a:off x="0" y="0"/>
                      <a:ext cx="8016875" cy="2174240"/>
                    </a:xfrm>
                    <a:prstGeom prst="rect">
                      <a:avLst/>
                    </a:prstGeom>
                  </pic:spPr>
                </pic:pic>
              </a:graphicData>
            </a:graphic>
            <wp14:sizeRelH relativeFrom="margin">
              <wp14:pctWidth>0</wp14:pctWidth>
            </wp14:sizeRelH>
            <wp14:sizeRelV relativeFrom="margin">
              <wp14:pctHeight>0</wp14:pctHeight>
            </wp14:sizeRelV>
          </wp:anchor>
        </w:drawing>
      </w:r>
    </w:p>
    <w:p w14:paraId="7964A482" w14:textId="094688DF" w:rsidR="00465D50" w:rsidRDefault="00465D50" w:rsidP="0094661F">
      <w:pPr>
        <w:ind w:left="1440"/>
        <w:rPr>
          <w:rFonts w:ascii="Arial" w:hAnsi="Arial" w:cs="Arial"/>
          <w:b/>
          <w:bCs/>
          <w:color w:val="000000" w:themeColor="text1"/>
          <w:sz w:val="24"/>
          <w:szCs w:val="24"/>
        </w:rPr>
      </w:pPr>
    </w:p>
    <w:p w14:paraId="42CA3F39" w14:textId="23145CC8" w:rsidR="00465D50" w:rsidRDefault="00465D50" w:rsidP="0094661F">
      <w:pPr>
        <w:ind w:left="1440"/>
        <w:rPr>
          <w:rFonts w:ascii="Arial" w:hAnsi="Arial" w:cs="Arial"/>
          <w:b/>
          <w:bCs/>
          <w:color w:val="000000" w:themeColor="text1"/>
          <w:sz w:val="24"/>
          <w:szCs w:val="24"/>
        </w:rPr>
      </w:pPr>
    </w:p>
    <w:p w14:paraId="5F5B8B0F" w14:textId="77777777" w:rsidR="00465D50" w:rsidRDefault="00465D50" w:rsidP="0094661F">
      <w:pPr>
        <w:ind w:left="1440"/>
        <w:rPr>
          <w:rFonts w:ascii="Arial" w:hAnsi="Arial" w:cs="Arial"/>
          <w:b/>
          <w:bCs/>
          <w:color w:val="000000" w:themeColor="text1"/>
          <w:sz w:val="24"/>
          <w:szCs w:val="24"/>
        </w:rPr>
      </w:pPr>
    </w:p>
    <w:p w14:paraId="57FCB2B7" w14:textId="77777777" w:rsidR="00465D50" w:rsidRDefault="00465D50" w:rsidP="0094661F">
      <w:pPr>
        <w:ind w:left="1440"/>
        <w:rPr>
          <w:rFonts w:ascii="Arial" w:hAnsi="Arial" w:cs="Arial"/>
          <w:b/>
          <w:bCs/>
          <w:color w:val="000000" w:themeColor="text1"/>
          <w:sz w:val="24"/>
          <w:szCs w:val="24"/>
        </w:rPr>
      </w:pPr>
    </w:p>
    <w:p w14:paraId="68C78ABD" w14:textId="77777777" w:rsidR="00465D50" w:rsidRDefault="00465D50">
      <w:pPr>
        <w:rPr>
          <w:rFonts w:ascii="Arial" w:hAnsi="Arial" w:cs="Arial"/>
          <w:b/>
          <w:bCs/>
          <w:color w:val="000000" w:themeColor="text1"/>
          <w:sz w:val="24"/>
          <w:szCs w:val="24"/>
        </w:rPr>
      </w:pPr>
    </w:p>
    <w:p w14:paraId="25D34081" w14:textId="77777777" w:rsidR="00465D50" w:rsidRDefault="00465D50">
      <w:pPr>
        <w:rPr>
          <w:rFonts w:ascii="Arial" w:hAnsi="Arial" w:cs="Arial"/>
          <w:b/>
          <w:bCs/>
          <w:color w:val="000000" w:themeColor="text1"/>
          <w:sz w:val="24"/>
          <w:szCs w:val="24"/>
        </w:rPr>
      </w:pPr>
    </w:p>
    <w:p w14:paraId="2262C840" w14:textId="77777777" w:rsidR="00465D50" w:rsidRDefault="00465D50">
      <w:pPr>
        <w:rPr>
          <w:rFonts w:ascii="Arial" w:hAnsi="Arial" w:cs="Arial"/>
          <w:b/>
          <w:bCs/>
          <w:color w:val="000000" w:themeColor="text1"/>
          <w:sz w:val="24"/>
          <w:szCs w:val="24"/>
        </w:rPr>
      </w:pPr>
    </w:p>
    <w:p w14:paraId="246E1C8A" w14:textId="345E5800" w:rsidR="006326E5" w:rsidRPr="00176681" w:rsidRDefault="00DB389A">
      <w:pPr>
        <w:rPr>
          <w:rFonts w:ascii="Times New Roman" w:hAnsi="Times New Roman"/>
          <w:color w:val="000000" w:themeColor="text1"/>
          <w:sz w:val="26"/>
          <w:szCs w:val="26"/>
        </w:rPr>
      </w:pPr>
      <w:r w:rsidRPr="009C5B33">
        <w:rPr>
          <w:rFonts w:ascii="Arial" w:hAnsi="Arial" w:cs="Arial"/>
          <w:b/>
          <w:bCs/>
          <w:color w:val="000000" w:themeColor="text1"/>
          <w:sz w:val="24"/>
          <w:szCs w:val="24"/>
        </w:rPr>
        <w:t>References:</w:t>
      </w:r>
    </w:p>
    <w:p w14:paraId="2F49922E"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After-the-Event (ATE) Insurance: Legal Futures. (2019). What is After-the-Event (ATE) Insurance? Retrieved from https://www.legalfutures.co.uk/associate-feature/what-is-after-the-event-ate-insurance</w:t>
      </w:r>
    </w:p>
    <w:p w14:paraId="3479C375" w14:textId="388F8AEF"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 xml:space="preserve">BBC News. (2020). Danske Bank money laundering scandal explained. Retrieved from </w:t>
      </w:r>
      <w:hyperlink r:id="rId9" w:history="1">
        <w:r w:rsidRPr="009C5B33">
          <w:rPr>
            <w:rStyle w:val="Hyperlink"/>
            <w:rFonts w:ascii="Arial" w:hAnsi="Arial" w:cs="Arial"/>
            <w:color w:val="000000" w:themeColor="text1"/>
            <w:sz w:val="24"/>
            <w:szCs w:val="24"/>
          </w:rPr>
          <w:t>https://www.bbc.com/news/business-45789004</w:t>
        </w:r>
      </w:hyperlink>
      <w:r w:rsidR="00363FC8">
        <w:rPr>
          <w:rStyle w:val="Hyperlink"/>
          <w:rFonts w:ascii="Arial" w:hAnsi="Arial" w:cs="Arial"/>
          <w:color w:val="000000" w:themeColor="text1"/>
          <w:sz w:val="24"/>
          <w:szCs w:val="24"/>
        </w:rPr>
        <w:t xml:space="preserve"> </w:t>
      </w:r>
    </w:p>
    <w:p w14:paraId="3E4C23B0" w14:textId="75D1C325"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 xml:space="preserve">Conditional Fee Agreement (CFA): The Law Society. (2021). Funding Litigation. Retrieved from </w:t>
      </w:r>
      <w:hyperlink r:id="rId10" w:history="1">
        <w:r w:rsidRPr="009C5B33">
          <w:rPr>
            <w:rStyle w:val="Hyperlink"/>
            <w:rFonts w:ascii="Arial" w:hAnsi="Arial" w:cs="Arial"/>
            <w:color w:val="000000" w:themeColor="text1"/>
            <w:sz w:val="24"/>
            <w:szCs w:val="24"/>
          </w:rPr>
          <w:t>https://www.lawsociety.org.uk/topics/funding-litigation</w:t>
        </w:r>
      </w:hyperlink>
      <w:r w:rsidR="00363FC8">
        <w:rPr>
          <w:rStyle w:val="Hyperlink"/>
          <w:rFonts w:ascii="Arial" w:hAnsi="Arial" w:cs="Arial"/>
          <w:color w:val="000000" w:themeColor="text1"/>
          <w:sz w:val="24"/>
          <w:szCs w:val="24"/>
        </w:rPr>
        <w:t xml:space="preserve"> </w:t>
      </w:r>
    </w:p>
    <w:p w14:paraId="0A01FC05"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 xml:space="preserve">Financial Services and Markets Act 2000: This is an Act of Parliament in the United Kingdom that regulates financial services and markets. It can be found at </w:t>
      </w:r>
      <w:hyperlink r:id="rId11" w:history="1">
        <w:r w:rsidRPr="009C5B33">
          <w:rPr>
            <w:rStyle w:val="Hyperlink"/>
            <w:rFonts w:ascii="Arial" w:hAnsi="Arial" w:cs="Arial"/>
            <w:color w:val="000000" w:themeColor="text1"/>
            <w:sz w:val="24"/>
            <w:szCs w:val="24"/>
          </w:rPr>
          <w:t>https://www.legislation.gov.uk/ukpga/2000/8/contents</w:t>
        </w:r>
      </w:hyperlink>
      <w:r w:rsidRPr="009C5B33">
        <w:rPr>
          <w:rFonts w:ascii="Arial" w:hAnsi="Arial" w:cs="Arial"/>
          <w:color w:val="000000" w:themeColor="text1"/>
          <w:sz w:val="24"/>
          <w:szCs w:val="24"/>
        </w:rPr>
        <w:t>.</w:t>
      </w:r>
    </w:p>
    <w:p w14:paraId="092E0092"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 xml:space="preserve">HM Government. (2017). The Money Laundering, Terrorist Financing and Transfer of Funds (Information on the Payer) Regulations 2017. Retrieved from </w:t>
      </w:r>
      <w:hyperlink r:id="rId12" w:history="1">
        <w:r w:rsidRPr="009C5B33">
          <w:rPr>
            <w:rStyle w:val="Hyperlink"/>
            <w:rFonts w:ascii="Arial" w:hAnsi="Arial" w:cs="Arial"/>
            <w:color w:val="000000" w:themeColor="text1"/>
            <w:sz w:val="24"/>
            <w:szCs w:val="24"/>
          </w:rPr>
          <w:t>https://www.legislation.gov.uk/uksi/2017/692/contents/made</w:t>
        </w:r>
      </w:hyperlink>
    </w:p>
    <w:p w14:paraId="44D88FB8"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Legal Aid: Gov.uk. (2021). Check if You Can Get Legal Aid. Retrieved from https://www.gov.uk/check-legal-aid</w:t>
      </w:r>
    </w:p>
    <w:p w14:paraId="430E65E7"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 xml:space="preserve">The current version is the Money Laundering, Terrorist Financing and Transfer of Funds (Information on the Payer) Regulations 2017, which can be found at </w:t>
      </w:r>
      <w:hyperlink r:id="rId13" w:history="1">
        <w:r w:rsidRPr="009C5B33">
          <w:rPr>
            <w:rStyle w:val="Hyperlink"/>
            <w:rFonts w:ascii="Arial" w:hAnsi="Arial" w:cs="Arial"/>
            <w:color w:val="000000" w:themeColor="text1"/>
            <w:sz w:val="24"/>
            <w:szCs w:val="24"/>
          </w:rPr>
          <w:t>https://www.legislation.gov.uk/uksi/2017/692/contents/made</w:t>
        </w:r>
      </w:hyperlink>
      <w:r w:rsidRPr="009C5B33">
        <w:rPr>
          <w:rFonts w:ascii="Arial" w:hAnsi="Arial" w:cs="Arial"/>
          <w:color w:val="000000" w:themeColor="text1"/>
          <w:sz w:val="24"/>
          <w:szCs w:val="24"/>
        </w:rPr>
        <w:t>.</w:t>
      </w:r>
    </w:p>
    <w:p w14:paraId="1A682384"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Private funding: Law Society of Scotland. (2019). Funding Your Case. Retrieved from https://www.lawscot.org.uk/find-a-solicitor/practical-information/funding-your-case/</w:t>
      </w:r>
    </w:p>
    <w:p w14:paraId="28273534" w14:textId="77777777" w:rsidR="006326E5" w:rsidRPr="009C5B33" w:rsidRDefault="00DB389A">
      <w:pPr>
        <w:rPr>
          <w:rFonts w:ascii="Arial" w:hAnsi="Arial" w:cs="Arial"/>
          <w:color w:val="000000" w:themeColor="text1"/>
          <w:sz w:val="24"/>
          <w:szCs w:val="24"/>
        </w:rPr>
      </w:pPr>
      <w:r w:rsidRPr="009C5B33">
        <w:rPr>
          <w:rFonts w:ascii="Arial" w:hAnsi="Arial" w:cs="Arial"/>
          <w:color w:val="000000" w:themeColor="text1"/>
          <w:sz w:val="24"/>
          <w:szCs w:val="24"/>
        </w:rPr>
        <w:t xml:space="preserve">Solicitors Regulation Authority Code of Conduct: This is a code of conduct that sets out the ethical principles and professional standards that solicitors in England and Wales must follow. It can be found at </w:t>
      </w:r>
      <w:hyperlink r:id="rId14" w:history="1">
        <w:r w:rsidRPr="009C5B33">
          <w:rPr>
            <w:rStyle w:val="Hyperlink"/>
            <w:rFonts w:ascii="Arial" w:hAnsi="Arial" w:cs="Arial"/>
            <w:color w:val="000000" w:themeColor="text1"/>
            <w:sz w:val="24"/>
            <w:szCs w:val="24"/>
          </w:rPr>
          <w:t>https://www.sra.org.uk/solicitors/standards-regulations/code-conduct-solicitors/</w:t>
        </w:r>
      </w:hyperlink>
    </w:p>
    <w:sectPr w:rsidR="006326E5" w:rsidRPr="009C5B33" w:rsidSect="00546ADA">
      <w:pgSz w:w="11906" w:h="16838"/>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12294" w14:textId="77777777" w:rsidR="009576A0" w:rsidRDefault="009576A0">
      <w:pPr>
        <w:spacing w:after="0" w:line="240" w:lineRule="auto"/>
      </w:pPr>
      <w:r>
        <w:separator/>
      </w:r>
    </w:p>
  </w:endnote>
  <w:endnote w:type="continuationSeparator" w:id="0">
    <w:p w14:paraId="41A5E051" w14:textId="77777777" w:rsidR="009576A0" w:rsidRDefault="00957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adassah Friedlaender">
    <w:panose1 w:val="02020603050405020304"/>
    <w:charset w:val="B1"/>
    <w:family w:val="roman"/>
    <w:pitch w:val="variable"/>
    <w:sig w:usb0="00000803" w:usb1="00000000" w:usb2="00000000" w:usb3="00000000" w:csb0="0000002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C2538" w14:textId="77777777" w:rsidR="009576A0" w:rsidRDefault="009576A0">
      <w:pPr>
        <w:spacing w:after="0" w:line="240" w:lineRule="auto"/>
      </w:pPr>
      <w:r>
        <w:rPr>
          <w:color w:val="000000"/>
        </w:rPr>
        <w:separator/>
      </w:r>
    </w:p>
  </w:footnote>
  <w:footnote w:type="continuationSeparator" w:id="0">
    <w:p w14:paraId="6E876DAD" w14:textId="77777777" w:rsidR="009576A0" w:rsidRDefault="009576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E34C5"/>
    <w:multiLevelType w:val="hybridMultilevel"/>
    <w:tmpl w:val="57EA39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4429B"/>
    <w:multiLevelType w:val="hybridMultilevel"/>
    <w:tmpl w:val="4A3C3C40"/>
    <w:lvl w:ilvl="0" w:tplc="FFFFFFFF">
      <w:start w:val="4"/>
      <w:numFmt w:val="decimal"/>
      <w:lvlText w:val="%1."/>
      <w:lvlJc w:val="left"/>
      <w:pPr>
        <w:ind w:left="3960" w:hanging="360"/>
      </w:pPr>
      <w:rPr>
        <w:rFonts w:hint="default"/>
        <w:sz w:val="32"/>
        <w:u w:val="single"/>
      </w:r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2" w15:restartNumberingAfterBreak="0">
    <w:nsid w:val="05565F1B"/>
    <w:multiLevelType w:val="hybridMultilevel"/>
    <w:tmpl w:val="7FEAC404"/>
    <w:lvl w:ilvl="0" w:tplc="FFFFFFFF">
      <w:start w:val="3"/>
      <w:numFmt w:val="decimal"/>
      <w:lvlText w:val="%1."/>
      <w:lvlJc w:val="left"/>
      <w:pPr>
        <w:ind w:left="4320" w:hanging="360"/>
      </w:pPr>
      <w:rPr>
        <w:rFonts w:hint="default"/>
      </w:r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3" w15:restartNumberingAfterBreak="0">
    <w:nsid w:val="0A3D6F01"/>
    <w:multiLevelType w:val="hybridMultilevel"/>
    <w:tmpl w:val="D1461A22"/>
    <w:lvl w:ilvl="0" w:tplc="FFFFFFFF">
      <w:start w:val="4"/>
      <w:numFmt w:val="decimal"/>
      <w:lvlText w:val="%1."/>
      <w:lvlJc w:val="left"/>
      <w:pPr>
        <w:ind w:left="5040" w:hanging="360"/>
      </w:pPr>
      <w:rPr>
        <w:rFonts w:hint="default"/>
        <w:sz w:val="32"/>
        <w:u w:val="single"/>
      </w:rPr>
    </w:lvl>
    <w:lvl w:ilvl="1" w:tplc="08090019" w:tentative="1">
      <w:start w:val="1"/>
      <w:numFmt w:val="lowerLetter"/>
      <w:lvlText w:val="%2."/>
      <w:lvlJc w:val="left"/>
      <w:pPr>
        <w:ind w:left="5760" w:hanging="360"/>
      </w:pPr>
    </w:lvl>
    <w:lvl w:ilvl="2" w:tplc="0809001B" w:tentative="1">
      <w:start w:val="1"/>
      <w:numFmt w:val="lowerRoman"/>
      <w:lvlText w:val="%3."/>
      <w:lvlJc w:val="right"/>
      <w:pPr>
        <w:ind w:left="6480" w:hanging="180"/>
      </w:pPr>
    </w:lvl>
    <w:lvl w:ilvl="3" w:tplc="0809000F" w:tentative="1">
      <w:start w:val="1"/>
      <w:numFmt w:val="decimal"/>
      <w:lvlText w:val="%4."/>
      <w:lvlJc w:val="left"/>
      <w:pPr>
        <w:ind w:left="7200" w:hanging="360"/>
      </w:pPr>
    </w:lvl>
    <w:lvl w:ilvl="4" w:tplc="08090019" w:tentative="1">
      <w:start w:val="1"/>
      <w:numFmt w:val="lowerLetter"/>
      <w:lvlText w:val="%5."/>
      <w:lvlJc w:val="left"/>
      <w:pPr>
        <w:ind w:left="7920" w:hanging="360"/>
      </w:pPr>
    </w:lvl>
    <w:lvl w:ilvl="5" w:tplc="0809001B" w:tentative="1">
      <w:start w:val="1"/>
      <w:numFmt w:val="lowerRoman"/>
      <w:lvlText w:val="%6."/>
      <w:lvlJc w:val="right"/>
      <w:pPr>
        <w:ind w:left="8640" w:hanging="180"/>
      </w:pPr>
    </w:lvl>
    <w:lvl w:ilvl="6" w:tplc="0809000F" w:tentative="1">
      <w:start w:val="1"/>
      <w:numFmt w:val="decimal"/>
      <w:lvlText w:val="%7."/>
      <w:lvlJc w:val="left"/>
      <w:pPr>
        <w:ind w:left="9360" w:hanging="360"/>
      </w:pPr>
    </w:lvl>
    <w:lvl w:ilvl="7" w:tplc="08090019" w:tentative="1">
      <w:start w:val="1"/>
      <w:numFmt w:val="lowerLetter"/>
      <w:lvlText w:val="%8."/>
      <w:lvlJc w:val="left"/>
      <w:pPr>
        <w:ind w:left="10080" w:hanging="360"/>
      </w:pPr>
    </w:lvl>
    <w:lvl w:ilvl="8" w:tplc="0809001B" w:tentative="1">
      <w:start w:val="1"/>
      <w:numFmt w:val="lowerRoman"/>
      <w:lvlText w:val="%9."/>
      <w:lvlJc w:val="right"/>
      <w:pPr>
        <w:ind w:left="10800" w:hanging="180"/>
      </w:pPr>
    </w:lvl>
  </w:abstractNum>
  <w:abstractNum w:abstractNumId="4" w15:restartNumberingAfterBreak="0">
    <w:nsid w:val="0D2A3528"/>
    <w:multiLevelType w:val="multilevel"/>
    <w:tmpl w:val="0A9C480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5" w15:restartNumberingAfterBreak="0">
    <w:nsid w:val="134330D1"/>
    <w:multiLevelType w:val="multilevel"/>
    <w:tmpl w:val="E96C9B3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6" w15:restartNumberingAfterBreak="0">
    <w:nsid w:val="1AE335B1"/>
    <w:multiLevelType w:val="multilevel"/>
    <w:tmpl w:val="167CEC1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7" w15:restartNumberingAfterBreak="0">
    <w:nsid w:val="286C04B9"/>
    <w:multiLevelType w:val="multilevel"/>
    <w:tmpl w:val="AA88CABC"/>
    <w:lvl w:ilvl="0">
      <w:start w:val="4"/>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8" w15:restartNumberingAfterBreak="0">
    <w:nsid w:val="2B7C5CBF"/>
    <w:multiLevelType w:val="multilevel"/>
    <w:tmpl w:val="915258A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9" w15:restartNumberingAfterBreak="0">
    <w:nsid w:val="2B842212"/>
    <w:multiLevelType w:val="hybridMultilevel"/>
    <w:tmpl w:val="39062B02"/>
    <w:lvl w:ilvl="0" w:tplc="FFFFFFFF">
      <w:start w:val="4"/>
      <w:numFmt w:val="decimal"/>
      <w:lvlText w:val="%1"/>
      <w:lvlJc w:val="left"/>
      <w:pPr>
        <w:ind w:left="3960" w:hanging="360"/>
      </w:pPr>
      <w:rPr>
        <w:rFonts w:hint="default"/>
        <w:b/>
      </w:r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0" w15:restartNumberingAfterBreak="0">
    <w:nsid w:val="33685089"/>
    <w:multiLevelType w:val="hybridMultilevel"/>
    <w:tmpl w:val="7A3245C6"/>
    <w:lvl w:ilvl="0" w:tplc="FFFFFFFF">
      <w:start w:val="3"/>
      <w:numFmt w:val="decimal"/>
      <w:lvlText w:val="%1."/>
      <w:lvlJc w:val="left"/>
      <w:pPr>
        <w:ind w:left="4680" w:hanging="360"/>
      </w:pPr>
      <w:rPr>
        <w:rFonts w:hint="default"/>
      </w:rPr>
    </w:lvl>
    <w:lvl w:ilvl="1" w:tplc="08090019" w:tentative="1">
      <w:start w:val="1"/>
      <w:numFmt w:val="lowerLetter"/>
      <w:lvlText w:val="%2."/>
      <w:lvlJc w:val="left"/>
      <w:pPr>
        <w:ind w:left="5400" w:hanging="360"/>
      </w:pPr>
    </w:lvl>
    <w:lvl w:ilvl="2" w:tplc="0809001B" w:tentative="1">
      <w:start w:val="1"/>
      <w:numFmt w:val="lowerRoman"/>
      <w:lvlText w:val="%3."/>
      <w:lvlJc w:val="right"/>
      <w:pPr>
        <w:ind w:left="6120" w:hanging="180"/>
      </w:pPr>
    </w:lvl>
    <w:lvl w:ilvl="3" w:tplc="0809000F" w:tentative="1">
      <w:start w:val="1"/>
      <w:numFmt w:val="decimal"/>
      <w:lvlText w:val="%4."/>
      <w:lvlJc w:val="left"/>
      <w:pPr>
        <w:ind w:left="6840" w:hanging="360"/>
      </w:pPr>
    </w:lvl>
    <w:lvl w:ilvl="4" w:tplc="08090019" w:tentative="1">
      <w:start w:val="1"/>
      <w:numFmt w:val="lowerLetter"/>
      <w:lvlText w:val="%5."/>
      <w:lvlJc w:val="left"/>
      <w:pPr>
        <w:ind w:left="7560" w:hanging="360"/>
      </w:pPr>
    </w:lvl>
    <w:lvl w:ilvl="5" w:tplc="0809001B" w:tentative="1">
      <w:start w:val="1"/>
      <w:numFmt w:val="lowerRoman"/>
      <w:lvlText w:val="%6."/>
      <w:lvlJc w:val="right"/>
      <w:pPr>
        <w:ind w:left="8280" w:hanging="180"/>
      </w:pPr>
    </w:lvl>
    <w:lvl w:ilvl="6" w:tplc="0809000F" w:tentative="1">
      <w:start w:val="1"/>
      <w:numFmt w:val="decimal"/>
      <w:lvlText w:val="%7."/>
      <w:lvlJc w:val="left"/>
      <w:pPr>
        <w:ind w:left="9000" w:hanging="360"/>
      </w:pPr>
    </w:lvl>
    <w:lvl w:ilvl="7" w:tplc="08090019" w:tentative="1">
      <w:start w:val="1"/>
      <w:numFmt w:val="lowerLetter"/>
      <w:lvlText w:val="%8."/>
      <w:lvlJc w:val="left"/>
      <w:pPr>
        <w:ind w:left="9720" w:hanging="360"/>
      </w:pPr>
    </w:lvl>
    <w:lvl w:ilvl="8" w:tplc="0809001B" w:tentative="1">
      <w:start w:val="1"/>
      <w:numFmt w:val="lowerRoman"/>
      <w:lvlText w:val="%9."/>
      <w:lvlJc w:val="right"/>
      <w:pPr>
        <w:ind w:left="10440" w:hanging="180"/>
      </w:pPr>
    </w:lvl>
  </w:abstractNum>
  <w:abstractNum w:abstractNumId="11" w15:restartNumberingAfterBreak="0">
    <w:nsid w:val="338C46DC"/>
    <w:multiLevelType w:val="hybridMultilevel"/>
    <w:tmpl w:val="A9DA7B62"/>
    <w:lvl w:ilvl="0" w:tplc="FFFFFFFF">
      <w:start w:val="3"/>
      <w:numFmt w:val="decimal"/>
      <w:lvlText w:val="%1."/>
      <w:lvlJc w:val="left"/>
      <w:pPr>
        <w:ind w:left="4680" w:hanging="360"/>
      </w:pPr>
      <w:rPr>
        <w:rFonts w:hint="default"/>
      </w:rPr>
    </w:lvl>
    <w:lvl w:ilvl="1" w:tplc="08090019" w:tentative="1">
      <w:start w:val="1"/>
      <w:numFmt w:val="lowerLetter"/>
      <w:lvlText w:val="%2."/>
      <w:lvlJc w:val="left"/>
      <w:pPr>
        <w:ind w:left="5400" w:hanging="360"/>
      </w:pPr>
    </w:lvl>
    <w:lvl w:ilvl="2" w:tplc="0809001B" w:tentative="1">
      <w:start w:val="1"/>
      <w:numFmt w:val="lowerRoman"/>
      <w:lvlText w:val="%3."/>
      <w:lvlJc w:val="right"/>
      <w:pPr>
        <w:ind w:left="6120" w:hanging="180"/>
      </w:pPr>
    </w:lvl>
    <w:lvl w:ilvl="3" w:tplc="0809000F" w:tentative="1">
      <w:start w:val="1"/>
      <w:numFmt w:val="decimal"/>
      <w:lvlText w:val="%4."/>
      <w:lvlJc w:val="left"/>
      <w:pPr>
        <w:ind w:left="6840" w:hanging="360"/>
      </w:pPr>
    </w:lvl>
    <w:lvl w:ilvl="4" w:tplc="08090019" w:tentative="1">
      <w:start w:val="1"/>
      <w:numFmt w:val="lowerLetter"/>
      <w:lvlText w:val="%5."/>
      <w:lvlJc w:val="left"/>
      <w:pPr>
        <w:ind w:left="7560" w:hanging="360"/>
      </w:pPr>
    </w:lvl>
    <w:lvl w:ilvl="5" w:tplc="0809001B" w:tentative="1">
      <w:start w:val="1"/>
      <w:numFmt w:val="lowerRoman"/>
      <w:lvlText w:val="%6."/>
      <w:lvlJc w:val="right"/>
      <w:pPr>
        <w:ind w:left="8280" w:hanging="180"/>
      </w:pPr>
    </w:lvl>
    <w:lvl w:ilvl="6" w:tplc="0809000F" w:tentative="1">
      <w:start w:val="1"/>
      <w:numFmt w:val="decimal"/>
      <w:lvlText w:val="%7."/>
      <w:lvlJc w:val="left"/>
      <w:pPr>
        <w:ind w:left="9000" w:hanging="360"/>
      </w:pPr>
    </w:lvl>
    <w:lvl w:ilvl="7" w:tplc="08090019" w:tentative="1">
      <w:start w:val="1"/>
      <w:numFmt w:val="lowerLetter"/>
      <w:lvlText w:val="%8."/>
      <w:lvlJc w:val="left"/>
      <w:pPr>
        <w:ind w:left="9720" w:hanging="360"/>
      </w:pPr>
    </w:lvl>
    <w:lvl w:ilvl="8" w:tplc="0809001B" w:tentative="1">
      <w:start w:val="1"/>
      <w:numFmt w:val="lowerRoman"/>
      <w:lvlText w:val="%9."/>
      <w:lvlJc w:val="right"/>
      <w:pPr>
        <w:ind w:left="10440" w:hanging="180"/>
      </w:pPr>
    </w:lvl>
  </w:abstractNum>
  <w:abstractNum w:abstractNumId="12" w15:restartNumberingAfterBreak="0">
    <w:nsid w:val="342A6B73"/>
    <w:multiLevelType w:val="multilevel"/>
    <w:tmpl w:val="F7B2FD24"/>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3" w15:restartNumberingAfterBreak="0">
    <w:nsid w:val="3F404C5C"/>
    <w:multiLevelType w:val="multilevel"/>
    <w:tmpl w:val="704C92E4"/>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4" w15:restartNumberingAfterBreak="0">
    <w:nsid w:val="51BE3162"/>
    <w:multiLevelType w:val="multilevel"/>
    <w:tmpl w:val="7C94A5F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5" w15:restartNumberingAfterBreak="0">
    <w:nsid w:val="51DE0A4E"/>
    <w:multiLevelType w:val="hybridMultilevel"/>
    <w:tmpl w:val="8668EA8A"/>
    <w:lvl w:ilvl="0" w:tplc="FFFFFFFF">
      <w:start w:val="1"/>
      <w:numFmt w:val="decimal"/>
      <w:lvlText w:val="%1."/>
      <w:lvlJc w:val="left"/>
      <w:pPr>
        <w:ind w:left="3960" w:hanging="360"/>
      </w:pPr>
      <w:rPr>
        <w:rFonts w:hint="default"/>
      </w:r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6" w15:restartNumberingAfterBreak="0">
    <w:nsid w:val="53744CB9"/>
    <w:multiLevelType w:val="hybridMultilevel"/>
    <w:tmpl w:val="090C5C56"/>
    <w:lvl w:ilvl="0" w:tplc="FFFFFFFF">
      <w:start w:val="3"/>
      <w:numFmt w:val="decimal"/>
      <w:lvlText w:val="%1."/>
      <w:lvlJc w:val="left"/>
      <w:pPr>
        <w:ind w:left="4680" w:hanging="360"/>
      </w:pPr>
      <w:rPr>
        <w:rFonts w:hint="default"/>
      </w:rPr>
    </w:lvl>
    <w:lvl w:ilvl="1" w:tplc="08090019" w:tentative="1">
      <w:start w:val="1"/>
      <w:numFmt w:val="lowerLetter"/>
      <w:lvlText w:val="%2."/>
      <w:lvlJc w:val="left"/>
      <w:pPr>
        <w:ind w:left="5400" w:hanging="360"/>
      </w:pPr>
    </w:lvl>
    <w:lvl w:ilvl="2" w:tplc="0809001B" w:tentative="1">
      <w:start w:val="1"/>
      <w:numFmt w:val="lowerRoman"/>
      <w:lvlText w:val="%3."/>
      <w:lvlJc w:val="right"/>
      <w:pPr>
        <w:ind w:left="6120" w:hanging="180"/>
      </w:pPr>
    </w:lvl>
    <w:lvl w:ilvl="3" w:tplc="0809000F" w:tentative="1">
      <w:start w:val="1"/>
      <w:numFmt w:val="decimal"/>
      <w:lvlText w:val="%4."/>
      <w:lvlJc w:val="left"/>
      <w:pPr>
        <w:ind w:left="6840" w:hanging="360"/>
      </w:pPr>
    </w:lvl>
    <w:lvl w:ilvl="4" w:tplc="08090019" w:tentative="1">
      <w:start w:val="1"/>
      <w:numFmt w:val="lowerLetter"/>
      <w:lvlText w:val="%5."/>
      <w:lvlJc w:val="left"/>
      <w:pPr>
        <w:ind w:left="7560" w:hanging="360"/>
      </w:pPr>
    </w:lvl>
    <w:lvl w:ilvl="5" w:tplc="0809001B" w:tentative="1">
      <w:start w:val="1"/>
      <w:numFmt w:val="lowerRoman"/>
      <w:lvlText w:val="%6."/>
      <w:lvlJc w:val="right"/>
      <w:pPr>
        <w:ind w:left="8280" w:hanging="180"/>
      </w:pPr>
    </w:lvl>
    <w:lvl w:ilvl="6" w:tplc="0809000F" w:tentative="1">
      <w:start w:val="1"/>
      <w:numFmt w:val="decimal"/>
      <w:lvlText w:val="%7."/>
      <w:lvlJc w:val="left"/>
      <w:pPr>
        <w:ind w:left="9000" w:hanging="360"/>
      </w:pPr>
    </w:lvl>
    <w:lvl w:ilvl="7" w:tplc="08090019" w:tentative="1">
      <w:start w:val="1"/>
      <w:numFmt w:val="lowerLetter"/>
      <w:lvlText w:val="%8."/>
      <w:lvlJc w:val="left"/>
      <w:pPr>
        <w:ind w:left="9720" w:hanging="360"/>
      </w:pPr>
    </w:lvl>
    <w:lvl w:ilvl="8" w:tplc="0809001B" w:tentative="1">
      <w:start w:val="1"/>
      <w:numFmt w:val="lowerRoman"/>
      <w:lvlText w:val="%9."/>
      <w:lvlJc w:val="right"/>
      <w:pPr>
        <w:ind w:left="10440" w:hanging="180"/>
      </w:pPr>
    </w:lvl>
  </w:abstractNum>
  <w:abstractNum w:abstractNumId="17" w15:restartNumberingAfterBreak="0">
    <w:nsid w:val="5C8B0890"/>
    <w:multiLevelType w:val="hybridMultilevel"/>
    <w:tmpl w:val="C798B8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D22AF7"/>
    <w:multiLevelType w:val="multilevel"/>
    <w:tmpl w:val="090441CC"/>
    <w:lvl w:ilvl="0">
      <w:start w:val="2"/>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9" w15:restartNumberingAfterBreak="0">
    <w:nsid w:val="5E855611"/>
    <w:multiLevelType w:val="multilevel"/>
    <w:tmpl w:val="18943C1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0" w15:restartNumberingAfterBreak="0">
    <w:nsid w:val="601D74DA"/>
    <w:multiLevelType w:val="multilevel"/>
    <w:tmpl w:val="5308E1B6"/>
    <w:lvl w:ilvl="0">
      <w:start w:val="3"/>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1" w15:restartNumberingAfterBreak="0">
    <w:nsid w:val="60E57638"/>
    <w:multiLevelType w:val="multilevel"/>
    <w:tmpl w:val="4C94590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2" w15:restartNumberingAfterBreak="0">
    <w:nsid w:val="61776992"/>
    <w:multiLevelType w:val="hybridMultilevel"/>
    <w:tmpl w:val="118C81EA"/>
    <w:lvl w:ilvl="0" w:tplc="FFFFFFFF">
      <w:start w:val="1"/>
      <w:numFmt w:val="decimal"/>
      <w:lvlText w:val="%1."/>
      <w:lvlJc w:val="left"/>
      <w:pPr>
        <w:ind w:left="4320" w:hanging="360"/>
      </w:pPr>
      <w:rPr>
        <w:rFonts w:hint="default"/>
        <w:color w:val="FFFFFF" w:themeColor="background1"/>
      </w:r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23" w15:restartNumberingAfterBreak="0">
    <w:nsid w:val="6D983C6F"/>
    <w:multiLevelType w:val="hybridMultilevel"/>
    <w:tmpl w:val="A77E0F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3F400F"/>
    <w:multiLevelType w:val="hybridMultilevel"/>
    <w:tmpl w:val="38848A6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DB583C"/>
    <w:multiLevelType w:val="multilevel"/>
    <w:tmpl w:val="6096F89A"/>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6" w15:restartNumberingAfterBreak="0">
    <w:nsid w:val="74DF72CB"/>
    <w:multiLevelType w:val="multilevel"/>
    <w:tmpl w:val="302EE41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7" w15:restartNumberingAfterBreak="0">
    <w:nsid w:val="7F0D6864"/>
    <w:multiLevelType w:val="hybridMultilevel"/>
    <w:tmpl w:val="8E4210AA"/>
    <w:lvl w:ilvl="0" w:tplc="FFFFFFFF">
      <w:start w:val="1"/>
      <w:numFmt w:val="decimal"/>
      <w:lvlText w:val="%1."/>
      <w:lvlJc w:val="left"/>
      <w:pPr>
        <w:ind w:left="720" w:hanging="360"/>
      </w:pPr>
      <w:rPr>
        <w:rFonts w:ascii="Calibri" w:hAnsi="Calibri" w:cs="Times New Roman"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4902706">
    <w:abstractNumId w:val="14"/>
  </w:num>
  <w:num w:numId="2" w16cid:durableId="1656450402">
    <w:abstractNumId w:val="4"/>
  </w:num>
  <w:num w:numId="3" w16cid:durableId="506486566">
    <w:abstractNumId w:val="5"/>
  </w:num>
  <w:num w:numId="4" w16cid:durableId="1366951977">
    <w:abstractNumId w:val="13"/>
  </w:num>
  <w:num w:numId="5" w16cid:durableId="1342512321">
    <w:abstractNumId w:val="18"/>
  </w:num>
  <w:num w:numId="6" w16cid:durableId="1394699603">
    <w:abstractNumId w:val="6"/>
  </w:num>
  <w:num w:numId="7" w16cid:durableId="1575624694">
    <w:abstractNumId w:val="21"/>
  </w:num>
  <w:num w:numId="8" w16cid:durableId="1656956757">
    <w:abstractNumId w:val="20"/>
  </w:num>
  <w:num w:numId="9" w16cid:durableId="1914195408">
    <w:abstractNumId w:val="12"/>
  </w:num>
  <w:num w:numId="10" w16cid:durableId="1043361250">
    <w:abstractNumId w:val="8"/>
  </w:num>
  <w:num w:numId="11" w16cid:durableId="546576149">
    <w:abstractNumId w:val="7"/>
  </w:num>
  <w:num w:numId="12" w16cid:durableId="1875776409">
    <w:abstractNumId w:val="19"/>
  </w:num>
  <w:num w:numId="13" w16cid:durableId="1633825598">
    <w:abstractNumId w:val="25"/>
  </w:num>
  <w:num w:numId="14" w16cid:durableId="1570309875">
    <w:abstractNumId w:val="26"/>
  </w:num>
  <w:num w:numId="15" w16cid:durableId="182060887">
    <w:abstractNumId w:val="27"/>
  </w:num>
  <w:num w:numId="16" w16cid:durableId="2091074659">
    <w:abstractNumId w:val="15"/>
  </w:num>
  <w:num w:numId="17" w16cid:durableId="1337344619">
    <w:abstractNumId w:val="2"/>
  </w:num>
  <w:num w:numId="18" w16cid:durableId="882979076">
    <w:abstractNumId w:val="9"/>
  </w:num>
  <w:num w:numId="19" w16cid:durableId="1353805344">
    <w:abstractNumId w:val="22"/>
  </w:num>
  <w:num w:numId="20" w16cid:durableId="1483428925">
    <w:abstractNumId w:val="17"/>
  </w:num>
  <w:num w:numId="21" w16cid:durableId="532042306">
    <w:abstractNumId w:val="23"/>
  </w:num>
  <w:num w:numId="22" w16cid:durableId="243228624">
    <w:abstractNumId w:val="0"/>
  </w:num>
  <w:num w:numId="23" w16cid:durableId="1934629658">
    <w:abstractNumId w:val="24"/>
  </w:num>
  <w:num w:numId="24" w16cid:durableId="930971481">
    <w:abstractNumId w:val="11"/>
  </w:num>
  <w:num w:numId="25" w16cid:durableId="1334646186">
    <w:abstractNumId w:val="10"/>
  </w:num>
  <w:num w:numId="26" w16cid:durableId="495147457">
    <w:abstractNumId w:val="16"/>
  </w:num>
  <w:num w:numId="27" w16cid:durableId="1034186831">
    <w:abstractNumId w:val="3"/>
  </w:num>
  <w:num w:numId="28" w16cid:durableId="1671251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6E5"/>
    <w:rsid w:val="00005653"/>
    <w:rsid w:val="00020FC0"/>
    <w:rsid w:val="000367FD"/>
    <w:rsid w:val="000534F5"/>
    <w:rsid w:val="000655A1"/>
    <w:rsid w:val="000760EE"/>
    <w:rsid w:val="000917D1"/>
    <w:rsid w:val="000A0E6C"/>
    <w:rsid w:val="000A72B5"/>
    <w:rsid w:val="000C75A0"/>
    <w:rsid w:val="000D18F0"/>
    <w:rsid w:val="000E39B7"/>
    <w:rsid w:val="000E4546"/>
    <w:rsid w:val="000F1245"/>
    <w:rsid w:val="000F7DE7"/>
    <w:rsid w:val="0012022A"/>
    <w:rsid w:val="00124DC8"/>
    <w:rsid w:val="00133ECA"/>
    <w:rsid w:val="00156FE6"/>
    <w:rsid w:val="00176681"/>
    <w:rsid w:val="0018061D"/>
    <w:rsid w:val="00181D73"/>
    <w:rsid w:val="001B4C6C"/>
    <w:rsid w:val="001C52B9"/>
    <w:rsid w:val="001D026A"/>
    <w:rsid w:val="00206764"/>
    <w:rsid w:val="00206C1C"/>
    <w:rsid w:val="002101DD"/>
    <w:rsid w:val="00213C86"/>
    <w:rsid w:val="002733F5"/>
    <w:rsid w:val="00281494"/>
    <w:rsid w:val="00293DA6"/>
    <w:rsid w:val="002A0FDB"/>
    <w:rsid w:val="002A1A13"/>
    <w:rsid w:val="002A1AC3"/>
    <w:rsid w:val="002B2987"/>
    <w:rsid w:val="002B6632"/>
    <w:rsid w:val="002D3B78"/>
    <w:rsid w:val="002F4CA1"/>
    <w:rsid w:val="00304E6C"/>
    <w:rsid w:val="003271C9"/>
    <w:rsid w:val="003474FF"/>
    <w:rsid w:val="0036055F"/>
    <w:rsid w:val="00363FC8"/>
    <w:rsid w:val="00374305"/>
    <w:rsid w:val="00377EE9"/>
    <w:rsid w:val="00393511"/>
    <w:rsid w:val="003B0CF1"/>
    <w:rsid w:val="00407D02"/>
    <w:rsid w:val="004232C0"/>
    <w:rsid w:val="00426C07"/>
    <w:rsid w:val="00465D50"/>
    <w:rsid w:val="00496B28"/>
    <w:rsid w:val="004A243D"/>
    <w:rsid w:val="004E3F3A"/>
    <w:rsid w:val="00512803"/>
    <w:rsid w:val="00520592"/>
    <w:rsid w:val="00542C51"/>
    <w:rsid w:val="00546ADA"/>
    <w:rsid w:val="005519D3"/>
    <w:rsid w:val="00563F36"/>
    <w:rsid w:val="00566FC9"/>
    <w:rsid w:val="0059387F"/>
    <w:rsid w:val="005A1C7B"/>
    <w:rsid w:val="005C1F6D"/>
    <w:rsid w:val="005D694A"/>
    <w:rsid w:val="006211B5"/>
    <w:rsid w:val="006326E5"/>
    <w:rsid w:val="006538CA"/>
    <w:rsid w:val="00664572"/>
    <w:rsid w:val="00664E55"/>
    <w:rsid w:val="00667270"/>
    <w:rsid w:val="00684647"/>
    <w:rsid w:val="00691DCA"/>
    <w:rsid w:val="006A19C8"/>
    <w:rsid w:val="006B52E5"/>
    <w:rsid w:val="006D3363"/>
    <w:rsid w:val="007050D6"/>
    <w:rsid w:val="007065D6"/>
    <w:rsid w:val="007148B8"/>
    <w:rsid w:val="0073171C"/>
    <w:rsid w:val="00755C50"/>
    <w:rsid w:val="0078496C"/>
    <w:rsid w:val="0079276F"/>
    <w:rsid w:val="00794A01"/>
    <w:rsid w:val="00794DD7"/>
    <w:rsid w:val="007B0544"/>
    <w:rsid w:val="007C4FFF"/>
    <w:rsid w:val="007D1A61"/>
    <w:rsid w:val="007E277E"/>
    <w:rsid w:val="007E3D7B"/>
    <w:rsid w:val="007F03BD"/>
    <w:rsid w:val="00800A8E"/>
    <w:rsid w:val="00807EA4"/>
    <w:rsid w:val="008222F3"/>
    <w:rsid w:val="0083555B"/>
    <w:rsid w:val="008565F9"/>
    <w:rsid w:val="0089473A"/>
    <w:rsid w:val="00894C95"/>
    <w:rsid w:val="008973B3"/>
    <w:rsid w:val="008B6415"/>
    <w:rsid w:val="008E097B"/>
    <w:rsid w:val="00917232"/>
    <w:rsid w:val="00934F9F"/>
    <w:rsid w:val="0094661F"/>
    <w:rsid w:val="009576A0"/>
    <w:rsid w:val="009726D3"/>
    <w:rsid w:val="009815E6"/>
    <w:rsid w:val="009C04AC"/>
    <w:rsid w:val="009C4948"/>
    <w:rsid w:val="009C5B33"/>
    <w:rsid w:val="009E3124"/>
    <w:rsid w:val="00A331D5"/>
    <w:rsid w:val="00A33CF3"/>
    <w:rsid w:val="00A3508A"/>
    <w:rsid w:val="00A36C8B"/>
    <w:rsid w:val="00A4446A"/>
    <w:rsid w:val="00A524AE"/>
    <w:rsid w:val="00A54516"/>
    <w:rsid w:val="00A704EC"/>
    <w:rsid w:val="00A845E3"/>
    <w:rsid w:val="00A85F77"/>
    <w:rsid w:val="00AA1FA0"/>
    <w:rsid w:val="00AB708E"/>
    <w:rsid w:val="00AC3DA1"/>
    <w:rsid w:val="00AD115C"/>
    <w:rsid w:val="00AE1906"/>
    <w:rsid w:val="00AE1BE6"/>
    <w:rsid w:val="00B028EB"/>
    <w:rsid w:val="00B209AE"/>
    <w:rsid w:val="00B37318"/>
    <w:rsid w:val="00B411A8"/>
    <w:rsid w:val="00B47A80"/>
    <w:rsid w:val="00B61E6A"/>
    <w:rsid w:val="00B65329"/>
    <w:rsid w:val="00B75D46"/>
    <w:rsid w:val="00B87055"/>
    <w:rsid w:val="00B94802"/>
    <w:rsid w:val="00B94C26"/>
    <w:rsid w:val="00B965DC"/>
    <w:rsid w:val="00BA426C"/>
    <w:rsid w:val="00BA67D8"/>
    <w:rsid w:val="00BC57D6"/>
    <w:rsid w:val="00BE33A7"/>
    <w:rsid w:val="00BF6BAD"/>
    <w:rsid w:val="00C00797"/>
    <w:rsid w:val="00C36DF5"/>
    <w:rsid w:val="00C427A5"/>
    <w:rsid w:val="00C95A72"/>
    <w:rsid w:val="00CA68D9"/>
    <w:rsid w:val="00CA7794"/>
    <w:rsid w:val="00CD0075"/>
    <w:rsid w:val="00CF13F1"/>
    <w:rsid w:val="00D13B59"/>
    <w:rsid w:val="00D2521F"/>
    <w:rsid w:val="00D5075A"/>
    <w:rsid w:val="00D65970"/>
    <w:rsid w:val="00D746B0"/>
    <w:rsid w:val="00D82A46"/>
    <w:rsid w:val="00D847E1"/>
    <w:rsid w:val="00D85257"/>
    <w:rsid w:val="00DB389A"/>
    <w:rsid w:val="00DE01B8"/>
    <w:rsid w:val="00E0763E"/>
    <w:rsid w:val="00E8606C"/>
    <w:rsid w:val="00EB4E75"/>
    <w:rsid w:val="00ED7FEB"/>
    <w:rsid w:val="00EE2B2F"/>
    <w:rsid w:val="00EE6AF9"/>
    <w:rsid w:val="00EE7D3A"/>
    <w:rsid w:val="00EF51D4"/>
    <w:rsid w:val="00F04169"/>
    <w:rsid w:val="00F11919"/>
    <w:rsid w:val="00F24537"/>
    <w:rsid w:val="00F704EF"/>
    <w:rsid w:val="00F718DB"/>
    <w:rsid w:val="00F9155A"/>
    <w:rsid w:val="00FA1CFC"/>
    <w:rsid w:val="00FA7A24"/>
    <w:rsid w:val="00FD2F8D"/>
    <w:rsid w:val="00FF2D4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DB4EF"/>
  <w15:docId w15:val="{ECDB5257-EFF5-46AC-AC2C-71E3FD8F8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rsid w:val="000F1245"/>
    <w:pPr>
      <w:ind w:left="720"/>
      <w:contextualSpacing/>
    </w:pPr>
  </w:style>
  <w:style w:type="table" w:styleId="TableGrid">
    <w:name w:val="Table Grid"/>
    <w:basedOn w:val="TableNormal"/>
    <w:uiPriority w:val="39"/>
    <w:rsid w:val="000056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892840">
      <w:bodyDiv w:val="1"/>
      <w:marLeft w:val="0"/>
      <w:marRight w:val="0"/>
      <w:marTop w:val="0"/>
      <w:marBottom w:val="0"/>
      <w:divBdr>
        <w:top w:val="none" w:sz="0" w:space="0" w:color="auto"/>
        <w:left w:val="none" w:sz="0" w:space="0" w:color="auto"/>
        <w:bottom w:val="none" w:sz="0" w:space="0" w:color="auto"/>
        <w:right w:val="none" w:sz="0" w:space="0" w:color="auto"/>
      </w:divBdr>
    </w:div>
    <w:div w:id="17270299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egislation.gov.uk/uksi/2017/692/contents/mad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egislation.gov.uk/uksi/2017/692/contents/mad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0/8/conten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awsociety.org.uk/topics/funding-litigation" TargetMode="External"/><Relationship Id="rId4" Type="http://schemas.openxmlformats.org/officeDocument/2006/relationships/webSettings" Target="webSettings.xml"/><Relationship Id="rId9" Type="http://schemas.openxmlformats.org/officeDocument/2006/relationships/hyperlink" Target="https://www.bbc.com/news/business-45789004" TargetMode="External"/><Relationship Id="rId14" Type="http://schemas.openxmlformats.org/officeDocument/2006/relationships/hyperlink" Target="https://www.sra.org.uk/solicitors/standards-regulations/code-conduct-solic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7</Pages>
  <Words>1621</Words>
  <Characters>9244</Characters>
  <Application>Microsoft Office Word</Application>
  <DocSecurity>0</DocSecurity>
  <Lines>77</Lines>
  <Paragraphs>21</Paragraphs>
  <ScaleCrop>false</ScaleCrop>
  <Company/>
  <LinksUpToDate>false</LinksUpToDate>
  <CharactersWithSpaces>10844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dc:description/>
  <cp:lastModifiedBy>Saima Adeel Fakhr (2211521)</cp:lastModifiedBy>
  <cp:revision>177</cp:revision>
  <dcterms:created xsi:type="dcterms:W3CDTF">2023-03-14T17:06:00Z</dcterms:created>
  <dcterms:modified xsi:type="dcterms:W3CDTF">2023-03-15T12:23:00Z</dcterms:modified>
</cp:coreProperties>
</file>