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F9DEA" w14:textId="77777777" w:rsidR="00A46D51" w:rsidRDefault="00000000">
      <w:r>
        <w:rPr>
          <w:noProof/>
        </w:rPr>
        <w:drawing>
          <wp:anchor distT="0" distB="0" distL="114300" distR="114300" simplePos="0" relativeHeight="251659264" behindDoc="0" locked="0" layoutInCell="1" allowOverlap="1" wp14:anchorId="162EB756" wp14:editId="193C2521">
            <wp:simplePos x="0" y="0"/>
            <wp:positionH relativeFrom="column">
              <wp:posOffset>0</wp:posOffset>
            </wp:positionH>
            <wp:positionV relativeFrom="paragraph">
              <wp:posOffset>292095</wp:posOffset>
            </wp:positionV>
            <wp:extent cx="1809753" cy="723903"/>
            <wp:effectExtent l="0" t="0" r="0" b="0"/>
            <wp:wrapSquare wrapText="bothSides"/>
            <wp:docPr id="86881720"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1809753" cy="723903"/>
                    </a:xfrm>
                    <a:prstGeom prst="rect">
                      <a:avLst/>
                    </a:prstGeom>
                    <a:noFill/>
                    <a:ln>
                      <a:noFill/>
                      <a:prstDash/>
                    </a:ln>
                  </pic:spPr>
                </pic:pic>
              </a:graphicData>
            </a:graphic>
          </wp:anchor>
        </w:drawing>
      </w:r>
    </w:p>
    <w:p w14:paraId="51C9E203" w14:textId="77777777" w:rsidR="00A46D51" w:rsidRDefault="00A46D51"/>
    <w:p w14:paraId="48F07C49" w14:textId="77777777" w:rsidR="00A46D51" w:rsidRDefault="00A46D51"/>
    <w:p w14:paraId="4CDCC546" w14:textId="77777777" w:rsidR="00A46D51" w:rsidRDefault="00A46D51"/>
    <w:p w14:paraId="4C88F694" w14:textId="77777777" w:rsidR="00A46D51" w:rsidRDefault="00A46D51"/>
    <w:p w14:paraId="3D68780A" w14:textId="77777777" w:rsidR="00A46D51" w:rsidRPr="00340631" w:rsidRDefault="00000000" w:rsidP="00340631">
      <w:pPr>
        <w:spacing w:line="360" w:lineRule="auto"/>
        <w:rPr>
          <w:rFonts w:ascii="Arial" w:hAnsi="Arial" w:cs="Arial"/>
          <w:sz w:val="28"/>
          <w:szCs w:val="28"/>
        </w:rPr>
      </w:pPr>
      <w:r w:rsidRPr="00340631">
        <w:rPr>
          <w:rFonts w:ascii="Arial" w:hAnsi="Arial" w:cs="Arial"/>
          <w:b/>
          <w:bCs/>
          <w:sz w:val="28"/>
          <w:szCs w:val="28"/>
          <w:lang w:val="nl-NL"/>
        </w:rPr>
        <w:t>Student name</w:t>
      </w:r>
      <w:r w:rsidRPr="00340631">
        <w:rPr>
          <w:rFonts w:ascii="Arial" w:hAnsi="Arial" w:cs="Arial"/>
          <w:sz w:val="28"/>
          <w:szCs w:val="28"/>
          <w:lang w:val="nl-NL"/>
        </w:rPr>
        <w:t xml:space="preserve">: </w:t>
      </w:r>
      <w:r w:rsidRPr="00340631">
        <w:rPr>
          <w:rFonts w:ascii="Arial" w:hAnsi="Arial" w:cs="Arial"/>
          <w:b/>
          <w:bCs/>
          <w:sz w:val="28"/>
          <w:szCs w:val="28"/>
          <w:lang w:val="nl-NL"/>
        </w:rPr>
        <w:t>Ion Untura</w:t>
      </w:r>
    </w:p>
    <w:p w14:paraId="6BD1DD2A" w14:textId="77777777" w:rsidR="00A46D51" w:rsidRPr="00340631" w:rsidRDefault="00000000" w:rsidP="00340631">
      <w:pPr>
        <w:spacing w:line="360" w:lineRule="auto"/>
        <w:rPr>
          <w:rFonts w:ascii="Arial" w:hAnsi="Arial" w:cs="Arial"/>
          <w:sz w:val="28"/>
          <w:szCs w:val="28"/>
        </w:rPr>
      </w:pPr>
      <w:r w:rsidRPr="00340631">
        <w:rPr>
          <w:rFonts w:ascii="Arial" w:hAnsi="Arial" w:cs="Arial"/>
          <w:b/>
          <w:bCs/>
          <w:sz w:val="28"/>
          <w:szCs w:val="28"/>
          <w:lang w:val="nl-NL"/>
        </w:rPr>
        <w:t>Student ID</w:t>
      </w:r>
      <w:r w:rsidRPr="00340631">
        <w:rPr>
          <w:rFonts w:ascii="Arial" w:hAnsi="Arial" w:cs="Arial"/>
          <w:sz w:val="28"/>
          <w:szCs w:val="28"/>
          <w:lang w:val="nl-NL"/>
        </w:rPr>
        <w:t xml:space="preserve">: </w:t>
      </w:r>
      <w:r w:rsidRPr="00340631">
        <w:rPr>
          <w:rFonts w:ascii="Arial" w:hAnsi="Arial" w:cs="Arial"/>
          <w:b/>
          <w:bCs/>
          <w:sz w:val="28"/>
          <w:szCs w:val="28"/>
          <w:lang w:val="nl-NL"/>
        </w:rPr>
        <w:t>2440192</w:t>
      </w:r>
    </w:p>
    <w:p w14:paraId="6D1E83AC" w14:textId="77777777" w:rsidR="00A46D51" w:rsidRPr="00340631" w:rsidRDefault="00A46D51" w:rsidP="00340631">
      <w:pPr>
        <w:spacing w:line="360" w:lineRule="auto"/>
        <w:rPr>
          <w:rFonts w:ascii="Arial" w:hAnsi="Arial" w:cs="Arial"/>
          <w:sz w:val="28"/>
          <w:szCs w:val="28"/>
          <w:lang w:val="nl-NL"/>
        </w:rPr>
      </w:pPr>
    </w:p>
    <w:p w14:paraId="46AE6195" w14:textId="77777777" w:rsidR="00A46D51" w:rsidRPr="00340631" w:rsidRDefault="00000000" w:rsidP="00340631">
      <w:pPr>
        <w:spacing w:line="360" w:lineRule="auto"/>
        <w:rPr>
          <w:rFonts w:ascii="Arial" w:hAnsi="Arial" w:cs="Arial"/>
          <w:b/>
          <w:bCs/>
          <w:sz w:val="28"/>
          <w:szCs w:val="28"/>
        </w:rPr>
      </w:pPr>
      <w:r w:rsidRPr="00340631">
        <w:rPr>
          <w:rFonts w:ascii="Arial" w:hAnsi="Arial" w:cs="Arial"/>
          <w:b/>
          <w:bCs/>
          <w:sz w:val="28"/>
          <w:szCs w:val="28"/>
          <w:lang w:val="nl-NL"/>
        </w:rPr>
        <w:t>Module name: P</w:t>
      </w:r>
      <w:proofErr w:type="spellStart"/>
      <w:r w:rsidRPr="00340631">
        <w:rPr>
          <w:rFonts w:ascii="Arial" w:hAnsi="Arial" w:cs="Arial"/>
          <w:b/>
          <w:bCs/>
          <w:sz w:val="28"/>
          <w:szCs w:val="28"/>
        </w:rPr>
        <w:t>rinciples</w:t>
      </w:r>
      <w:proofErr w:type="spellEnd"/>
      <w:r w:rsidRPr="00340631">
        <w:rPr>
          <w:rFonts w:ascii="Arial" w:hAnsi="Arial" w:cs="Arial"/>
          <w:b/>
          <w:bCs/>
          <w:sz w:val="28"/>
          <w:szCs w:val="28"/>
        </w:rPr>
        <w:t xml:space="preserve"> of Health and Social Care Practice </w:t>
      </w:r>
    </w:p>
    <w:p w14:paraId="2AE273F6" w14:textId="77777777" w:rsidR="00A46D51" w:rsidRPr="00340631" w:rsidRDefault="00000000" w:rsidP="00340631">
      <w:pPr>
        <w:spacing w:line="360" w:lineRule="auto"/>
        <w:rPr>
          <w:rFonts w:ascii="Arial" w:hAnsi="Arial" w:cs="Arial"/>
          <w:sz w:val="28"/>
          <w:szCs w:val="28"/>
        </w:rPr>
      </w:pPr>
      <w:r w:rsidRPr="00340631">
        <w:rPr>
          <w:rFonts w:ascii="Arial" w:hAnsi="Arial" w:cs="Arial"/>
          <w:b/>
          <w:bCs/>
          <w:sz w:val="28"/>
          <w:szCs w:val="28"/>
        </w:rPr>
        <w:t>Module code</w:t>
      </w:r>
      <w:r w:rsidRPr="00340631">
        <w:rPr>
          <w:rFonts w:ascii="Arial" w:hAnsi="Arial" w:cs="Arial"/>
          <w:sz w:val="28"/>
          <w:szCs w:val="28"/>
        </w:rPr>
        <w:t>:</w:t>
      </w:r>
      <w:r w:rsidRPr="00340631">
        <w:rPr>
          <w:rFonts w:ascii="Arial" w:hAnsi="Arial" w:cs="Arial"/>
          <w:b/>
          <w:bCs/>
          <w:sz w:val="28"/>
          <w:szCs w:val="28"/>
        </w:rPr>
        <w:t xml:space="preserve"> ( BMHP5016 )</w:t>
      </w:r>
    </w:p>
    <w:p w14:paraId="4C876E3F" w14:textId="77777777" w:rsidR="00A46D51" w:rsidRPr="00340631" w:rsidRDefault="00000000" w:rsidP="00340631">
      <w:pPr>
        <w:spacing w:line="360" w:lineRule="auto"/>
        <w:rPr>
          <w:rFonts w:ascii="Arial" w:hAnsi="Arial" w:cs="Arial"/>
          <w:sz w:val="28"/>
          <w:szCs w:val="28"/>
        </w:rPr>
      </w:pPr>
      <w:r w:rsidRPr="00340631">
        <w:rPr>
          <w:rFonts w:ascii="Arial" w:hAnsi="Arial" w:cs="Arial"/>
          <w:b/>
          <w:bCs/>
          <w:sz w:val="28"/>
          <w:szCs w:val="28"/>
        </w:rPr>
        <w:t>Lecturer name: Sam Parker</w:t>
      </w:r>
      <w:r w:rsidRPr="00340631">
        <w:rPr>
          <w:rFonts w:ascii="Arial" w:hAnsi="Arial" w:cs="Arial"/>
          <w:sz w:val="28"/>
          <w:szCs w:val="28"/>
        </w:rPr>
        <w:t xml:space="preserve"> </w:t>
      </w:r>
    </w:p>
    <w:p w14:paraId="029D447A" w14:textId="77777777" w:rsidR="00A46D51" w:rsidRPr="00340631" w:rsidRDefault="00A46D51" w:rsidP="00340631">
      <w:pPr>
        <w:spacing w:line="360" w:lineRule="auto"/>
        <w:rPr>
          <w:rFonts w:ascii="Arial" w:hAnsi="Arial" w:cs="Arial"/>
          <w:b/>
          <w:bCs/>
          <w:sz w:val="28"/>
          <w:szCs w:val="28"/>
        </w:rPr>
      </w:pPr>
    </w:p>
    <w:p w14:paraId="6658AAC6" w14:textId="77777777" w:rsidR="00A46D51" w:rsidRPr="00340631" w:rsidRDefault="00000000" w:rsidP="00340631">
      <w:pPr>
        <w:spacing w:line="360" w:lineRule="auto"/>
        <w:rPr>
          <w:rFonts w:ascii="Arial" w:hAnsi="Arial" w:cs="Arial"/>
          <w:b/>
          <w:bCs/>
          <w:sz w:val="22"/>
          <w:szCs w:val="22"/>
        </w:rPr>
      </w:pPr>
      <w:r w:rsidRPr="00340631">
        <w:rPr>
          <w:rFonts w:ascii="Arial" w:hAnsi="Arial" w:cs="Arial"/>
          <w:b/>
          <w:bCs/>
          <w:sz w:val="28"/>
          <w:szCs w:val="28"/>
        </w:rPr>
        <w:t>Component 2: Written Assignment (Essay</w:t>
      </w:r>
      <w:r w:rsidRPr="00340631">
        <w:rPr>
          <w:rFonts w:ascii="Arial" w:hAnsi="Arial" w:cs="Arial"/>
          <w:b/>
          <w:bCs/>
          <w:sz w:val="22"/>
          <w:szCs w:val="22"/>
        </w:rPr>
        <w:t xml:space="preserve">) </w:t>
      </w:r>
    </w:p>
    <w:p w14:paraId="729C5F72" w14:textId="77777777" w:rsidR="00A46D51" w:rsidRPr="00340631" w:rsidRDefault="00A46D51" w:rsidP="00340631">
      <w:pPr>
        <w:spacing w:line="360" w:lineRule="auto"/>
        <w:rPr>
          <w:rFonts w:ascii="Arial" w:hAnsi="Arial" w:cs="Arial"/>
          <w:sz w:val="22"/>
          <w:szCs w:val="22"/>
        </w:rPr>
      </w:pPr>
    </w:p>
    <w:p w14:paraId="7406905F" w14:textId="77777777" w:rsidR="00A46D51" w:rsidRPr="00340631" w:rsidRDefault="00A46D51" w:rsidP="00340631">
      <w:pPr>
        <w:spacing w:line="360" w:lineRule="auto"/>
        <w:rPr>
          <w:rFonts w:ascii="Arial" w:hAnsi="Arial" w:cs="Arial"/>
          <w:sz w:val="22"/>
          <w:szCs w:val="22"/>
        </w:rPr>
      </w:pPr>
    </w:p>
    <w:p w14:paraId="3ADD855F" w14:textId="77777777" w:rsidR="00A46D51" w:rsidRPr="00340631" w:rsidRDefault="00A46D51" w:rsidP="00340631">
      <w:pPr>
        <w:spacing w:line="360" w:lineRule="auto"/>
        <w:rPr>
          <w:rFonts w:ascii="Arial" w:hAnsi="Arial" w:cs="Arial"/>
          <w:sz w:val="22"/>
          <w:szCs w:val="22"/>
        </w:rPr>
      </w:pPr>
    </w:p>
    <w:p w14:paraId="5F5266E6" w14:textId="77777777" w:rsidR="00A46D51" w:rsidRPr="00340631" w:rsidRDefault="00A46D51" w:rsidP="00340631">
      <w:pPr>
        <w:spacing w:line="360" w:lineRule="auto"/>
        <w:rPr>
          <w:rFonts w:ascii="Arial" w:hAnsi="Arial" w:cs="Arial"/>
          <w:sz w:val="22"/>
          <w:szCs w:val="22"/>
        </w:rPr>
      </w:pPr>
    </w:p>
    <w:p w14:paraId="77427A24" w14:textId="77777777" w:rsidR="00A46D51" w:rsidRPr="00340631" w:rsidRDefault="00A46D51" w:rsidP="00340631">
      <w:pPr>
        <w:spacing w:line="360" w:lineRule="auto"/>
        <w:rPr>
          <w:rFonts w:ascii="Arial" w:hAnsi="Arial" w:cs="Arial"/>
          <w:sz w:val="22"/>
          <w:szCs w:val="22"/>
        </w:rPr>
      </w:pPr>
    </w:p>
    <w:p w14:paraId="4C54A932" w14:textId="77777777" w:rsidR="00A46D51" w:rsidRPr="00340631" w:rsidRDefault="00A46D51" w:rsidP="00340631">
      <w:pPr>
        <w:spacing w:line="360" w:lineRule="auto"/>
        <w:rPr>
          <w:rFonts w:ascii="Arial" w:hAnsi="Arial" w:cs="Arial"/>
          <w:sz w:val="22"/>
          <w:szCs w:val="22"/>
        </w:rPr>
      </w:pPr>
    </w:p>
    <w:p w14:paraId="66EBAF37" w14:textId="77777777" w:rsidR="00A46D51" w:rsidRPr="00340631" w:rsidRDefault="00A46D51" w:rsidP="00340631">
      <w:pPr>
        <w:spacing w:line="360" w:lineRule="auto"/>
        <w:rPr>
          <w:rFonts w:ascii="Arial" w:hAnsi="Arial" w:cs="Arial"/>
          <w:sz w:val="22"/>
          <w:szCs w:val="22"/>
        </w:rPr>
      </w:pPr>
    </w:p>
    <w:p w14:paraId="7AADB8D4" w14:textId="77777777" w:rsidR="00A46D51" w:rsidRPr="00340631" w:rsidRDefault="00A46D51" w:rsidP="00340631">
      <w:pPr>
        <w:spacing w:line="360" w:lineRule="auto"/>
        <w:rPr>
          <w:rFonts w:ascii="Arial" w:hAnsi="Arial" w:cs="Arial"/>
          <w:sz w:val="22"/>
          <w:szCs w:val="22"/>
        </w:rPr>
      </w:pPr>
    </w:p>
    <w:p w14:paraId="759893C6" w14:textId="77777777" w:rsidR="00A46D51" w:rsidRPr="00340631" w:rsidRDefault="00A46D51" w:rsidP="00340631">
      <w:pPr>
        <w:spacing w:line="360" w:lineRule="auto"/>
        <w:rPr>
          <w:rFonts w:ascii="Arial" w:hAnsi="Arial" w:cs="Arial"/>
          <w:sz w:val="22"/>
          <w:szCs w:val="22"/>
        </w:rPr>
      </w:pPr>
    </w:p>
    <w:p w14:paraId="796A0F62" w14:textId="77777777" w:rsidR="00A46D51" w:rsidRPr="00340631" w:rsidRDefault="00A46D51" w:rsidP="00340631">
      <w:pPr>
        <w:spacing w:line="360" w:lineRule="auto"/>
        <w:rPr>
          <w:rFonts w:ascii="Arial" w:hAnsi="Arial" w:cs="Arial"/>
          <w:sz w:val="22"/>
          <w:szCs w:val="22"/>
        </w:rPr>
      </w:pPr>
    </w:p>
    <w:p w14:paraId="74DD1790" w14:textId="77777777" w:rsidR="00A46D51" w:rsidRPr="00340631" w:rsidRDefault="00A46D51" w:rsidP="00340631">
      <w:pPr>
        <w:spacing w:line="360" w:lineRule="auto"/>
        <w:rPr>
          <w:rFonts w:ascii="Arial" w:hAnsi="Arial" w:cs="Arial"/>
          <w:sz w:val="22"/>
          <w:szCs w:val="22"/>
        </w:rPr>
      </w:pPr>
    </w:p>
    <w:p w14:paraId="0D905E25" w14:textId="77777777" w:rsidR="00032964" w:rsidRDefault="00032964" w:rsidP="00032964">
      <w:pPr>
        <w:spacing w:line="360" w:lineRule="auto"/>
        <w:rPr>
          <w:rFonts w:ascii="Arial" w:hAnsi="Arial" w:cs="Arial"/>
          <w:sz w:val="22"/>
          <w:szCs w:val="22"/>
        </w:rPr>
      </w:pPr>
    </w:p>
    <w:p w14:paraId="4E5CCCB7" w14:textId="21EC9EAF"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lastRenderedPageBreak/>
        <w:t>Introduction</w:t>
      </w:r>
    </w:p>
    <w:p w14:paraId="592657C1"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The social model of disability is widely recognised as one of the most influential frameworks underpinning person</w:t>
      </w:r>
      <w:r w:rsidRPr="00032964">
        <w:rPr>
          <w:rFonts w:ascii="Arial" w:hAnsi="Arial" w:cs="Arial"/>
          <w:sz w:val="22"/>
          <w:szCs w:val="22"/>
        </w:rPr>
        <w:noBreakHyphen/>
        <w:t xml:space="preserve">centred care within contemporary health and social care practice. Developed as a challenge to traditional medicalised interpretations of disability, the social model reframes disability as a consequence of societal, environmental, and attitudinal barriers rather than an inherent characteristic of the individual. This </w:t>
      </w:r>
      <w:proofErr w:type="spellStart"/>
      <w:r w:rsidRPr="00032964">
        <w:rPr>
          <w:rFonts w:ascii="Arial" w:hAnsi="Arial" w:cs="Arial"/>
          <w:sz w:val="22"/>
          <w:szCs w:val="22"/>
        </w:rPr>
        <w:t>reconceptualisation</w:t>
      </w:r>
      <w:proofErr w:type="spellEnd"/>
      <w:r w:rsidRPr="00032964">
        <w:rPr>
          <w:rFonts w:ascii="Arial" w:hAnsi="Arial" w:cs="Arial"/>
          <w:sz w:val="22"/>
          <w:szCs w:val="22"/>
        </w:rPr>
        <w:t xml:space="preserve"> has had a significant impact on policy, practice, and academic discourse, particularly in the United Kingdom.</w:t>
      </w:r>
    </w:p>
    <w:p w14:paraId="2F0167B2"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sz w:val="22"/>
          <w:szCs w:val="22"/>
        </w:rPr>
        <w:t>This essay critically examines the emergence and development of the social model of disability, highlighting the historical and political contexts that shaped its formation. It then explores major critiques of the model, including concerns about its treatment of impairment and its applicability to diverse groups of disabled people, alongside responses from scholars and activists. The essay subsequently analyses how the social model has been applied within UK health and social care policy, identifying both its contributions and limitations. Finally, recommendations are presented to strengthen policy and practice to ensure that person</w:t>
      </w:r>
      <w:r w:rsidRPr="00032964">
        <w:rPr>
          <w:rFonts w:ascii="Arial" w:hAnsi="Arial" w:cs="Arial"/>
          <w:sz w:val="22"/>
          <w:szCs w:val="22"/>
        </w:rPr>
        <w:noBreakHyphen/>
        <w:t>centred care is delivered in a manner consistent with the principles of inclusion, autonomy, and equality</w:t>
      </w:r>
      <w:r w:rsidRPr="00032964">
        <w:rPr>
          <w:rFonts w:ascii="Arial" w:hAnsi="Arial" w:cs="Arial"/>
          <w:b/>
          <w:bCs/>
          <w:sz w:val="22"/>
          <w:szCs w:val="22"/>
        </w:rPr>
        <w:t>.</w:t>
      </w:r>
    </w:p>
    <w:p w14:paraId="63F3F6AC"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1. Emergence and Development of the Social Model of Disability</w:t>
      </w:r>
    </w:p>
    <w:p w14:paraId="214B0A9D"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 xml:space="preserve">The social model of disability emerged during the 1970s and 1980s as part of the broader disability rights movement in the United Kingdom. This period was characterised by growing political activism among disabled people, who sought to challenge dominant medicalised interpretations of disability. Central to this movement was the Union of the Physically Impaired Against Segregation (UPIAS), which argued that disability should be understood as a form of social oppression rather than an individual medical condition (UPIAS, 1976). UPIAS distinguished between </w:t>
      </w:r>
      <w:r w:rsidRPr="00032964">
        <w:rPr>
          <w:rFonts w:ascii="Arial" w:hAnsi="Arial" w:cs="Arial"/>
          <w:i/>
          <w:iCs/>
          <w:sz w:val="22"/>
          <w:szCs w:val="22"/>
        </w:rPr>
        <w:t>impairment</w:t>
      </w:r>
      <w:r w:rsidRPr="00032964">
        <w:rPr>
          <w:rFonts w:ascii="Arial" w:hAnsi="Arial" w:cs="Arial"/>
          <w:sz w:val="22"/>
          <w:szCs w:val="22"/>
        </w:rPr>
        <w:t xml:space="preserve">—the physical, sensory, or cognitive difference—and </w:t>
      </w:r>
      <w:r w:rsidRPr="00032964">
        <w:rPr>
          <w:rFonts w:ascii="Arial" w:hAnsi="Arial" w:cs="Arial"/>
          <w:i/>
          <w:iCs/>
          <w:sz w:val="22"/>
          <w:szCs w:val="22"/>
        </w:rPr>
        <w:t>disability</w:t>
      </w:r>
      <w:r w:rsidRPr="00032964">
        <w:rPr>
          <w:rFonts w:ascii="Arial" w:hAnsi="Arial" w:cs="Arial"/>
          <w:sz w:val="22"/>
          <w:szCs w:val="22"/>
        </w:rPr>
        <w:t>, defined as the restrictions imposed by society.</w:t>
      </w:r>
    </w:p>
    <w:p w14:paraId="56E2F29D"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Oliver (1983) later formalised this distinction, arguing that disability arises from social, economic, and environmental barriers rather than from impairment itself. This represented a significant departure from the medical model, which conceptualised disability as an individual deficit requiring treatment, rehabilitation, or correction. Oliver’s work provided a theoretical foundation for the social model, emphasising the need to shift responsibility for disability away from individuals and towards society.</w:t>
      </w:r>
    </w:p>
    <w:p w14:paraId="5B82591C"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The development of the social model was influenced by broader sociological theories of oppression and structural inequality. Finkelstein (1980) argued that disability must be understood within the context of capitalist labour systems that marginalise individuals who do not conform to normative productivity standards. This perspective highlighted the economic dimensions of disability, suggesting that disabled people are excluded not because of their impairments but because of societal expectations about work and productivity. Barton (1993) further emphasised the role of institutional discrimination, arguing that disabled people’s experiences are shaped by systemic barriers embedded within education, employment, and health and social care systems.</w:t>
      </w:r>
    </w:p>
    <w:p w14:paraId="32A16C7A"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Over time, the social model became central to disability studies, shaping debates about inclusion, accessibility, and discrimination (Shakespeare, 2006). It provided a framework for understanding disability as a human rights issue rather than a medical problem. The model’s influence extended into policy, activism, and academic discourse, forming the foundation for contemporary understandings of person</w:t>
      </w:r>
      <w:r w:rsidRPr="00032964">
        <w:rPr>
          <w:rFonts w:ascii="Arial" w:hAnsi="Arial" w:cs="Arial"/>
          <w:sz w:val="22"/>
          <w:szCs w:val="22"/>
        </w:rPr>
        <w:noBreakHyphen/>
        <w:t>centred care and informing legislative developments in the UK and internationally.</w:t>
      </w:r>
    </w:p>
    <w:p w14:paraId="75CB4DF9"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2. Critiques of the Social Model and Responses</w:t>
      </w:r>
    </w:p>
    <w:p w14:paraId="137B3881"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Despite its significant influence, the social model has been subject to substantial critique. One major criticism is that it oversimplifies the relationship between impairment and disability. Critics argue that the model neglects the lived experience of impairment, including pain, fatigue, cognitive limitations, and emotional distress (Shakespeare and Watson, 2002). While the model successfully highlights the role of social barriers, it has been criticised for failing to acknowledge that impairment itself can be a source of difficulty. Morris (1991) notes that many disabled women felt the model overlooked embodied experiences, particularly those associated with chronic illness, reproductive health, and gendered expectations.</w:t>
      </w:r>
    </w:p>
    <w:p w14:paraId="793367D4"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Another critique concerns the model’s applicability to individuals with learning disabilities, mental health conditions, or fluctuating impairments. Thomas (2004) argues that the social model does not adequately address the personal and emotional dimensions of disability, including stigma, internalised oppression, and psycho</w:t>
      </w:r>
      <w:r w:rsidRPr="00032964">
        <w:rPr>
          <w:rFonts w:ascii="Arial" w:hAnsi="Arial" w:cs="Arial"/>
          <w:sz w:val="22"/>
          <w:szCs w:val="22"/>
        </w:rPr>
        <w:noBreakHyphen/>
        <w:t>emotional harm. Crow (1996) similarly contends that the model fails to capture the complex interplay between impairment and social barriers, particularly for individuals whose impairments directly affect communication, cognition, or emotional regulation.</w:t>
      </w:r>
    </w:p>
    <w:p w14:paraId="44232E58"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A further criticism relates to the model’s political orientation. Some scholars argue that the social model’s strong ideological stance may limit its usefulness as a comprehensive theoretical framework. Shakespeare (2006) suggests that the model’s binary distinction between impairment and disability is overly rigid and does not reflect the complexity of disabled people’s experiences. Additionally, the model has been criticised for focusing primarily on physical impairments, potentially marginalising individuals with non</w:t>
      </w:r>
      <w:r w:rsidRPr="00032964">
        <w:rPr>
          <w:rFonts w:ascii="Arial" w:hAnsi="Arial" w:cs="Arial"/>
          <w:sz w:val="22"/>
          <w:szCs w:val="22"/>
        </w:rPr>
        <w:noBreakHyphen/>
        <w:t>visible or fluctuating conditions.</w:t>
      </w:r>
    </w:p>
    <w:p w14:paraId="14B5C967"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In response to these critiques, proponents emphasise that the social model was never intended to deny impairment but to challenge the dominance of medicalised interpretations. Oliver (2013) argues that the model should be understood as a political tool designed to shift attention towards societal responsibility. It is not intended to provide a complete account of disability but rather to highlight the role of social barriers in creating disadvantage.</w:t>
      </w:r>
    </w:p>
    <w:p w14:paraId="1CFC2952"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Hybrid models have emerged to address the limitations of both the social and medical models. The biopsychosocial model, developed by the World Health Organization (WHO, 2001), integrates biological, psychological, and social factors, offering a more holistic understanding of disability. Shakespeare (2014) proposes an “interactional model” that acknowledges both impairment and social structures, suggesting that disability arises from the dynamic interaction between the two. These approaches aim to retain the strengths of the social model while addressing its limitations.</w:t>
      </w:r>
    </w:p>
    <w:p w14:paraId="10C9EB69"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3. Application of the Social Model to UK Health and Social Care Policy</w:t>
      </w:r>
    </w:p>
    <w:p w14:paraId="2D58CC99"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The social model has had a profound impact on UK health and social care policy. Its principles are embedded in key legislation, including the Equality Act 2010, which emphasises the removal of environmental and attitudinal barriers, and the Care Act 2014, which promotes autonomy, participation, and wellbeing. These policies reflect the social model’s emphasis on enabling individuals to live independently and participate fully in society.</w:t>
      </w:r>
    </w:p>
    <w:p w14:paraId="42ADDEED"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Within practice, the social model has influenced approaches to person</w:t>
      </w:r>
      <w:r w:rsidRPr="00032964">
        <w:rPr>
          <w:rFonts w:ascii="Arial" w:hAnsi="Arial" w:cs="Arial"/>
          <w:sz w:val="22"/>
          <w:szCs w:val="22"/>
        </w:rPr>
        <w:noBreakHyphen/>
        <w:t>centred care. Practitioners are encouraged to focus on enabling individuals rather than “fixing” impairments. This includes adapting environments, providing assistive technology, and promoting independence through personalised support. The NHS Long Term Plan emphasises personalised care, shared decision</w:t>
      </w:r>
      <w:r w:rsidRPr="00032964">
        <w:rPr>
          <w:rFonts w:ascii="Arial" w:hAnsi="Arial" w:cs="Arial"/>
          <w:sz w:val="22"/>
          <w:szCs w:val="22"/>
        </w:rPr>
        <w:noBreakHyphen/>
        <w:t>making, and community</w:t>
      </w:r>
      <w:r w:rsidRPr="00032964">
        <w:rPr>
          <w:rFonts w:ascii="Arial" w:hAnsi="Arial" w:cs="Arial"/>
          <w:sz w:val="22"/>
          <w:szCs w:val="22"/>
        </w:rPr>
        <w:noBreakHyphen/>
        <w:t>based support, aligning closely with social model principles (NHS England, 2019).</w:t>
      </w:r>
    </w:p>
    <w:p w14:paraId="234DFFAB"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However, challenges persist in implementing the social model effectively. Barnes and Mercer (2010) argue that institutional cultures within health and social care services can limit the extent to which the model is embedded in practice. Despite policy commitments, medicalised approaches often remain dominant, particularly in clinical environments. Priestley (2003) highlights that policy frequently adopts the language of the social model without fully operationalising its principles, resulting in inconsistencies between policy rhetoric and practice reality.</w:t>
      </w:r>
    </w:p>
    <w:p w14:paraId="0256073C"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Resource constraints also limit implementation. Glasby (2017) notes that local authorities face significant budget pressures, affecting their ability to provide accessible services, invest in assistive technologies, or adapt environments. These constraints can undermine efforts to deliver person</w:t>
      </w:r>
      <w:r w:rsidRPr="00032964">
        <w:rPr>
          <w:rFonts w:ascii="Arial" w:hAnsi="Arial" w:cs="Arial"/>
          <w:sz w:val="22"/>
          <w:szCs w:val="22"/>
        </w:rPr>
        <w:noBreakHyphen/>
        <w:t>centred care aligned with social model principles.</w:t>
      </w:r>
    </w:p>
    <w:p w14:paraId="3960408B"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Additionally, the model’s emphasis on independence may conflict with the needs of individuals requiring significant support. Williams (2011) argues that autonomy must be understood in relational terms, particularly for individuals with profound learning disabilities or complex needs. Bigby and Beadle</w:t>
      </w:r>
      <w:r w:rsidRPr="00032964">
        <w:rPr>
          <w:rFonts w:ascii="Arial" w:hAnsi="Arial" w:cs="Arial"/>
          <w:sz w:val="22"/>
          <w:szCs w:val="22"/>
        </w:rPr>
        <w:noBreakHyphen/>
        <w:t>Brown (2016) emphasise the importance of supported decision</w:t>
      </w:r>
      <w:r w:rsidRPr="00032964">
        <w:rPr>
          <w:rFonts w:ascii="Arial" w:hAnsi="Arial" w:cs="Arial"/>
          <w:sz w:val="22"/>
          <w:szCs w:val="22"/>
        </w:rPr>
        <w:noBreakHyphen/>
        <w:t>making frameworks that align with social model principles while recognising the need for ongoing assistance.</w:t>
      </w:r>
    </w:p>
    <w:p w14:paraId="3C98F3BC"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4. Problems and Limitations in Policy and Practice</w:t>
      </w:r>
    </w:p>
    <w:p w14:paraId="52CB389B"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4.1 Tension Between Medical and Social Approaches</w:t>
      </w:r>
    </w:p>
    <w:p w14:paraId="59476CD2"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Clinical environments often prioritise medical interventions, leading to fragmented approaches where social barriers are overlooked. Thomas and Woods (2018) argue that biomedical dominance remains strong in mental health services, where impairment</w:t>
      </w:r>
      <w:r w:rsidRPr="00032964">
        <w:rPr>
          <w:rFonts w:ascii="Arial" w:hAnsi="Arial" w:cs="Arial"/>
          <w:sz w:val="22"/>
          <w:szCs w:val="22"/>
        </w:rPr>
        <w:noBreakHyphen/>
        <w:t>focused interventions frequently overshadow efforts to address social determinants of wellbeing.</w:t>
      </w:r>
    </w:p>
    <w:p w14:paraId="24269E51"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4.2 Inconsistent Implementation</w:t>
      </w:r>
    </w:p>
    <w:p w14:paraId="78943DB9"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sz w:val="22"/>
          <w:szCs w:val="22"/>
        </w:rPr>
        <w:t xml:space="preserve">Variation in funding, staffing, and training means that the social model is applied unevenly across services. </w:t>
      </w:r>
      <w:proofErr w:type="spellStart"/>
      <w:r w:rsidRPr="00032964">
        <w:rPr>
          <w:rFonts w:ascii="Arial" w:hAnsi="Arial" w:cs="Arial"/>
          <w:sz w:val="22"/>
          <w:szCs w:val="22"/>
        </w:rPr>
        <w:t>Roulstone</w:t>
      </w:r>
      <w:proofErr w:type="spellEnd"/>
      <w:r w:rsidRPr="00032964">
        <w:rPr>
          <w:rFonts w:ascii="Arial" w:hAnsi="Arial" w:cs="Arial"/>
          <w:sz w:val="22"/>
          <w:szCs w:val="22"/>
        </w:rPr>
        <w:t xml:space="preserve"> (2016) highlights disparities in local authority provision, noting that some areas have invested significantly in accessible services while others have struggled to meet statutory requirements</w:t>
      </w:r>
      <w:r w:rsidRPr="00032964">
        <w:rPr>
          <w:rFonts w:ascii="Arial" w:hAnsi="Arial" w:cs="Arial"/>
          <w:b/>
          <w:bCs/>
          <w:sz w:val="22"/>
          <w:szCs w:val="22"/>
        </w:rPr>
        <w:t>.</w:t>
      </w:r>
    </w:p>
    <w:p w14:paraId="6A10DA2A"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4.3 Limited Recognition of Impairment Experiences</w:t>
      </w:r>
    </w:p>
    <w:p w14:paraId="238E761F"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The model’s focus on social barriers may not fully address the lived experience of impairment. Reeve (2002) argues for integrating emotional and embodied experiences into disability theory, suggesting that psycho</w:t>
      </w:r>
      <w:r w:rsidRPr="00032964">
        <w:rPr>
          <w:rFonts w:ascii="Arial" w:hAnsi="Arial" w:cs="Arial"/>
          <w:sz w:val="22"/>
          <w:szCs w:val="22"/>
        </w:rPr>
        <w:noBreakHyphen/>
        <w:t>emotional dimensions of disability require greater attention within policy and practice.</w:t>
      </w:r>
    </w:p>
    <w:p w14:paraId="2B563637"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4.4 Structural Barriers</w:t>
      </w:r>
    </w:p>
    <w:p w14:paraId="256AA33D"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Societal barriers such as inaccessible housing, transport, and employment persist. Burchardt (2004) demonstrates that disabled people continue to face significant socioeconomic disadvantage, indicating that structural inequalities remain deeply embedded despite policy commitments.</w:t>
      </w:r>
    </w:p>
    <w:p w14:paraId="07052B0A"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5. Recommendations for Policy and Practice</w:t>
      </w:r>
    </w:p>
    <w:p w14:paraId="6C50C3DF"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5.1 Enhanced Training for Practitioners</w:t>
      </w:r>
    </w:p>
    <w:p w14:paraId="7177266A"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Training should emphasise barrier removal, accessibility, inclusive communication, and the principles of person</w:t>
      </w:r>
      <w:r w:rsidRPr="00032964">
        <w:rPr>
          <w:rFonts w:ascii="Arial" w:hAnsi="Arial" w:cs="Arial"/>
          <w:sz w:val="22"/>
          <w:szCs w:val="22"/>
        </w:rPr>
        <w:noBreakHyphen/>
        <w:t xml:space="preserve">centred care. </w:t>
      </w:r>
      <w:proofErr w:type="spellStart"/>
      <w:r w:rsidRPr="00032964">
        <w:rPr>
          <w:rFonts w:ascii="Arial" w:hAnsi="Arial" w:cs="Arial"/>
          <w:sz w:val="22"/>
          <w:szCs w:val="22"/>
        </w:rPr>
        <w:t>Scior</w:t>
      </w:r>
      <w:proofErr w:type="spellEnd"/>
      <w:r w:rsidRPr="00032964">
        <w:rPr>
          <w:rFonts w:ascii="Arial" w:hAnsi="Arial" w:cs="Arial"/>
          <w:sz w:val="22"/>
          <w:szCs w:val="22"/>
        </w:rPr>
        <w:t xml:space="preserve"> and Werner (2016) highlight the importance of practitioner attitudes in shaping outcomes, suggesting that training must address unconscious bias and promote inclusive practice.</w:t>
      </w:r>
    </w:p>
    <w:p w14:paraId="030999A3"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5.2 Increased Investment in Accessible Services</w:t>
      </w:r>
    </w:p>
    <w:p w14:paraId="2257AFB3"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Government and local authorities should allocate resources to improve accessibility, including investment in assistive technologies, accessible housing, and inclusive transport. Bambra, Smith and Pearce (2015) argue that structural investment is essential for reducing health inequalities.</w:t>
      </w:r>
    </w:p>
    <w:p w14:paraId="18FC2353"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5.3 Integration of Hybrid Models</w:t>
      </w:r>
    </w:p>
    <w:p w14:paraId="1BE3E199"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Combining the social model with biopsychosocial or interactional approaches can provide a more holistic understanding of disability. Shakespeare (2014) supports an interactional model that acknowledges both impairment and social structures.</w:t>
      </w:r>
    </w:p>
    <w:p w14:paraId="10527823"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5.4 Strengthening Co</w:t>
      </w:r>
      <w:r w:rsidRPr="00032964">
        <w:rPr>
          <w:rFonts w:ascii="Arial" w:hAnsi="Arial" w:cs="Arial"/>
          <w:b/>
          <w:bCs/>
          <w:sz w:val="22"/>
          <w:szCs w:val="22"/>
        </w:rPr>
        <w:noBreakHyphen/>
        <w:t>Production</w:t>
      </w:r>
    </w:p>
    <w:p w14:paraId="46D78A1E"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Disabled people should be actively involved in designing policies and services. Beresford (2013) emphasises co</w:t>
      </w:r>
      <w:r w:rsidRPr="00032964">
        <w:rPr>
          <w:rFonts w:ascii="Arial" w:hAnsi="Arial" w:cs="Arial"/>
          <w:sz w:val="22"/>
          <w:szCs w:val="22"/>
        </w:rPr>
        <w:noBreakHyphen/>
        <w:t>production as essential for democratic and inclusive practice, suggesting that meaningful participation can improve service relevance and effectiveness.</w:t>
      </w:r>
    </w:p>
    <w:p w14:paraId="55DA6B9A" w14:textId="77777777"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5.5 Improved Monitoring and Accountability</w:t>
      </w:r>
    </w:p>
    <w:p w14:paraId="375ED075"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 xml:space="preserve">Regulatory bodies should monitor implementation more rigorously. </w:t>
      </w:r>
      <w:proofErr w:type="spellStart"/>
      <w:r w:rsidRPr="00032964">
        <w:rPr>
          <w:rFonts w:ascii="Arial" w:hAnsi="Arial" w:cs="Arial"/>
          <w:sz w:val="22"/>
          <w:szCs w:val="22"/>
        </w:rPr>
        <w:t>Roulstone</w:t>
      </w:r>
      <w:proofErr w:type="spellEnd"/>
      <w:r w:rsidRPr="00032964">
        <w:rPr>
          <w:rFonts w:ascii="Arial" w:hAnsi="Arial" w:cs="Arial"/>
          <w:sz w:val="22"/>
          <w:szCs w:val="22"/>
        </w:rPr>
        <w:t xml:space="preserve"> and Prideaux (2012) highlight the need for stronger governance mechanisms to ensure that social model principles are embedded consistently across services.</w:t>
      </w:r>
    </w:p>
    <w:p w14:paraId="2BF27443" w14:textId="77777777" w:rsidR="00032964" w:rsidRPr="00032964" w:rsidRDefault="00032964" w:rsidP="00032964">
      <w:pPr>
        <w:spacing w:line="360" w:lineRule="auto"/>
        <w:rPr>
          <w:rFonts w:ascii="Arial" w:hAnsi="Arial" w:cs="Arial"/>
          <w:b/>
          <w:bCs/>
          <w:sz w:val="22"/>
          <w:szCs w:val="22"/>
        </w:rPr>
      </w:pPr>
    </w:p>
    <w:p w14:paraId="65156031" w14:textId="77777777" w:rsidR="00032964" w:rsidRPr="00032964" w:rsidRDefault="00032964" w:rsidP="00032964">
      <w:pPr>
        <w:spacing w:line="360" w:lineRule="auto"/>
        <w:rPr>
          <w:rFonts w:ascii="Arial" w:hAnsi="Arial" w:cs="Arial"/>
          <w:b/>
          <w:bCs/>
          <w:sz w:val="22"/>
          <w:szCs w:val="22"/>
        </w:rPr>
      </w:pPr>
    </w:p>
    <w:p w14:paraId="393DF1A9" w14:textId="77777777" w:rsidR="00032964" w:rsidRPr="00032964" w:rsidRDefault="00032964" w:rsidP="00032964">
      <w:pPr>
        <w:spacing w:line="360" w:lineRule="auto"/>
        <w:rPr>
          <w:rFonts w:ascii="Arial" w:hAnsi="Arial" w:cs="Arial"/>
          <w:b/>
          <w:bCs/>
          <w:sz w:val="22"/>
          <w:szCs w:val="22"/>
        </w:rPr>
      </w:pPr>
    </w:p>
    <w:p w14:paraId="1DB8B48A" w14:textId="77777777" w:rsidR="00032964" w:rsidRPr="00032964" w:rsidRDefault="00032964" w:rsidP="00032964">
      <w:pPr>
        <w:spacing w:line="360" w:lineRule="auto"/>
        <w:rPr>
          <w:rFonts w:ascii="Arial" w:hAnsi="Arial" w:cs="Arial"/>
          <w:b/>
          <w:bCs/>
          <w:sz w:val="22"/>
          <w:szCs w:val="22"/>
        </w:rPr>
      </w:pPr>
    </w:p>
    <w:p w14:paraId="6CC9DE5B" w14:textId="77777777" w:rsidR="00032964" w:rsidRPr="00032964" w:rsidRDefault="00032964" w:rsidP="00032964">
      <w:pPr>
        <w:spacing w:line="360" w:lineRule="auto"/>
        <w:rPr>
          <w:rFonts w:ascii="Arial" w:hAnsi="Arial" w:cs="Arial"/>
          <w:b/>
          <w:bCs/>
          <w:sz w:val="22"/>
          <w:szCs w:val="22"/>
        </w:rPr>
      </w:pPr>
    </w:p>
    <w:p w14:paraId="792291B6" w14:textId="77777777" w:rsidR="00032964" w:rsidRPr="00032964" w:rsidRDefault="00032964" w:rsidP="00032964">
      <w:pPr>
        <w:spacing w:line="360" w:lineRule="auto"/>
        <w:rPr>
          <w:rFonts w:ascii="Arial" w:hAnsi="Arial" w:cs="Arial"/>
          <w:b/>
          <w:bCs/>
          <w:sz w:val="22"/>
          <w:szCs w:val="22"/>
        </w:rPr>
      </w:pPr>
    </w:p>
    <w:p w14:paraId="40C89FB6" w14:textId="77777777" w:rsidR="00032964" w:rsidRPr="00032964" w:rsidRDefault="00032964" w:rsidP="00032964">
      <w:pPr>
        <w:spacing w:line="360" w:lineRule="auto"/>
        <w:rPr>
          <w:rFonts w:ascii="Arial" w:hAnsi="Arial" w:cs="Arial"/>
          <w:b/>
          <w:bCs/>
          <w:sz w:val="22"/>
          <w:szCs w:val="22"/>
        </w:rPr>
      </w:pPr>
    </w:p>
    <w:p w14:paraId="4B6FE65B" w14:textId="3E3CE276" w:rsidR="00032964" w:rsidRPr="00032964" w:rsidRDefault="00032964" w:rsidP="00032964">
      <w:pPr>
        <w:spacing w:line="360" w:lineRule="auto"/>
        <w:rPr>
          <w:rFonts w:ascii="Arial" w:hAnsi="Arial" w:cs="Arial"/>
          <w:b/>
          <w:bCs/>
          <w:sz w:val="22"/>
          <w:szCs w:val="22"/>
        </w:rPr>
      </w:pPr>
      <w:r w:rsidRPr="00032964">
        <w:rPr>
          <w:rFonts w:ascii="Arial" w:hAnsi="Arial" w:cs="Arial"/>
          <w:b/>
          <w:bCs/>
          <w:sz w:val="22"/>
          <w:szCs w:val="22"/>
        </w:rPr>
        <w:t>Conclusion</w:t>
      </w:r>
    </w:p>
    <w:p w14:paraId="697E671C"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The social model of disability has played a transformative role in shaping person</w:t>
      </w:r>
      <w:r w:rsidRPr="00032964">
        <w:rPr>
          <w:rFonts w:ascii="Arial" w:hAnsi="Arial" w:cs="Arial"/>
          <w:sz w:val="22"/>
          <w:szCs w:val="22"/>
        </w:rPr>
        <w:noBreakHyphen/>
        <w:t>centred care and promoting inclusion within UK health and social care policy and practice. Although the model has faced substantial critique, it remains a powerful framework for promoting equality and autonomy. Strengthening training, investment, co</w:t>
      </w:r>
      <w:r w:rsidRPr="00032964">
        <w:rPr>
          <w:rFonts w:ascii="Arial" w:hAnsi="Arial" w:cs="Arial"/>
          <w:sz w:val="22"/>
          <w:szCs w:val="22"/>
        </w:rPr>
        <w:noBreakHyphen/>
        <w:t>production, and accountability can support more effective implementation. Ultimately, the social model continues to offer valuable insights for developing inclusive, person</w:t>
      </w:r>
      <w:r w:rsidRPr="00032964">
        <w:rPr>
          <w:rFonts w:ascii="Arial" w:hAnsi="Arial" w:cs="Arial"/>
          <w:sz w:val="22"/>
          <w:szCs w:val="22"/>
        </w:rPr>
        <w:noBreakHyphen/>
        <w:t>centred health and social care systems.</w:t>
      </w:r>
    </w:p>
    <w:p w14:paraId="31467E35"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An expanded understanding of the social model’s relevance demonstrates that its influence extends beyond theoretical discourse and into the practical realities of service delivery. By reframing disability as a socially constructed phenomenon, the model encourages practitioners and policymakers to recognise the centrality of environmental, organisational, and attitudinal barriers. This shift has contributed to a broader cultural change within health and social care, where person</w:t>
      </w:r>
      <w:r w:rsidRPr="00032964">
        <w:rPr>
          <w:rFonts w:ascii="Arial" w:hAnsi="Arial" w:cs="Arial"/>
          <w:sz w:val="22"/>
          <w:szCs w:val="22"/>
        </w:rPr>
        <w:noBreakHyphen/>
        <w:t>centred approaches increasingly emphasise empowerment, participation, and respect for individual preferences. The model’s focus on autonomy aligns closely with contemporary expectations of personalised care, shared decision</w:t>
      </w:r>
      <w:r w:rsidRPr="00032964">
        <w:rPr>
          <w:rFonts w:ascii="Arial" w:hAnsi="Arial" w:cs="Arial"/>
          <w:sz w:val="22"/>
          <w:szCs w:val="22"/>
        </w:rPr>
        <w:noBreakHyphen/>
        <w:t>making, and collaborative practice.</w:t>
      </w:r>
    </w:p>
    <w:p w14:paraId="78647358"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However, the continued evolution of health and social care requires ongoing reflection on how the social model can be applied in ways that acknowledge the complexity of disabled people’s lives. While the model highlights the importance of removing barriers, it must be integrated with approaches that recognise the embodied realities of impairment, particularly for individuals with chronic illness, fluctuating conditions, or profound cognitive disabilities. Hybrid frameworks, such as biopsychosocial and interactional models, offer opportunities to strengthen practice by combining structural analysis with attention to personal experience.</w:t>
      </w:r>
    </w:p>
    <w:p w14:paraId="40A9EABC" w14:textId="77777777" w:rsidR="00032964" w:rsidRPr="00032964" w:rsidRDefault="00032964" w:rsidP="00032964">
      <w:pPr>
        <w:spacing w:line="360" w:lineRule="auto"/>
        <w:rPr>
          <w:rFonts w:ascii="Arial" w:hAnsi="Arial" w:cs="Arial"/>
          <w:sz w:val="22"/>
          <w:szCs w:val="22"/>
        </w:rPr>
      </w:pPr>
      <w:r w:rsidRPr="00032964">
        <w:rPr>
          <w:rFonts w:ascii="Arial" w:hAnsi="Arial" w:cs="Arial"/>
          <w:sz w:val="22"/>
          <w:szCs w:val="22"/>
        </w:rPr>
        <w:t>In this context, the social model remains essential not because it provides a complete explanation of disability, but because it offers a principled foundation for promoting dignity, inclusion, and equality. Its continued relevance depends on sustained commitment to accessible environments, inclusive policy design, and meaningful involvement of disabled people in shaping the services that affect their lives.</w:t>
      </w:r>
    </w:p>
    <w:p w14:paraId="1BD2377B" w14:textId="77777777" w:rsidR="00A46D51" w:rsidRPr="00032964" w:rsidRDefault="00A46D51" w:rsidP="00032964">
      <w:pPr>
        <w:spacing w:line="360" w:lineRule="auto"/>
        <w:rPr>
          <w:rFonts w:ascii="Arial" w:hAnsi="Arial" w:cs="Arial"/>
          <w:b/>
          <w:bCs/>
          <w:sz w:val="22"/>
          <w:szCs w:val="22"/>
        </w:rPr>
      </w:pPr>
    </w:p>
    <w:p w14:paraId="7C53E02D" w14:textId="77777777" w:rsidR="00340631" w:rsidRPr="00032964" w:rsidRDefault="00340631" w:rsidP="00032964">
      <w:pPr>
        <w:spacing w:line="360" w:lineRule="auto"/>
        <w:rPr>
          <w:rFonts w:ascii="Arial" w:hAnsi="Arial" w:cs="Arial"/>
          <w:b/>
          <w:bCs/>
          <w:sz w:val="22"/>
          <w:szCs w:val="22"/>
        </w:rPr>
      </w:pPr>
    </w:p>
    <w:p w14:paraId="0686625D" w14:textId="77777777" w:rsidR="00032964" w:rsidRPr="00032964" w:rsidRDefault="00032964" w:rsidP="00032964">
      <w:pPr>
        <w:spacing w:line="360" w:lineRule="auto"/>
        <w:rPr>
          <w:rFonts w:ascii="Arial" w:hAnsi="Arial" w:cs="Arial"/>
          <w:b/>
          <w:bCs/>
          <w:sz w:val="22"/>
          <w:szCs w:val="22"/>
        </w:rPr>
      </w:pPr>
    </w:p>
    <w:p w14:paraId="5D993094" w14:textId="77777777" w:rsidR="00032964" w:rsidRPr="00032964" w:rsidRDefault="00032964" w:rsidP="00032964">
      <w:pPr>
        <w:spacing w:line="360" w:lineRule="auto"/>
        <w:rPr>
          <w:rFonts w:ascii="Arial" w:hAnsi="Arial" w:cs="Arial"/>
          <w:b/>
          <w:bCs/>
          <w:sz w:val="22"/>
          <w:szCs w:val="22"/>
        </w:rPr>
      </w:pPr>
    </w:p>
    <w:p w14:paraId="0FB545F3" w14:textId="77777777" w:rsidR="00032964" w:rsidRPr="00032964" w:rsidRDefault="00032964" w:rsidP="00032964">
      <w:pPr>
        <w:spacing w:line="360" w:lineRule="auto"/>
        <w:rPr>
          <w:rFonts w:ascii="Arial" w:hAnsi="Arial" w:cs="Arial"/>
          <w:b/>
          <w:bCs/>
          <w:sz w:val="22"/>
          <w:szCs w:val="22"/>
        </w:rPr>
      </w:pPr>
    </w:p>
    <w:p w14:paraId="00355680" w14:textId="384933B3" w:rsidR="00A46D51" w:rsidRPr="00032964" w:rsidRDefault="00000000" w:rsidP="00032964">
      <w:pPr>
        <w:spacing w:line="360" w:lineRule="auto"/>
        <w:rPr>
          <w:rFonts w:ascii="Arial" w:hAnsi="Arial" w:cs="Arial"/>
          <w:b/>
          <w:bCs/>
          <w:sz w:val="22"/>
          <w:szCs w:val="22"/>
        </w:rPr>
      </w:pPr>
      <w:r w:rsidRPr="00032964">
        <w:rPr>
          <w:rFonts w:ascii="Arial" w:hAnsi="Arial" w:cs="Arial"/>
          <w:b/>
          <w:bCs/>
          <w:sz w:val="22"/>
          <w:szCs w:val="22"/>
        </w:rPr>
        <w:t>Reference List</w:t>
      </w:r>
    </w:p>
    <w:p w14:paraId="1944229A" w14:textId="77777777" w:rsidR="00A46D51" w:rsidRPr="00032964" w:rsidRDefault="00A46D51" w:rsidP="00032964">
      <w:pPr>
        <w:spacing w:line="360" w:lineRule="auto"/>
        <w:rPr>
          <w:rFonts w:ascii="Arial" w:hAnsi="Arial" w:cs="Arial"/>
          <w:b/>
          <w:bCs/>
          <w:sz w:val="22"/>
          <w:szCs w:val="22"/>
        </w:rPr>
      </w:pPr>
    </w:p>
    <w:p w14:paraId="65F026F7"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Bambra, C., Smith, K. and Pearce, J. (2015) </w:t>
      </w:r>
      <w:r w:rsidRPr="00032964">
        <w:rPr>
          <w:rFonts w:ascii="Arial" w:hAnsi="Arial" w:cs="Arial"/>
          <w:i/>
          <w:iCs/>
          <w:sz w:val="22"/>
          <w:szCs w:val="22"/>
        </w:rPr>
        <w:t>Scaling Up: The Politics of Health and Place</w:t>
      </w:r>
      <w:r w:rsidRPr="00032964">
        <w:rPr>
          <w:rFonts w:ascii="Arial" w:hAnsi="Arial" w:cs="Arial"/>
          <w:sz w:val="22"/>
          <w:szCs w:val="22"/>
        </w:rPr>
        <w:t>. London: Policy Press.</w:t>
      </w:r>
    </w:p>
    <w:p w14:paraId="4913C2B4"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Barton, L. (1993) </w:t>
      </w:r>
      <w:r w:rsidRPr="00032964">
        <w:rPr>
          <w:rFonts w:ascii="Arial" w:hAnsi="Arial" w:cs="Arial"/>
          <w:i/>
          <w:iCs/>
          <w:sz w:val="22"/>
          <w:szCs w:val="22"/>
        </w:rPr>
        <w:t>Disability, Politics and the Struggle for Change</w:t>
      </w:r>
      <w:r w:rsidRPr="00032964">
        <w:rPr>
          <w:rFonts w:ascii="Arial" w:hAnsi="Arial" w:cs="Arial"/>
          <w:sz w:val="22"/>
          <w:szCs w:val="22"/>
        </w:rPr>
        <w:t>. London: Cassell.</w:t>
      </w:r>
    </w:p>
    <w:p w14:paraId="162151CE"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Beresford, P. (2013) </w:t>
      </w:r>
      <w:r w:rsidRPr="00032964">
        <w:rPr>
          <w:rFonts w:ascii="Arial" w:hAnsi="Arial" w:cs="Arial"/>
          <w:i/>
          <w:iCs/>
          <w:sz w:val="22"/>
          <w:szCs w:val="22"/>
        </w:rPr>
        <w:t>All Our Welfare: Towards Participatory Social Policy</w:t>
      </w:r>
      <w:r w:rsidRPr="00032964">
        <w:rPr>
          <w:rFonts w:ascii="Arial" w:hAnsi="Arial" w:cs="Arial"/>
          <w:sz w:val="22"/>
          <w:szCs w:val="22"/>
        </w:rPr>
        <w:t>. Bristol: Policy Press.</w:t>
      </w:r>
    </w:p>
    <w:p w14:paraId="174BFA38"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Bigby, C. and Beadle</w:t>
      </w:r>
      <w:r w:rsidRPr="00032964">
        <w:rPr>
          <w:rFonts w:ascii="Arial" w:hAnsi="Arial" w:cs="Arial"/>
          <w:sz w:val="22"/>
          <w:szCs w:val="22"/>
        </w:rPr>
        <w:noBreakHyphen/>
        <w:t xml:space="preserve">Brown, J. (2016) ‘Improving Quality of Life Outcomes in Supported Accommodation’, </w:t>
      </w:r>
      <w:r w:rsidRPr="00032964">
        <w:rPr>
          <w:rFonts w:ascii="Arial" w:hAnsi="Arial" w:cs="Arial"/>
          <w:i/>
          <w:iCs/>
          <w:sz w:val="22"/>
          <w:szCs w:val="22"/>
        </w:rPr>
        <w:t>Journal of Applied Research in Intellectual Disabilities</w:t>
      </w:r>
      <w:r w:rsidRPr="00032964">
        <w:rPr>
          <w:rFonts w:ascii="Arial" w:hAnsi="Arial" w:cs="Arial"/>
          <w:sz w:val="22"/>
          <w:szCs w:val="22"/>
        </w:rPr>
        <w:t>, 29(4), pp. 409–421.</w:t>
      </w:r>
    </w:p>
    <w:p w14:paraId="58CAFA87"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Burchardt, T. (2004) ‘Capabilities and Disability’, </w:t>
      </w:r>
      <w:r w:rsidRPr="00032964">
        <w:rPr>
          <w:rFonts w:ascii="Arial" w:hAnsi="Arial" w:cs="Arial"/>
          <w:i/>
          <w:iCs/>
          <w:sz w:val="22"/>
          <w:szCs w:val="22"/>
        </w:rPr>
        <w:t>Social Policy and Society</w:t>
      </w:r>
      <w:r w:rsidRPr="00032964">
        <w:rPr>
          <w:rFonts w:ascii="Arial" w:hAnsi="Arial" w:cs="Arial"/>
          <w:sz w:val="22"/>
          <w:szCs w:val="22"/>
        </w:rPr>
        <w:t>, 3(2), pp. 159–171.</w:t>
      </w:r>
    </w:p>
    <w:p w14:paraId="7DF9F21E"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Crow, L. (1996) ‘Including All of Our Lives’, in Morris, J. (ed.) </w:t>
      </w:r>
      <w:r w:rsidRPr="00032964">
        <w:rPr>
          <w:rFonts w:ascii="Arial" w:hAnsi="Arial" w:cs="Arial"/>
          <w:i/>
          <w:iCs/>
          <w:sz w:val="22"/>
          <w:szCs w:val="22"/>
        </w:rPr>
        <w:t>Encounters with Strangers</w:t>
      </w:r>
      <w:r w:rsidRPr="00032964">
        <w:rPr>
          <w:rFonts w:ascii="Arial" w:hAnsi="Arial" w:cs="Arial"/>
          <w:sz w:val="22"/>
          <w:szCs w:val="22"/>
        </w:rPr>
        <w:t>. London: Women’s Press.</w:t>
      </w:r>
    </w:p>
    <w:p w14:paraId="78CA6A5F"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Finkelstein, V. (1980) </w:t>
      </w:r>
      <w:r w:rsidRPr="00032964">
        <w:rPr>
          <w:rFonts w:ascii="Arial" w:hAnsi="Arial" w:cs="Arial"/>
          <w:i/>
          <w:iCs/>
          <w:sz w:val="22"/>
          <w:szCs w:val="22"/>
        </w:rPr>
        <w:t>Attitudes and Disabled People</w:t>
      </w:r>
      <w:r w:rsidRPr="00032964">
        <w:rPr>
          <w:rFonts w:ascii="Arial" w:hAnsi="Arial" w:cs="Arial"/>
          <w:sz w:val="22"/>
          <w:szCs w:val="22"/>
        </w:rPr>
        <w:t>. New York: World Rehabilitation Fund.</w:t>
      </w:r>
    </w:p>
    <w:p w14:paraId="085FB9EC"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Morris, J. (1991) </w:t>
      </w:r>
      <w:r w:rsidRPr="00032964">
        <w:rPr>
          <w:rFonts w:ascii="Arial" w:hAnsi="Arial" w:cs="Arial"/>
          <w:i/>
          <w:iCs/>
          <w:sz w:val="22"/>
          <w:szCs w:val="22"/>
        </w:rPr>
        <w:t>Pride Against Prejudice</w:t>
      </w:r>
      <w:r w:rsidRPr="00032964">
        <w:rPr>
          <w:rFonts w:ascii="Arial" w:hAnsi="Arial" w:cs="Arial"/>
          <w:sz w:val="22"/>
          <w:szCs w:val="22"/>
        </w:rPr>
        <w:t>. London: Women’s Press.</w:t>
      </w:r>
    </w:p>
    <w:p w14:paraId="5B6C4C81"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Priestley, M. (2003) </w:t>
      </w:r>
      <w:r w:rsidRPr="00032964">
        <w:rPr>
          <w:rFonts w:ascii="Arial" w:hAnsi="Arial" w:cs="Arial"/>
          <w:i/>
          <w:iCs/>
          <w:sz w:val="22"/>
          <w:szCs w:val="22"/>
        </w:rPr>
        <w:t>Disability: A Life Course Approach</w:t>
      </w:r>
      <w:r w:rsidRPr="00032964">
        <w:rPr>
          <w:rFonts w:ascii="Arial" w:hAnsi="Arial" w:cs="Arial"/>
          <w:sz w:val="22"/>
          <w:szCs w:val="22"/>
        </w:rPr>
        <w:t>. Cambridge: Polity Press.</w:t>
      </w:r>
    </w:p>
    <w:p w14:paraId="64BFCC6C"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Reeve, D. (2002) ‘Negotiating Psycho</w:t>
      </w:r>
      <w:r w:rsidRPr="00032964">
        <w:rPr>
          <w:rFonts w:ascii="Arial" w:hAnsi="Arial" w:cs="Arial"/>
          <w:sz w:val="22"/>
          <w:szCs w:val="22"/>
        </w:rPr>
        <w:noBreakHyphen/>
        <w:t xml:space="preserve">emotional Dimensions of Disability’, </w:t>
      </w:r>
      <w:r w:rsidRPr="00032964">
        <w:rPr>
          <w:rFonts w:ascii="Arial" w:hAnsi="Arial" w:cs="Arial"/>
          <w:i/>
          <w:iCs/>
          <w:sz w:val="22"/>
          <w:szCs w:val="22"/>
        </w:rPr>
        <w:t>Disability &amp; Society</w:t>
      </w:r>
      <w:r w:rsidRPr="00032964">
        <w:rPr>
          <w:rFonts w:ascii="Arial" w:hAnsi="Arial" w:cs="Arial"/>
          <w:sz w:val="22"/>
          <w:szCs w:val="22"/>
        </w:rPr>
        <w:t>, 17(5), pp. 493–508.</w:t>
      </w:r>
    </w:p>
    <w:p w14:paraId="2D124A17" w14:textId="77777777" w:rsidR="00A46D51" w:rsidRPr="00032964" w:rsidRDefault="00000000" w:rsidP="00032964">
      <w:pPr>
        <w:spacing w:line="360" w:lineRule="auto"/>
        <w:rPr>
          <w:rFonts w:ascii="Arial" w:hAnsi="Arial" w:cs="Arial"/>
          <w:sz w:val="22"/>
          <w:szCs w:val="22"/>
        </w:rPr>
      </w:pPr>
      <w:proofErr w:type="spellStart"/>
      <w:r w:rsidRPr="00032964">
        <w:rPr>
          <w:rFonts w:ascii="Arial" w:hAnsi="Arial" w:cs="Arial"/>
          <w:sz w:val="22"/>
          <w:szCs w:val="22"/>
        </w:rPr>
        <w:t>Roulstone</w:t>
      </w:r>
      <w:proofErr w:type="spellEnd"/>
      <w:r w:rsidRPr="00032964">
        <w:rPr>
          <w:rFonts w:ascii="Arial" w:hAnsi="Arial" w:cs="Arial"/>
          <w:sz w:val="22"/>
          <w:szCs w:val="22"/>
        </w:rPr>
        <w:t xml:space="preserve">, A. (2016) </w:t>
      </w:r>
      <w:r w:rsidRPr="00032964">
        <w:rPr>
          <w:rFonts w:ascii="Arial" w:hAnsi="Arial" w:cs="Arial"/>
          <w:i/>
          <w:iCs/>
          <w:sz w:val="22"/>
          <w:szCs w:val="22"/>
        </w:rPr>
        <w:t>Disability and Technology</w:t>
      </w:r>
      <w:r w:rsidRPr="00032964">
        <w:rPr>
          <w:rFonts w:ascii="Arial" w:hAnsi="Arial" w:cs="Arial"/>
          <w:sz w:val="22"/>
          <w:szCs w:val="22"/>
        </w:rPr>
        <w:t>. London: Palgrave.</w:t>
      </w:r>
    </w:p>
    <w:p w14:paraId="31B11BB0" w14:textId="77777777" w:rsidR="00A46D51" w:rsidRPr="00032964" w:rsidRDefault="00000000" w:rsidP="00032964">
      <w:pPr>
        <w:spacing w:line="360" w:lineRule="auto"/>
        <w:rPr>
          <w:rFonts w:ascii="Arial" w:hAnsi="Arial" w:cs="Arial"/>
          <w:sz w:val="22"/>
          <w:szCs w:val="22"/>
        </w:rPr>
      </w:pPr>
      <w:proofErr w:type="spellStart"/>
      <w:r w:rsidRPr="00032964">
        <w:rPr>
          <w:rFonts w:ascii="Arial" w:hAnsi="Arial" w:cs="Arial"/>
          <w:sz w:val="22"/>
          <w:szCs w:val="22"/>
        </w:rPr>
        <w:t>Roulstone</w:t>
      </w:r>
      <w:proofErr w:type="spellEnd"/>
      <w:r w:rsidRPr="00032964">
        <w:rPr>
          <w:rFonts w:ascii="Arial" w:hAnsi="Arial" w:cs="Arial"/>
          <w:sz w:val="22"/>
          <w:szCs w:val="22"/>
        </w:rPr>
        <w:t xml:space="preserve">, A. and Prideaux, S. (2012) ‘Understanding Disability Policy’, </w:t>
      </w:r>
      <w:r w:rsidRPr="00032964">
        <w:rPr>
          <w:rFonts w:ascii="Arial" w:hAnsi="Arial" w:cs="Arial"/>
          <w:i/>
          <w:iCs/>
          <w:sz w:val="22"/>
          <w:szCs w:val="22"/>
        </w:rPr>
        <w:t>Policy &amp; Politics</w:t>
      </w:r>
      <w:r w:rsidRPr="00032964">
        <w:rPr>
          <w:rFonts w:ascii="Arial" w:hAnsi="Arial" w:cs="Arial"/>
          <w:sz w:val="22"/>
          <w:szCs w:val="22"/>
        </w:rPr>
        <w:t>, 40(2), pp. 187–206.</w:t>
      </w:r>
    </w:p>
    <w:p w14:paraId="728005C7" w14:textId="77777777" w:rsidR="00A46D51" w:rsidRPr="00032964" w:rsidRDefault="00000000" w:rsidP="00032964">
      <w:pPr>
        <w:spacing w:line="360" w:lineRule="auto"/>
        <w:rPr>
          <w:rFonts w:ascii="Arial" w:hAnsi="Arial" w:cs="Arial"/>
          <w:sz w:val="22"/>
          <w:szCs w:val="22"/>
        </w:rPr>
      </w:pPr>
      <w:proofErr w:type="spellStart"/>
      <w:r w:rsidRPr="00032964">
        <w:rPr>
          <w:rFonts w:ascii="Arial" w:hAnsi="Arial" w:cs="Arial"/>
          <w:sz w:val="22"/>
          <w:szCs w:val="22"/>
        </w:rPr>
        <w:t>Scior</w:t>
      </w:r>
      <w:proofErr w:type="spellEnd"/>
      <w:r w:rsidRPr="00032964">
        <w:rPr>
          <w:rFonts w:ascii="Arial" w:hAnsi="Arial" w:cs="Arial"/>
          <w:sz w:val="22"/>
          <w:szCs w:val="22"/>
        </w:rPr>
        <w:t xml:space="preserve">, K. and Werner, S. (2016) ‘Intellectual Disability Stigma and Health Care’, </w:t>
      </w:r>
      <w:r w:rsidRPr="00032964">
        <w:rPr>
          <w:rFonts w:ascii="Arial" w:hAnsi="Arial" w:cs="Arial"/>
          <w:i/>
          <w:iCs/>
          <w:sz w:val="22"/>
          <w:szCs w:val="22"/>
        </w:rPr>
        <w:t>Journal of Applied Research in Intellectual Disabilities</w:t>
      </w:r>
      <w:r w:rsidRPr="00032964">
        <w:rPr>
          <w:rFonts w:ascii="Arial" w:hAnsi="Arial" w:cs="Arial"/>
          <w:sz w:val="22"/>
          <w:szCs w:val="22"/>
        </w:rPr>
        <w:t>, 29(4), pp. 261–274.</w:t>
      </w:r>
    </w:p>
    <w:p w14:paraId="346A9124"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Shakespeare, T. (2014) </w:t>
      </w:r>
      <w:r w:rsidRPr="00032964">
        <w:rPr>
          <w:rFonts w:ascii="Arial" w:hAnsi="Arial" w:cs="Arial"/>
          <w:i/>
          <w:iCs/>
          <w:sz w:val="22"/>
          <w:szCs w:val="22"/>
        </w:rPr>
        <w:t>Disability Rights and Wrongs Revisited</w:t>
      </w:r>
      <w:r w:rsidRPr="00032964">
        <w:rPr>
          <w:rFonts w:ascii="Arial" w:hAnsi="Arial" w:cs="Arial"/>
          <w:sz w:val="22"/>
          <w:szCs w:val="22"/>
        </w:rPr>
        <w:t>. London: Routledge.</w:t>
      </w:r>
    </w:p>
    <w:p w14:paraId="774ED0A4" w14:textId="77777777" w:rsidR="00A46D51" w:rsidRPr="00032964" w:rsidRDefault="00000000" w:rsidP="00032964">
      <w:pPr>
        <w:spacing w:line="360" w:lineRule="auto"/>
        <w:rPr>
          <w:rFonts w:ascii="Arial" w:hAnsi="Arial" w:cs="Arial"/>
          <w:sz w:val="22"/>
          <w:szCs w:val="22"/>
        </w:rPr>
      </w:pPr>
      <w:r w:rsidRPr="00032964">
        <w:rPr>
          <w:rFonts w:ascii="Arial" w:hAnsi="Arial" w:cs="Arial"/>
          <w:sz w:val="22"/>
          <w:szCs w:val="22"/>
        </w:rPr>
        <w:t xml:space="preserve">Thomas, P. and Woods, A. (2018) </w:t>
      </w:r>
      <w:r w:rsidRPr="00032964">
        <w:rPr>
          <w:rFonts w:ascii="Arial" w:hAnsi="Arial" w:cs="Arial"/>
          <w:i/>
          <w:iCs/>
          <w:sz w:val="22"/>
          <w:szCs w:val="22"/>
        </w:rPr>
        <w:t>Mental Health and Society</w:t>
      </w:r>
      <w:r w:rsidRPr="00032964">
        <w:rPr>
          <w:rFonts w:ascii="Arial" w:hAnsi="Arial" w:cs="Arial"/>
          <w:sz w:val="22"/>
          <w:szCs w:val="22"/>
        </w:rPr>
        <w:t>. London: Sage.</w:t>
      </w:r>
    </w:p>
    <w:p w14:paraId="25A7171F" w14:textId="77777777" w:rsidR="00A46D51" w:rsidRPr="00032964" w:rsidRDefault="00A46D51" w:rsidP="00032964">
      <w:pPr>
        <w:spacing w:line="360" w:lineRule="auto"/>
        <w:rPr>
          <w:rFonts w:ascii="Arial" w:hAnsi="Arial" w:cs="Arial"/>
          <w:sz w:val="22"/>
          <w:szCs w:val="22"/>
        </w:rPr>
      </w:pPr>
    </w:p>
    <w:sectPr w:rsidR="00A46D51" w:rsidRPr="00032964">
      <w:foot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E9460" w14:textId="77777777" w:rsidR="001950CC" w:rsidRDefault="001950CC">
      <w:pPr>
        <w:spacing w:after="0" w:line="240" w:lineRule="auto"/>
      </w:pPr>
      <w:r>
        <w:separator/>
      </w:r>
    </w:p>
  </w:endnote>
  <w:endnote w:type="continuationSeparator" w:id="0">
    <w:p w14:paraId="184B8F06" w14:textId="77777777" w:rsidR="001950CC" w:rsidRDefault="00195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676202"/>
      <w:docPartObj>
        <w:docPartGallery w:val="Page Numbers (Bottom of Page)"/>
        <w:docPartUnique/>
      </w:docPartObj>
    </w:sdtPr>
    <w:sdtEndPr>
      <w:rPr>
        <w:noProof/>
      </w:rPr>
    </w:sdtEndPr>
    <w:sdtContent>
      <w:p w14:paraId="38B3F908" w14:textId="30BF0798" w:rsidR="00340631" w:rsidRDefault="003406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730A6A" w14:textId="77777777" w:rsidR="00340631" w:rsidRDefault="00340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30800" w14:textId="77777777" w:rsidR="001950CC" w:rsidRDefault="001950CC">
      <w:pPr>
        <w:spacing w:after="0" w:line="240" w:lineRule="auto"/>
      </w:pPr>
      <w:r>
        <w:rPr>
          <w:color w:val="000000"/>
        </w:rPr>
        <w:separator/>
      </w:r>
    </w:p>
  </w:footnote>
  <w:footnote w:type="continuationSeparator" w:id="0">
    <w:p w14:paraId="4D6DD920" w14:textId="77777777" w:rsidR="001950CC" w:rsidRDefault="001950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6D51"/>
    <w:rsid w:val="00032964"/>
    <w:rsid w:val="00076F09"/>
    <w:rsid w:val="001950CC"/>
    <w:rsid w:val="00340631"/>
    <w:rsid w:val="00880B5D"/>
    <w:rsid w:val="00A46D51"/>
    <w:rsid w:val="00AF0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FF272"/>
  <w15:docId w15:val="{212201BF-A941-405F-A973-71990644D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340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631"/>
  </w:style>
  <w:style w:type="paragraph" w:styleId="Footer">
    <w:name w:val="footer"/>
    <w:basedOn w:val="Normal"/>
    <w:link w:val="FooterChar"/>
    <w:uiPriority w:val="99"/>
    <w:unhideWhenUsed/>
    <w:rsid w:val="00340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6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2436</Words>
  <Characters>13887</Characters>
  <Application>Microsoft Office Word</Application>
  <DocSecurity>0</DocSecurity>
  <Lines>115</Lines>
  <Paragraphs>32</Paragraphs>
  <ScaleCrop>false</ScaleCrop>
  <Company/>
  <LinksUpToDate>false</LinksUpToDate>
  <CharactersWithSpaces>16291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Nelu Junior</dc:creator>
  <dc:description/>
  <cp:lastModifiedBy>Nelu Junior</cp:lastModifiedBy>
  <cp:revision>2</cp:revision>
  <dcterms:created xsi:type="dcterms:W3CDTF">2026-08-09T10:33:00Z</dcterms:created>
  <dcterms:modified xsi:type="dcterms:W3CDTF">2026-08-09T10:33:00Z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70742b5e-58bd-45c1-9eb5-051b035d7b6f</vt:lpwstr>
  </property>
</Properties>
</file>