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rFonts w:ascii="Aptos Display" w:hAnsi="Aptos Display"/>
          <w:b/>
          <w:color w:val="0B5661"/>
          <w:sz w:val="40"/>
        </w:rPr>
        <w:t>Financial Ratio Analysis</w:t>
      </w:r>
    </w:p>
    <w:p>
      <w:pPr>
        <w:spacing w:after="20"/>
        <w:jc w:val="center"/>
      </w:pPr>
      <w:r>
        <w:rPr>
          <w:b/>
          <w:color w:val="F05A00"/>
          <w:sz w:val="21"/>
        </w:rPr>
        <w:t>InterContinental Hotels Group PLC (IHG), 2020-2024</w:t>
      </w:r>
    </w:p>
    <w:p>
      <w:pPr>
        <w:spacing w:before="0" w:after="40"/>
      </w:pPr>
      <w:r>
        <w:rPr>
          <w:color w:val="F05A00"/>
          <w:sz w:val="14"/>
        </w:rPr>
        <w:t>━━━━━━━━━━━━━━━━━━━━━━━━━━━━━━━━━━━━━━━━━━━━━━━━━━━━━━━━━━</w:t>
      </w:r>
    </w:p>
    <w:p>
      <w:pPr>
        <w:spacing w:after="60"/>
      </w:pPr>
      <w:r>
        <w:t>The ratios show a strong recovery from 2020, with major improvements in profitability and efficiency. However, liquidity tightened and interest coverage weakened in 2024.</w:t>
      </w:r>
    </w:p>
    <w:tbl>
      <w:tblPr>
        <w:tblW w:type="auto" w:w="0"/>
        <w:jc w:val="center"/>
        <w:tblLayout w:type="fixed"/>
        <w:tblLook w:firstColumn="1" w:firstRow="1" w:lastColumn="0" w:lastRow="0" w:noHBand="0" w:noVBand="1" w:val="04A0"/>
      </w:tblPr>
      <w:tblGrid>
        <w:gridCol w:w="2448"/>
        <w:gridCol w:w="1152"/>
        <w:gridCol w:w="1152"/>
        <w:gridCol w:w="4608"/>
      </w:tblGrid>
      <w:tr>
        <w:tc>
          <w:tcPr>
            <w:tcW w:type="dxa" w:w="2473"/>
            <w:vAlign w:val="center"/>
            <w:shd w:fill="F05A00"/>
          </w:tcPr>
          <w:p>
            <w:pPr>
              <w:jc w:val="center"/>
            </w:pPr>
            <w:r>
              <w:rPr>
                <w:b/>
                <w:color w:val="FFFFFF"/>
                <w:sz w:val="17"/>
              </w:rPr>
              <w:t>Selected ratio</w:t>
            </w:r>
          </w:p>
        </w:tc>
        <w:tc>
          <w:tcPr>
            <w:tcW w:type="dxa" w:w="2473"/>
            <w:vAlign w:val="center"/>
            <w:shd w:fill="F05A00"/>
          </w:tcPr>
          <w:p>
            <w:pPr>
              <w:jc w:val="center"/>
            </w:pPr>
            <w:r>
              <w:rPr>
                <w:b/>
                <w:color w:val="FFFFFF"/>
                <w:sz w:val="17"/>
              </w:rPr>
              <w:t>2020</w:t>
            </w:r>
          </w:p>
        </w:tc>
        <w:tc>
          <w:tcPr>
            <w:tcW w:type="dxa" w:w="2473"/>
            <w:vAlign w:val="center"/>
            <w:shd w:fill="F05A00"/>
          </w:tcPr>
          <w:p>
            <w:pPr>
              <w:jc w:val="center"/>
            </w:pPr>
            <w:r>
              <w:rPr>
                <w:b/>
                <w:color w:val="FFFFFF"/>
                <w:sz w:val="17"/>
              </w:rPr>
              <w:t>2024</w:t>
            </w:r>
          </w:p>
        </w:tc>
        <w:tc>
          <w:tcPr>
            <w:tcW w:type="dxa" w:w="2473"/>
            <w:vAlign w:val="center"/>
            <w:shd w:fill="F05A00"/>
          </w:tcPr>
          <w:p>
            <w:pPr>
              <w:jc w:val="center"/>
            </w:pPr>
            <w:r>
              <w:rPr>
                <w:b/>
                <w:color w:val="FFFFFF"/>
                <w:sz w:val="17"/>
              </w:rPr>
              <w:t>Interpretation</w:t>
            </w:r>
          </w:p>
        </w:tc>
      </w:tr>
      <w:tr>
        <w:tc>
          <w:tcPr>
            <w:tcW w:type="dxa" w:w="2448"/>
            <w:vAlign w:val="center"/>
          </w:tcPr>
          <w:p>
            <w:pPr>
              <w:spacing w:after="0"/>
            </w:pPr>
            <w:r>
              <w:rPr>
                <w:sz w:val="17"/>
              </w:rPr>
              <w:t>Operating margin</w:t>
            </w:r>
          </w:p>
        </w:tc>
        <w:tc>
          <w:tcPr>
            <w:tcW w:type="dxa" w:w="1152"/>
            <w:vAlign w:val="center"/>
          </w:tcPr>
          <w:p>
            <w:pPr>
              <w:spacing w:after="0"/>
              <w:jc w:val="center"/>
            </w:pPr>
            <w:r>
              <w:rPr>
                <w:sz w:val="17"/>
              </w:rPr>
              <w:t>(6.4%)</w:t>
            </w:r>
          </w:p>
        </w:tc>
        <w:tc>
          <w:tcPr>
            <w:tcW w:type="dxa" w:w="1152"/>
            <w:vAlign w:val="center"/>
          </w:tcPr>
          <w:p>
            <w:pPr>
              <w:spacing w:after="0"/>
              <w:jc w:val="center"/>
            </w:pPr>
            <w:r>
              <w:rPr>
                <w:sz w:val="17"/>
              </w:rPr>
              <w:t>21.1%</w:t>
            </w:r>
          </w:p>
        </w:tc>
        <w:tc>
          <w:tcPr>
            <w:tcW w:type="dxa" w:w="4608"/>
            <w:vAlign w:val="center"/>
          </w:tcPr>
          <w:p>
            <w:pPr>
              <w:spacing w:after="0"/>
            </w:pPr>
            <w:r>
              <w:rPr>
                <w:sz w:val="17"/>
              </w:rPr>
              <w:t>Strong recovery, but below the 23.1% peak in 2023.</w:t>
            </w:r>
          </w:p>
        </w:tc>
      </w:tr>
      <w:tr>
        <w:tc>
          <w:tcPr>
            <w:tcW w:type="dxa" w:w="2448"/>
            <w:vAlign w:val="center"/>
            <w:shd w:fill="EEF4F5"/>
          </w:tcPr>
          <w:p>
            <w:pPr>
              <w:spacing w:after="0"/>
            </w:pPr>
            <w:r>
              <w:rPr>
                <w:sz w:val="17"/>
              </w:rPr>
              <w:t>Current ratio</w:t>
            </w:r>
          </w:p>
        </w:tc>
        <w:tc>
          <w:tcPr>
            <w:tcW w:type="dxa" w:w="1152"/>
            <w:vAlign w:val="center"/>
            <w:shd w:fill="EEF4F5"/>
          </w:tcPr>
          <w:p>
            <w:pPr>
              <w:spacing w:after="0"/>
              <w:jc w:val="center"/>
            </w:pPr>
            <w:r>
              <w:rPr>
                <w:sz w:val="17"/>
              </w:rPr>
              <w:t>1.2x</w:t>
            </w:r>
          </w:p>
        </w:tc>
        <w:tc>
          <w:tcPr>
            <w:tcW w:type="dxa" w:w="1152"/>
            <w:vAlign w:val="center"/>
            <w:shd w:fill="EEF4F5"/>
          </w:tcPr>
          <w:p>
            <w:pPr>
              <w:spacing w:after="0"/>
              <w:jc w:val="center"/>
            </w:pPr>
            <w:r>
              <w:rPr>
                <w:sz w:val="17"/>
              </w:rPr>
              <w:t>1.0x</w:t>
            </w:r>
          </w:p>
        </w:tc>
        <w:tc>
          <w:tcPr>
            <w:tcW w:type="dxa" w:w="4608"/>
            <w:vAlign w:val="center"/>
            <w:shd w:fill="EEF4F5"/>
          </w:tcPr>
          <w:p>
            <w:pPr>
              <w:spacing w:after="0"/>
            </w:pPr>
            <w:r>
              <w:rPr>
                <w:sz w:val="17"/>
              </w:rPr>
              <w:t>Short-term coverage is now slightly below 1.0x.</w:t>
            </w:r>
          </w:p>
        </w:tc>
      </w:tr>
      <w:tr>
        <w:tc>
          <w:tcPr>
            <w:tcW w:type="dxa" w:w="2448"/>
            <w:vAlign w:val="center"/>
          </w:tcPr>
          <w:p>
            <w:pPr>
              <w:spacing w:after="0"/>
            </w:pPr>
            <w:r>
              <w:rPr>
                <w:sz w:val="17"/>
              </w:rPr>
              <w:t>Asset turnover</w:t>
            </w:r>
          </w:p>
        </w:tc>
        <w:tc>
          <w:tcPr>
            <w:tcW w:type="dxa" w:w="1152"/>
            <w:vAlign w:val="center"/>
          </w:tcPr>
          <w:p>
            <w:pPr>
              <w:spacing w:after="0"/>
              <w:jc w:val="center"/>
            </w:pPr>
            <w:r>
              <w:rPr>
                <w:sz w:val="17"/>
              </w:rPr>
              <w:t>0.5x</w:t>
            </w:r>
          </w:p>
        </w:tc>
        <w:tc>
          <w:tcPr>
            <w:tcW w:type="dxa" w:w="1152"/>
            <w:vAlign w:val="center"/>
          </w:tcPr>
          <w:p>
            <w:pPr>
              <w:spacing w:after="0"/>
              <w:jc w:val="center"/>
            </w:pPr>
            <w:r>
              <w:rPr>
                <w:sz w:val="17"/>
              </w:rPr>
              <w:t>1.0x</w:t>
            </w:r>
          </w:p>
        </w:tc>
        <w:tc>
          <w:tcPr>
            <w:tcW w:type="dxa" w:w="4608"/>
            <w:vAlign w:val="center"/>
          </w:tcPr>
          <w:p>
            <w:pPr>
              <w:spacing w:after="0"/>
            </w:pPr>
            <w:r>
              <w:rPr>
                <w:sz w:val="17"/>
              </w:rPr>
              <w:t>Revenue generated from the asset base improved.</w:t>
            </w:r>
          </w:p>
        </w:tc>
      </w:tr>
      <w:tr>
        <w:tc>
          <w:tcPr>
            <w:tcW w:type="dxa" w:w="2448"/>
            <w:vAlign w:val="center"/>
            <w:shd w:fill="EEF4F5"/>
          </w:tcPr>
          <w:p>
            <w:pPr>
              <w:spacing w:after="0"/>
            </w:pPr>
            <w:r>
              <w:rPr>
                <w:sz w:val="17"/>
              </w:rPr>
              <w:t>Interest coverage</w:t>
            </w:r>
          </w:p>
        </w:tc>
        <w:tc>
          <w:tcPr>
            <w:tcW w:type="dxa" w:w="1152"/>
            <w:vAlign w:val="center"/>
            <w:shd w:fill="EEF4F5"/>
          </w:tcPr>
          <w:p>
            <w:pPr>
              <w:spacing w:after="0"/>
              <w:jc w:val="center"/>
            </w:pPr>
            <w:r>
              <w:rPr>
                <w:sz w:val="17"/>
              </w:rPr>
              <w:t>(1.1x)</w:t>
            </w:r>
          </w:p>
        </w:tc>
        <w:tc>
          <w:tcPr>
            <w:tcW w:type="dxa" w:w="1152"/>
            <w:vAlign w:val="center"/>
            <w:shd w:fill="EEF4F5"/>
          </w:tcPr>
          <w:p>
            <w:pPr>
              <w:spacing w:after="0"/>
              <w:jc w:val="center"/>
            </w:pPr>
            <w:r>
              <w:rPr>
                <w:sz w:val="17"/>
              </w:rPr>
              <w:t>5.1x</w:t>
            </w:r>
          </w:p>
        </w:tc>
        <w:tc>
          <w:tcPr>
            <w:tcW w:type="dxa" w:w="4608"/>
            <w:vAlign w:val="center"/>
            <w:shd w:fill="EEF4F5"/>
          </w:tcPr>
          <w:p>
            <w:pPr>
              <w:spacing w:after="0"/>
            </w:pPr>
            <w:r>
              <w:rPr>
                <w:sz w:val="17"/>
              </w:rPr>
              <w:t>Recovered strongly, but fell from 11.7x in 2023.</w:t>
            </w:r>
          </w:p>
        </w:tc>
      </w:tr>
    </w:tbl>
    <w:p>
      <w:pPr>
        <w:pStyle w:val="IHGHeadingCompact"/>
      </w:pPr>
      <w:r>
        <w:t>Profitability</w:t>
      </w:r>
    </w:p>
    <w:p>
      <w:r>
        <w:t>Gross margin stayed stable at approximately 83%-85%. Operating margin improved from negative 6.4% in 2020 to 23.1% in 2023, then eased to 21.1% in 2024. Net margin also peaked in 2023 at 16.2% before falling to 12.8%, partly because financial expenses increased.</w:t>
      </w:r>
    </w:p>
    <w:p>
      <w:pPr>
        <w:pStyle w:val="IHGHeadingCompact"/>
      </w:pPr>
      <w:r>
        <w:t>Liquidity</w:t>
      </w:r>
    </w:p>
    <w:p>
      <w:r>
        <w:t>Current and quick ratios were above 1.0x through 2022 but fell to about 0.97x in 2023 and 2024. The quick ratio is similar because inventory is minimal. The cash ratio declined from 0.90x in 2020 to 0.52x in 2024, indicating lower cash coverage of current liabilities.</w:t>
      </w:r>
    </w:p>
    <w:p>
      <w:pPr>
        <w:pStyle w:val="IHGHeadingCompact"/>
      </w:pPr>
      <w:r>
        <w:t>Efficiency</w:t>
      </w:r>
    </w:p>
    <w:p>
      <w:r>
        <w:t>Asset turnover rose from 0.52x to 1.03x, while fixed asset turnover increased from 9.4x to 32.9x. These results show improved revenue generation and are consistent with IHG's asset-light franchising and management model.</w:t>
      </w:r>
    </w:p>
    <w:p>
      <w:pPr>
        <w:pStyle w:val="IHGHeadingCompact"/>
      </w:pPr>
      <w:r>
        <w:t>Leverage and interest coverage</w:t>
      </w:r>
    </w:p>
    <w:p>
      <w:r>
        <w:t>Interest coverage improved from negative 1.1x in 2020 to 11.7x in 2023, before declining to 5.1x in 2024. Debt-to-equity is negative throughout because shareholders' equity is negative, so the ratio is not meaningful as a normal positive leverage measure.</w:t>
      </w:r>
    </w:p>
    <w:tbl>
      <w:tblPr>
        <w:tblW w:type="auto" w:w="0"/>
        <w:tblLook w:firstColumn="1" w:firstRow="1" w:lastColumn="0" w:lastRow="0" w:noHBand="0" w:noVBand="1" w:val="04A0"/>
      </w:tblPr>
      <w:tblGrid>
        <w:gridCol w:w="9893"/>
      </w:tblGrid>
      <w:tr>
        <w:tc>
          <w:tcPr>
            <w:tcW w:type="dxa" w:w="9893"/>
            <w:shd w:fill="FFF2CC"/>
          </w:tcPr>
          <w:p>
            <w:pPr>
              <w:spacing w:after="0"/>
            </w:pPr>
            <w:r>
              <w:rPr>
                <w:b/>
                <w:color w:val="7F6000"/>
                <w:sz w:val="18"/>
              </w:rPr>
              <w:t>Overall: IHG has recovered strongly since 2020, but the declining cash ratio, higher 2024 finance costs and continuing negative equity should be monitored.</w:t>
            </w:r>
          </w:p>
        </w:tc>
      </w:tr>
    </w:tbl>
    <w:p>
      <w:pPr>
        <w:spacing w:before="40" w:after="0"/>
      </w:pPr>
      <w:r>
        <w:rPr>
          <w:i/>
          <w:color w:val="5B6570"/>
          <w:sz w:val="15"/>
        </w:rPr>
        <w:t>Source: IHG Annual Reports and Form 20-F 2020-2024 and the accompanying workbook. The 2019 balance-sheet inputs used for 2020 turnover ratios are from the 2020 Annual Report, page 131.</w:t>
      </w:r>
    </w:p>
    <w:sectPr w:rsidR="00FC693F" w:rsidRPr="0006063C" w:rsidSect="00034616">
      <w:pgSz w:w="11909" w:h="16834"/>
      <w:pgMar w:top="720"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30" w:line="240" w:lineRule="auto"/>
    </w:pPr>
    <w:rPr>
      <w:rFonts w:ascii="Aptos" w:hAnsi="Aptos"/>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HGHeadingCompact">
    <w:name w:val="IHG Heading Compact"/>
    <w:pPr>
      <w:spacing w:before="80" w:after="0"/>
    </w:pPr>
    <w:rPr>
      <w:rFonts w:ascii="Aptos Display" w:hAnsi="Aptos Display"/>
      <w:b/>
      <w:color w:val="0B5661"/>
      <w:sz w:val="2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