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306F2" w14:textId="77777777" w:rsidR="002C2C2F" w:rsidRDefault="002C2C2F">
      <w:pPr>
        <w:spacing w:after="800"/>
        <w:jc w:val="center"/>
        <w:rPr>
          <w:b/>
          <w:bCs/>
          <w:sz w:val="24"/>
          <w:szCs w:val="24"/>
        </w:rPr>
      </w:pPr>
    </w:p>
    <w:p w14:paraId="32E555EF" w14:textId="77777777" w:rsidR="002C2C2F" w:rsidRDefault="002C2C2F">
      <w:pPr>
        <w:spacing w:after="800"/>
        <w:jc w:val="center"/>
        <w:rPr>
          <w:b/>
          <w:bCs/>
          <w:sz w:val="24"/>
          <w:szCs w:val="24"/>
        </w:rPr>
      </w:pPr>
    </w:p>
    <w:p w14:paraId="61D5F8FC" w14:textId="77777777" w:rsidR="002C2C2F" w:rsidRDefault="002C2C2F">
      <w:pPr>
        <w:spacing w:after="800"/>
        <w:jc w:val="center"/>
        <w:rPr>
          <w:b/>
          <w:bCs/>
          <w:sz w:val="24"/>
          <w:szCs w:val="24"/>
        </w:rPr>
      </w:pPr>
    </w:p>
    <w:p w14:paraId="2632E5CD" w14:textId="231E70B1" w:rsidR="00A64C8A" w:rsidRDefault="00000000">
      <w:pPr>
        <w:spacing w:after="800"/>
        <w:jc w:val="center"/>
      </w:pPr>
      <w:r>
        <w:rPr>
          <w:b/>
          <w:bCs/>
          <w:sz w:val="24"/>
          <w:szCs w:val="24"/>
        </w:rPr>
        <w:t>A Case Study Report on Mr Ahmed</w:t>
      </w:r>
    </w:p>
    <w:p w14:paraId="2632E5CE" w14:textId="10F78FCE" w:rsidR="00A64C8A" w:rsidRDefault="00000000">
      <w:pPr>
        <w:spacing w:after="200"/>
        <w:jc w:val="center"/>
      </w:pPr>
      <w:r>
        <w:t xml:space="preserve">Student Name: </w:t>
      </w:r>
      <w:r w:rsidR="00455AC3">
        <w:t>Monica Giesell Charry Lamprea</w:t>
      </w:r>
    </w:p>
    <w:p w14:paraId="2632E5CF" w14:textId="229E7A99" w:rsidR="00A64C8A" w:rsidRDefault="00000000">
      <w:pPr>
        <w:spacing w:after="200"/>
        <w:jc w:val="center"/>
      </w:pPr>
      <w:r>
        <w:t xml:space="preserve">Student Number: </w:t>
      </w:r>
      <w:r w:rsidR="00455AC3">
        <w:t>2514548</w:t>
      </w:r>
    </w:p>
    <w:p w14:paraId="2632E5D0" w14:textId="16A736F2" w:rsidR="00A64C8A" w:rsidRDefault="00000000">
      <w:pPr>
        <w:spacing w:after="200"/>
        <w:jc w:val="center"/>
      </w:pPr>
      <w:r>
        <w:t xml:space="preserve">Module Code and Title: LCHS4003 </w:t>
      </w:r>
      <w:r w:rsidR="001A32FC">
        <w:t>I</w:t>
      </w:r>
      <w:r>
        <w:t>n</w:t>
      </w:r>
      <w:r w:rsidR="001A32FC">
        <w:t>troduction to</w:t>
      </w:r>
      <w:r>
        <w:t xml:space="preserve"> Health and Social Care</w:t>
      </w:r>
    </w:p>
    <w:p w14:paraId="2632E5D1" w14:textId="6E33F150" w:rsidR="00A64C8A" w:rsidRDefault="00000000">
      <w:pPr>
        <w:spacing w:after="200"/>
        <w:jc w:val="center"/>
      </w:pPr>
      <w:r>
        <w:t>Lecturer's Name:</w:t>
      </w:r>
      <w:r w:rsidR="0098368A">
        <w:t xml:space="preserve"> Muhammad Aliyu</w:t>
      </w:r>
    </w:p>
    <w:p w14:paraId="2632E5D2" w14:textId="77777777" w:rsidR="00A64C8A" w:rsidRDefault="00000000">
      <w:pPr>
        <w:spacing w:after="200"/>
        <w:jc w:val="center"/>
      </w:pPr>
      <w:r>
        <w:t>Assignment Title: Written Assignment – Mr Ahmed Case Study</w:t>
      </w:r>
    </w:p>
    <w:p w14:paraId="66CB0EC6" w14:textId="77777777" w:rsidR="0098368A" w:rsidRDefault="0098368A">
      <w:pPr>
        <w:spacing w:before="400" w:after="600"/>
        <w:jc w:val="center"/>
      </w:pPr>
    </w:p>
    <w:p w14:paraId="5BAE3443" w14:textId="77777777" w:rsidR="0098368A" w:rsidRDefault="0098368A">
      <w:pPr>
        <w:spacing w:before="400" w:after="600"/>
        <w:jc w:val="center"/>
      </w:pPr>
    </w:p>
    <w:p w14:paraId="3CBABAA2" w14:textId="77777777" w:rsidR="0098368A" w:rsidRDefault="0098368A">
      <w:pPr>
        <w:spacing w:before="400" w:after="600"/>
        <w:jc w:val="center"/>
      </w:pPr>
    </w:p>
    <w:p w14:paraId="49972A61" w14:textId="77777777" w:rsidR="0098368A" w:rsidRDefault="0098368A">
      <w:pPr>
        <w:spacing w:before="400" w:after="600"/>
        <w:jc w:val="center"/>
      </w:pPr>
    </w:p>
    <w:p w14:paraId="3C3BA3E1" w14:textId="77777777" w:rsidR="0098368A" w:rsidRDefault="0098368A">
      <w:pPr>
        <w:spacing w:before="400" w:after="600"/>
        <w:jc w:val="center"/>
      </w:pPr>
    </w:p>
    <w:p w14:paraId="517061F3" w14:textId="77777777" w:rsidR="0098368A" w:rsidRDefault="0098368A">
      <w:pPr>
        <w:spacing w:before="400" w:after="600"/>
        <w:jc w:val="center"/>
      </w:pPr>
    </w:p>
    <w:p w14:paraId="40627F53" w14:textId="77777777" w:rsidR="004A39AC" w:rsidRDefault="004A39AC">
      <w:pPr>
        <w:spacing w:before="400" w:after="600"/>
        <w:jc w:val="center"/>
      </w:pPr>
    </w:p>
    <w:p w14:paraId="54AFFCEC" w14:textId="77777777" w:rsidR="002C2C2F" w:rsidRDefault="002C2C2F">
      <w:pPr>
        <w:spacing w:before="400" w:after="600"/>
        <w:jc w:val="center"/>
      </w:pPr>
    </w:p>
    <w:p w14:paraId="16F20312" w14:textId="77777777" w:rsidR="002C2C2F" w:rsidRDefault="002C2C2F">
      <w:pPr>
        <w:spacing w:before="400" w:after="600"/>
        <w:jc w:val="center"/>
      </w:pPr>
    </w:p>
    <w:p w14:paraId="2632E5D4" w14:textId="342DB42F" w:rsidR="00A64C8A" w:rsidRDefault="00000000" w:rsidP="004A39AC">
      <w:pPr>
        <w:spacing w:before="400" w:after="600"/>
        <w:jc w:val="center"/>
      </w:pPr>
      <w:r>
        <w:rPr>
          <w:b/>
          <w:bCs/>
          <w:sz w:val="28"/>
          <w:szCs w:val="28"/>
        </w:rPr>
        <w:lastRenderedPageBreak/>
        <w:t>Table of Contents</w:t>
      </w:r>
    </w:p>
    <w:sdt>
      <w:sdtPr>
        <w:id w:val="1207195923"/>
        <w:docPartObj>
          <w:docPartGallery w:val="Table of Contents"/>
          <w:docPartUnique/>
        </w:docPartObj>
      </w:sdtPr>
      <w:sdtContent>
        <w:p w14:paraId="2632E5D5" w14:textId="77777777" w:rsidR="00A64C8A" w:rsidRDefault="00000000">
          <w:pPr>
            <w:widowControl w:val="0"/>
            <w:tabs>
              <w:tab w:val="right" w:pos="9025"/>
            </w:tabs>
            <w:spacing w:before="60"/>
            <w:rPr>
              <w:b/>
              <w:bCs/>
              <w:color w:val="000000"/>
            </w:rPr>
          </w:pPr>
          <w:r>
            <w:fldChar w:fldCharType="begin"/>
          </w:r>
          <w:r>
            <w:instrText xml:space="preserve"> TOC \h \u \z \t "Heading 1,1,Heading 2,2,Heading 3,3,Heading 4,4,Heading 5,5,Heading 6,6,"</w:instrText>
          </w:r>
          <w:r>
            <w:fldChar w:fldCharType="separate"/>
          </w:r>
          <w:hyperlink>
            <w:r>
              <w:rPr>
                <w:b/>
                <w:bCs/>
                <w:color w:val="000000"/>
              </w:rPr>
              <w:t>Introduction</w:t>
            </w:r>
            <w:r>
              <w:rPr>
                <w:b/>
                <w:bCs/>
                <w:color w:val="000000"/>
              </w:rPr>
              <w:tab/>
            </w:r>
          </w:hyperlink>
          <w:r>
            <w:fldChar w:fldCharType="begin"/>
          </w:r>
          <w:r>
            <w:instrText xml:space="preserve"> PAGEREF  \h </w:instrText>
          </w:r>
          <w:r>
            <w:fldChar w:fldCharType="separate"/>
          </w:r>
          <w:r>
            <w:rPr>
              <w:b/>
              <w:bCs/>
            </w:rPr>
            <w:t>3</w:t>
          </w:r>
          <w:r>
            <w:fldChar w:fldCharType="end"/>
          </w:r>
        </w:p>
        <w:p w14:paraId="2632E5D6" w14:textId="77777777" w:rsidR="00A64C8A" w:rsidRDefault="00000000">
          <w:pPr>
            <w:widowControl w:val="0"/>
            <w:tabs>
              <w:tab w:val="right" w:pos="9025"/>
            </w:tabs>
            <w:spacing w:before="60"/>
            <w:rPr>
              <w:b/>
              <w:bCs/>
              <w:color w:val="000000"/>
            </w:rPr>
          </w:pPr>
          <w:hyperlink>
            <w:r>
              <w:rPr>
                <w:b/>
                <w:bCs/>
                <w:color w:val="000000"/>
              </w:rPr>
              <w:t>1. Effective Communication in Mr Ahmed's Care</w:t>
            </w:r>
            <w:r>
              <w:rPr>
                <w:b/>
                <w:bCs/>
                <w:color w:val="000000"/>
              </w:rPr>
              <w:tab/>
            </w:r>
          </w:hyperlink>
          <w:r>
            <w:fldChar w:fldCharType="begin"/>
          </w:r>
          <w:r>
            <w:instrText xml:space="preserve"> PAGEREF  \h </w:instrText>
          </w:r>
          <w:r>
            <w:fldChar w:fldCharType="separate"/>
          </w:r>
          <w:r>
            <w:rPr>
              <w:b/>
              <w:bCs/>
            </w:rPr>
            <w:t>3</w:t>
          </w:r>
          <w:r>
            <w:fldChar w:fldCharType="end"/>
          </w:r>
        </w:p>
        <w:p w14:paraId="2632E5D7" w14:textId="77777777" w:rsidR="00A64C8A" w:rsidRDefault="00000000">
          <w:pPr>
            <w:widowControl w:val="0"/>
            <w:tabs>
              <w:tab w:val="right" w:pos="9025"/>
            </w:tabs>
            <w:spacing w:before="60"/>
            <w:ind w:left="360"/>
            <w:rPr>
              <w:color w:val="000000"/>
            </w:rPr>
          </w:pPr>
          <w:hyperlink>
            <w:r>
              <w:rPr>
                <w:color w:val="000000"/>
              </w:rPr>
              <w:t>1.1 Communicating with Mr Ahmed and His Family</w:t>
            </w:r>
            <w:r>
              <w:rPr>
                <w:color w:val="000000"/>
              </w:rPr>
              <w:tab/>
            </w:r>
          </w:hyperlink>
          <w:r>
            <w:fldChar w:fldCharType="begin"/>
          </w:r>
          <w:r>
            <w:instrText xml:space="preserve"> PAGEREF  \h </w:instrText>
          </w:r>
          <w:r>
            <w:fldChar w:fldCharType="separate"/>
          </w:r>
          <w:r>
            <w:t>3</w:t>
          </w:r>
          <w:r>
            <w:fldChar w:fldCharType="end"/>
          </w:r>
        </w:p>
        <w:p w14:paraId="2632E5D8" w14:textId="77777777" w:rsidR="00A64C8A" w:rsidRDefault="00000000">
          <w:pPr>
            <w:widowControl w:val="0"/>
            <w:tabs>
              <w:tab w:val="right" w:pos="9025"/>
            </w:tabs>
            <w:spacing w:before="60"/>
            <w:ind w:left="360"/>
            <w:rPr>
              <w:color w:val="000000"/>
            </w:rPr>
          </w:pPr>
          <w:hyperlink>
            <w:r>
              <w:rPr>
                <w:color w:val="000000"/>
              </w:rPr>
              <w:t>1.2 The Equality Act 2010 and Communication</w:t>
            </w:r>
            <w:r>
              <w:rPr>
                <w:color w:val="000000"/>
              </w:rPr>
              <w:tab/>
            </w:r>
          </w:hyperlink>
          <w:r>
            <w:fldChar w:fldCharType="begin"/>
          </w:r>
          <w:r>
            <w:instrText xml:space="preserve"> PAGEREF  \h </w:instrText>
          </w:r>
          <w:r>
            <w:fldChar w:fldCharType="separate"/>
          </w:r>
          <w:r>
            <w:t>3</w:t>
          </w:r>
          <w:r>
            <w:fldChar w:fldCharType="end"/>
          </w:r>
        </w:p>
        <w:p w14:paraId="2632E5D9" w14:textId="77777777" w:rsidR="00A64C8A" w:rsidRDefault="00000000">
          <w:pPr>
            <w:widowControl w:val="0"/>
            <w:tabs>
              <w:tab w:val="right" w:pos="9025"/>
            </w:tabs>
            <w:spacing w:before="60"/>
            <w:ind w:left="360"/>
            <w:rPr>
              <w:color w:val="000000"/>
            </w:rPr>
          </w:pPr>
          <w:hyperlink>
            <w:r>
              <w:rPr>
                <w:color w:val="000000"/>
              </w:rPr>
              <w:t>1.3 Argyle's Communication Cycle</w:t>
            </w:r>
            <w:r>
              <w:rPr>
                <w:color w:val="000000"/>
              </w:rPr>
              <w:tab/>
            </w:r>
          </w:hyperlink>
          <w:r>
            <w:fldChar w:fldCharType="begin"/>
          </w:r>
          <w:r>
            <w:instrText xml:space="preserve"> PAGEREF  \h </w:instrText>
          </w:r>
          <w:r>
            <w:fldChar w:fldCharType="separate"/>
          </w:r>
          <w:r>
            <w:t>4</w:t>
          </w:r>
          <w:r>
            <w:fldChar w:fldCharType="end"/>
          </w:r>
        </w:p>
        <w:p w14:paraId="2632E5DA" w14:textId="77777777" w:rsidR="00A64C8A" w:rsidRDefault="00000000">
          <w:pPr>
            <w:widowControl w:val="0"/>
            <w:tabs>
              <w:tab w:val="right" w:pos="9025"/>
            </w:tabs>
            <w:spacing w:before="60"/>
            <w:rPr>
              <w:b/>
              <w:bCs/>
              <w:color w:val="000000"/>
            </w:rPr>
          </w:pPr>
          <w:hyperlink>
            <w:r>
              <w:rPr>
                <w:b/>
                <w:bCs/>
                <w:color w:val="000000"/>
              </w:rPr>
              <w:t>2. Administrative Skills and Professional Practice</w:t>
            </w:r>
            <w:r>
              <w:rPr>
                <w:b/>
                <w:bCs/>
                <w:color w:val="000000"/>
              </w:rPr>
              <w:tab/>
            </w:r>
          </w:hyperlink>
          <w:r>
            <w:fldChar w:fldCharType="begin"/>
          </w:r>
          <w:r>
            <w:instrText xml:space="preserve"> PAGEREF  \h </w:instrText>
          </w:r>
          <w:r>
            <w:fldChar w:fldCharType="separate"/>
          </w:r>
          <w:r>
            <w:rPr>
              <w:b/>
              <w:bCs/>
            </w:rPr>
            <w:t>4</w:t>
          </w:r>
          <w:r>
            <w:fldChar w:fldCharType="end"/>
          </w:r>
        </w:p>
        <w:p w14:paraId="2632E5DB" w14:textId="77777777" w:rsidR="00A64C8A" w:rsidRDefault="00000000">
          <w:pPr>
            <w:widowControl w:val="0"/>
            <w:tabs>
              <w:tab w:val="right" w:pos="9025"/>
            </w:tabs>
            <w:spacing w:before="60"/>
            <w:ind w:left="360"/>
            <w:rPr>
              <w:color w:val="000000"/>
            </w:rPr>
          </w:pPr>
          <w:hyperlink>
            <w:r>
              <w:rPr>
                <w:color w:val="000000"/>
              </w:rPr>
              <w:t>2.1 Record Keeping in Mr Ahmed's Care</w:t>
            </w:r>
            <w:r>
              <w:rPr>
                <w:color w:val="000000"/>
              </w:rPr>
              <w:tab/>
            </w:r>
          </w:hyperlink>
          <w:r>
            <w:fldChar w:fldCharType="begin"/>
          </w:r>
          <w:r>
            <w:instrText xml:space="preserve"> PAGEREF  \h </w:instrText>
          </w:r>
          <w:r>
            <w:fldChar w:fldCharType="separate"/>
          </w:r>
          <w:r>
            <w:t>5</w:t>
          </w:r>
          <w:r>
            <w:fldChar w:fldCharType="end"/>
          </w:r>
        </w:p>
        <w:p w14:paraId="2632E5DC" w14:textId="77777777" w:rsidR="00A64C8A" w:rsidRDefault="00000000">
          <w:pPr>
            <w:widowControl w:val="0"/>
            <w:tabs>
              <w:tab w:val="right" w:pos="9025"/>
            </w:tabs>
            <w:spacing w:before="60"/>
            <w:ind w:left="360"/>
            <w:rPr>
              <w:color w:val="000000"/>
            </w:rPr>
          </w:pPr>
          <w:hyperlink>
            <w:r>
              <w:rPr>
                <w:color w:val="000000"/>
              </w:rPr>
              <w:t>2.2 The Data Protection Act 2018</w:t>
            </w:r>
            <w:r>
              <w:rPr>
                <w:color w:val="000000"/>
              </w:rPr>
              <w:tab/>
            </w:r>
          </w:hyperlink>
          <w:r>
            <w:fldChar w:fldCharType="begin"/>
          </w:r>
          <w:r>
            <w:instrText xml:space="preserve"> PAGEREF  \h </w:instrText>
          </w:r>
          <w:r>
            <w:fldChar w:fldCharType="separate"/>
          </w:r>
          <w:r>
            <w:t>5</w:t>
          </w:r>
          <w:r>
            <w:fldChar w:fldCharType="end"/>
          </w:r>
        </w:p>
        <w:p w14:paraId="2632E5DD" w14:textId="77777777" w:rsidR="00A64C8A" w:rsidRDefault="00000000">
          <w:pPr>
            <w:widowControl w:val="0"/>
            <w:tabs>
              <w:tab w:val="right" w:pos="9025"/>
            </w:tabs>
            <w:spacing w:before="60"/>
            <w:rPr>
              <w:b/>
              <w:bCs/>
              <w:color w:val="000000"/>
            </w:rPr>
          </w:pPr>
          <w:hyperlink>
            <w:r>
              <w:rPr>
                <w:b/>
                <w:bCs/>
                <w:color w:val="000000"/>
              </w:rPr>
              <w:t>3. Collaborative Working in Mr Ahmed's Care</w:t>
            </w:r>
            <w:r>
              <w:rPr>
                <w:b/>
                <w:bCs/>
                <w:color w:val="000000"/>
              </w:rPr>
              <w:tab/>
            </w:r>
          </w:hyperlink>
          <w:r>
            <w:fldChar w:fldCharType="begin"/>
          </w:r>
          <w:r>
            <w:instrText xml:space="preserve"> PAGEREF  \h </w:instrText>
          </w:r>
          <w:r>
            <w:fldChar w:fldCharType="separate"/>
          </w:r>
          <w:r>
            <w:rPr>
              <w:b/>
              <w:bCs/>
            </w:rPr>
            <w:t>5</w:t>
          </w:r>
          <w:r>
            <w:fldChar w:fldCharType="end"/>
          </w:r>
        </w:p>
        <w:p w14:paraId="2632E5DE" w14:textId="77777777" w:rsidR="00A64C8A" w:rsidRDefault="00000000">
          <w:pPr>
            <w:widowControl w:val="0"/>
            <w:tabs>
              <w:tab w:val="right" w:pos="9025"/>
            </w:tabs>
            <w:spacing w:before="60"/>
            <w:ind w:left="360"/>
            <w:rPr>
              <w:color w:val="000000"/>
            </w:rPr>
          </w:pPr>
          <w:hyperlink>
            <w:r>
              <w:rPr>
                <w:color w:val="000000"/>
              </w:rPr>
              <w:t>3.1 Approaches to Effective Multi-Agency Collaboration</w:t>
            </w:r>
            <w:r>
              <w:rPr>
                <w:color w:val="000000"/>
              </w:rPr>
              <w:tab/>
            </w:r>
          </w:hyperlink>
          <w:r>
            <w:fldChar w:fldCharType="begin"/>
          </w:r>
          <w:r>
            <w:instrText xml:space="preserve"> PAGEREF  \h </w:instrText>
          </w:r>
          <w:r>
            <w:fldChar w:fldCharType="separate"/>
          </w:r>
          <w:r>
            <w:t>5</w:t>
          </w:r>
          <w:r>
            <w:fldChar w:fldCharType="end"/>
          </w:r>
        </w:p>
        <w:p w14:paraId="2632E5DF" w14:textId="77777777" w:rsidR="00A64C8A" w:rsidRDefault="00000000">
          <w:pPr>
            <w:widowControl w:val="0"/>
            <w:tabs>
              <w:tab w:val="right" w:pos="9025"/>
            </w:tabs>
            <w:spacing w:before="60"/>
            <w:ind w:left="360"/>
            <w:rPr>
              <w:color w:val="000000"/>
            </w:rPr>
          </w:pPr>
          <w:hyperlink>
            <w:r>
              <w:rPr>
                <w:color w:val="000000"/>
              </w:rPr>
              <w:t>3.2 Challenges and Strategies for Multi-Agency Working</w:t>
            </w:r>
            <w:r>
              <w:rPr>
                <w:color w:val="000000"/>
              </w:rPr>
              <w:tab/>
            </w:r>
          </w:hyperlink>
          <w:r>
            <w:fldChar w:fldCharType="begin"/>
          </w:r>
          <w:r>
            <w:instrText xml:space="preserve"> PAGEREF  \h </w:instrText>
          </w:r>
          <w:r>
            <w:fldChar w:fldCharType="separate"/>
          </w:r>
          <w:r>
            <w:t>6</w:t>
          </w:r>
          <w:r>
            <w:fldChar w:fldCharType="end"/>
          </w:r>
        </w:p>
        <w:p w14:paraId="2632E5E0" w14:textId="77777777" w:rsidR="00A64C8A" w:rsidRDefault="00000000">
          <w:pPr>
            <w:widowControl w:val="0"/>
            <w:tabs>
              <w:tab w:val="right" w:pos="9025"/>
            </w:tabs>
            <w:spacing w:before="60"/>
            <w:rPr>
              <w:b/>
              <w:bCs/>
              <w:color w:val="000000"/>
            </w:rPr>
          </w:pPr>
          <w:hyperlink>
            <w:r>
              <w:rPr>
                <w:b/>
                <w:bCs/>
                <w:color w:val="000000"/>
              </w:rPr>
              <w:t>Conclusion</w:t>
            </w:r>
            <w:r>
              <w:rPr>
                <w:b/>
                <w:bCs/>
                <w:color w:val="000000"/>
              </w:rPr>
              <w:tab/>
            </w:r>
          </w:hyperlink>
          <w:r>
            <w:fldChar w:fldCharType="begin"/>
          </w:r>
          <w:r>
            <w:instrText xml:space="preserve"> PAGEREF  \h </w:instrText>
          </w:r>
          <w:r>
            <w:fldChar w:fldCharType="separate"/>
          </w:r>
          <w:r>
            <w:rPr>
              <w:b/>
              <w:bCs/>
            </w:rPr>
            <w:t>7</w:t>
          </w:r>
          <w:r>
            <w:fldChar w:fldCharType="end"/>
          </w:r>
        </w:p>
        <w:p w14:paraId="2632E5E1" w14:textId="77777777" w:rsidR="00A64C8A" w:rsidRDefault="00000000">
          <w:pPr>
            <w:widowControl w:val="0"/>
            <w:tabs>
              <w:tab w:val="right" w:pos="9025"/>
            </w:tabs>
            <w:spacing w:before="60"/>
            <w:rPr>
              <w:b/>
              <w:bCs/>
              <w:color w:val="000000"/>
            </w:rPr>
          </w:pPr>
          <w:hyperlink>
            <w:r>
              <w:rPr>
                <w:b/>
                <w:bCs/>
                <w:color w:val="000000"/>
              </w:rPr>
              <w:t>References</w:t>
            </w:r>
            <w:r>
              <w:rPr>
                <w:b/>
                <w:bCs/>
                <w:color w:val="000000"/>
              </w:rPr>
              <w:tab/>
            </w:r>
          </w:hyperlink>
          <w:r>
            <w:fldChar w:fldCharType="begin"/>
          </w:r>
          <w:r>
            <w:instrText xml:space="preserve"> PAGEREF  \h </w:instrText>
          </w:r>
          <w:r>
            <w:fldChar w:fldCharType="separate"/>
          </w:r>
          <w:r>
            <w:rPr>
              <w:b/>
              <w:bCs/>
            </w:rPr>
            <w:t>7</w:t>
          </w:r>
          <w:r>
            <w:fldChar w:fldCharType="end"/>
          </w:r>
          <w:r>
            <w:fldChar w:fldCharType="end"/>
          </w:r>
        </w:p>
      </w:sdtContent>
    </w:sdt>
    <w:p w14:paraId="2632E5E2" w14:textId="77777777" w:rsidR="00A64C8A" w:rsidRDefault="00A64C8A">
      <w:pPr>
        <w:spacing w:after="100" w:line="360" w:lineRule="auto"/>
        <w:sectPr w:rsidR="00A64C8A">
          <w:pgSz w:w="11906" w:h="16838"/>
          <w:pgMar w:top="1440" w:right="1440" w:bottom="1440" w:left="1440" w:header="708" w:footer="708" w:gutter="0"/>
          <w:cols w:space="720"/>
        </w:sectPr>
      </w:pPr>
    </w:p>
    <w:p w14:paraId="2632E5E3" w14:textId="77777777" w:rsidR="00A64C8A" w:rsidRDefault="00000000" w:rsidP="002C2C2F">
      <w:pPr>
        <w:pStyle w:val="Heading1"/>
        <w:spacing w:line="360" w:lineRule="auto"/>
      </w:pPr>
      <w:r>
        <w:lastRenderedPageBreak/>
        <w:t>Introduction</w:t>
      </w:r>
    </w:p>
    <w:p w14:paraId="2632E5E4" w14:textId="77777777" w:rsidR="00A64C8A" w:rsidRDefault="00000000" w:rsidP="002C2C2F">
      <w:pPr>
        <w:spacing w:after="160" w:line="360" w:lineRule="auto"/>
      </w:pPr>
      <w:r>
        <w:t>Three key areas of professional practice in the health and social care setting are explored within the report focusing on Mr Ahmed, a 68-year-old man recently discharged from hospital following a stroke. Mr Ahmed lives in a ground-floor flat with his wife and receives some support from a domiciliary care agency, a GP, a district nurse and a speech and language therapist. A notable feature of his situation is that his first language is Bengali, which complicates the quality of communication for the care team. A missed home visit by the care agency – which left Mr Ahmed not getting his prescribed medication on time – has also led to concerns about the way his care was coordinated and delivered. This report considers effective communication, good documentation and administrative practice, and multi-agency collaboration in his care. We draw on relevant legislation, policy frameworks, and academic literature in each section to provide context.</w:t>
      </w:r>
    </w:p>
    <w:p w14:paraId="2632E5E5" w14:textId="77777777" w:rsidR="00A64C8A" w:rsidRDefault="00000000" w:rsidP="002C2C2F">
      <w:pPr>
        <w:pStyle w:val="Heading1"/>
        <w:spacing w:line="360" w:lineRule="auto"/>
      </w:pPr>
      <w:r>
        <w:t>1. Effective Communication in Mr Ahmed's Care</w:t>
      </w:r>
    </w:p>
    <w:p w14:paraId="2632E5E6" w14:textId="77777777" w:rsidR="00A64C8A" w:rsidRDefault="00000000" w:rsidP="002C2C2F">
      <w:pPr>
        <w:pStyle w:val="Heading2"/>
        <w:spacing w:line="360" w:lineRule="auto"/>
      </w:pPr>
      <w:r>
        <w:t>1.1 Communicating with Mr Ahmed and His Family</w:t>
      </w:r>
    </w:p>
    <w:p w14:paraId="2632E5E7" w14:textId="77777777" w:rsidR="00A64C8A" w:rsidRDefault="00000000" w:rsidP="002C2C2F">
      <w:pPr>
        <w:spacing w:after="160" w:line="360" w:lineRule="auto"/>
      </w:pPr>
      <w:r>
        <w:t>Communication is essential for safe, person-</w:t>
      </w:r>
      <w:proofErr w:type="spellStart"/>
      <w:r>
        <w:t>centered</w:t>
      </w:r>
      <w:proofErr w:type="spellEnd"/>
      <w:r>
        <w:t xml:space="preserve"> care. For Mr. Ahmed, his situation is particularly challenging because his first language is Bengali, and he struggles with complex English conversations. His wife, who speaks fluent English, often acts as a liaison between Mr. Ahmed and the care team. While this is reasonable, asking a family member to serve as an interpreter carries significant risks—sensitive clinical information may be filtered, misinterpreted, or not disclosed, and Mr. Ahmed's own requests and wishes may not be accurately conveyed (Gerrish et al., 2004). Best practice guidance suggests that a professional interpretation service may be appropriate for consultations, whether face-to-face or telephone-based, to avoid misinterpretation and maintain confidentiality (NHS England, 2021). Communication strategies should also be implemented by the care team to enhance Mr. Ahmed's understanding and engagement. These can include using simple, clear language without medical jargon, speaking slowly, allowing time for processing, using visual aids and written materials in Bengali where available, and checking understanding with open-ended questions rather than yes/no answers. Non-verbal communication—such as appropriate eye contact, facial expressions, and a calm, reassuring manner—is equally important, especially since Mr. Ahmed is also receiving speech and language therapy, raising concerns about verbal communication issues following his stroke.</w:t>
      </w:r>
    </w:p>
    <w:p w14:paraId="2632E5E8" w14:textId="77777777" w:rsidR="00A64C8A" w:rsidRDefault="00000000" w:rsidP="002C2C2F">
      <w:pPr>
        <w:pStyle w:val="Heading2"/>
        <w:spacing w:line="360" w:lineRule="auto"/>
      </w:pPr>
      <w:r>
        <w:t>1.2 The Equality Act 2010 and Communication</w:t>
      </w:r>
    </w:p>
    <w:p w14:paraId="2632E5E9" w14:textId="77777777" w:rsidR="00A64C8A" w:rsidRDefault="00000000" w:rsidP="002C2C2F">
      <w:pPr>
        <w:spacing w:after="160" w:line="360" w:lineRule="auto"/>
      </w:pPr>
      <w:r>
        <w:lastRenderedPageBreak/>
        <w:t xml:space="preserve">The Equality Act 2010 imposes a statutory obligation on healthcare and social care organisations to make reasonable adjustments to allow access to, or equitable access to, services for or in relation to the rights or requirements of people </w:t>
      </w:r>
      <w:proofErr w:type="gramStart"/>
      <w:r>
        <w:t>on the basis of</w:t>
      </w:r>
      <w:proofErr w:type="gramEnd"/>
      <w:r>
        <w:t xml:space="preserve"> protected characteristics which include race, ethnicity, disability, religion, culture, belief etc. For Mr Ahmed, this would imply that his care team and the domiciliary care agency have an individual legal duty to ensure that language barriers do not result in him receiving a lower standard of care than English-speaking patients (Equality Act, 2010). Not allowing him to access meaningful communicative support might fall within indirect discrimination under the Act (e.g. failing to make the translated information about his medication or treatment plan available). This message is underlined further in the Care Act 2014 with a strong focus on promoting wellbeing and ensuring that people participate actively in decision making for their care. Applying these principles to Mr Ahmed's case means that he is actively involved in the discussions about his treatment, rather than having the decision being made via his wife alone. This means that action will have to be taken actively by the care team making sure Mr Ahmed gets appropriate language support and always gives direct communication to the care user, with his wife providing the support rather than replacing his engagement.</w:t>
      </w:r>
    </w:p>
    <w:p w14:paraId="2632E5EA" w14:textId="77777777" w:rsidR="00A64C8A" w:rsidRDefault="00000000" w:rsidP="002C2C2F">
      <w:pPr>
        <w:pStyle w:val="Heading2"/>
        <w:spacing w:line="360" w:lineRule="auto"/>
      </w:pPr>
      <w:r>
        <w:t>1.3 Argyle's Communication Cycle</w:t>
      </w:r>
    </w:p>
    <w:p w14:paraId="2632E5EB" w14:textId="77777777" w:rsidR="00A64C8A" w:rsidRDefault="00000000" w:rsidP="002C2C2F">
      <w:pPr>
        <w:spacing w:after="160" w:line="360" w:lineRule="auto"/>
      </w:pPr>
      <w:r>
        <w:t>Argyle's Communication Cycle, a useful model for understanding and improving communication in Mr. Ahmed's care, is a two-way cyclical process involving six stages. The model states that communication flows in six cyclical phases: an idea occurs with the sender, the message is coded (spoken, moved, or shown), the message is sent; the message is received by the other person, the message is decoded and finally understood—all before responding to what was already given. This model emphasizes that communication only works because both the message sent and received are the same and comprehensible. For Mr. Ahmed's care, due to language constraints, challenges arise at the coding and decoding stages. For instance, if a district nurse gives instructions regarding wound care or medication, Mr. Ahmed may hear the verbal message but may not be able to decode it correctly without assistance. The assistance of a professional interpreter ensures the message is appropriately coded in Bengali, and Mr. Ahmed’s responses — his decoded understanding as well as any concerns he raises — are accurately relayed back to the care team. Applying this model allows all members of the care team to reflect on where the communication barriers may be and to take proactive measures where appropriate during each of these stages.</w:t>
      </w:r>
    </w:p>
    <w:p w14:paraId="2632E5EC" w14:textId="77777777" w:rsidR="00A64C8A" w:rsidRDefault="00000000" w:rsidP="002C2C2F">
      <w:pPr>
        <w:pStyle w:val="Heading1"/>
        <w:spacing w:line="360" w:lineRule="auto"/>
      </w:pPr>
      <w:r>
        <w:t>2. Administrative Skills and Professional Practice</w:t>
      </w:r>
    </w:p>
    <w:p w14:paraId="2632E5ED" w14:textId="77777777" w:rsidR="00A64C8A" w:rsidRDefault="00000000" w:rsidP="002C2C2F">
      <w:pPr>
        <w:pStyle w:val="Heading2"/>
        <w:spacing w:line="360" w:lineRule="auto"/>
      </w:pPr>
      <w:r>
        <w:lastRenderedPageBreak/>
        <w:t>2.1 Record Keeping in Mr Ahmed's Care</w:t>
      </w:r>
    </w:p>
    <w:p w14:paraId="2632E5EE" w14:textId="77777777" w:rsidR="00A64C8A" w:rsidRDefault="00000000" w:rsidP="002C2C2F">
      <w:pPr>
        <w:spacing w:after="160" w:line="360" w:lineRule="auto"/>
      </w:pPr>
      <w:r>
        <w:t>The domiciliary care agency's missed home visit which led to Mr Ahmed not receiving his prescribed medication on time was a crucial reminder of the need for accurate, prompt and comprehensive recording in health and social care. Good record keeping has several roles: it records the care provided continuously, allows for communication among professionals, ensures accountability and it offers evidence given in the case of complaints or investigations (NMC, 2018). For Mr Ahmed it is also a duty of all members of the care team (domiciliary care workers, district nurse, GP) to keep up to date records of his every visit, observation and intervention. Any time and type of care received, any issues and changes were recorded on paper, and any action taken or escalated. The visit missed should be logged in the incident reporting system as well as the steps taken to investigate the incident and prevent recurrence. The Care Quality Commission (CQC) states that accurate record-keeping is an integral part of safe, effective and well-led care for all registered care providers (CQC, 2017).</w:t>
      </w:r>
    </w:p>
    <w:p w14:paraId="2632E5EF" w14:textId="77777777" w:rsidR="00A64C8A" w:rsidRDefault="00000000" w:rsidP="002C2C2F">
      <w:pPr>
        <w:pStyle w:val="Heading2"/>
        <w:spacing w:line="360" w:lineRule="auto"/>
      </w:pPr>
      <w:r>
        <w:t>2.2 The Data Protection Act 2018</w:t>
      </w:r>
    </w:p>
    <w:p w14:paraId="2632E5F0" w14:textId="77777777" w:rsidR="00A64C8A" w:rsidRDefault="00000000" w:rsidP="002C2C2F">
      <w:pPr>
        <w:spacing w:after="160" w:line="360" w:lineRule="auto"/>
      </w:pPr>
      <w:r>
        <w:t xml:space="preserve">The collection, storage, and use of personal data in health and social care is regulated by the Data Protection Act 2018 (DPA 2018), which incorporates the UK General Data Protection Regulation (UK GDPR). All personal and sensitive information about Mr Ahmed — including his medical history, care plans, medication records, and the details of the missed visit investigation — constitutes special category data under the DPA 2018 and must be handled with the highest level of care and security. Major principles under the DPA 2018 that will be applicable to Mr Ahmed’s care are lawfulness, fairness, and transparency (data must be processed legally and openly), purpose limitation (data should only be used for the purpose for which it was collected), data minimisation (only necessary data should be held), accuracy (records must be kept up to date), storage limitation (data should not be retained longer than necessary), and integrity and confidentiality (data must be kept secure). In practice, this means that Mr Ahmed’s personal information must be shared only with professionals who have a legitimate need to access it in the context of his </w:t>
      </w:r>
      <w:proofErr w:type="gramStart"/>
      <w:r>
        <w:t>care, and</w:t>
      </w:r>
      <w:proofErr w:type="gramEnd"/>
      <w:r>
        <w:t xml:space="preserve"> must not be disclosed to unauthorised third parties. Care workers, nurses, and GPs must undergo data protection training and comply with organisational data security policies to ensure compliance (ICO, 2021).</w:t>
      </w:r>
    </w:p>
    <w:p w14:paraId="2632E5F1" w14:textId="77777777" w:rsidR="00A64C8A" w:rsidRDefault="00000000" w:rsidP="002C2C2F">
      <w:pPr>
        <w:pStyle w:val="Heading1"/>
        <w:spacing w:line="360" w:lineRule="auto"/>
      </w:pPr>
      <w:r>
        <w:t>3. Collaborative Working in Mr Ahmed's Care</w:t>
      </w:r>
    </w:p>
    <w:p w14:paraId="2632E5F2" w14:textId="77777777" w:rsidR="00A64C8A" w:rsidRDefault="00000000" w:rsidP="002C2C2F">
      <w:pPr>
        <w:pStyle w:val="Heading2"/>
        <w:spacing w:line="360" w:lineRule="auto"/>
      </w:pPr>
      <w:r>
        <w:t>3.1 Approaches to Effective Multi-Agency Collaboration</w:t>
      </w:r>
    </w:p>
    <w:p w14:paraId="2632E5F3" w14:textId="77777777" w:rsidR="00A64C8A" w:rsidRDefault="00000000" w:rsidP="002C2C2F">
      <w:pPr>
        <w:spacing w:after="160" w:line="360" w:lineRule="auto"/>
      </w:pPr>
      <w:r>
        <w:lastRenderedPageBreak/>
        <w:t xml:space="preserve">Mr Ahmed’s care encompasses </w:t>
      </w:r>
      <w:proofErr w:type="gramStart"/>
      <w:r>
        <w:t>a number of</w:t>
      </w:r>
      <w:proofErr w:type="gramEnd"/>
      <w:r>
        <w:t xml:space="preserve"> actors – the domiciliary care agency, his GP, his district nurse and his speech and language therapist – with each having a different perspective. Collaboration between the different agencies is important so that his needs are met in a coordinated, consistent and holistic manner. The evidence continues to support that integrated, multi-agency working leads to better service user outcomes, minimises duplication of effort and improves the efficiency of care delivery (Glasby and Dickinson, 2014). One of the key approaches to promote appropriate collaboration is regular, structured multi-disciplinary team (MDT) meetings during which those involved can discuss information, review care plans and coordinate their actions. Clearly delineated roles and responsibilities — to ensure that each member of the staff knows what they are accountable for and who to escalate concerns to — are also very important. Sharing care planning tools and a digital record of care that everyone, including the relevant professionals, can view help maintain continuity and decrease the likelihood of crucial information not being accessed. In Mr Ahmed's instance, for instance, having a shared care plan that clearly records his communication needs, his medication schedule and the actions required following the missed visit would allow all agencies to work with the same information to prevent another case and avoid similar incidents.</w:t>
      </w:r>
    </w:p>
    <w:p w14:paraId="2632E5F4" w14:textId="77777777" w:rsidR="00A64C8A" w:rsidRDefault="00000000" w:rsidP="002C2C2F">
      <w:pPr>
        <w:pStyle w:val="Heading2"/>
        <w:spacing w:line="360" w:lineRule="auto"/>
      </w:pPr>
      <w:r>
        <w:t>3.2 Challenges and Strategies for Multi-Agency Working</w:t>
      </w:r>
    </w:p>
    <w:p w14:paraId="2632E5F5" w14:textId="77777777" w:rsidR="00A64C8A" w:rsidRDefault="00000000" w:rsidP="002C2C2F">
      <w:pPr>
        <w:spacing w:after="160" w:line="360" w:lineRule="auto"/>
      </w:pPr>
      <w:r>
        <w:t xml:space="preserve">For all its benefits, multi-agency working has </w:t>
      </w:r>
      <w:proofErr w:type="gramStart"/>
      <w:r>
        <w:t>a number of</w:t>
      </w:r>
      <w:proofErr w:type="gramEnd"/>
      <w:r>
        <w:t xml:space="preserve"> shared challenges. Differences in professional culture, terminology, and priorities can create misunderstandings between agencies. Information sharing is often impeded by concerns about data protection and the absence of interoperable IT systems. High staff turnover in domiciliary care settings can disrupt continuity of relationships and communication. The missed visit in Mr Ahmed's case may partly reflect these systemic challenges — a breakdown in communication or oversight within the care agency, or between the agency and other members of the team. Solutions for addressing these challenges involve establishing clear information-sharing protocols that are compliant with the DPA 2018, providing joint training for professionals from different agencies to build mutual understanding and trust, and designating a lead professional or care coordinator — such as the district nurse or GP — to take overall responsibility for overseeing Mr Ahmed's care and ensuring effective communication between all parties. Following the missed visit, a formal review involving all agencies should be conducted to identify contributing factors and implement preventative measures, in line with a culture of learning and continuous improvement (CQC, 2017).</w:t>
      </w:r>
    </w:p>
    <w:p w14:paraId="2632E5F6" w14:textId="77777777" w:rsidR="00A64C8A" w:rsidRDefault="00A64C8A" w:rsidP="002C2C2F">
      <w:pPr>
        <w:spacing w:after="160" w:line="360" w:lineRule="auto"/>
      </w:pPr>
    </w:p>
    <w:p w14:paraId="2632E5F7" w14:textId="77777777" w:rsidR="00A64C8A" w:rsidRDefault="00000000" w:rsidP="002C2C2F">
      <w:pPr>
        <w:pStyle w:val="Heading1"/>
        <w:spacing w:line="360" w:lineRule="auto"/>
      </w:pPr>
      <w:r>
        <w:lastRenderedPageBreak/>
        <w:t>Conclusion</w:t>
      </w:r>
    </w:p>
    <w:p w14:paraId="2632E5F8" w14:textId="77777777" w:rsidR="00A64C8A" w:rsidRDefault="00000000" w:rsidP="002C2C2F">
      <w:pPr>
        <w:spacing w:after="160" w:line="360" w:lineRule="auto"/>
      </w:pPr>
      <w:r>
        <w:t>This report addressed three key aspects of professional practice in health and social care with reference to the situation of Mr Ahmed. Good communication - grounded in the Equality Act 2010 and exemplified by Argyle's Communication Cycle - is key in ensuring Mr Ahmed – a Bengali‑speaking patient with post-stroke communication difficulties – is included and supported in his care. Good administrative practice including high quality records (which comply with the Data Protection Act 2018) is essential to safe, accountable and legally compliant care delivery. In addition, it is crucial to the coordinated efforts of Mr Ahmed's diverse care team that collaborative multi-agency working is implemented and a range of strategies to overcome common barriers, including better sharing of vital information and designation of a lead professional, to prevent incidents such as the missed medication visit are vital. All three dimensions of practice embody the compassion, accountability, and professionalism that define high-quality health and social care.</w:t>
      </w:r>
    </w:p>
    <w:p w14:paraId="2632E5F9" w14:textId="77777777" w:rsidR="00A64C8A" w:rsidRDefault="00000000" w:rsidP="002C2C2F">
      <w:pPr>
        <w:pStyle w:val="Heading1"/>
        <w:spacing w:line="360" w:lineRule="auto"/>
      </w:pPr>
      <w:r>
        <w:t>References</w:t>
      </w:r>
    </w:p>
    <w:p w14:paraId="2632E5FA" w14:textId="77777777" w:rsidR="00A64C8A" w:rsidRDefault="00000000" w:rsidP="002C2C2F">
      <w:pPr>
        <w:spacing w:after="160" w:line="360" w:lineRule="auto"/>
      </w:pPr>
      <w:r>
        <w:t xml:space="preserve">Argyle, M. (1972) </w:t>
      </w:r>
      <w:r>
        <w:rPr>
          <w:i/>
          <w:iCs/>
        </w:rPr>
        <w:t>The Psychology of Interpersonal Behaviour.</w:t>
      </w:r>
      <w:r>
        <w:t xml:space="preserve"> 2nd </w:t>
      </w:r>
      <w:proofErr w:type="spellStart"/>
      <w:r>
        <w:t>edn</w:t>
      </w:r>
      <w:proofErr w:type="spellEnd"/>
      <w:r>
        <w:t>. Harmondsworth: Penguin Books.</w:t>
      </w:r>
    </w:p>
    <w:p w14:paraId="2632E5FB" w14:textId="77777777" w:rsidR="00A64C8A" w:rsidRDefault="00000000" w:rsidP="002C2C2F">
      <w:pPr>
        <w:spacing w:after="160" w:line="360" w:lineRule="auto"/>
      </w:pPr>
      <w:r>
        <w:t xml:space="preserve">Care Quality Commission (CQC) (2017) </w:t>
      </w:r>
      <w:r>
        <w:rPr>
          <w:i/>
          <w:iCs/>
        </w:rPr>
        <w:t>Regulation 17: Good Governance.</w:t>
      </w:r>
      <w:r>
        <w:t xml:space="preserve"> Newcastle: CQC.</w:t>
      </w:r>
    </w:p>
    <w:p w14:paraId="2632E5FC" w14:textId="77777777" w:rsidR="00A64C8A" w:rsidRDefault="00000000" w:rsidP="002C2C2F">
      <w:pPr>
        <w:spacing w:after="160" w:line="360" w:lineRule="auto"/>
      </w:pPr>
      <w:r>
        <w:t xml:space="preserve">Data Protection Act (2018) </w:t>
      </w:r>
      <w:r>
        <w:rPr>
          <w:i/>
          <w:iCs/>
        </w:rPr>
        <w:t>Data Protection Act 2018.</w:t>
      </w:r>
      <w:r>
        <w:t xml:space="preserve"> London: HMSO.</w:t>
      </w:r>
    </w:p>
    <w:p w14:paraId="2632E5FD" w14:textId="77777777" w:rsidR="00A64C8A" w:rsidRDefault="00000000" w:rsidP="002C2C2F">
      <w:pPr>
        <w:spacing w:after="160" w:line="360" w:lineRule="auto"/>
      </w:pPr>
      <w:r>
        <w:t xml:space="preserve">Equality Act (2010) </w:t>
      </w:r>
      <w:r>
        <w:rPr>
          <w:i/>
          <w:iCs/>
        </w:rPr>
        <w:t>Equality Act 2010.</w:t>
      </w:r>
      <w:r>
        <w:t xml:space="preserve"> London: HMSO.</w:t>
      </w:r>
    </w:p>
    <w:p w14:paraId="2632E5FE" w14:textId="77777777" w:rsidR="00A64C8A" w:rsidRDefault="00000000" w:rsidP="002C2C2F">
      <w:pPr>
        <w:spacing w:after="160" w:line="360" w:lineRule="auto"/>
      </w:pPr>
      <w:r>
        <w:t xml:space="preserve">Gerrish, K., Chau, R., </w:t>
      </w:r>
      <w:proofErr w:type="spellStart"/>
      <w:r>
        <w:t>Sobowale</w:t>
      </w:r>
      <w:proofErr w:type="spellEnd"/>
      <w:r>
        <w:t xml:space="preserve">, A. and Birks, E. (2004) 'Bridging the language barrier: the use of interpreters in primary care nursing', </w:t>
      </w:r>
      <w:r>
        <w:rPr>
          <w:i/>
          <w:iCs/>
        </w:rPr>
        <w:t>Health and Social Care in the Community,</w:t>
      </w:r>
      <w:r>
        <w:t xml:space="preserve"> 12(5), pp. 407–413.</w:t>
      </w:r>
    </w:p>
    <w:p w14:paraId="2632E5FF" w14:textId="77777777" w:rsidR="00A64C8A" w:rsidRDefault="00000000" w:rsidP="002C2C2F">
      <w:pPr>
        <w:spacing w:after="160" w:line="360" w:lineRule="auto"/>
      </w:pPr>
      <w:r>
        <w:t xml:space="preserve">Glasby, J. and Dickinson, H. (2014) </w:t>
      </w:r>
      <w:r>
        <w:rPr>
          <w:i/>
          <w:iCs/>
        </w:rPr>
        <w:t>Partnership Working in Health and Social Care.</w:t>
      </w:r>
      <w:r>
        <w:t xml:space="preserve"> 2nd </w:t>
      </w:r>
      <w:proofErr w:type="spellStart"/>
      <w:r>
        <w:t>edn</w:t>
      </w:r>
      <w:proofErr w:type="spellEnd"/>
      <w:r>
        <w:t>. Bristol: Policy Press.</w:t>
      </w:r>
    </w:p>
    <w:p w14:paraId="2632E600" w14:textId="77777777" w:rsidR="00A64C8A" w:rsidRDefault="00000000" w:rsidP="002C2C2F">
      <w:pPr>
        <w:spacing w:after="160" w:line="360" w:lineRule="auto"/>
      </w:pPr>
      <w:r>
        <w:t xml:space="preserve">Information Commissioner's Office (ICO) (2021) </w:t>
      </w:r>
      <w:r>
        <w:rPr>
          <w:i/>
          <w:iCs/>
        </w:rPr>
        <w:t>Guide to the UK General Data Protection Regulation.</w:t>
      </w:r>
      <w:r>
        <w:t xml:space="preserve"> Wilmslow: ICO.</w:t>
      </w:r>
    </w:p>
    <w:p w14:paraId="2632E601" w14:textId="77777777" w:rsidR="00A64C8A" w:rsidRDefault="00000000" w:rsidP="002C2C2F">
      <w:pPr>
        <w:spacing w:after="160" w:line="360" w:lineRule="auto"/>
      </w:pPr>
      <w:r>
        <w:t xml:space="preserve">NHS England (2021) </w:t>
      </w:r>
      <w:r>
        <w:rPr>
          <w:i/>
          <w:iCs/>
        </w:rPr>
        <w:t>Accessible Information Standard.</w:t>
      </w:r>
      <w:r>
        <w:t xml:space="preserve"> London: NHS England.</w:t>
      </w:r>
    </w:p>
    <w:p w14:paraId="2632E602" w14:textId="77777777" w:rsidR="00A64C8A" w:rsidRDefault="00000000" w:rsidP="002C2C2F">
      <w:pPr>
        <w:spacing w:after="160" w:line="360" w:lineRule="auto"/>
      </w:pPr>
      <w:r>
        <w:t xml:space="preserve">Nursing and Midwifery Council (NMC) (2018) </w:t>
      </w:r>
      <w:r>
        <w:rPr>
          <w:i/>
          <w:iCs/>
        </w:rPr>
        <w:t>The Code: Professional Standards of Practice and Behaviour.</w:t>
      </w:r>
      <w:r>
        <w:t xml:space="preserve"> London: NMC.</w:t>
      </w:r>
    </w:p>
    <w:p w14:paraId="2632E603" w14:textId="77777777" w:rsidR="00A64C8A" w:rsidRDefault="00000000" w:rsidP="002C2C2F">
      <w:pPr>
        <w:spacing w:after="160" w:line="360" w:lineRule="auto"/>
      </w:pPr>
      <w:r>
        <w:lastRenderedPageBreak/>
        <w:t xml:space="preserve">Thompson, N. (2016) </w:t>
      </w:r>
      <w:r>
        <w:rPr>
          <w:i/>
          <w:iCs/>
        </w:rPr>
        <w:t>The Authentic Leader.</w:t>
      </w:r>
      <w:r>
        <w:t xml:space="preserve"> London: Palgrave Macmillan.</w:t>
      </w:r>
    </w:p>
    <w:sectPr w:rsidR="00A64C8A">
      <w:footerReference w:type="default" r:id="rId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63023" w14:textId="77777777" w:rsidR="000C176A" w:rsidRDefault="000C176A">
      <w:r>
        <w:separator/>
      </w:r>
    </w:p>
  </w:endnote>
  <w:endnote w:type="continuationSeparator" w:id="0">
    <w:p w14:paraId="3B80ACC5" w14:textId="77777777" w:rsidR="000C176A" w:rsidRDefault="000C17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2F6BFAB3-73B2-41E1-89A8-CFD34B7BF121}"/>
  </w:font>
  <w:font w:name="Calibri">
    <w:panose1 w:val="020F0502020204030204"/>
    <w:charset w:val="00"/>
    <w:family w:val="swiss"/>
    <w:pitch w:val="variable"/>
    <w:sig w:usb0="E4002EFF" w:usb1="C200247B" w:usb2="00000009" w:usb3="00000000" w:csb0="000001FF" w:csb1="00000000"/>
    <w:embedRegular r:id="rId2" w:fontKey="{EC242E38-00AD-469B-B384-5B7B57B53330}"/>
  </w:font>
  <w:font w:name="Cambria">
    <w:panose1 w:val="02040503050406030204"/>
    <w:charset w:val="00"/>
    <w:family w:val="roman"/>
    <w:pitch w:val="variable"/>
    <w:sig w:usb0="E00006FF" w:usb1="420024FF" w:usb2="02000000" w:usb3="00000000" w:csb0="0000019F" w:csb1="00000000"/>
    <w:embedRegular r:id="rId3" w:fontKey="{58FCFFF2-D5FC-4F95-A9F3-17B9D4FE3C5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2E604" w14:textId="355144CC" w:rsidR="00A64C8A" w:rsidRDefault="00000000">
    <w:pPr>
      <w:jc w:val="center"/>
    </w:pPr>
    <w:r>
      <w:fldChar w:fldCharType="begin"/>
    </w:r>
    <w:r>
      <w:instrText>PAGE</w:instrText>
    </w:r>
    <w:r>
      <w:fldChar w:fldCharType="separate"/>
    </w:r>
    <w:r w:rsidR="00455AC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E90DF" w14:textId="77777777" w:rsidR="000C176A" w:rsidRDefault="000C176A">
      <w:r>
        <w:separator/>
      </w:r>
    </w:p>
  </w:footnote>
  <w:footnote w:type="continuationSeparator" w:id="0">
    <w:p w14:paraId="6A606726" w14:textId="77777777" w:rsidR="000C176A" w:rsidRDefault="000C176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C8A"/>
    <w:rsid w:val="000C176A"/>
    <w:rsid w:val="001A32FC"/>
    <w:rsid w:val="002C2C2F"/>
    <w:rsid w:val="00455AC3"/>
    <w:rsid w:val="004A39AC"/>
    <w:rsid w:val="00666CB3"/>
    <w:rsid w:val="0098368A"/>
    <w:rsid w:val="00A64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2E5CB"/>
  <w15:docId w15:val="{4FC6C210-1E3D-48F1-854D-4A3A82029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60" w:after="200"/>
      <w:outlineLvl w:val="0"/>
    </w:pPr>
    <w:rPr>
      <w:b/>
      <w:bCs/>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280" w:after="160"/>
      <w:outlineLvl w:val="1"/>
    </w:pPr>
    <w:rPr>
      <w:b/>
      <w:bCs/>
      <w:color w:val="000000"/>
      <w:sz w:val="24"/>
      <w:szCs w:val="24"/>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2130</Words>
  <Characters>12144</Characters>
  <Application>Microsoft Office Word</Application>
  <DocSecurity>0</DocSecurity>
  <Lines>101</Lines>
  <Paragraphs>28</Paragraphs>
  <ScaleCrop>false</ScaleCrop>
  <Company/>
  <LinksUpToDate>false</LinksUpToDate>
  <CharactersWithSpaces>14246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Nicolas charry lamprea</dc:creator>
  <cp:lastModifiedBy>Nicolas charry lamprea</cp:lastModifiedBy>
  <cp:revision>4</cp:revision>
  <dcterms:created xsi:type="dcterms:W3CDTF">2026-05-02T05:13:00Z</dcterms:created>
  <dcterms:modified xsi:type="dcterms:W3CDTF">2026-05-02T05:15:00Z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1c0d7a00-3208-4095-83ea-c7aa19ca6c33</vt:lpwstr>
  </property>
</Properties>
</file>