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7B1AF3" w14:textId="7F8B996B" w:rsidR="000C25C7" w:rsidRPr="00CA6C3B" w:rsidRDefault="000C25C7" w:rsidP="000C25C7">
      <w:pPr>
        <w:rPr>
          <w:b/>
          <w:bCs/>
        </w:rPr>
      </w:pPr>
      <w:r w:rsidRPr="00CA6C3B">
        <w:rPr>
          <w:b/>
          <w:bCs/>
        </w:rPr>
        <w:t>SLIDE 1</w:t>
      </w:r>
    </w:p>
    <w:p w14:paraId="7167DBF1" w14:textId="469E1AE8" w:rsidR="000C25C7" w:rsidRPr="000C25C7" w:rsidRDefault="000C25C7" w:rsidP="000C25C7">
      <w:r w:rsidRPr="000C25C7">
        <w:t xml:space="preserve">Hi Good Morning my name is Amy Morgan and my student number is 1603313 </w:t>
      </w:r>
    </w:p>
    <w:p w14:paraId="386DA317" w14:textId="77777777" w:rsidR="000C25C7" w:rsidRPr="000C25C7" w:rsidRDefault="000C25C7" w:rsidP="000C25C7">
      <w:r w:rsidRPr="000C25C7">
        <w:t>And today I'm going to be talking about well-being in the early years.</w:t>
      </w:r>
    </w:p>
    <w:p w14:paraId="0EA2A22B" w14:textId="77777777" w:rsidR="000C25C7" w:rsidRPr="00CA6C3B" w:rsidRDefault="000C25C7" w:rsidP="000C25C7">
      <w:pPr>
        <w:rPr>
          <w:b/>
          <w:bCs/>
        </w:rPr>
      </w:pPr>
      <w:r w:rsidRPr="00CA6C3B">
        <w:rPr>
          <w:b/>
          <w:bCs/>
        </w:rPr>
        <w:t>SLIDE 2</w:t>
      </w:r>
    </w:p>
    <w:p w14:paraId="25E9CB7A" w14:textId="03B33FC9" w:rsidR="000C25C7" w:rsidRPr="000C25C7" w:rsidRDefault="000C25C7" w:rsidP="000C25C7">
      <w:r w:rsidRPr="000C25C7">
        <w:t xml:space="preserve">Children's </w:t>
      </w:r>
      <w:r w:rsidRPr="000C25C7">
        <w:t>well-being</w:t>
      </w:r>
      <w:r w:rsidRPr="000C25C7">
        <w:t xml:space="preserve"> is undoubtably one of the key elements in the early year’s curriculum. It is vital that we consider well-being from various perspectives, </w:t>
      </w:r>
      <w:r w:rsidRPr="000C25C7">
        <w:t>well-being</w:t>
      </w:r>
      <w:r w:rsidRPr="000C25C7">
        <w:t xml:space="preserve"> can mean something different to each individual. The children’s Society recognises well-being in a simple term, and that is </w:t>
      </w:r>
      <w:r w:rsidRPr="000C25C7">
        <w:rPr>
          <w:lang w:val="en-US"/>
        </w:rPr>
        <w:t>the quality of life, how we see ourselves to be dealing with situations and how well our lives are going (</w:t>
      </w:r>
      <w:r w:rsidRPr="000C25C7">
        <w:t xml:space="preserve">Moriarty, </w:t>
      </w:r>
      <w:r w:rsidRPr="000C25C7">
        <w:rPr>
          <w:i/>
          <w:iCs/>
        </w:rPr>
        <w:t>2018)</w:t>
      </w:r>
      <w:r w:rsidRPr="000C25C7">
        <w:rPr>
          <w:lang w:val="en-US"/>
        </w:rPr>
        <w:t>.</w:t>
      </w:r>
    </w:p>
    <w:p w14:paraId="152FBCF9" w14:textId="05FF1D5E" w:rsidR="000C25C7" w:rsidRPr="000C25C7" w:rsidRDefault="000C25C7" w:rsidP="000C25C7">
      <w:r w:rsidRPr="000C25C7">
        <w:rPr>
          <w:lang w:val="en-US"/>
        </w:rPr>
        <w:t>However, well-being is essentially more than just the quality of life, it</w:t>
      </w:r>
      <w:r>
        <w:rPr>
          <w:lang w:val="en-US"/>
        </w:rPr>
        <w:t xml:space="preserve"> i</w:t>
      </w:r>
      <w:r w:rsidRPr="000C25C7">
        <w:rPr>
          <w:lang w:val="en-US"/>
        </w:rPr>
        <w:t>s about how you recognizing your ability to cope with a situation, then to progress with your daily life after it. There is a psychological health capacity towards well –being that have an imprint on children which they can take through to their adult life.  If it</w:t>
      </w:r>
      <w:r>
        <w:rPr>
          <w:lang w:val="en-US"/>
        </w:rPr>
        <w:t xml:space="preserve"> i</w:t>
      </w:r>
      <w:r w:rsidRPr="000C25C7">
        <w:rPr>
          <w:lang w:val="en-US"/>
        </w:rPr>
        <w:t>s possible to recognize health and well-being by life experiences with positive moments then it is clear that it should be recognized within the early years (</w:t>
      </w:r>
      <w:r w:rsidRPr="000C25C7">
        <w:t xml:space="preserve">Moriarty, </w:t>
      </w:r>
      <w:r w:rsidRPr="000C25C7">
        <w:rPr>
          <w:i/>
          <w:iCs/>
        </w:rPr>
        <w:t>2018)</w:t>
      </w:r>
      <w:r w:rsidRPr="000C25C7">
        <w:rPr>
          <w:lang w:val="en-US"/>
        </w:rPr>
        <w:t>.</w:t>
      </w:r>
    </w:p>
    <w:p w14:paraId="63715207" w14:textId="77777777" w:rsidR="000C25C7" w:rsidRPr="000C25C7" w:rsidRDefault="000C25C7" w:rsidP="000C25C7">
      <w:r w:rsidRPr="000C25C7">
        <w:rPr>
          <w:lang w:val="en-US"/>
        </w:rPr>
        <w:t>.</w:t>
      </w:r>
    </w:p>
    <w:p w14:paraId="0D64D1E1" w14:textId="1C2806EB" w:rsidR="000C25C7" w:rsidRPr="000C25C7" w:rsidRDefault="000C25C7" w:rsidP="000C25C7">
      <w:r w:rsidRPr="000C25C7">
        <w:rPr>
          <w:lang w:val="en-US"/>
        </w:rPr>
        <w:t>UNICEF (2018) acknowledged that children and young people learn increasing more through the first</w:t>
      </w:r>
      <w:r>
        <w:rPr>
          <w:lang w:val="en-US"/>
        </w:rPr>
        <w:t xml:space="preserve"> </w:t>
      </w:r>
      <w:r w:rsidRPr="000C25C7">
        <w:rPr>
          <w:lang w:val="en-US"/>
        </w:rPr>
        <w:t xml:space="preserve">five years of their life and these understandings can shape their judgement when making life choices. Therefore, if practitioners are conscious of a child’s well-being declining, then they can aim to boost healthy habits to help the aid of positive well-being, for example; opening up to a peer or a member of staff to help them contract their negative outlooks or experience.  </w:t>
      </w:r>
    </w:p>
    <w:p w14:paraId="6FD45776" w14:textId="77777777" w:rsidR="000C25C7" w:rsidRPr="000C25C7" w:rsidRDefault="000C25C7" w:rsidP="000C25C7">
      <w:r w:rsidRPr="000C25C7">
        <w:rPr>
          <w:lang w:val="en-US"/>
        </w:rPr>
        <w:t xml:space="preserve">Health and well-being </w:t>
      </w:r>
      <w:proofErr w:type="gramStart"/>
      <w:r w:rsidRPr="000C25C7">
        <w:rPr>
          <w:lang w:val="en-US"/>
        </w:rPr>
        <w:t>is</w:t>
      </w:r>
      <w:proofErr w:type="gramEnd"/>
      <w:r w:rsidRPr="000C25C7">
        <w:rPr>
          <w:lang w:val="en-US"/>
        </w:rPr>
        <w:t xml:space="preserve"> crucial during the early years of a child’s life. Lavis (2016) believes that all social beings, have the capability to form and sustain relationships as they are essential to us and how we function within the world. It is a fundamental element to being psychologically healthy, and having a positive sense of wellbeing.</w:t>
      </w:r>
    </w:p>
    <w:p w14:paraId="6AF5A860" w14:textId="1033FC2E" w:rsidR="007858FB" w:rsidRDefault="007858FB"/>
    <w:p w14:paraId="355E18CC" w14:textId="405252E5" w:rsidR="000C25C7" w:rsidRPr="00CA6C3B" w:rsidRDefault="000C25C7">
      <w:pPr>
        <w:rPr>
          <w:b/>
          <w:bCs/>
        </w:rPr>
      </w:pPr>
      <w:r w:rsidRPr="00CA6C3B">
        <w:rPr>
          <w:b/>
          <w:bCs/>
        </w:rPr>
        <w:t>SLIDE 3</w:t>
      </w:r>
    </w:p>
    <w:p w14:paraId="3DED7D35" w14:textId="2C6CEBC8" w:rsidR="000C25C7" w:rsidRPr="000C25C7" w:rsidRDefault="000C25C7" w:rsidP="000C25C7">
      <w:r w:rsidRPr="000C25C7">
        <w:t>So,</w:t>
      </w:r>
      <w:r w:rsidRPr="000C25C7">
        <w:t xml:space="preserve"> a worry and box </w:t>
      </w:r>
      <w:r w:rsidRPr="000C25C7">
        <w:t>help</w:t>
      </w:r>
      <w:r w:rsidRPr="000C25C7">
        <w:t xml:space="preserve"> </w:t>
      </w:r>
      <w:r w:rsidRPr="000C25C7">
        <w:t>represent</w:t>
      </w:r>
      <w:r w:rsidRPr="000C25C7">
        <w:t xml:space="preserve"> the idea that these anxious, sad, unhappy feelings and emotions are simply just thoughts that we can actually distance ourselves from them. However, the idea of the ‘pupil voice’ is to upturn the participation from children in their studies by ensuring their thoughts and visions are included when it comes to decision making and planning</w:t>
      </w:r>
      <w:r w:rsidRPr="000C25C7">
        <w:rPr>
          <w:lang w:val="en-US"/>
        </w:rPr>
        <w:t>.</w:t>
      </w:r>
      <w:r w:rsidRPr="000C25C7">
        <w:t xml:space="preserve"> The worry and wishes box </w:t>
      </w:r>
      <w:r w:rsidRPr="000C25C7">
        <w:t>are</w:t>
      </w:r>
      <w:r w:rsidRPr="000C25C7">
        <w:t xml:space="preserve"> simply made and decorated by the class, by providing the children with the resources needed such as thick card, glue, pens, glitter and other decorative items which is very cost effective (Young, 2018).</w:t>
      </w:r>
    </w:p>
    <w:p w14:paraId="5AE91C6A" w14:textId="19BFA1BC" w:rsidR="000C25C7" w:rsidRPr="000C25C7" w:rsidRDefault="000C25C7" w:rsidP="000C25C7">
      <w:r w:rsidRPr="000C25C7">
        <w:t xml:space="preserve">The worry box aims to give the children an opportunity to share their worries or concerns, This can be a good way to engage the children to share their problems in a </w:t>
      </w:r>
      <w:r w:rsidRPr="000C25C7">
        <w:t>nonverbal</w:t>
      </w:r>
      <w:r w:rsidRPr="000C25C7">
        <w:t xml:space="preserve"> way; something that some children may find more accessible and at ease with.</w:t>
      </w:r>
      <w:r w:rsidRPr="000C25C7">
        <w:rPr>
          <w:lang w:val="en-US"/>
        </w:rPr>
        <w:t xml:space="preserve">It allows children to be anonymous if they wish, while alarming the class teacher of the issue within the class. The class teacher will be reliable to check through this box </w:t>
      </w:r>
      <w:r w:rsidRPr="000C25C7">
        <w:rPr>
          <w:lang w:val="en-US"/>
        </w:rPr>
        <w:t>every day</w:t>
      </w:r>
      <w:r w:rsidRPr="000C25C7">
        <w:rPr>
          <w:lang w:val="en-US"/>
        </w:rPr>
        <w:t xml:space="preserve"> and the children will be informed that they can approach the teacher at any time with their problem, wish or worry at any time of the day</w:t>
      </w:r>
      <w:r w:rsidR="00937D3A">
        <w:rPr>
          <w:lang w:val="en-US"/>
        </w:rPr>
        <w:t xml:space="preserve"> </w:t>
      </w:r>
      <w:r w:rsidRPr="000C25C7">
        <w:t>(</w:t>
      </w:r>
      <w:r w:rsidRPr="000C25C7">
        <w:rPr>
          <w:lang w:val="en-US"/>
        </w:rPr>
        <w:t xml:space="preserve">Social, Emotional and Mental Health, 2020). </w:t>
      </w:r>
    </w:p>
    <w:p w14:paraId="3BF3F742" w14:textId="063D8B50" w:rsidR="000C25C7" w:rsidRPr="000C25C7" w:rsidRDefault="000C25C7" w:rsidP="000C25C7">
      <w:r w:rsidRPr="000C25C7">
        <w:rPr>
          <w:lang w:val="en-US"/>
        </w:rPr>
        <w:lastRenderedPageBreak/>
        <w:t xml:space="preserve">There are many benefits such as bringing children and young people together, positive behavioral changes, allowing the child to feel a sense of responsibility </w:t>
      </w:r>
      <w:r w:rsidRPr="000C25C7">
        <w:rPr>
          <w:lang w:val="en-US"/>
        </w:rPr>
        <w:t>alongside</w:t>
      </w:r>
      <w:r w:rsidRPr="000C25C7">
        <w:rPr>
          <w:lang w:val="en-US"/>
        </w:rPr>
        <w:t xml:space="preserve"> strengthening the children’s </w:t>
      </w:r>
      <w:r w:rsidRPr="000C25C7">
        <w:rPr>
          <w:lang w:val="en-US"/>
        </w:rPr>
        <w:t>citizenship (</w:t>
      </w:r>
      <w:r w:rsidRPr="000C25C7">
        <w:t>Yew Tree Primary School, No Date)</w:t>
      </w:r>
      <w:r w:rsidRPr="000C25C7">
        <w:rPr>
          <w:lang w:val="en-US"/>
        </w:rPr>
        <w:t xml:space="preserve">. Role play is a key element in a child’s education, imaginative play not only supports intellectual development but it also advances children’s creative and social skills. It allows children the time and place to play </w:t>
      </w:r>
      <w:r>
        <w:rPr>
          <w:lang w:val="en-US"/>
        </w:rPr>
        <w:t>/</w:t>
      </w:r>
      <w:r w:rsidRPr="000C25C7">
        <w:rPr>
          <w:lang w:val="en-US"/>
        </w:rPr>
        <w:t xml:space="preserve"> act out events that they have experienced or observed in a </w:t>
      </w:r>
      <w:r w:rsidR="00937D3A" w:rsidRPr="000C25C7">
        <w:rPr>
          <w:lang w:val="en-US"/>
        </w:rPr>
        <w:t xml:space="preserve">real-life </w:t>
      </w:r>
      <w:r w:rsidR="00937D3A">
        <w:rPr>
          <w:lang w:val="en-US"/>
        </w:rPr>
        <w:t>situation</w:t>
      </w:r>
      <w:r w:rsidRPr="000C25C7">
        <w:rPr>
          <w:lang w:val="en-US"/>
        </w:rPr>
        <w:t xml:space="preserve"> (</w:t>
      </w:r>
      <w:r w:rsidRPr="000C25C7">
        <w:t>Meighan</w:t>
      </w:r>
      <w:r w:rsidRPr="000C25C7">
        <w:rPr>
          <w:lang w:val="en-US"/>
        </w:rPr>
        <w:t>, 2011).</w:t>
      </w:r>
    </w:p>
    <w:p w14:paraId="19617645" w14:textId="77777777" w:rsidR="000C25C7" w:rsidRPr="000C25C7" w:rsidRDefault="000C25C7" w:rsidP="000C25C7">
      <w:r w:rsidRPr="000C25C7">
        <w:rPr>
          <w:lang w:val="en-US"/>
        </w:rPr>
        <w:t xml:space="preserve"> Adding this worry and wish box to the role play area would be an added benefit. The children could be provided with questionnaires to fill out while sharing with their answers with their class mates or friends; this allows the children to gain empathy and help resolve situations, gain improved reflective listening and appropriate self-disclosure (Young, 2018). </w:t>
      </w:r>
    </w:p>
    <w:p w14:paraId="4B02FFFF" w14:textId="08CC89EB" w:rsidR="000C25C7" w:rsidRPr="000C25C7" w:rsidRDefault="000C25C7" w:rsidP="000C25C7">
      <w:r w:rsidRPr="000C25C7">
        <w:rPr>
          <w:lang w:val="en-US"/>
        </w:rPr>
        <w:t xml:space="preserve">The worry and wish box </w:t>
      </w:r>
      <w:r w:rsidRPr="000C25C7">
        <w:rPr>
          <w:lang w:val="en-US"/>
        </w:rPr>
        <w:t>are</w:t>
      </w:r>
      <w:r w:rsidRPr="000C25C7">
        <w:rPr>
          <w:lang w:val="en-US"/>
        </w:rPr>
        <w:t xml:space="preserve"> a system that uses cognitive-behavioral and stimulus control components such as classifying the worried thinking. Stimulus control provides children that have anxiety with a developmentally related application; the child will then be encouraged to follow through the stimulus control treatment, to delay worrying to the elected worry time and to move on to another dissimilar thought. A theorist that interlinks with similar outcomes is B.F Skinner, as his outcomes are very similar as theory is based upon the idea Stimulus control, this is a term used to define situations in which a behavior is prompted by the presence or absence of some stimulus. For </w:t>
      </w:r>
      <w:r w:rsidRPr="000C25C7">
        <w:rPr>
          <w:lang w:val="en-US"/>
        </w:rPr>
        <w:t>example,</w:t>
      </w:r>
      <w:r w:rsidRPr="000C25C7">
        <w:rPr>
          <w:lang w:val="en-US"/>
        </w:rPr>
        <w:t xml:space="preserve"> </w:t>
      </w:r>
      <w:proofErr w:type="gramStart"/>
      <w:r w:rsidRPr="000C25C7">
        <w:rPr>
          <w:lang w:val="en-US"/>
        </w:rPr>
        <w:t>If</w:t>
      </w:r>
      <w:proofErr w:type="gramEnd"/>
      <w:r w:rsidRPr="000C25C7">
        <w:rPr>
          <w:lang w:val="en-US"/>
        </w:rPr>
        <w:t xml:space="preserve"> </w:t>
      </w:r>
      <w:r>
        <w:rPr>
          <w:lang w:val="en-US"/>
        </w:rPr>
        <w:t>a</w:t>
      </w:r>
      <w:r w:rsidR="00237A00">
        <w:rPr>
          <w:lang w:val="en-US"/>
        </w:rPr>
        <w:t xml:space="preserve">n </w:t>
      </w:r>
      <w:r w:rsidRPr="000C25C7">
        <w:rPr>
          <w:lang w:val="en-US"/>
        </w:rPr>
        <w:t xml:space="preserve">individual continuously drinks when watching television, the drinking behavior is controlled by the stimulus of watching </w:t>
      </w:r>
      <w:r w:rsidR="00237A00">
        <w:rPr>
          <w:lang w:val="en-US"/>
        </w:rPr>
        <w:t xml:space="preserve">the </w:t>
      </w:r>
      <w:r w:rsidRPr="000C25C7">
        <w:rPr>
          <w:lang w:val="en-US"/>
        </w:rPr>
        <w:t>Television (McLeod, 2018).</w:t>
      </w:r>
    </w:p>
    <w:p w14:paraId="4D23A5B0" w14:textId="030B36B5" w:rsidR="000C25C7" w:rsidRPr="000C25C7" w:rsidRDefault="000C25C7" w:rsidP="000C25C7">
      <w:r w:rsidRPr="000C25C7">
        <w:rPr>
          <w:lang w:val="en-US"/>
        </w:rPr>
        <w:t xml:space="preserve">Through research it is apparent that manty schools have opted and indorsed this method to aid the health and well-being of the children, however there is only one study that has been carried out on the worry and wishes box; the study indicated that one of three participants in the study showed decreased signs of anxiety and that the worry box generally had a positive impact. Although there is no substantial </w:t>
      </w:r>
      <w:r w:rsidRPr="000C25C7">
        <w:rPr>
          <w:lang w:val="en-US"/>
        </w:rPr>
        <w:t>evidence (</w:t>
      </w:r>
      <w:r w:rsidRPr="000C25C7">
        <w:rPr>
          <w:lang w:val="en-US"/>
        </w:rPr>
        <w:t>Young, 2018).</w:t>
      </w:r>
    </w:p>
    <w:p w14:paraId="7F5A1E01" w14:textId="11106D6B" w:rsidR="000C25C7" w:rsidRDefault="000C25C7" w:rsidP="000C25C7">
      <w:pPr>
        <w:rPr>
          <w:lang w:val="en-US"/>
        </w:rPr>
      </w:pPr>
      <w:r w:rsidRPr="000C25C7">
        <w:rPr>
          <w:lang w:val="en-US"/>
        </w:rPr>
        <w:t xml:space="preserve">When planning my activity John Bowlby had influence over my planning as through research it is evident that several children show behavior suggesting an insecure attachment which makes </w:t>
      </w:r>
      <w:proofErr w:type="spellStart"/>
      <w:r w:rsidRPr="000C25C7">
        <w:rPr>
          <w:lang w:val="en-US"/>
        </w:rPr>
        <w:t>if</w:t>
      </w:r>
      <w:proofErr w:type="spellEnd"/>
      <w:r w:rsidRPr="000C25C7">
        <w:rPr>
          <w:lang w:val="en-US"/>
        </w:rPr>
        <w:t xml:space="preserve"> difficult to form bonds and friendships, it is likely that this has an association with their anxiety and poor health and well-being within their school environment (Rose, 2019). Another theorist that has influence over practice is Maslow’s theory, the hierarchy of needs. It is important to distinguish the fact that not all children that attend school have their basic needs met, this means that they </w:t>
      </w:r>
      <w:r w:rsidRPr="000C25C7">
        <w:rPr>
          <w:lang w:val="en-US"/>
        </w:rPr>
        <w:t>cannot</w:t>
      </w:r>
      <w:r w:rsidRPr="000C25C7">
        <w:rPr>
          <w:lang w:val="en-US"/>
        </w:rPr>
        <w:t xml:space="preserve"> progress to the next level; this often has a </w:t>
      </w:r>
      <w:r w:rsidRPr="000C25C7">
        <w:rPr>
          <w:lang w:val="en-US"/>
        </w:rPr>
        <w:t xml:space="preserve">negative </w:t>
      </w:r>
      <w:r>
        <w:rPr>
          <w:lang w:val="en-US"/>
        </w:rPr>
        <w:t>impact</w:t>
      </w:r>
      <w:r w:rsidRPr="000C25C7">
        <w:rPr>
          <w:lang w:val="en-US"/>
        </w:rPr>
        <w:t xml:space="preserve"> on health and well-being.</w:t>
      </w:r>
    </w:p>
    <w:p w14:paraId="6B9838C9" w14:textId="09FD6980" w:rsidR="000C25C7" w:rsidRPr="000C25C7" w:rsidRDefault="000C25C7" w:rsidP="000C25C7">
      <w:pPr>
        <w:rPr>
          <w:b/>
          <w:bCs/>
        </w:rPr>
      </w:pPr>
      <w:r w:rsidRPr="00CA6C3B">
        <w:rPr>
          <w:b/>
          <w:bCs/>
          <w:lang w:val="en-US"/>
        </w:rPr>
        <w:t>SLIDE 4</w:t>
      </w:r>
      <w:r w:rsidRPr="000C25C7">
        <w:rPr>
          <w:b/>
          <w:bCs/>
          <w:lang w:val="en-US"/>
        </w:rPr>
        <w:t xml:space="preserve"> </w:t>
      </w:r>
    </w:p>
    <w:p w14:paraId="07800CAE" w14:textId="6E3154CE" w:rsidR="000C25C7" w:rsidRPr="000C25C7" w:rsidRDefault="000C25C7" w:rsidP="000C25C7">
      <w:pPr>
        <w:numPr>
          <w:ilvl w:val="0"/>
          <w:numId w:val="1"/>
        </w:numPr>
      </w:pPr>
      <w:r w:rsidRPr="000C25C7">
        <w:t xml:space="preserve">Please read the scenario you </w:t>
      </w:r>
      <w:r>
        <w:t xml:space="preserve">received </w:t>
      </w:r>
      <w:r w:rsidRPr="000C25C7">
        <w:t xml:space="preserve">on your way in and use the person next to you to carry out the following </w:t>
      </w:r>
    </w:p>
    <w:p w14:paraId="5673229C" w14:textId="77777777" w:rsidR="000C25C7" w:rsidRPr="000C25C7" w:rsidRDefault="000C25C7" w:rsidP="000C25C7">
      <w:pPr>
        <w:numPr>
          <w:ilvl w:val="0"/>
          <w:numId w:val="2"/>
        </w:numPr>
      </w:pPr>
      <w:r w:rsidRPr="000C25C7">
        <w:t xml:space="preserve"> understand the problem</w:t>
      </w:r>
    </w:p>
    <w:p w14:paraId="1A03ABBE" w14:textId="77777777" w:rsidR="000C25C7" w:rsidRPr="000C25C7" w:rsidRDefault="000C25C7" w:rsidP="000C25C7">
      <w:pPr>
        <w:numPr>
          <w:ilvl w:val="0"/>
          <w:numId w:val="2"/>
        </w:numPr>
      </w:pPr>
      <w:r w:rsidRPr="000C25C7">
        <w:t>Explore the issue- try and put yourselves in their shoes</w:t>
      </w:r>
    </w:p>
    <w:p w14:paraId="19E04F2C" w14:textId="77777777" w:rsidR="000C25C7" w:rsidRPr="000C25C7" w:rsidRDefault="000C25C7" w:rsidP="000C25C7">
      <w:pPr>
        <w:numPr>
          <w:ilvl w:val="0"/>
          <w:numId w:val="2"/>
        </w:numPr>
      </w:pPr>
      <w:r w:rsidRPr="000C25C7">
        <w:t xml:space="preserve"> Give your advice</w:t>
      </w:r>
    </w:p>
    <w:p w14:paraId="4D4A18D6" w14:textId="77777777" w:rsidR="000C25C7" w:rsidRPr="000C25C7" w:rsidRDefault="000C25C7" w:rsidP="000C25C7">
      <w:pPr>
        <w:numPr>
          <w:ilvl w:val="0"/>
          <w:numId w:val="2"/>
        </w:numPr>
      </w:pPr>
      <w:r w:rsidRPr="000C25C7">
        <w:t xml:space="preserve">Devise a plan to help the problem </w:t>
      </w:r>
    </w:p>
    <w:p w14:paraId="2EA79905" w14:textId="77777777" w:rsidR="000C25C7" w:rsidRPr="000C25C7" w:rsidRDefault="000C25C7" w:rsidP="000C25C7">
      <w:r w:rsidRPr="000C25C7">
        <w:t>Think to yourselves would you need to do any of the following?</w:t>
      </w:r>
    </w:p>
    <w:p w14:paraId="1BBD4C43" w14:textId="5E705BD9" w:rsidR="000C25C7" w:rsidRDefault="000C25C7" w:rsidP="000C25C7">
      <w:r>
        <w:t>&gt;</w:t>
      </w:r>
      <w:r w:rsidRPr="000C25C7">
        <w:t xml:space="preserve"> talk with teache</w:t>
      </w:r>
      <w:r>
        <w:t xml:space="preserve">r </w:t>
      </w:r>
    </w:p>
    <w:p w14:paraId="17808BDF" w14:textId="75A4C318" w:rsidR="000C25C7" w:rsidRDefault="000C25C7" w:rsidP="000C25C7">
      <w:r>
        <w:t xml:space="preserve">Have someone arrange counselling </w:t>
      </w:r>
    </w:p>
    <w:p w14:paraId="4CDD686E" w14:textId="126A7964" w:rsidR="00937D3A" w:rsidRDefault="00937D3A" w:rsidP="00937D3A">
      <w:pPr>
        <w:pStyle w:val="ListParagraph"/>
        <w:numPr>
          <w:ilvl w:val="0"/>
          <w:numId w:val="4"/>
        </w:numPr>
      </w:pPr>
      <w:r>
        <w:lastRenderedPageBreak/>
        <w:t>Tell your friends parent’s</w:t>
      </w:r>
    </w:p>
    <w:p w14:paraId="739BAB47" w14:textId="28E2B16C" w:rsidR="000C25C7" w:rsidRPr="000C25C7" w:rsidRDefault="000C25C7" w:rsidP="000C25C7">
      <w:r w:rsidRPr="000C25C7">
        <w:t xml:space="preserve">decorate the post box </w:t>
      </w:r>
    </w:p>
    <w:p w14:paraId="3606A8EC" w14:textId="1FA68CAB" w:rsidR="000C25C7" w:rsidRPr="000C25C7" w:rsidRDefault="000C25C7" w:rsidP="000C25C7">
      <w:pPr>
        <w:numPr>
          <w:ilvl w:val="0"/>
          <w:numId w:val="3"/>
        </w:numPr>
      </w:pPr>
      <w:r w:rsidRPr="000C25C7">
        <w:t>Finally</w:t>
      </w:r>
      <w:r>
        <w:t>, can you please</w:t>
      </w:r>
      <w:r w:rsidRPr="000C25C7">
        <w:t xml:space="preserve"> write your very own worry or wish on blank paper and post it </w:t>
      </w:r>
      <w:r w:rsidRPr="000C25C7">
        <w:sym w:font="Wingdings" w:char="F04A"/>
      </w:r>
      <w:r w:rsidRPr="000C25C7">
        <w:t xml:space="preserve"> Thank You!</w:t>
      </w:r>
    </w:p>
    <w:p w14:paraId="3142EB37" w14:textId="7D4275B9" w:rsidR="000C25C7" w:rsidRDefault="000C25C7"/>
    <w:p w14:paraId="178A2A06" w14:textId="77777777" w:rsidR="00E91CAE" w:rsidRPr="00E91CAE" w:rsidRDefault="00E91CAE" w:rsidP="00E91CAE">
      <w:r w:rsidRPr="00E91CAE">
        <w:t>A Hayes Park Blog.  (2020) ‘5T’s worry box’</w:t>
      </w:r>
    </w:p>
    <w:p w14:paraId="2A7ADC2E" w14:textId="77777777" w:rsidR="00E91CAE" w:rsidRPr="00E91CAE" w:rsidRDefault="00E91CAE" w:rsidP="00E91CAE">
      <w:hyperlink r:id="rId5" w:history="1">
        <w:r w:rsidRPr="00E91CAE">
          <w:rPr>
            <w:rStyle w:val="Hyperlink"/>
            <w:i/>
            <w:iCs/>
          </w:rPr>
          <w:t>https://hayesparkblogs.net/year52017/2017/07/03/5ts-worry-box/</w:t>
        </w:r>
      </w:hyperlink>
    </w:p>
    <w:p w14:paraId="465DACCC" w14:textId="77777777" w:rsidR="00E91CAE" w:rsidRPr="00E91CAE" w:rsidRDefault="00E91CAE" w:rsidP="00E91CAE">
      <w:r w:rsidRPr="00E91CAE">
        <w:rPr>
          <w:i/>
          <w:iCs/>
        </w:rPr>
        <w:t>[Accessed: 11</w:t>
      </w:r>
      <w:r w:rsidRPr="00E91CAE">
        <w:rPr>
          <w:i/>
          <w:iCs/>
          <w:vertAlign w:val="superscript"/>
        </w:rPr>
        <w:t>th</w:t>
      </w:r>
      <w:r w:rsidRPr="00E91CAE">
        <w:rPr>
          <w:i/>
          <w:iCs/>
        </w:rPr>
        <w:t xml:space="preserve"> of January 2020].</w:t>
      </w:r>
    </w:p>
    <w:p w14:paraId="12BAF105" w14:textId="77777777" w:rsidR="00E91CAE" w:rsidRPr="00E91CAE" w:rsidRDefault="00E91CAE" w:rsidP="00E91CAE">
      <w:r w:rsidRPr="00E91CAE">
        <w:rPr>
          <w:i/>
          <w:iCs/>
        </w:rPr>
        <w:t>Lavis, P.  (2016) ‘</w:t>
      </w:r>
      <w:r w:rsidRPr="00E91CAE">
        <w:rPr>
          <w:i/>
          <w:iCs/>
          <w:lang w:val="en-US"/>
        </w:rPr>
        <w:t xml:space="preserve">Why relationships are so important for children and young people’ </w:t>
      </w:r>
    </w:p>
    <w:p w14:paraId="28BCF74D" w14:textId="77777777" w:rsidR="00E91CAE" w:rsidRPr="00E91CAE" w:rsidRDefault="00E91CAE" w:rsidP="00E91CAE">
      <w:hyperlink r:id="rId6" w:history="1">
        <w:r w:rsidRPr="00E91CAE">
          <w:rPr>
            <w:rStyle w:val="Hyperlink"/>
            <w:i/>
            <w:iCs/>
          </w:rPr>
          <w:t>https://www.mentalhealth.org.uk/blog/why-relationships-are-so-important-children-and-young-people</w:t>
        </w:r>
      </w:hyperlink>
      <w:r w:rsidRPr="00E91CAE">
        <w:rPr>
          <w:i/>
          <w:iCs/>
        </w:rPr>
        <w:t xml:space="preserve"> [Accessed: 11</w:t>
      </w:r>
      <w:r w:rsidRPr="00E91CAE">
        <w:rPr>
          <w:i/>
          <w:iCs/>
          <w:vertAlign w:val="superscript"/>
        </w:rPr>
        <w:t>th</w:t>
      </w:r>
      <w:r w:rsidRPr="00E91CAE">
        <w:rPr>
          <w:i/>
          <w:iCs/>
        </w:rPr>
        <w:t xml:space="preserve"> of January 2020].</w:t>
      </w:r>
    </w:p>
    <w:p w14:paraId="74681E6F" w14:textId="77777777" w:rsidR="00E91CAE" w:rsidRPr="00E91CAE" w:rsidRDefault="00E91CAE" w:rsidP="00E91CAE">
      <w:r w:rsidRPr="00E91CAE">
        <w:rPr>
          <w:i/>
          <w:iCs/>
        </w:rPr>
        <w:t>Moriarty, S.  (2018) ‘Well-being for children in the EYFS’</w:t>
      </w:r>
    </w:p>
    <w:p w14:paraId="596483E1" w14:textId="77777777" w:rsidR="00E91CAE" w:rsidRPr="00E91CAE" w:rsidRDefault="00E91CAE" w:rsidP="00E91CAE">
      <w:hyperlink r:id="rId7" w:history="1">
        <w:r w:rsidRPr="00E91CAE">
          <w:rPr>
            <w:rStyle w:val="Hyperlink"/>
            <w:i/>
            <w:iCs/>
          </w:rPr>
          <w:t>https://www.cache.org.uk/news-media/well-being-for-children-in-the-eyfs</w:t>
        </w:r>
      </w:hyperlink>
      <w:r w:rsidRPr="00E91CAE">
        <w:rPr>
          <w:i/>
          <w:iCs/>
        </w:rPr>
        <w:t xml:space="preserve"> [Accessed: 09</w:t>
      </w:r>
      <w:r w:rsidRPr="00E91CAE">
        <w:rPr>
          <w:i/>
          <w:iCs/>
          <w:vertAlign w:val="superscript"/>
        </w:rPr>
        <w:t>th</w:t>
      </w:r>
      <w:r w:rsidRPr="00E91CAE">
        <w:rPr>
          <w:i/>
          <w:iCs/>
        </w:rPr>
        <w:t xml:space="preserve"> of January 2020].</w:t>
      </w:r>
    </w:p>
    <w:p w14:paraId="00243CD0" w14:textId="77777777" w:rsidR="00E91CAE" w:rsidRPr="00E91CAE" w:rsidRDefault="00E91CAE" w:rsidP="00E91CAE">
      <w:r w:rsidRPr="00E91CAE">
        <w:rPr>
          <w:i/>
          <w:iCs/>
        </w:rPr>
        <w:t>McLeod, S.  (2018</w:t>
      </w:r>
      <w:proofErr w:type="gramStart"/>
      <w:r w:rsidRPr="00E91CAE">
        <w:rPr>
          <w:i/>
          <w:iCs/>
        </w:rPr>
        <w:t>)  ‘</w:t>
      </w:r>
      <w:proofErr w:type="gramEnd"/>
      <w:r w:rsidRPr="00E91CAE">
        <w:t>Skinner - Operant Conditioning’</w:t>
      </w:r>
    </w:p>
    <w:p w14:paraId="093DA486" w14:textId="77777777" w:rsidR="00E91CAE" w:rsidRPr="00E91CAE" w:rsidRDefault="00E91CAE" w:rsidP="00E91CAE">
      <w:hyperlink r:id="rId8" w:history="1">
        <w:r w:rsidRPr="00E91CAE">
          <w:rPr>
            <w:rStyle w:val="Hyperlink"/>
          </w:rPr>
          <w:t>https://www.simplypsychology.org/operant-conditioning.</w:t>
        </w:r>
      </w:hyperlink>
      <w:hyperlink r:id="rId9" w:history="1">
        <w:r w:rsidRPr="00E91CAE">
          <w:rPr>
            <w:rStyle w:val="Hyperlink"/>
          </w:rPr>
          <w:t>html</w:t>
        </w:r>
      </w:hyperlink>
      <w:r w:rsidRPr="00E91CAE">
        <w:t xml:space="preserve"> [Accessed: 11</w:t>
      </w:r>
      <w:r w:rsidRPr="00E91CAE">
        <w:rPr>
          <w:vertAlign w:val="superscript"/>
        </w:rPr>
        <w:t>th</w:t>
      </w:r>
      <w:r w:rsidRPr="00E91CAE">
        <w:t xml:space="preserve"> of January 2020].</w:t>
      </w:r>
    </w:p>
    <w:p w14:paraId="1CDD5B8F" w14:textId="77777777" w:rsidR="00E91CAE" w:rsidRPr="00E91CAE" w:rsidRDefault="00E91CAE" w:rsidP="00E91CAE">
      <w:r w:rsidRPr="00E91CAE">
        <w:t>Meighan</w:t>
      </w:r>
      <w:r w:rsidRPr="00E91CAE">
        <w:rPr>
          <w:lang w:val="en-US"/>
        </w:rPr>
        <w:t>, J.  (2011) ‘role play in the early years’</w:t>
      </w:r>
    </w:p>
    <w:p w14:paraId="730E4B9D" w14:textId="77777777" w:rsidR="00E91CAE" w:rsidRPr="00E91CAE" w:rsidRDefault="00E91CAE" w:rsidP="00E91CAE">
      <w:hyperlink r:id="rId10" w:history="1">
        <w:r w:rsidRPr="00E91CAE">
          <w:rPr>
            <w:rStyle w:val="Hyperlink"/>
          </w:rPr>
          <w:t>https://teachpreschool.org/2011/06/12/role-play-in-early-years</w:t>
        </w:r>
      </w:hyperlink>
      <w:hyperlink r:id="rId11" w:history="1">
        <w:r w:rsidRPr="00E91CAE">
          <w:rPr>
            <w:rStyle w:val="Hyperlink"/>
          </w:rPr>
          <w:t>/</w:t>
        </w:r>
      </w:hyperlink>
      <w:r w:rsidRPr="00E91CAE">
        <w:t xml:space="preserve"> [Accessed:11</w:t>
      </w:r>
      <w:r w:rsidRPr="00E91CAE">
        <w:rPr>
          <w:vertAlign w:val="superscript"/>
        </w:rPr>
        <w:t>th</w:t>
      </w:r>
      <w:r w:rsidRPr="00E91CAE">
        <w:t xml:space="preserve"> of January 2020].</w:t>
      </w:r>
    </w:p>
    <w:p w14:paraId="0677AC5B" w14:textId="77777777" w:rsidR="00E91CAE" w:rsidRPr="00E91CAE" w:rsidRDefault="00E91CAE" w:rsidP="00E91CAE">
      <w:r w:rsidRPr="00E91CAE">
        <w:rPr>
          <w:i/>
          <w:iCs/>
        </w:rPr>
        <w:t xml:space="preserve">Rose, N.  (2019) </w:t>
      </w:r>
      <w:proofErr w:type="gramStart"/>
      <w:r w:rsidRPr="00E91CAE">
        <w:rPr>
          <w:i/>
          <w:iCs/>
        </w:rPr>
        <w:t xml:space="preserve">‘ </w:t>
      </w:r>
      <w:r w:rsidRPr="00E91CAE">
        <w:t>Attachment</w:t>
      </w:r>
      <w:proofErr w:type="gramEnd"/>
      <w:r w:rsidRPr="00E91CAE">
        <w:t xml:space="preserve"> theory: what do teachers need to know?’</w:t>
      </w:r>
    </w:p>
    <w:p w14:paraId="381BC08D" w14:textId="77777777" w:rsidR="00E91CAE" w:rsidRPr="00E91CAE" w:rsidRDefault="00E91CAE" w:rsidP="00E91CAE">
      <w:r w:rsidRPr="00E91CAE">
        <w:t>https://researched.org.uk/attachment-theory-what-do-teachers-need-to-know/</w:t>
      </w:r>
    </w:p>
    <w:p w14:paraId="1BB6C27B" w14:textId="77777777" w:rsidR="00E91CAE" w:rsidRPr="00E91CAE" w:rsidRDefault="00E91CAE" w:rsidP="00E91CAE">
      <w:r w:rsidRPr="00E91CAE">
        <w:rPr>
          <w:lang w:val="en-US"/>
        </w:rPr>
        <w:t>The Un Convention on the rights of the Child.  (2010) ‘A summary of the un convention on the rights of the child’</w:t>
      </w:r>
    </w:p>
    <w:p w14:paraId="4D4FB9AE" w14:textId="77777777" w:rsidR="00E91CAE" w:rsidRPr="00E91CAE" w:rsidRDefault="00E91CAE" w:rsidP="00E91CAE">
      <w:hyperlink r:id="rId12" w:history="1">
        <w:r w:rsidRPr="00E91CAE">
          <w:rPr>
            <w:rStyle w:val="Hyperlink"/>
            <w:lang w:val="en-US"/>
          </w:rPr>
          <w:t>https://www.unicef.org.uk/wp-content/uploads/2010/05/UNCRC_summary-1.pdf</w:t>
        </w:r>
      </w:hyperlink>
      <w:r w:rsidRPr="00E91CAE">
        <w:rPr>
          <w:lang w:val="en-US"/>
        </w:rPr>
        <w:t xml:space="preserve"> [Accessed: 11</w:t>
      </w:r>
      <w:r w:rsidRPr="00E91CAE">
        <w:rPr>
          <w:vertAlign w:val="superscript"/>
          <w:lang w:val="en-US"/>
        </w:rPr>
        <w:t>th</w:t>
      </w:r>
      <w:r w:rsidRPr="00E91CAE">
        <w:rPr>
          <w:lang w:val="en-US"/>
        </w:rPr>
        <w:t xml:space="preserve"> of January 2020].</w:t>
      </w:r>
    </w:p>
    <w:p w14:paraId="06932F9E" w14:textId="77777777" w:rsidR="00E91CAE" w:rsidRPr="00E91CAE" w:rsidRDefault="00E91CAE" w:rsidP="00E91CAE">
      <w:r w:rsidRPr="00E91CAE">
        <w:t>Yew Tree Primary School.  (No Date) ‘</w:t>
      </w:r>
      <w:r w:rsidRPr="00E91CAE">
        <w:rPr>
          <w:i/>
          <w:iCs/>
        </w:rPr>
        <w:t>Worries and Wishes</w:t>
      </w:r>
      <w:r w:rsidRPr="00E91CAE">
        <w:t>’</w:t>
      </w:r>
    </w:p>
    <w:p w14:paraId="579666FC" w14:textId="77777777" w:rsidR="00E91CAE" w:rsidRPr="00E91CAE" w:rsidRDefault="00E91CAE" w:rsidP="00E91CAE">
      <w:hyperlink r:id="rId13" w:history="1">
        <w:r w:rsidRPr="00E91CAE">
          <w:rPr>
            <w:rStyle w:val="Hyperlink"/>
          </w:rPr>
          <w:t>https://www.yewtreeprimary.co.uk/worries-and-wishes/</w:t>
        </w:r>
      </w:hyperlink>
      <w:r w:rsidRPr="00E91CAE">
        <w:t xml:space="preserve"> [Accessed: 11</w:t>
      </w:r>
      <w:r w:rsidRPr="00E91CAE">
        <w:rPr>
          <w:vertAlign w:val="superscript"/>
        </w:rPr>
        <w:t>th</w:t>
      </w:r>
      <w:r w:rsidRPr="00E91CAE">
        <w:t xml:space="preserve"> of January 2020].</w:t>
      </w:r>
    </w:p>
    <w:p w14:paraId="3FF9C04B" w14:textId="77777777" w:rsidR="00E91CAE" w:rsidRPr="00E91CAE" w:rsidRDefault="00E91CAE" w:rsidP="00E91CAE">
      <w:r w:rsidRPr="00E91CAE">
        <w:rPr>
          <w:i/>
          <w:iCs/>
        </w:rPr>
        <w:t xml:space="preserve">Young, K.  (2018) ‘THE WORRY BOX </w:t>
      </w:r>
      <w:proofErr w:type="gramStart"/>
      <w:r w:rsidRPr="00E91CAE">
        <w:rPr>
          <w:i/>
          <w:iCs/>
        </w:rPr>
        <w:t>TECHNIQUE‘</w:t>
      </w:r>
      <w:proofErr w:type="gramEnd"/>
    </w:p>
    <w:p w14:paraId="6B52C28D" w14:textId="77777777" w:rsidR="00E91CAE" w:rsidRPr="00E91CAE" w:rsidRDefault="00E91CAE" w:rsidP="00E91CAE">
      <w:hyperlink r:id="rId14" w:history="1">
        <w:r w:rsidRPr="00E91CAE">
          <w:rPr>
            <w:rStyle w:val="Hyperlink"/>
            <w:i/>
            <w:iCs/>
          </w:rPr>
          <w:t>https://etd.ohiolink.edu/!etd.send_file?accession=dayton1533570624733335&amp;disposition=inline</w:t>
        </w:r>
      </w:hyperlink>
      <w:r w:rsidRPr="00E91CAE">
        <w:rPr>
          <w:i/>
          <w:iCs/>
        </w:rPr>
        <w:t xml:space="preserve"> [Accessed: 11</w:t>
      </w:r>
      <w:r w:rsidRPr="00E91CAE">
        <w:rPr>
          <w:i/>
          <w:iCs/>
          <w:vertAlign w:val="superscript"/>
        </w:rPr>
        <w:t>th</w:t>
      </w:r>
      <w:r w:rsidRPr="00E91CAE">
        <w:rPr>
          <w:i/>
          <w:iCs/>
        </w:rPr>
        <w:t xml:space="preserve"> of January 2020].</w:t>
      </w:r>
    </w:p>
    <w:p w14:paraId="79AB408D" w14:textId="77777777" w:rsidR="00E91CAE" w:rsidRDefault="00E91CAE">
      <w:bookmarkStart w:id="0" w:name="_GoBack"/>
      <w:bookmarkEnd w:id="0"/>
    </w:p>
    <w:sectPr w:rsidR="00E91C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05394"/>
    <w:multiLevelType w:val="hybridMultilevel"/>
    <w:tmpl w:val="43A22FA4"/>
    <w:lvl w:ilvl="0" w:tplc="379A8160">
      <w:start w:val="1"/>
      <w:numFmt w:val="bullet"/>
      <w:lvlText w:val=""/>
      <w:lvlJc w:val="left"/>
      <w:pPr>
        <w:tabs>
          <w:tab w:val="num" w:pos="720"/>
        </w:tabs>
        <w:ind w:left="720" w:hanging="360"/>
      </w:pPr>
      <w:rPr>
        <w:rFonts w:ascii="Wingdings 3" w:hAnsi="Wingdings 3" w:hint="default"/>
      </w:rPr>
    </w:lvl>
    <w:lvl w:ilvl="1" w:tplc="D5A6F036" w:tentative="1">
      <w:start w:val="1"/>
      <w:numFmt w:val="bullet"/>
      <w:lvlText w:val=""/>
      <w:lvlJc w:val="left"/>
      <w:pPr>
        <w:tabs>
          <w:tab w:val="num" w:pos="1440"/>
        </w:tabs>
        <w:ind w:left="1440" w:hanging="360"/>
      </w:pPr>
      <w:rPr>
        <w:rFonts w:ascii="Wingdings 3" w:hAnsi="Wingdings 3" w:hint="default"/>
      </w:rPr>
    </w:lvl>
    <w:lvl w:ilvl="2" w:tplc="DC320D60" w:tentative="1">
      <w:start w:val="1"/>
      <w:numFmt w:val="bullet"/>
      <w:lvlText w:val=""/>
      <w:lvlJc w:val="left"/>
      <w:pPr>
        <w:tabs>
          <w:tab w:val="num" w:pos="2160"/>
        </w:tabs>
        <w:ind w:left="2160" w:hanging="360"/>
      </w:pPr>
      <w:rPr>
        <w:rFonts w:ascii="Wingdings 3" w:hAnsi="Wingdings 3" w:hint="default"/>
      </w:rPr>
    </w:lvl>
    <w:lvl w:ilvl="3" w:tplc="611CF3AE" w:tentative="1">
      <w:start w:val="1"/>
      <w:numFmt w:val="bullet"/>
      <w:lvlText w:val=""/>
      <w:lvlJc w:val="left"/>
      <w:pPr>
        <w:tabs>
          <w:tab w:val="num" w:pos="2880"/>
        </w:tabs>
        <w:ind w:left="2880" w:hanging="360"/>
      </w:pPr>
      <w:rPr>
        <w:rFonts w:ascii="Wingdings 3" w:hAnsi="Wingdings 3" w:hint="default"/>
      </w:rPr>
    </w:lvl>
    <w:lvl w:ilvl="4" w:tplc="E4648D40" w:tentative="1">
      <w:start w:val="1"/>
      <w:numFmt w:val="bullet"/>
      <w:lvlText w:val=""/>
      <w:lvlJc w:val="left"/>
      <w:pPr>
        <w:tabs>
          <w:tab w:val="num" w:pos="3600"/>
        </w:tabs>
        <w:ind w:left="3600" w:hanging="360"/>
      </w:pPr>
      <w:rPr>
        <w:rFonts w:ascii="Wingdings 3" w:hAnsi="Wingdings 3" w:hint="default"/>
      </w:rPr>
    </w:lvl>
    <w:lvl w:ilvl="5" w:tplc="39A601B8" w:tentative="1">
      <w:start w:val="1"/>
      <w:numFmt w:val="bullet"/>
      <w:lvlText w:val=""/>
      <w:lvlJc w:val="left"/>
      <w:pPr>
        <w:tabs>
          <w:tab w:val="num" w:pos="4320"/>
        </w:tabs>
        <w:ind w:left="4320" w:hanging="360"/>
      </w:pPr>
      <w:rPr>
        <w:rFonts w:ascii="Wingdings 3" w:hAnsi="Wingdings 3" w:hint="default"/>
      </w:rPr>
    </w:lvl>
    <w:lvl w:ilvl="6" w:tplc="5FEC6878" w:tentative="1">
      <w:start w:val="1"/>
      <w:numFmt w:val="bullet"/>
      <w:lvlText w:val=""/>
      <w:lvlJc w:val="left"/>
      <w:pPr>
        <w:tabs>
          <w:tab w:val="num" w:pos="5040"/>
        </w:tabs>
        <w:ind w:left="5040" w:hanging="360"/>
      </w:pPr>
      <w:rPr>
        <w:rFonts w:ascii="Wingdings 3" w:hAnsi="Wingdings 3" w:hint="default"/>
      </w:rPr>
    </w:lvl>
    <w:lvl w:ilvl="7" w:tplc="5316C3B2" w:tentative="1">
      <w:start w:val="1"/>
      <w:numFmt w:val="bullet"/>
      <w:lvlText w:val=""/>
      <w:lvlJc w:val="left"/>
      <w:pPr>
        <w:tabs>
          <w:tab w:val="num" w:pos="5760"/>
        </w:tabs>
        <w:ind w:left="5760" w:hanging="360"/>
      </w:pPr>
      <w:rPr>
        <w:rFonts w:ascii="Wingdings 3" w:hAnsi="Wingdings 3" w:hint="default"/>
      </w:rPr>
    </w:lvl>
    <w:lvl w:ilvl="8" w:tplc="18C6DEF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35070ED"/>
    <w:multiLevelType w:val="hybridMultilevel"/>
    <w:tmpl w:val="22906B24"/>
    <w:lvl w:ilvl="0" w:tplc="CA78FCDE">
      <w:start w:val="1"/>
      <w:numFmt w:val="bullet"/>
      <w:lvlText w:val=""/>
      <w:lvlJc w:val="left"/>
      <w:pPr>
        <w:tabs>
          <w:tab w:val="num" w:pos="720"/>
        </w:tabs>
        <w:ind w:left="720" w:hanging="360"/>
      </w:pPr>
      <w:rPr>
        <w:rFonts w:ascii="Wingdings 3" w:hAnsi="Wingdings 3" w:hint="default"/>
      </w:rPr>
    </w:lvl>
    <w:lvl w:ilvl="1" w:tplc="9238E7AE" w:tentative="1">
      <w:start w:val="1"/>
      <w:numFmt w:val="bullet"/>
      <w:lvlText w:val=""/>
      <w:lvlJc w:val="left"/>
      <w:pPr>
        <w:tabs>
          <w:tab w:val="num" w:pos="1440"/>
        </w:tabs>
        <w:ind w:left="1440" w:hanging="360"/>
      </w:pPr>
      <w:rPr>
        <w:rFonts w:ascii="Wingdings 3" w:hAnsi="Wingdings 3" w:hint="default"/>
      </w:rPr>
    </w:lvl>
    <w:lvl w:ilvl="2" w:tplc="818ECAA6" w:tentative="1">
      <w:start w:val="1"/>
      <w:numFmt w:val="bullet"/>
      <w:lvlText w:val=""/>
      <w:lvlJc w:val="left"/>
      <w:pPr>
        <w:tabs>
          <w:tab w:val="num" w:pos="2160"/>
        </w:tabs>
        <w:ind w:left="2160" w:hanging="360"/>
      </w:pPr>
      <w:rPr>
        <w:rFonts w:ascii="Wingdings 3" w:hAnsi="Wingdings 3" w:hint="default"/>
      </w:rPr>
    </w:lvl>
    <w:lvl w:ilvl="3" w:tplc="DC728DB4" w:tentative="1">
      <w:start w:val="1"/>
      <w:numFmt w:val="bullet"/>
      <w:lvlText w:val=""/>
      <w:lvlJc w:val="left"/>
      <w:pPr>
        <w:tabs>
          <w:tab w:val="num" w:pos="2880"/>
        </w:tabs>
        <w:ind w:left="2880" w:hanging="360"/>
      </w:pPr>
      <w:rPr>
        <w:rFonts w:ascii="Wingdings 3" w:hAnsi="Wingdings 3" w:hint="default"/>
      </w:rPr>
    </w:lvl>
    <w:lvl w:ilvl="4" w:tplc="AFC0080C" w:tentative="1">
      <w:start w:val="1"/>
      <w:numFmt w:val="bullet"/>
      <w:lvlText w:val=""/>
      <w:lvlJc w:val="left"/>
      <w:pPr>
        <w:tabs>
          <w:tab w:val="num" w:pos="3600"/>
        </w:tabs>
        <w:ind w:left="3600" w:hanging="360"/>
      </w:pPr>
      <w:rPr>
        <w:rFonts w:ascii="Wingdings 3" w:hAnsi="Wingdings 3" w:hint="default"/>
      </w:rPr>
    </w:lvl>
    <w:lvl w:ilvl="5" w:tplc="0406BA46" w:tentative="1">
      <w:start w:val="1"/>
      <w:numFmt w:val="bullet"/>
      <w:lvlText w:val=""/>
      <w:lvlJc w:val="left"/>
      <w:pPr>
        <w:tabs>
          <w:tab w:val="num" w:pos="4320"/>
        </w:tabs>
        <w:ind w:left="4320" w:hanging="360"/>
      </w:pPr>
      <w:rPr>
        <w:rFonts w:ascii="Wingdings 3" w:hAnsi="Wingdings 3" w:hint="default"/>
      </w:rPr>
    </w:lvl>
    <w:lvl w:ilvl="6" w:tplc="A2785274" w:tentative="1">
      <w:start w:val="1"/>
      <w:numFmt w:val="bullet"/>
      <w:lvlText w:val=""/>
      <w:lvlJc w:val="left"/>
      <w:pPr>
        <w:tabs>
          <w:tab w:val="num" w:pos="5040"/>
        </w:tabs>
        <w:ind w:left="5040" w:hanging="360"/>
      </w:pPr>
      <w:rPr>
        <w:rFonts w:ascii="Wingdings 3" w:hAnsi="Wingdings 3" w:hint="default"/>
      </w:rPr>
    </w:lvl>
    <w:lvl w:ilvl="7" w:tplc="82846208" w:tentative="1">
      <w:start w:val="1"/>
      <w:numFmt w:val="bullet"/>
      <w:lvlText w:val=""/>
      <w:lvlJc w:val="left"/>
      <w:pPr>
        <w:tabs>
          <w:tab w:val="num" w:pos="5760"/>
        </w:tabs>
        <w:ind w:left="5760" w:hanging="360"/>
      </w:pPr>
      <w:rPr>
        <w:rFonts w:ascii="Wingdings 3" w:hAnsi="Wingdings 3" w:hint="default"/>
      </w:rPr>
    </w:lvl>
    <w:lvl w:ilvl="8" w:tplc="5F98A73A"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2D80909"/>
    <w:multiLevelType w:val="hybridMultilevel"/>
    <w:tmpl w:val="9F6EE424"/>
    <w:lvl w:ilvl="0" w:tplc="F41C960E">
      <w:start w:val="1"/>
      <w:numFmt w:val="decimal"/>
      <w:lvlText w:val="%1."/>
      <w:lvlJc w:val="left"/>
      <w:pPr>
        <w:tabs>
          <w:tab w:val="num" w:pos="720"/>
        </w:tabs>
        <w:ind w:left="720" w:hanging="360"/>
      </w:pPr>
    </w:lvl>
    <w:lvl w:ilvl="1" w:tplc="29808D58" w:tentative="1">
      <w:start w:val="1"/>
      <w:numFmt w:val="decimal"/>
      <w:lvlText w:val="%2."/>
      <w:lvlJc w:val="left"/>
      <w:pPr>
        <w:tabs>
          <w:tab w:val="num" w:pos="1440"/>
        </w:tabs>
        <w:ind w:left="1440" w:hanging="360"/>
      </w:pPr>
    </w:lvl>
    <w:lvl w:ilvl="2" w:tplc="FD4AAA0C" w:tentative="1">
      <w:start w:val="1"/>
      <w:numFmt w:val="decimal"/>
      <w:lvlText w:val="%3."/>
      <w:lvlJc w:val="left"/>
      <w:pPr>
        <w:tabs>
          <w:tab w:val="num" w:pos="2160"/>
        </w:tabs>
        <w:ind w:left="2160" w:hanging="360"/>
      </w:pPr>
    </w:lvl>
    <w:lvl w:ilvl="3" w:tplc="FDDEEE98" w:tentative="1">
      <w:start w:val="1"/>
      <w:numFmt w:val="decimal"/>
      <w:lvlText w:val="%4."/>
      <w:lvlJc w:val="left"/>
      <w:pPr>
        <w:tabs>
          <w:tab w:val="num" w:pos="2880"/>
        </w:tabs>
        <w:ind w:left="2880" w:hanging="360"/>
      </w:pPr>
    </w:lvl>
    <w:lvl w:ilvl="4" w:tplc="033A2D28" w:tentative="1">
      <w:start w:val="1"/>
      <w:numFmt w:val="decimal"/>
      <w:lvlText w:val="%5."/>
      <w:lvlJc w:val="left"/>
      <w:pPr>
        <w:tabs>
          <w:tab w:val="num" w:pos="3600"/>
        </w:tabs>
        <w:ind w:left="3600" w:hanging="360"/>
      </w:pPr>
    </w:lvl>
    <w:lvl w:ilvl="5" w:tplc="9EB29CA0" w:tentative="1">
      <w:start w:val="1"/>
      <w:numFmt w:val="decimal"/>
      <w:lvlText w:val="%6."/>
      <w:lvlJc w:val="left"/>
      <w:pPr>
        <w:tabs>
          <w:tab w:val="num" w:pos="4320"/>
        </w:tabs>
        <w:ind w:left="4320" w:hanging="360"/>
      </w:pPr>
    </w:lvl>
    <w:lvl w:ilvl="6" w:tplc="1B54BC02" w:tentative="1">
      <w:start w:val="1"/>
      <w:numFmt w:val="decimal"/>
      <w:lvlText w:val="%7."/>
      <w:lvlJc w:val="left"/>
      <w:pPr>
        <w:tabs>
          <w:tab w:val="num" w:pos="5040"/>
        </w:tabs>
        <w:ind w:left="5040" w:hanging="360"/>
      </w:pPr>
    </w:lvl>
    <w:lvl w:ilvl="7" w:tplc="137E05E8" w:tentative="1">
      <w:start w:val="1"/>
      <w:numFmt w:val="decimal"/>
      <w:lvlText w:val="%8."/>
      <w:lvlJc w:val="left"/>
      <w:pPr>
        <w:tabs>
          <w:tab w:val="num" w:pos="5760"/>
        </w:tabs>
        <w:ind w:left="5760" w:hanging="360"/>
      </w:pPr>
    </w:lvl>
    <w:lvl w:ilvl="8" w:tplc="E2EACF64" w:tentative="1">
      <w:start w:val="1"/>
      <w:numFmt w:val="decimal"/>
      <w:lvlText w:val="%9."/>
      <w:lvlJc w:val="left"/>
      <w:pPr>
        <w:tabs>
          <w:tab w:val="num" w:pos="6480"/>
        </w:tabs>
        <w:ind w:left="6480" w:hanging="360"/>
      </w:pPr>
    </w:lvl>
  </w:abstractNum>
  <w:abstractNum w:abstractNumId="3" w15:restartNumberingAfterBreak="0">
    <w:nsid w:val="791B61A3"/>
    <w:multiLevelType w:val="hybridMultilevel"/>
    <w:tmpl w:val="3566EAC0"/>
    <w:lvl w:ilvl="0" w:tplc="9BA82D4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5C7"/>
    <w:rsid w:val="000C25C7"/>
    <w:rsid w:val="000E4059"/>
    <w:rsid w:val="00237A00"/>
    <w:rsid w:val="007858FB"/>
    <w:rsid w:val="00937D3A"/>
    <w:rsid w:val="00CA6C3B"/>
    <w:rsid w:val="00E91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70811"/>
  <w15:chartTrackingRefBased/>
  <w15:docId w15:val="{F7129824-FB80-410C-A6F6-A94C1A82C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7D3A"/>
    <w:pPr>
      <w:ind w:left="720"/>
      <w:contextualSpacing/>
    </w:pPr>
  </w:style>
  <w:style w:type="character" w:styleId="Hyperlink">
    <w:name w:val="Hyperlink"/>
    <w:basedOn w:val="DefaultParagraphFont"/>
    <w:uiPriority w:val="99"/>
    <w:unhideWhenUsed/>
    <w:rsid w:val="00E91CAE"/>
    <w:rPr>
      <w:color w:val="0563C1" w:themeColor="hyperlink"/>
      <w:u w:val="single"/>
    </w:rPr>
  </w:style>
  <w:style w:type="character" w:styleId="UnresolvedMention">
    <w:name w:val="Unresolved Mention"/>
    <w:basedOn w:val="DefaultParagraphFont"/>
    <w:uiPriority w:val="99"/>
    <w:semiHidden/>
    <w:unhideWhenUsed/>
    <w:rsid w:val="00E91C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55863">
      <w:bodyDiv w:val="1"/>
      <w:marLeft w:val="0"/>
      <w:marRight w:val="0"/>
      <w:marTop w:val="0"/>
      <w:marBottom w:val="0"/>
      <w:divBdr>
        <w:top w:val="none" w:sz="0" w:space="0" w:color="auto"/>
        <w:left w:val="none" w:sz="0" w:space="0" w:color="auto"/>
        <w:bottom w:val="none" w:sz="0" w:space="0" w:color="auto"/>
        <w:right w:val="none" w:sz="0" w:space="0" w:color="auto"/>
      </w:divBdr>
    </w:div>
    <w:div w:id="824971508">
      <w:bodyDiv w:val="1"/>
      <w:marLeft w:val="0"/>
      <w:marRight w:val="0"/>
      <w:marTop w:val="0"/>
      <w:marBottom w:val="0"/>
      <w:divBdr>
        <w:top w:val="none" w:sz="0" w:space="0" w:color="auto"/>
        <w:left w:val="none" w:sz="0" w:space="0" w:color="auto"/>
        <w:bottom w:val="none" w:sz="0" w:space="0" w:color="auto"/>
        <w:right w:val="none" w:sz="0" w:space="0" w:color="auto"/>
      </w:divBdr>
      <w:divsChild>
        <w:div w:id="465590390">
          <w:marLeft w:val="547"/>
          <w:marRight w:val="0"/>
          <w:marTop w:val="200"/>
          <w:marBottom w:val="0"/>
          <w:divBdr>
            <w:top w:val="none" w:sz="0" w:space="0" w:color="auto"/>
            <w:left w:val="none" w:sz="0" w:space="0" w:color="auto"/>
            <w:bottom w:val="none" w:sz="0" w:space="0" w:color="auto"/>
            <w:right w:val="none" w:sz="0" w:space="0" w:color="auto"/>
          </w:divBdr>
        </w:div>
        <w:div w:id="902447850">
          <w:marLeft w:val="547"/>
          <w:marRight w:val="0"/>
          <w:marTop w:val="200"/>
          <w:marBottom w:val="0"/>
          <w:divBdr>
            <w:top w:val="none" w:sz="0" w:space="0" w:color="auto"/>
            <w:left w:val="none" w:sz="0" w:space="0" w:color="auto"/>
            <w:bottom w:val="none" w:sz="0" w:space="0" w:color="auto"/>
            <w:right w:val="none" w:sz="0" w:space="0" w:color="auto"/>
          </w:divBdr>
        </w:div>
        <w:div w:id="1226598526">
          <w:marLeft w:val="547"/>
          <w:marRight w:val="0"/>
          <w:marTop w:val="200"/>
          <w:marBottom w:val="0"/>
          <w:divBdr>
            <w:top w:val="none" w:sz="0" w:space="0" w:color="auto"/>
            <w:left w:val="none" w:sz="0" w:space="0" w:color="auto"/>
            <w:bottom w:val="none" w:sz="0" w:space="0" w:color="auto"/>
            <w:right w:val="none" w:sz="0" w:space="0" w:color="auto"/>
          </w:divBdr>
        </w:div>
        <w:div w:id="1653833401">
          <w:marLeft w:val="547"/>
          <w:marRight w:val="0"/>
          <w:marTop w:val="200"/>
          <w:marBottom w:val="0"/>
          <w:divBdr>
            <w:top w:val="none" w:sz="0" w:space="0" w:color="auto"/>
            <w:left w:val="none" w:sz="0" w:space="0" w:color="auto"/>
            <w:bottom w:val="none" w:sz="0" w:space="0" w:color="auto"/>
            <w:right w:val="none" w:sz="0" w:space="0" w:color="auto"/>
          </w:divBdr>
        </w:div>
        <w:div w:id="728309499">
          <w:marLeft w:val="547"/>
          <w:marRight w:val="0"/>
          <w:marTop w:val="200"/>
          <w:marBottom w:val="0"/>
          <w:divBdr>
            <w:top w:val="none" w:sz="0" w:space="0" w:color="auto"/>
            <w:left w:val="none" w:sz="0" w:space="0" w:color="auto"/>
            <w:bottom w:val="none" w:sz="0" w:space="0" w:color="auto"/>
            <w:right w:val="none" w:sz="0" w:space="0" w:color="auto"/>
          </w:divBdr>
        </w:div>
        <w:div w:id="1771388770">
          <w:marLeft w:val="547"/>
          <w:marRight w:val="0"/>
          <w:marTop w:val="200"/>
          <w:marBottom w:val="0"/>
          <w:divBdr>
            <w:top w:val="none" w:sz="0" w:space="0" w:color="auto"/>
            <w:left w:val="none" w:sz="0" w:space="0" w:color="auto"/>
            <w:bottom w:val="none" w:sz="0" w:space="0" w:color="auto"/>
            <w:right w:val="none" w:sz="0" w:space="0" w:color="auto"/>
          </w:divBdr>
        </w:div>
        <w:div w:id="1837723076">
          <w:marLeft w:val="547"/>
          <w:marRight w:val="0"/>
          <w:marTop w:val="200"/>
          <w:marBottom w:val="0"/>
          <w:divBdr>
            <w:top w:val="none" w:sz="0" w:space="0" w:color="auto"/>
            <w:left w:val="none" w:sz="0" w:space="0" w:color="auto"/>
            <w:bottom w:val="none" w:sz="0" w:space="0" w:color="auto"/>
            <w:right w:val="none" w:sz="0" w:space="0" w:color="auto"/>
          </w:divBdr>
        </w:div>
      </w:divsChild>
    </w:div>
    <w:div w:id="1098139980">
      <w:bodyDiv w:val="1"/>
      <w:marLeft w:val="0"/>
      <w:marRight w:val="0"/>
      <w:marTop w:val="0"/>
      <w:marBottom w:val="0"/>
      <w:divBdr>
        <w:top w:val="none" w:sz="0" w:space="0" w:color="auto"/>
        <w:left w:val="none" w:sz="0" w:space="0" w:color="auto"/>
        <w:bottom w:val="none" w:sz="0" w:space="0" w:color="auto"/>
        <w:right w:val="none" w:sz="0" w:space="0" w:color="auto"/>
      </w:divBdr>
    </w:div>
    <w:div w:id="1866476810">
      <w:bodyDiv w:val="1"/>
      <w:marLeft w:val="0"/>
      <w:marRight w:val="0"/>
      <w:marTop w:val="0"/>
      <w:marBottom w:val="0"/>
      <w:divBdr>
        <w:top w:val="none" w:sz="0" w:space="0" w:color="auto"/>
        <w:left w:val="none" w:sz="0" w:space="0" w:color="auto"/>
        <w:bottom w:val="none" w:sz="0" w:space="0" w:color="auto"/>
        <w:right w:val="none" w:sz="0" w:space="0" w:color="auto"/>
      </w:divBdr>
    </w:div>
    <w:div w:id="1947078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operant-conditioning.html" TargetMode="External"/><Relationship Id="rId13" Type="http://schemas.openxmlformats.org/officeDocument/2006/relationships/hyperlink" Target="https://www.yewtreeprimary.co.uk/worries-and-wishes/" TargetMode="External"/><Relationship Id="rId3" Type="http://schemas.openxmlformats.org/officeDocument/2006/relationships/settings" Target="settings.xml"/><Relationship Id="rId7" Type="http://schemas.openxmlformats.org/officeDocument/2006/relationships/hyperlink" Target="https://www.cache.org.uk/news-media/well-being-for-children-in-the-eyfs" TargetMode="External"/><Relationship Id="rId12" Type="http://schemas.openxmlformats.org/officeDocument/2006/relationships/hyperlink" Target="https://www.unicef.org.uk/wp-content/uploads/2010/05/UNCRC_summary-1.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entalhealth.org.uk/blog/why-relationships-are-so-important-children-and-young-people" TargetMode="External"/><Relationship Id="rId11" Type="http://schemas.openxmlformats.org/officeDocument/2006/relationships/hyperlink" Target="https://teachpreschool.org/2011/06/12/role-play-in-early-years/" TargetMode="External"/><Relationship Id="rId5" Type="http://schemas.openxmlformats.org/officeDocument/2006/relationships/hyperlink" Target="https://hayesparkblogs.net/year52017/2017/07/03/5ts-worry-box/" TargetMode="External"/><Relationship Id="rId15" Type="http://schemas.openxmlformats.org/officeDocument/2006/relationships/fontTable" Target="fontTable.xml"/><Relationship Id="rId10" Type="http://schemas.openxmlformats.org/officeDocument/2006/relationships/hyperlink" Target="https://teachpreschool.org/2011/06/12/role-play-in-early-years/" TargetMode="External"/><Relationship Id="rId4" Type="http://schemas.openxmlformats.org/officeDocument/2006/relationships/webSettings" Target="webSettings.xml"/><Relationship Id="rId9" Type="http://schemas.openxmlformats.org/officeDocument/2006/relationships/hyperlink" Target="https://www.simplypsychology.org/operant-conditioning.html" TargetMode="External"/><Relationship Id="rId14" Type="http://schemas.openxmlformats.org/officeDocument/2006/relationships/hyperlink" Target="https://etd.ohiolink.edu/!etd.send_file?accession=dayton1533570624733335&amp;disposition=i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3</Pages>
  <Words>1332</Words>
  <Characters>7595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morgan</dc:creator>
  <cp:keywords/>
  <dc:description/>
  <cp:lastModifiedBy>Amy morgan</cp:lastModifiedBy>
  <cp:revision>10</cp:revision>
  <dcterms:created xsi:type="dcterms:W3CDTF">2020-01-21T20:10:00Z</dcterms:created>
  <dcterms:modified xsi:type="dcterms:W3CDTF">2020-01-21T23:14:00Z</dcterms:modified>
</cp:coreProperties>
</file>