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E1C97" w14:textId="03E31C78" w:rsidR="005F01E6" w:rsidRPr="004C186B" w:rsidRDefault="005F01E6" w:rsidP="005F01E6">
      <w:pPr>
        <w:ind w:left="720" w:hanging="360"/>
        <w:rPr>
          <w:rFonts w:asciiTheme="majorHAnsi" w:hAnsiTheme="majorHAnsi" w:cstheme="majorHAnsi"/>
          <w:b/>
          <w:bCs/>
          <w:sz w:val="24"/>
          <w:szCs w:val="24"/>
        </w:rPr>
      </w:pPr>
      <w:r w:rsidRPr="004C186B">
        <w:rPr>
          <w:rFonts w:asciiTheme="majorHAnsi" w:hAnsiTheme="majorHAnsi" w:cstheme="majorHAnsi"/>
        </w:rPr>
        <w:t xml:space="preserve">    </w:t>
      </w:r>
      <w:r w:rsidRPr="004C186B">
        <w:rPr>
          <w:rFonts w:asciiTheme="majorHAnsi" w:hAnsiTheme="majorHAnsi" w:cstheme="majorHAnsi"/>
          <w:b/>
          <w:bCs/>
          <w:sz w:val="24"/>
          <w:szCs w:val="24"/>
        </w:rPr>
        <w:t>Promoting Inclusivity: Regulatory and Legal Obligations in the Post-Compulsory Educational</w:t>
      </w:r>
      <w:r w:rsidR="004C186B" w:rsidRPr="004C186B">
        <w:rPr>
          <w:rFonts w:asciiTheme="majorHAnsi" w:hAnsiTheme="majorHAnsi" w:cstheme="majorHAnsi"/>
          <w:b/>
          <w:bCs/>
          <w:sz w:val="24"/>
          <w:szCs w:val="24"/>
        </w:rPr>
        <w:t xml:space="preserve"> </w:t>
      </w:r>
      <w:r w:rsidRPr="004C186B">
        <w:rPr>
          <w:rFonts w:asciiTheme="majorHAnsi" w:hAnsiTheme="majorHAnsi" w:cstheme="majorHAnsi"/>
          <w:b/>
          <w:bCs/>
          <w:sz w:val="24"/>
          <w:szCs w:val="24"/>
        </w:rPr>
        <w:t>Setting</w:t>
      </w:r>
    </w:p>
    <w:p w14:paraId="31F1E04D" w14:textId="40FA4007" w:rsidR="005F01E6" w:rsidRPr="004C186B" w:rsidRDefault="004C186B" w:rsidP="005F01E6">
      <w:pPr>
        <w:ind w:left="720" w:hanging="360"/>
        <w:rPr>
          <w:rFonts w:asciiTheme="majorHAnsi" w:hAnsiTheme="majorHAnsi" w:cstheme="majorHAnsi"/>
          <w:b/>
          <w:bCs/>
          <w:sz w:val="24"/>
          <w:szCs w:val="24"/>
        </w:rPr>
      </w:pPr>
      <w:r w:rsidRPr="004C186B">
        <w:rPr>
          <w:rFonts w:asciiTheme="majorHAnsi" w:hAnsiTheme="majorHAnsi" w:cstheme="majorHAnsi"/>
          <w:b/>
          <w:bCs/>
          <w:sz w:val="24"/>
          <w:szCs w:val="24"/>
        </w:rPr>
        <w:t xml:space="preserve">    </w:t>
      </w:r>
      <w:r w:rsidR="005F01E6" w:rsidRPr="004C186B">
        <w:rPr>
          <w:rFonts w:asciiTheme="majorHAnsi" w:hAnsiTheme="majorHAnsi" w:cstheme="majorHAnsi"/>
          <w:b/>
          <w:bCs/>
          <w:sz w:val="24"/>
          <w:szCs w:val="24"/>
        </w:rPr>
        <w:t xml:space="preserve">By Ben Phillips </w:t>
      </w:r>
    </w:p>
    <w:p w14:paraId="0D38EF48" w14:textId="684AD80F" w:rsidR="005F01E6" w:rsidRPr="004C186B" w:rsidRDefault="004C186B" w:rsidP="005F01E6">
      <w:pPr>
        <w:ind w:left="720" w:hanging="360"/>
        <w:rPr>
          <w:rFonts w:asciiTheme="majorHAnsi" w:hAnsiTheme="majorHAnsi" w:cstheme="majorHAnsi"/>
          <w:b/>
          <w:bCs/>
          <w:sz w:val="24"/>
          <w:szCs w:val="24"/>
        </w:rPr>
      </w:pPr>
      <w:r w:rsidRPr="004C186B">
        <w:rPr>
          <w:rFonts w:asciiTheme="majorHAnsi" w:hAnsiTheme="majorHAnsi" w:cstheme="majorHAnsi"/>
          <w:b/>
          <w:bCs/>
          <w:sz w:val="24"/>
          <w:szCs w:val="24"/>
        </w:rPr>
        <w:t xml:space="preserve">     </w:t>
      </w:r>
      <w:r w:rsidR="005F01E6" w:rsidRPr="004C186B">
        <w:rPr>
          <w:rFonts w:asciiTheme="majorHAnsi" w:hAnsiTheme="majorHAnsi" w:cstheme="majorHAnsi"/>
          <w:b/>
          <w:bCs/>
          <w:sz w:val="24"/>
          <w:szCs w:val="24"/>
        </w:rPr>
        <w:t>P148040</w:t>
      </w:r>
    </w:p>
    <w:p w14:paraId="1FCBBAA1" w14:textId="77777777" w:rsidR="005F01E6" w:rsidRPr="004C186B" w:rsidRDefault="005F01E6" w:rsidP="005F01E6">
      <w:pPr>
        <w:ind w:left="720" w:hanging="360"/>
        <w:rPr>
          <w:rFonts w:asciiTheme="majorHAnsi" w:hAnsiTheme="majorHAnsi" w:cstheme="majorHAnsi"/>
        </w:rPr>
      </w:pPr>
    </w:p>
    <w:p w14:paraId="14C3DF8D" w14:textId="7A87ECFA" w:rsidR="005F01E6" w:rsidRPr="004C186B" w:rsidRDefault="005F01E6" w:rsidP="005F01E6">
      <w:pPr>
        <w:ind w:left="720" w:hanging="360"/>
        <w:jc w:val="both"/>
        <w:rPr>
          <w:rFonts w:asciiTheme="majorHAnsi" w:hAnsiTheme="majorHAnsi" w:cstheme="majorHAnsi"/>
          <w:b/>
          <w:bCs/>
        </w:rPr>
      </w:pPr>
      <w:bookmarkStart w:id="0" w:name="_Hlk162951602"/>
      <w:r w:rsidRPr="004C186B">
        <w:rPr>
          <w:rFonts w:asciiTheme="majorHAnsi" w:hAnsiTheme="majorHAnsi" w:cstheme="majorHAnsi"/>
          <w:b/>
          <w:bCs/>
        </w:rPr>
        <w:t>Overview:</w:t>
      </w:r>
    </w:p>
    <w:p w14:paraId="3963E303" w14:textId="2A30C2D7" w:rsidR="005F01E6" w:rsidRPr="004C186B" w:rsidRDefault="005F01E6" w:rsidP="00011C36">
      <w:pPr>
        <w:ind w:left="360"/>
        <w:jc w:val="both"/>
        <w:rPr>
          <w:rFonts w:asciiTheme="majorHAnsi" w:hAnsiTheme="majorHAnsi" w:cstheme="majorHAnsi"/>
        </w:rPr>
      </w:pPr>
      <w:r w:rsidRPr="004C186B">
        <w:rPr>
          <w:rFonts w:asciiTheme="majorHAnsi" w:hAnsiTheme="majorHAnsi" w:cstheme="majorHAnsi"/>
        </w:rPr>
        <w:t xml:space="preserve">Ensuring equal access to education for all learners is of utmost importance in the post-compulsory education sector, with a particular emphasis on creating inclusion. To attain this objective, educators must adeptly navigate a multifaceted terrain of regulatory and legal obligations that are designed to accommodate supplementary needs and foster diversity within the educational </w:t>
      </w:r>
      <w:r w:rsidR="00780210" w:rsidRPr="004C186B">
        <w:rPr>
          <w:rFonts w:asciiTheme="majorHAnsi" w:hAnsiTheme="majorHAnsi" w:cstheme="majorHAnsi"/>
        </w:rPr>
        <w:t xml:space="preserve">setting. Barden, Nicola. (2019). </w:t>
      </w:r>
      <w:r w:rsidRPr="004C186B">
        <w:rPr>
          <w:rFonts w:asciiTheme="majorHAnsi" w:hAnsiTheme="majorHAnsi" w:cstheme="majorHAnsi"/>
        </w:rPr>
        <w:t>This brief delves into the primary regulatory frameworks and legal responsibilities that govern inclusion in post-compulsory education. It draws upon pertinent policies and legislation, such as the Equality Act (2010), to provide insights into optimal approaches.</w:t>
      </w:r>
    </w:p>
    <w:p w14:paraId="4808CC2C" w14:textId="77777777" w:rsidR="005F01E6" w:rsidRPr="004C186B" w:rsidRDefault="005F01E6" w:rsidP="005F01E6">
      <w:pPr>
        <w:ind w:left="720" w:hanging="360"/>
        <w:jc w:val="both"/>
        <w:rPr>
          <w:rFonts w:asciiTheme="majorHAnsi" w:hAnsiTheme="majorHAnsi" w:cstheme="majorHAnsi"/>
        </w:rPr>
      </w:pPr>
    </w:p>
    <w:p w14:paraId="45350B4B" w14:textId="77777777" w:rsidR="00011C36" w:rsidRPr="004C186B" w:rsidRDefault="005F01E6" w:rsidP="00011C36">
      <w:pPr>
        <w:ind w:left="720" w:hanging="360"/>
        <w:jc w:val="both"/>
        <w:rPr>
          <w:rFonts w:asciiTheme="majorHAnsi" w:hAnsiTheme="majorHAnsi" w:cstheme="majorHAnsi"/>
          <w:b/>
          <w:bCs/>
        </w:rPr>
      </w:pPr>
      <w:r w:rsidRPr="004C186B">
        <w:rPr>
          <w:rFonts w:asciiTheme="majorHAnsi" w:hAnsiTheme="majorHAnsi" w:cstheme="majorHAnsi"/>
          <w:b/>
          <w:bCs/>
        </w:rPr>
        <w:t>Regulatory frameworks:</w:t>
      </w:r>
    </w:p>
    <w:p w14:paraId="4CDAFF78" w14:textId="5F9D60ED" w:rsidR="005F01E6" w:rsidRPr="004C186B" w:rsidRDefault="005F01E6" w:rsidP="00011C36">
      <w:pPr>
        <w:ind w:left="360"/>
        <w:jc w:val="both"/>
        <w:rPr>
          <w:rFonts w:asciiTheme="majorHAnsi" w:hAnsiTheme="majorHAnsi" w:cstheme="majorHAnsi"/>
        </w:rPr>
      </w:pPr>
      <w:r w:rsidRPr="004C186B">
        <w:rPr>
          <w:rFonts w:asciiTheme="majorHAnsi" w:hAnsiTheme="majorHAnsi" w:cstheme="majorHAnsi"/>
        </w:rPr>
        <w:t>Post-compulsory education providers in the United Kingdom are governed by various regulatory frameworks that are designed to foster inclusion and cater to the varying requirements of learners.</w:t>
      </w:r>
      <w:r w:rsidR="00826DC9" w:rsidRPr="004C186B">
        <w:rPr>
          <w:rFonts w:asciiTheme="majorHAnsi" w:hAnsiTheme="majorHAnsi" w:cstheme="majorHAnsi"/>
        </w:rPr>
        <w:t xml:space="preserve"> Knowles, G. (2018) </w:t>
      </w:r>
      <w:r w:rsidR="00780210" w:rsidRPr="004C186B">
        <w:rPr>
          <w:rFonts w:asciiTheme="majorHAnsi" w:hAnsiTheme="majorHAnsi" w:cstheme="majorHAnsi"/>
        </w:rPr>
        <w:t xml:space="preserve"> </w:t>
      </w:r>
      <w:r w:rsidRPr="004C186B">
        <w:rPr>
          <w:rFonts w:asciiTheme="majorHAnsi" w:hAnsiTheme="majorHAnsi" w:cstheme="majorHAnsi"/>
        </w:rPr>
        <w:t xml:space="preserve"> The Office for Students (</w:t>
      </w:r>
      <w:proofErr w:type="spellStart"/>
      <w:r w:rsidRPr="004C186B">
        <w:rPr>
          <w:rFonts w:asciiTheme="majorHAnsi" w:hAnsiTheme="majorHAnsi" w:cstheme="majorHAnsi"/>
        </w:rPr>
        <w:t>OfS</w:t>
      </w:r>
      <w:proofErr w:type="spellEnd"/>
      <w:r w:rsidRPr="004C186B">
        <w:rPr>
          <w:rFonts w:asciiTheme="majorHAnsi" w:hAnsiTheme="majorHAnsi" w:cstheme="majorHAnsi"/>
        </w:rPr>
        <w:t>) is a regulatory structure that oversees higher education providers. The Office for Student Affairs (</w:t>
      </w:r>
      <w:proofErr w:type="spellStart"/>
      <w:r w:rsidRPr="004C186B">
        <w:rPr>
          <w:rFonts w:asciiTheme="majorHAnsi" w:hAnsiTheme="majorHAnsi" w:cstheme="majorHAnsi"/>
        </w:rPr>
        <w:t>OfS</w:t>
      </w:r>
      <w:proofErr w:type="spellEnd"/>
      <w:r w:rsidRPr="004C186B">
        <w:rPr>
          <w:rFonts w:asciiTheme="majorHAnsi" w:hAnsiTheme="majorHAnsi" w:cstheme="majorHAnsi"/>
        </w:rPr>
        <w:t>) mandates that institutions exhibit a dedication to equality, diversity, and inclusivity in their access and participation strategies, guaranteeing that all learners, irrespective of their background or attributes, are provided with equitable opportunity to achieve success</w:t>
      </w:r>
      <w:r w:rsidR="00011C36" w:rsidRPr="004C186B">
        <w:rPr>
          <w:rFonts w:asciiTheme="majorHAnsi" w:hAnsiTheme="majorHAnsi" w:cstheme="majorHAnsi"/>
        </w:rPr>
        <w:t xml:space="preserve">, </w:t>
      </w:r>
      <w:r w:rsidRPr="004C186B">
        <w:rPr>
          <w:rFonts w:asciiTheme="majorHAnsi" w:hAnsiTheme="majorHAnsi" w:cstheme="majorHAnsi"/>
        </w:rPr>
        <w:t>Furthermore, the Education and Skills Funding Agency (ESFA) establishes recommendations and prerequisites for providers of further education (FE). The ESFA promotes the adoption of inclusive practices in FE colleges, which involve providing financial agreements and performance criteria to enable learners with special requirements, such as impairments or learning challenges</w:t>
      </w:r>
      <w:r w:rsidR="00826DC9" w:rsidRPr="004C186B">
        <w:rPr>
          <w:rFonts w:asciiTheme="majorHAnsi" w:hAnsiTheme="majorHAnsi" w:cstheme="majorHAnsi"/>
        </w:rPr>
        <w:t xml:space="preserve"> Anon (2012)</w:t>
      </w:r>
      <w:r w:rsidRPr="004C186B">
        <w:rPr>
          <w:rFonts w:asciiTheme="majorHAnsi" w:hAnsiTheme="majorHAnsi" w:cstheme="majorHAnsi"/>
        </w:rPr>
        <w:t>.</w:t>
      </w:r>
      <w:r w:rsidR="00011C36" w:rsidRPr="004C186B">
        <w:rPr>
          <w:rFonts w:asciiTheme="majorHAnsi" w:hAnsiTheme="majorHAnsi" w:cstheme="majorHAnsi"/>
        </w:rPr>
        <w:t xml:space="preserve"> </w:t>
      </w:r>
      <w:r w:rsidRPr="004C186B">
        <w:rPr>
          <w:rFonts w:asciiTheme="majorHAnsi" w:hAnsiTheme="majorHAnsi" w:cstheme="majorHAnsi"/>
        </w:rPr>
        <w:t>In addition, it is imperative for institutions to comply with quality assurance systems that are specific to their respective sectors, such as the Quality Assurance Agency for Higher Education (QAA) and the Education and Training Foundation (ETF</w:t>
      </w:r>
      <w:r w:rsidR="00826DC9" w:rsidRPr="004C186B">
        <w:rPr>
          <w:rFonts w:asciiTheme="majorHAnsi" w:hAnsiTheme="majorHAnsi" w:cstheme="majorHAnsi"/>
        </w:rPr>
        <w:t>).</w:t>
      </w:r>
      <w:r w:rsidRPr="004C186B">
        <w:rPr>
          <w:rFonts w:asciiTheme="majorHAnsi" w:hAnsiTheme="majorHAnsi" w:cstheme="majorHAnsi"/>
        </w:rPr>
        <w:t xml:space="preserve"> These frameworks place significant emphasis on the significance of inclusion in the realms of teaching, learning, and evaluation, providing educators with guidance in the creation of curricula that are accessible and inclusive.</w:t>
      </w:r>
    </w:p>
    <w:p w14:paraId="08878ADE" w14:textId="77777777" w:rsidR="005F01E6" w:rsidRPr="004C186B" w:rsidRDefault="005F01E6" w:rsidP="005F01E6">
      <w:pPr>
        <w:ind w:left="720" w:hanging="360"/>
        <w:jc w:val="both"/>
        <w:rPr>
          <w:rFonts w:asciiTheme="majorHAnsi" w:hAnsiTheme="majorHAnsi" w:cstheme="majorHAnsi"/>
        </w:rPr>
      </w:pPr>
    </w:p>
    <w:p w14:paraId="2C5BE2E9" w14:textId="77777777" w:rsidR="00011C36" w:rsidRPr="004C186B" w:rsidRDefault="005F01E6" w:rsidP="00011C36">
      <w:pPr>
        <w:ind w:left="720" w:hanging="360"/>
        <w:jc w:val="both"/>
        <w:rPr>
          <w:rFonts w:asciiTheme="majorHAnsi" w:hAnsiTheme="majorHAnsi" w:cstheme="majorHAnsi"/>
          <w:b/>
          <w:bCs/>
        </w:rPr>
      </w:pPr>
      <w:r w:rsidRPr="004C186B">
        <w:rPr>
          <w:rFonts w:asciiTheme="majorHAnsi" w:hAnsiTheme="majorHAnsi" w:cstheme="majorHAnsi"/>
          <w:b/>
          <w:bCs/>
        </w:rPr>
        <w:t>legal responsibilities:</w:t>
      </w:r>
    </w:p>
    <w:p w14:paraId="690DE47C" w14:textId="64E9B176" w:rsidR="005F01E6" w:rsidRPr="004C186B" w:rsidRDefault="005F01E6" w:rsidP="007D3AA8">
      <w:pPr>
        <w:ind w:left="360"/>
        <w:jc w:val="both"/>
        <w:rPr>
          <w:rFonts w:asciiTheme="majorHAnsi" w:hAnsiTheme="majorHAnsi" w:cstheme="majorHAnsi"/>
          <w:b/>
          <w:bCs/>
        </w:rPr>
      </w:pPr>
      <w:r w:rsidRPr="004C186B">
        <w:rPr>
          <w:rFonts w:asciiTheme="majorHAnsi" w:hAnsiTheme="majorHAnsi" w:cstheme="majorHAnsi"/>
        </w:rPr>
        <w:t>Post-compulsory education providers are required to adhere to lega</w:t>
      </w:r>
      <w:r w:rsidR="00011C36" w:rsidRPr="004C186B">
        <w:rPr>
          <w:rFonts w:asciiTheme="majorHAnsi" w:hAnsiTheme="majorHAnsi" w:cstheme="majorHAnsi"/>
        </w:rPr>
        <w:t xml:space="preserve">l </w:t>
      </w:r>
      <w:r w:rsidRPr="004C186B">
        <w:rPr>
          <w:rFonts w:asciiTheme="majorHAnsi" w:hAnsiTheme="majorHAnsi" w:cstheme="majorHAnsi"/>
        </w:rPr>
        <w:t>requirements specified in legislation, such as the Equality Act (2010), in addition to regulatory structures. Discrimination based on nine protected characteristics, such as disability, gender, race, and age, is prohibited under the Equality Act in many sectors, including education.</w:t>
      </w:r>
      <w:r w:rsidR="007D3AA8" w:rsidRPr="004C186B">
        <w:rPr>
          <w:rFonts w:asciiTheme="majorHAnsi" w:hAnsiTheme="majorHAnsi" w:cstheme="majorHAnsi"/>
          <w:b/>
          <w:bCs/>
        </w:rPr>
        <w:t xml:space="preserve"> </w:t>
      </w:r>
      <w:r w:rsidRPr="004C186B">
        <w:rPr>
          <w:rFonts w:asciiTheme="majorHAnsi" w:hAnsiTheme="majorHAnsi" w:cstheme="majorHAnsi"/>
        </w:rPr>
        <w:t xml:space="preserve">According to the provisions of the Equality Act, educational institutions are obligated to implement reasonable accommodations </w:t>
      </w:r>
      <w:r w:rsidR="005A129C" w:rsidRPr="004C186B">
        <w:rPr>
          <w:rFonts w:asciiTheme="majorHAnsi" w:hAnsiTheme="majorHAnsi" w:cstheme="majorHAnsi"/>
        </w:rPr>
        <w:t>to</w:t>
      </w:r>
      <w:r w:rsidRPr="004C186B">
        <w:rPr>
          <w:rFonts w:asciiTheme="majorHAnsi" w:hAnsiTheme="majorHAnsi" w:cstheme="majorHAnsi"/>
        </w:rPr>
        <w:t xml:space="preserve"> prevent disabled students from facing disadvantages when it comes to accessing education or engaging in learning activities</w:t>
      </w:r>
      <w:r w:rsidR="00826DC9" w:rsidRPr="004C186B">
        <w:rPr>
          <w:rFonts w:asciiTheme="majorHAnsi" w:hAnsiTheme="majorHAnsi" w:cstheme="majorHAnsi"/>
        </w:rPr>
        <w:t xml:space="preserve"> Jonathan. Rix (ed.) (2010). </w:t>
      </w:r>
      <w:r w:rsidRPr="004C186B">
        <w:rPr>
          <w:rFonts w:asciiTheme="majorHAnsi" w:hAnsiTheme="majorHAnsi" w:cstheme="majorHAnsi"/>
        </w:rPr>
        <w:t xml:space="preserve">This may entail offering supplementary resources and services, adapting facilities, or revising instructional approaches to cater to individual requirements. </w:t>
      </w:r>
      <w:r w:rsidRPr="004C186B">
        <w:rPr>
          <w:rFonts w:asciiTheme="majorHAnsi" w:hAnsiTheme="majorHAnsi" w:cstheme="majorHAnsi"/>
        </w:rPr>
        <w:lastRenderedPageBreak/>
        <w:t>The institution may face legal implications if it fails to make reasonable changes, as this might be considered as a form of discrimination.</w:t>
      </w:r>
      <w:r w:rsidR="007D3AA8" w:rsidRPr="004C186B">
        <w:rPr>
          <w:rFonts w:asciiTheme="majorHAnsi" w:hAnsiTheme="majorHAnsi" w:cstheme="majorHAnsi"/>
          <w:b/>
          <w:bCs/>
        </w:rPr>
        <w:t xml:space="preserve"> </w:t>
      </w:r>
      <w:r w:rsidRPr="004C186B">
        <w:rPr>
          <w:rFonts w:asciiTheme="majorHAnsi" w:hAnsiTheme="majorHAnsi" w:cstheme="majorHAnsi"/>
        </w:rPr>
        <w:t>In addition, the Public Sector Equality Duty (PSED), which is a component of the Equality Act, mandates that public entities, such as educational institutions, must actively advocate for equality and eradicate prejudice in their policies, procedures, and decision-making procedures. This responsibility involves promoting equitable opportunities, cultivating positive relationships among diverse groups, and tackling disparities that stem from socio-economic causes.</w:t>
      </w:r>
    </w:p>
    <w:p w14:paraId="422AD7C8" w14:textId="581D1E77" w:rsidR="005F01E6" w:rsidRPr="004C186B" w:rsidRDefault="005F01E6" w:rsidP="004C186B">
      <w:pPr>
        <w:jc w:val="both"/>
        <w:rPr>
          <w:rFonts w:asciiTheme="majorHAnsi" w:hAnsiTheme="majorHAnsi" w:cstheme="majorHAnsi"/>
          <w:b/>
          <w:bCs/>
        </w:rPr>
      </w:pPr>
      <w:r w:rsidRPr="004C186B">
        <w:rPr>
          <w:rFonts w:asciiTheme="majorHAnsi" w:hAnsiTheme="majorHAnsi" w:cstheme="majorHAnsi"/>
          <w:b/>
          <w:bCs/>
        </w:rPr>
        <w:t>Optimal Approaches:</w:t>
      </w:r>
    </w:p>
    <w:p w14:paraId="66C2A293" w14:textId="5979F9BD" w:rsidR="007D3AA8" w:rsidRPr="004C186B" w:rsidRDefault="005F01E6" w:rsidP="004C186B">
      <w:pPr>
        <w:jc w:val="both"/>
        <w:rPr>
          <w:rFonts w:asciiTheme="majorHAnsi" w:hAnsiTheme="majorHAnsi" w:cstheme="majorHAnsi"/>
        </w:rPr>
      </w:pPr>
      <w:r w:rsidRPr="004C186B">
        <w:rPr>
          <w:rFonts w:asciiTheme="majorHAnsi" w:hAnsiTheme="majorHAnsi" w:cstheme="majorHAnsi"/>
        </w:rPr>
        <w:t xml:space="preserve">A proactive approach to inclusivity within the post-compulsory classroom is necessary </w:t>
      </w:r>
      <w:r w:rsidR="005A129C" w:rsidRPr="004C186B">
        <w:rPr>
          <w:rFonts w:asciiTheme="majorHAnsi" w:hAnsiTheme="majorHAnsi" w:cstheme="majorHAnsi"/>
        </w:rPr>
        <w:t>to</w:t>
      </w:r>
      <w:r w:rsidRPr="004C186B">
        <w:rPr>
          <w:rFonts w:asciiTheme="majorHAnsi" w:hAnsiTheme="majorHAnsi" w:cstheme="majorHAnsi"/>
        </w:rPr>
        <w:t xml:space="preserve"> effectively incorporate regulatory standards and legal obligations into practice. Educators can implement various optimal strategies to guarantee adherence and foster an all-encompassing learning atmosphere:</w:t>
      </w:r>
      <w:r w:rsidR="007D3AA8" w:rsidRPr="004C186B">
        <w:rPr>
          <w:rFonts w:asciiTheme="majorHAnsi" w:hAnsiTheme="majorHAnsi" w:cstheme="majorHAnsi"/>
        </w:rPr>
        <w:t xml:space="preserve"> </w:t>
      </w:r>
      <w:r w:rsidRPr="004C186B">
        <w:rPr>
          <w:rFonts w:asciiTheme="majorHAnsi" w:hAnsiTheme="majorHAnsi" w:cstheme="majorHAnsi"/>
        </w:rPr>
        <w:t>Educators should receive training to acquaint themselves with pertinent legislation, rules, and optimal methods for accommodating supplementary requirements and fostering inclusion.</w:t>
      </w:r>
      <w:r w:rsidR="0047453F" w:rsidRPr="004C186B">
        <w:rPr>
          <w:rFonts w:asciiTheme="majorHAnsi" w:hAnsiTheme="majorHAnsi" w:cstheme="majorHAnsi"/>
        </w:rPr>
        <w:t xml:space="preserve"> </w:t>
      </w:r>
      <w:r w:rsidR="0047453F" w:rsidRPr="004C186B">
        <w:rPr>
          <w:rFonts w:asciiTheme="majorHAnsi" w:hAnsiTheme="majorHAnsi" w:cstheme="majorHAnsi"/>
        </w:rPr>
        <w:t xml:space="preserve">Department for Education. (2015). </w:t>
      </w:r>
      <w:r w:rsidRPr="004C186B">
        <w:rPr>
          <w:rFonts w:asciiTheme="majorHAnsi" w:hAnsiTheme="majorHAnsi" w:cstheme="majorHAnsi"/>
        </w:rPr>
        <w:t xml:space="preserve"> This entails comprehending the stipulations outlined in the Equality Act and possessing the knowledge and skills necessary to proficiently execute reasonable accommodations.</w:t>
      </w:r>
      <w:r w:rsidR="007D3AA8" w:rsidRPr="004C186B">
        <w:rPr>
          <w:rFonts w:asciiTheme="majorHAnsi" w:hAnsiTheme="majorHAnsi" w:cstheme="majorHAnsi"/>
        </w:rPr>
        <w:t xml:space="preserve"> </w:t>
      </w:r>
      <w:r w:rsidRPr="004C186B">
        <w:rPr>
          <w:rFonts w:asciiTheme="majorHAnsi" w:hAnsiTheme="majorHAnsi" w:cstheme="majorHAnsi"/>
        </w:rPr>
        <w:t>The implementation of inclusive teaching and learning methodologies yields advantages for all learners, irrespective of their additional demands</w:t>
      </w:r>
      <w:r w:rsidR="00826DC9" w:rsidRPr="004C186B">
        <w:rPr>
          <w:rFonts w:asciiTheme="majorHAnsi" w:hAnsiTheme="majorHAnsi" w:cstheme="majorHAnsi"/>
        </w:rPr>
        <w:t xml:space="preserve"> Anon (2012).</w:t>
      </w:r>
      <w:r w:rsidRPr="004C186B">
        <w:rPr>
          <w:rFonts w:asciiTheme="majorHAnsi" w:hAnsiTheme="majorHAnsi" w:cstheme="majorHAnsi"/>
        </w:rPr>
        <w:t xml:space="preserve"> It is recommended that educators develop adaptable curricula, employ different instructional approaches, and offer multiple avenues for representation, involvement, and expression </w:t>
      </w:r>
      <w:r w:rsidR="005A129C" w:rsidRPr="004C186B">
        <w:rPr>
          <w:rFonts w:asciiTheme="majorHAnsi" w:hAnsiTheme="majorHAnsi" w:cstheme="majorHAnsi"/>
        </w:rPr>
        <w:t>to</w:t>
      </w:r>
      <w:r w:rsidRPr="004C186B">
        <w:rPr>
          <w:rFonts w:asciiTheme="majorHAnsi" w:hAnsiTheme="majorHAnsi" w:cstheme="majorHAnsi"/>
        </w:rPr>
        <w:t xml:space="preserve"> accommodate a wide range of learning styles and preferences</w:t>
      </w:r>
      <w:r w:rsidR="00826DC9" w:rsidRPr="004C186B">
        <w:rPr>
          <w:rFonts w:asciiTheme="majorHAnsi" w:hAnsiTheme="majorHAnsi" w:cstheme="majorHAnsi"/>
        </w:rPr>
        <w:t xml:space="preserve">. </w:t>
      </w:r>
    </w:p>
    <w:p w14:paraId="11118069" w14:textId="5E81548F" w:rsidR="005F01E6" w:rsidRPr="004C186B" w:rsidRDefault="005F01E6" w:rsidP="004C186B">
      <w:pPr>
        <w:jc w:val="both"/>
        <w:rPr>
          <w:rFonts w:asciiTheme="majorHAnsi" w:hAnsiTheme="majorHAnsi" w:cstheme="majorHAnsi"/>
        </w:rPr>
      </w:pPr>
      <w:r w:rsidRPr="004C186B">
        <w:rPr>
          <w:rFonts w:asciiTheme="majorHAnsi" w:hAnsiTheme="majorHAnsi" w:cstheme="majorHAnsi"/>
        </w:rPr>
        <w:t>The effectiveness of inclusive provision is enhanced by collaborative partnerships involving educators, support personnel, learners, and external agencies. Facilitating access to resources, expertise, and support networks for learners with additional requirements can be achieved through the establishment of partnerships with disability support agencies, specialty organizations, and community groups</w:t>
      </w:r>
      <w:r w:rsidR="00826DC9" w:rsidRPr="004C186B">
        <w:rPr>
          <w:rFonts w:asciiTheme="majorHAnsi" w:hAnsiTheme="majorHAnsi" w:cstheme="majorHAnsi"/>
        </w:rPr>
        <w:t xml:space="preserve"> Knowles, G. (2018).</w:t>
      </w:r>
      <w:r w:rsidR="007D3AA8" w:rsidRPr="004C186B">
        <w:rPr>
          <w:rFonts w:asciiTheme="majorHAnsi" w:hAnsiTheme="majorHAnsi" w:cstheme="majorHAnsi"/>
        </w:rPr>
        <w:t xml:space="preserve"> </w:t>
      </w:r>
      <w:r w:rsidRPr="004C186B">
        <w:rPr>
          <w:rFonts w:asciiTheme="majorHAnsi" w:hAnsiTheme="majorHAnsi" w:cstheme="majorHAnsi"/>
        </w:rPr>
        <w:t xml:space="preserve">Ensuring both physical and digital accessibility is crucial for serving the different demands of learners. </w:t>
      </w:r>
      <w:r w:rsidR="00826DC9" w:rsidRPr="004C186B">
        <w:rPr>
          <w:rFonts w:asciiTheme="majorHAnsi" w:hAnsiTheme="majorHAnsi" w:cstheme="majorHAnsi"/>
        </w:rPr>
        <w:t>To</w:t>
      </w:r>
      <w:r w:rsidRPr="004C186B">
        <w:rPr>
          <w:rFonts w:asciiTheme="majorHAnsi" w:hAnsiTheme="majorHAnsi" w:cstheme="majorHAnsi"/>
        </w:rPr>
        <w:t xml:space="preserve"> eliminate obstacles to learning and facilitate comprehensive engagement for all learners, it is imperative for educators to employ accessible formats, assistive technologies, and customizable learning environments.</w:t>
      </w:r>
    </w:p>
    <w:p w14:paraId="6777F59D" w14:textId="77777777" w:rsidR="005F01E6" w:rsidRPr="004C186B" w:rsidRDefault="005F01E6" w:rsidP="005F01E6">
      <w:pPr>
        <w:ind w:left="720" w:hanging="360"/>
        <w:jc w:val="both"/>
        <w:rPr>
          <w:rFonts w:asciiTheme="majorHAnsi" w:hAnsiTheme="majorHAnsi" w:cstheme="majorHAnsi"/>
        </w:rPr>
      </w:pPr>
    </w:p>
    <w:p w14:paraId="1959BF7E" w14:textId="77777777" w:rsidR="007D3AA8" w:rsidRPr="004C186B" w:rsidRDefault="005F01E6" w:rsidP="004C186B">
      <w:pPr>
        <w:jc w:val="both"/>
        <w:rPr>
          <w:rFonts w:asciiTheme="majorHAnsi" w:hAnsiTheme="majorHAnsi" w:cstheme="majorHAnsi"/>
          <w:b/>
          <w:bCs/>
        </w:rPr>
      </w:pPr>
      <w:r w:rsidRPr="004C186B">
        <w:rPr>
          <w:rFonts w:asciiTheme="majorHAnsi" w:hAnsiTheme="majorHAnsi" w:cstheme="majorHAnsi"/>
          <w:b/>
          <w:bCs/>
        </w:rPr>
        <w:t>conclusion:</w:t>
      </w:r>
    </w:p>
    <w:bookmarkEnd w:id="0"/>
    <w:p w14:paraId="545CB242" w14:textId="77777777" w:rsidR="00B365BD" w:rsidRPr="004C186B" w:rsidRDefault="00B365BD" w:rsidP="00B365BD">
      <w:pPr>
        <w:jc w:val="both"/>
        <w:rPr>
          <w:rFonts w:asciiTheme="majorHAnsi" w:hAnsiTheme="majorHAnsi" w:cstheme="majorHAnsi"/>
        </w:rPr>
      </w:pPr>
      <w:r w:rsidRPr="004C186B">
        <w:rPr>
          <w:rFonts w:asciiTheme="majorHAnsi" w:hAnsiTheme="majorHAnsi" w:cstheme="majorHAnsi"/>
        </w:rPr>
        <w:t>In essence, the influence of regulatory and legal obligations cannot be overstated when it comes to shaping inclusive practices within post-compulsory education. Educators stand as the frontline advocates for inclusivity, tasked with creating environments where every learner feels valued and empowered. By embracing frameworks developed by esteemed bodies like the Office for Students (</w:t>
      </w:r>
      <w:proofErr w:type="spellStart"/>
      <w:r w:rsidRPr="004C186B">
        <w:rPr>
          <w:rFonts w:asciiTheme="majorHAnsi" w:hAnsiTheme="majorHAnsi" w:cstheme="majorHAnsi"/>
        </w:rPr>
        <w:t>OfS</w:t>
      </w:r>
      <w:proofErr w:type="spellEnd"/>
      <w:r w:rsidRPr="004C186B">
        <w:rPr>
          <w:rFonts w:asciiTheme="majorHAnsi" w:hAnsiTheme="majorHAnsi" w:cstheme="majorHAnsi"/>
        </w:rPr>
        <w:t xml:space="preserve">), Education and Skills Funding Agency (ESFA), and quality assurance authorities, educators can proactively design learning experiences that cater to diverse needs and </w:t>
      </w:r>
      <w:r w:rsidRPr="004C186B">
        <w:rPr>
          <w:rFonts w:asciiTheme="majorHAnsi" w:hAnsiTheme="majorHAnsi" w:cstheme="majorHAnsi"/>
        </w:rPr>
        <w:t>abilities.</w:t>
      </w:r>
    </w:p>
    <w:p w14:paraId="33DA1866" w14:textId="77777777" w:rsidR="004C186B" w:rsidRDefault="00B365BD" w:rsidP="004C186B">
      <w:pPr>
        <w:jc w:val="both"/>
        <w:rPr>
          <w:rFonts w:asciiTheme="majorHAnsi" w:hAnsiTheme="majorHAnsi" w:cstheme="majorHAnsi"/>
        </w:rPr>
      </w:pPr>
      <w:r w:rsidRPr="004C186B">
        <w:rPr>
          <w:rFonts w:asciiTheme="majorHAnsi" w:hAnsiTheme="majorHAnsi" w:cstheme="majorHAnsi"/>
        </w:rPr>
        <w:t>Moreover, strict adherence to legislation such as the Equality Act (2010) and the Public Sector Equality Duty (PSED) serves as a cornerstone for eradicating discrimination and fostering a culture of equity. These legal mandates compel educational institutions to actively combat prejudice and ensure that every student has an equal opportunity to thrive.</w:t>
      </w:r>
      <w:r w:rsidRPr="004C186B">
        <w:rPr>
          <w:rFonts w:asciiTheme="majorHAnsi" w:hAnsiTheme="majorHAnsi" w:cstheme="majorHAnsi"/>
        </w:rPr>
        <w:t xml:space="preserve"> </w:t>
      </w:r>
      <w:r w:rsidRPr="004C186B">
        <w:rPr>
          <w:rFonts w:asciiTheme="majorHAnsi" w:hAnsiTheme="majorHAnsi" w:cstheme="majorHAnsi"/>
        </w:rPr>
        <w:t xml:space="preserve">Through a concerted effort to integrate best practices derived from regulatory and legal frameworks, educators can transform their classrooms into inclusive spaces where differences are </w:t>
      </w:r>
      <w:r w:rsidR="00F95CFB" w:rsidRPr="004C186B">
        <w:rPr>
          <w:rFonts w:asciiTheme="majorHAnsi" w:hAnsiTheme="majorHAnsi" w:cstheme="majorHAnsi"/>
        </w:rPr>
        <w:t>celebrated,</w:t>
      </w:r>
      <w:r w:rsidRPr="004C186B">
        <w:rPr>
          <w:rFonts w:asciiTheme="majorHAnsi" w:hAnsiTheme="majorHAnsi" w:cstheme="majorHAnsi"/>
        </w:rPr>
        <w:t xml:space="preserve"> and all learners are supported in reaching their full potential. By doing so, they not only uphold the principles of justice and fairness but also contribute to the creation of a society that values diversity and inclusivity at its core.</w:t>
      </w:r>
    </w:p>
    <w:p w14:paraId="3E81999F" w14:textId="36033376" w:rsidR="00034203" w:rsidRPr="004C186B" w:rsidRDefault="00034203" w:rsidP="004C186B">
      <w:pPr>
        <w:jc w:val="both"/>
        <w:rPr>
          <w:rFonts w:asciiTheme="majorHAnsi" w:hAnsiTheme="majorHAnsi" w:cstheme="majorHAnsi"/>
        </w:rPr>
      </w:pPr>
      <w:r w:rsidRPr="004C186B">
        <w:rPr>
          <w:rFonts w:asciiTheme="majorHAnsi" w:hAnsiTheme="majorHAnsi" w:cstheme="majorHAnsi"/>
        </w:rPr>
        <w:lastRenderedPageBreak/>
        <w:t xml:space="preserve">Part 2 </w:t>
      </w:r>
    </w:p>
    <w:p w14:paraId="5139E6DC" w14:textId="77777777" w:rsidR="00034203" w:rsidRPr="004C186B" w:rsidRDefault="00034203" w:rsidP="00034203">
      <w:pPr>
        <w:pStyle w:val="ListParagraph"/>
        <w:rPr>
          <w:rFonts w:asciiTheme="majorHAnsi" w:hAnsiTheme="majorHAnsi" w:cstheme="majorHAnsi"/>
        </w:rPr>
      </w:pPr>
    </w:p>
    <w:p w14:paraId="467C5060" w14:textId="77777777" w:rsidR="005A129C" w:rsidRPr="004C186B" w:rsidRDefault="005A129C" w:rsidP="005A129C">
      <w:pPr>
        <w:spacing w:after="0" w:line="240" w:lineRule="auto"/>
        <w:rPr>
          <w:rFonts w:asciiTheme="majorHAnsi" w:eastAsia="Times New Roman" w:hAnsiTheme="majorHAnsi" w:cstheme="majorHAnsi"/>
          <w:b/>
          <w:bCs/>
          <w:kern w:val="0"/>
          <w:lang w:eastAsia="en-GB"/>
          <w14:ligatures w14:val="none"/>
        </w:rPr>
      </w:pPr>
      <w:r w:rsidRPr="004C186B">
        <w:rPr>
          <w:rFonts w:asciiTheme="majorHAnsi" w:eastAsia="Times New Roman" w:hAnsiTheme="majorHAnsi" w:cstheme="majorHAnsi"/>
          <w:b/>
          <w:bCs/>
          <w:kern w:val="0"/>
          <w:lang w:eastAsia="en-GB"/>
          <w14:ligatures w14:val="none"/>
        </w:rPr>
        <w:t xml:space="preserve">Statement of Support for IAWN: </w:t>
      </w:r>
    </w:p>
    <w:p w14:paraId="4E2F93AF" w14:textId="77777777" w:rsidR="005A129C" w:rsidRPr="004C186B" w:rsidRDefault="005A129C" w:rsidP="005A129C">
      <w:pPr>
        <w:spacing w:after="0" w:line="240" w:lineRule="auto"/>
        <w:rPr>
          <w:rFonts w:asciiTheme="majorHAnsi" w:eastAsia="Times New Roman" w:hAnsiTheme="majorHAnsi" w:cstheme="majorHAnsi"/>
          <w:b/>
          <w:bCs/>
          <w:kern w:val="0"/>
          <w:lang w:eastAsia="en-GB"/>
          <w14:ligatures w14:val="none"/>
        </w:rPr>
      </w:pPr>
    </w:p>
    <w:p w14:paraId="446D2177" w14:textId="0D7077FB" w:rsidR="005A129C" w:rsidRPr="004C186B" w:rsidRDefault="005A129C" w:rsidP="005A129C">
      <w:pPr>
        <w:spacing w:after="0" w:line="240" w:lineRule="auto"/>
        <w:rPr>
          <w:rFonts w:asciiTheme="majorHAnsi" w:eastAsia="Times New Roman" w:hAnsiTheme="majorHAnsi" w:cstheme="majorHAnsi"/>
          <w:kern w:val="0"/>
          <w:lang w:eastAsia="en-GB"/>
          <w14:ligatures w14:val="none"/>
        </w:rPr>
      </w:pPr>
      <w:r w:rsidRPr="004C186B">
        <w:rPr>
          <w:rFonts w:asciiTheme="majorHAnsi" w:eastAsia="Times New Roman" w:hAnsiTheme="majorHAnsi" w:cstheme="majorHAnsi"/>
          <w:kern w:val="0"/>
          <w:lang w:eastAsia="en-GB"/>
          <w14:ligatures w14:val="none"/>
        </w:rPr>
        <w:t xml:space="preserve">As an educator in a health and social care environment for students aged 16 and above, I see the significance of offering personalized assistance to kids such as </w:t>
      </w:r>
      <w:proofErr w:type="gramStart"/>
      <w:r w:rsidRPr="004C186B">
        <w:rPr>
          <w:rFonts w:asciiTheme="majorHAnsi" w:eastAsia="Times New Roman" w:hAnsiTheme="majorHAnsi" w:cstheme="majorHAnsi"/>
          <w:kern w:val="0"/>
          <w:lang w:eastAsia="en-GB"/>
          <w14:ligatures w14:val="none"/>
        </w:rPr>
        <w:t>Iwan ,</w:t>
      </w:r>
      <w:proofErr w:type="gramEnd"/>
      <w:r w:rsidRPr="004C186B">
        <w:rPr>
          <w:rFonts w:asciiTheme="majorHAnsi" w:eastAsia="Times New Roman" w:hAnsiTheme="majorHAnsi" w:cstheme="majorHAnsi"/>
          <w:kern w:val="0"/>
          <w:lang w:eastAsia="en-GB"/>
          <w14:ligatures w14:val="none"/>
        </w:rPr>
        <w:t xml:space="preserve"> who have difficulties associated with their financial situation and family background. The context in which I am contemplating this support statement is a vocational college that provides health and social care courses to students who are 16 years old or older. Within this context, there are established procedures and regulations in place to aid learners with supplementary requirements. These may encompass provisions such as student support services, financial aid programs, counselling services, and flexible learning alternatives. Furthermore, the institution is expected to comply with equity and diversity policies that are designed to foster inclusivity and tackle obstacles to learning (Department for Education, 2015).</w:t>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kern w:val="0"/>
          <w:lang w:eastAsia="en-GB"/>
          <w14:ligatures w14:val="none"/>
        </w:rPr>
        <w:br/>
        <w:t xml:space="preserve">Iwan's circumstances provide multiple obstacles that could hinder his capacity to effectively participate in his academic program. The combination of financial concerns and the responsibility of being the first in his family to pursue higher education can lead to considerable stress and worry, which can have a negative impact on his ability to focus, stay motivated, and maintain general well-being. In addition, his part-time employment, although essential for financial assistance, could result in time limitations and fatigue, thereby jeopardizing his academic achievements. </w:t>
      </w:r>
      <w:r w:rsidR="00663623" w:rsidRPr="004C186B">
        <w:rPr>
          <w:rFonts w:asciiTheme="majorHAnsi" w:eastAsia="Times New Roman" w:hAnsiTheme="majorHAnsi" w:cstheme="majorHAnsi"/>
          <w:kern w:val="0"/>
          <w:lang w:eastAsia="en-GB"/>
          <w14:ligatures w14:val="none"/>
        </w:rPr>
        <w:t>To</w:t>
      </w:r>
      <w:r w:rsidRPr="004C186B">
        <w:rPr>
          <w:rFonts w:asciiTheme="majorHAnsi" w:eastAsia="Times New Roman" w:hAnsiTheme="majorHAnsi" w:cstheme="majorHAnsi"/>
          <w:kern w:val="0"/>
          <w:lang w:eastAsia="en-GB"/>
          <w14:ligatures w14:val="none"/>
        </w:rPr>
        <w:t xml:space="preserve"> integrate Iwan into the designated environment and guarantee his participation in the educational opportunities provided, various strategies might be implemented: </w:t>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b/>
          <w:bCs/>
          <w:kern w:val="0"/>
          <w:lang w:eastAsia="en-GB"/>
          <w14:ligatures w14:val="none"/>
        </w:rPr>
        <w:t>Financial Support</w:t>
      </w:r>
      <w:r w:rsidRPr="004C186B">
        <w:rPr>
          <w:rFonts w:asciiTheme="majorHAnsi" w:eastAsia="Times New Roman" w:hAnsiTheme="majorHAnsi" w:cstheme="majorHAnsi"/>
          <w:kern w:val="0"/>
          <w:lang w:eastAsia="en-GB"/>
          <w14:ligatures w14:val="none"/>
        </w:rPr>
        <w:t xml:space="preserve">: Facilitate Iwan's connection with the college's student support services to investigate the many financial help programs that are accessible, including bursaries, grants, and hardship money. Offer guidance and support during the application process to relieve his financial stress and enable him to concentrate on his academic pursuits. </w:t>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kern w:val="0"/>
          <w:lang w:eastAsia="en-GB"/>
          <w14:ligatures w14:val="none"/>
        </w:rPr>
        <w:br/>
        <w:t xml:space="preserve">Collaborate with Iwan to create a customized learning plan that can meet his part-time employment schedule, known as Flexible Learning Arrangements. Possible measures could include modifying the schedule of classes, providing online resources or recorded lectures for missed sessions, and supplying supplementary materials to assist self-directed learning. </w:t>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b/>
          <w:bCs/>
          <w:kern w:val="0"/>
          <w:lang w:eastAsia="en-GB"/>
          <w14:ligatures w14:val="none"/>
        </w:rPr>
        <w:t>Academic Support</w:t>
      </w:r>
      <w:r w:rsidRPr="004C186B">
        <w:rPr>
          <w:rFonts w:asciiTheme="majorHAnsi" w:eastAsia="Times New Roman" w:hAnsiTheme="majorHAnsi" w:cstheme="majorHAnsi"/>
          <w:kern w:val="0"/>
          <w:lang w:eastAsia="en-GB"/>
          <w14:ligatures w14:val="none"/>
        </w:rPr>
        <w:t xml:space="preserve">: Provide individualized academic mentoring or tutoring sessions to address any knowledge deficiencies and assist Iwan in catching up with any missed coursework or assignments. Offer consistent feedback and support to enhance his self-assurance and drive. </w:t>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b/>
          <w:bCs/>
          <w:kern w:val="0"/>
          <w:lang w:eastAsia="en-GB"/>
          <w14:ligatures w14:val="none"/>
        </w:rPr>
        <w:t>Emotional Support</w:t>
      </w:r>
      <w:r w:rsidRPr="004C186B">
        <w:rPr>
          <w:rFonts w:asciiTheme="majorHAnsi" w:eastAsia="Times New Roman" w:hAnsiTheme="majorHAnsi" w:cstheme="majorHAnsi"/>
          <w:kern w:val="0"/>
          <w:lang w:eastAsia="en-GB"/>
          <w14:ligatures w14:val="none"/>
        </w:rPr>
        <w:t xml:space="preserve">: Direct Iwan to the </w:t>
      </w:r>
      <w:r w:rsidR="00663623" w:rsidRPr="004C186B">
        <w:rPr>
          <w:rFonts w:asciiTheme="majorHAnsi" w:eastAsia="Times New Roman" w:hAnsiTheme="majorHAnsi" w:cstheme="majorHAnsi"/>
          <w:kern w:val="0"/>
          <w:lang w:eastAsia="en-GB"/>
          <w14:ligatures w14:val="none"/>
        </w:rPr>
        <w:t>counselling</w:t>
      </w:r>
      <w:r w:rsidRPr="004C186B">
        <w:rPr>
          <w:rFonts w:asciiTheme="majorHAnsi" w:eastAsia="Times New Roman" w:hAnsiTheme="majorHAnsi" w:cstheme="majorHAnsi"/>
          <w:kern w:val="0"/>
          <w:lang w:eastAsia="en-GB"/>
          <w14:ligatures w14:val="none"/>
        </w:rPr>
        <w:t xml:space="preserve"> services provided by the college or recommend external support agencies to help him manage the stress and worry caused by his financial position and scholastic difficulties. Cultivate a nurturing and compassionate educational setting in the classroom to foster a feeling of inclusion and emotional wellness. </w:t>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b/>
          <w:bCs/>
          <w:kern w:val="0"/>
          <w:lang w:eastAsia="en-GB"/>
          <w14:ligatures w14:val="none"/>
        </w:rPr>
        <w:t>Advocacy and Signposting</w:t>
      </w:r>
      <w:r w:rsidRPr="004C186B">
        <w:rPr>
          <w:rFonts w:asciiTheme="majorHAnsi" w:eastAsia="Times New Roman" w:hAnsiTheme="majorHAnsi" w:cstheme="majorHAnsi"/>
          <w:kern w:val="0"/>
          <w:lang w:eastAsia="en-GB"/>
          <w14:ligatures w14:val="none"/>
        </w:rPr>
        <w:t xml:space="preserve">: Act as a representative for Iwan to ensure that his needs are acknowledged and dealt with by the institution. Direct him to pertinent external groups or resources that can offer supplementary aid with financial management, career </w:t>
      </w:r>
      <w:r w:rsidR="00663623" w:rsidRPr="004C186B">
        <w:rPr>
          <w:rFonts w:asciiTheme="majorHAnsi" w:eastAsia="Times New Roman" w:hAnsiTheme="majorHAnsi" w:cstheme="majorHAnsi"/>
          <w:kern w:val="0"/>
          <w:lang w:eastAsia="en-GB"/>
          <w14:ligatures w14:val="none"/>
        </w:rPr>
        <w:t>counselling</w:t>
      </w:r>
      <w:r w:rsidRPr="004C186B">
        <w:rPr>
          <w:rFonts w:asciiTheme="majorHAnsi" w:eastAsia="Times New Roman" w:hAnsiTheme="majorHAnsi" w:cstheme="majorHAnsi"/>
          <w:kern w:val="0"/>
          <w:lang w:eastAsia="en-GB"/>
          <w14:ligatures w14:val="none"/>
        </w:rPr>
        <w:t xml:space="preserve">, or community assistance. </w:t>
      </w:r>
      <w:r w:rsidR="00F95CFB" w:rsidRPr="004C186B">
        <w:rPr>
          <w:rFonts w:asciiTheme="majorHAnsi" w:eastAsia="Times New Roman" w:hAnsiTheme="majorHAnsi" w:cstheme="majorHAnsi"/>
          <w:kern w:val="0"/>
          <w:lang w:eastAsia="en-GB"/>
          <w14:ligatures w14:val="none"/>
        </w:rPr>
        <w:t>Anon (2019)</w:t>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kern w:val="0"/>
          <w:lang w:eastAsia="en-GB"/>
          <w14:ligatures w14:val="none"/>
        </w:rPr>
        <w:br/>
        <w:t xml:space="preserve">By applying these steps, we may reduce the impact of Iwan's assistance requirements on his ability to participate in his program of study and establish a more inclusive learning environment where all students can excel. Furthermore, it is imperative to maintain continuous contact and collaboration </w:t>
      </w:r>
      <w:r w:rsidRPr="004C186B">
        <w:rPr>
          <w:rFonts w:asciiTheme="majorHAnsi" w:eastAsia="Times New Roman" w:hAnsiTheme="majorHAnsi" w:cstheme="majorHAnsi"/>
          <w:kern w:val="0"/>
          <w:lang w:eastAsia="en-GB"/>
          <w14:ligatures w14:val="none"/>
        </w:rPr>
        <w:lastRenderedPageBreak/>
        <w:t xml:space="preserve">with pertinent stakeholders, such as Iwan, his family, and support services, to effectively monitor his advancement and implement any required modifications to facilitate his academic and personal growth. </w:t>
      </w:r>
      <w:r w:rsidR="00F95CFB" w:rsidRPr="004C186B">
        <w:rPr>
          <w:rFonts w:asciiTheme="majorHAnsi" w:eastAsia="Times New Roman" w:hAnsiTheme="majorHAnsi" w:cstheme="majorHAnsi"/>
          <w:kern w:val="0"/>
          <w:lang w:eastAsia="en-GB"/>
          <w14:ligatures w14:val="none"/>
        </w:rPr>
        <w:t>Knowles, G. (2018)</w:t>
      </w:r>
    </w:p>
    <w:p w14:paraId="703F14C0" w14:textId="737420BB" w:rsidR="005A129C" w:rsidRPr="004C186B" w:rsidRDefault="005A129C" w:rsidP="005A129C">
      <w:pPr>
        <w:rPr>
          <w:rFonts w:asciiTheme="majorHAnsi" w:eastAsia="Times New Roman" w:hAnsiTheme="majorHAnsi" w:cstheme="majorHAnsi"/>
          <w:kern w:val="0"/>
          <w:lang w:eastAsia="en-GB"/>
          <w14:ligatures w14:val="none"/>
        </w:rPr>
      </w:pP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b/>
          <w:bCs/>
          <w:kern w:val="0"/>
          <w:lang w:eastAsia="en-GB"/>
          <w14:ligatures w14:val="none"/>
        </w:rPr>
        <w:t xml:space="preserve">Statement of Support for Megan: </w:t>
      </w:r>
      <w:r w:rsidRPr="004C186B">
        <w:rPr>
          <w:rFonts w:asciiTheme="majorHAnsi" w:eastAsia="Times New Roman" w:hAnsiTheme="majorHAnsi" w:cstheme="majorHAnsi"/>
          <w:b/>
          <w:bCs/>
          <w:kern w:val="0"/>
          <w:lang w:eastAsia="en-GB"/>
          <w14:ligatures w14:val="none"/>
        </w:rPr>
        <w:br/>
      </w:r>
      <w:r w:rsidRPr="004C186B">
        <w:rPr>
          <w:rFonts w:asciiTheme="majorHAnsi" w:eastAsia="Times New Roman" w:hAnsiTheme="majorHAnsi" w:cstheme="majorHAnsi"/>
          <w:kern w:val="0"/>
          <w:lang w:eastAsia="en-GB"/>
          <w14:ligatures w14:val="none"/>
        </w:rPr>
        <w:br/>
        <w:t>As an educator in a post-16 health and social care environment, it is crucial to offer comprehensive assistance to students, such as Megan, who have openly shared their mental health challenges and possible requirements for academic support. Megan's scenario underscores her anxiety disorders, reticence in class participation, struggles with social engagement, attention deficits, and a potential undetected cognitive impairment like dyslexia.</w:t>
      </w:r>
      <w:r w:rsidRPr="004C186B">
        <w:rPr>
          <w:rFonts w:asciiTheme="majorHAnsi" w:eastAsia="Times New Roman" w:hAnsiTheme="majorHAnsi" w:cstheme="majorHAnsi"/>
          <w:kern w:val="0"/>
          <w:lang w:eastAsia="en-GB"/>
          <w14:ligatures w14:val="none"/>
        </w:rPr>
        <w:br/>
        <w:t xml:space="preserve">The context for this support statement is a vocational college that provides health and social care courses to students aged 16 and above. The college has specific policies and procedures to assist learners with additional needs, such as mental health issues and learning difficulties. </w:t>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kern w:val="0"/>
          <w:lang w:eastAsia="en-GB"/>
          <w14:ligatures w14:val="none"/>
        </w:rPr>
        <w:br/>
      </w:r>
      <w:r w:rsidR="00663623" w:rsidRPr="004C186B">
        <w:rPr>
          <w:rFonts w:asciiTheme="majorHAnsi" w:eastAsia="Times New Roman" w:hAnsiTheme="majorHAnsi" w:cstheme="majorHAnsi"/>
          <w:kern w:val="0"/>
          <w:lang w:eastAsia="en-GB"/>
          <w14:ligatures w14:val="none"/>
        </w:rPr>
        <w:t>To</w:t>
      </w:r>
      <w:r w:rsidRPr="004C186B">
        <w:rPr>
          <w:rFonts w:asciiTheme="majorHAnsi" w:eastAsia="Times New Roman" w:hAnsiTheme="majorHAnsi" w:cstheme="majorHAnsi"/>
          <w:kern w:val="0"/>
          <w:lang w:eastAsia="en-GB"/>
          <w14:ligatures w14:val="none"/>
        </w:rPr>
        <w:t xml:space="preserve"> facilitate Megan's inclusion in the designated environment and guarantee her effective participation in the program, </w:t>
      </w:r>
      <w:proofErr w:type="gramStart"/>
      <w:r w:rsidRPr="004C186B">
        <w:rPr>
          <w:rFonts w:asciiTheme="majorHAnsi" w:eastAsia="Times New Roman" w:hAnsiTheme="majorHAnsi" w:cstheme="majorHAnsi"/>
          <w:kern w:val="0"/>
          <w:lang w:eastAsia="en-GB"/>
          <w14:ligatures w14:val="none"/>
        </w:rPr>
        <w:t>a number of</w:t>
      </w:r>
      <w:proofErr w:type="gramEnd"/>
      <w:r w:rsidRPr="004C186B">
        <w:rPr>
          <w:rFonts w:asciiTheme="majorHAnsi" w:eastAsia="Times New Roman" w:hAnsiTheme="majorHAnsi" w:cstheme="majorHAnsi"/>
          <w:kern w:val="0"/>
          <w:lang w:eastAsia="en-GB"/>
          <w14:ligatures w14:val="none"/>
        </w:rPr>
        <w:t xml:space="preserve"> steps can be put into place: </w:t>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kern w:val="0"/>
          <w:lang w:eastAsia="en-GB"/>
          <w14:ligatures w14:val="none"/>
        </w:rPr>
        <w:br/>
        <w:t xml:space="preserve">Provide Megan with access to the college's mental health support programs, which encompass counselling sessions and wellbeing workshops. Create a conducive atmosphere in the classroom that allows Megan to feel at ease when expressing herself and engaging in discussions at her own preferred speed. Promote peer assistance and cooperation to mitigate sensations of seclusion. </w:t>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b/>
          <w:bCs/>
          <w:kern w:val="0"/>
          <w:lang w:eastAsia="en-GB"/>
          <w14:ligatures w14:val="none"/>
        </w:rPr>
        <w:t>Anxiety Management Strategies</w:t>
      </w:r>
      <w:r w:rsidRPr="004C186B">
        <w:rPr>
          <w:rFonts w:asciiTheme="majorHAnsi" w:eastAsia="Times New Roman" w:hAnsiTheme="majorHAnsi" w:cstheme="majorHAnsi"/>
          <w:kern w:val="0"/>
          <w:lang w:eastAsia="en-GB"/>
          <w14:ligatures w14:val="none"/>
        </w:rPr>
        <w:t xml:space="preserve">: Collaborate with Megan to establish effective coping mechanisms for handling anxiety in the classroom, such as engaging in deep breathing exercises, practicing mindfulness skills, or employing relaxation techniques. Provide options for participation requirements, such as accepting written comments or online discussions as substitutes for verbal contributions. </w:t>
      </w:r>
      <w:r w:rsidR="00F95CFB" w:rsidRPr="004C186B">
        <w:rPr>
          <w:rFonts w:asciiTheme="majorHAnsi" w:eastAsia="Times New Roman" w:hAnsiTheme="majorHAnsi" w:cstheme="majorHAnsi"/>
          <w:kern w:val="0"/>
          <w:lang w:eastAsia="en-GB"/>
          <w14:ligatures w14:val="none"/>
        </w:rPr>
        <w:t>Anon (2019)</w:t>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b/>
          <w:bCs/>
          <w:kern w:val="0"/>
          <w:lang w:eastAsia="en-GB"/>
          <w14:ligatures w14:val="none"/>
        </w:rPr>
        <w:t>Social Integration Support</w:t>
      </w:r>
      <w:r w:rsidRPr="004C186B">
        <w:rPr>
          <w:rFonts w:asciiTheme="majorHAnsi" w:eastAsia="Times New Roman" w:hAnsiTheme="majorHAnsi" w:cstheme="majorHAnsi"/>
          <w:kern w:val="0"/>
          <w:lang w:eastAsia="en-GB"/>
          <w14:ligatures w14:val="none"/>
        </w:rPr>
        <w:t xml:space="preserve">: Facilitate Megan's gradual assimilation into the learning community by offering small group activities, icebreaker exercises, and peer support networks. Appoint a companion or mentor to aid Megan in handling social situations and fostering ties with classmates and instructors. Create a personalized learning plan in collaboration with Megan to specifically target her issues with concentration and suspected dyslexia. Provide alternative educational resources, such as audio recordings or digital texts, and allow for extended time to complete assignments or tests if necessary. Direct Megan to the college's learning support services for additional evaluation and diagnostic testing specifically for dyslexia. </w:t>
      </w:r>
      <w:r w:rsidR="00F95CFB" w:rsidRPr="004C186B">
        <w:rPr>
          <w:rFonts w:asciiTheme="majorHAnsi" w:eastAsia="Times New Roman" w:hAnsiTheme="majorHAnsi" w:cstheme="majorHAnsi"/>
          <w:kern w:val="0"/>
          <w:lang w:eastAsia="en-GB"/>
          <w14:ligatures w14:val="none"/>
        </w:rPr>
        <w:t>Reid, G. (2016</w:t>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b/>
          <w:bCs/>
          <w:kern w:val="0"/>
          <w:lang w:eastAsia="en-GB"/>
          <w14:ligatures w14:val="none"/>
        </w:rPr>
        <w:t>Effective Teaching Strategies</w:t>
      </w:r>
      <w:r w:rsidRPr="004C186B">
        <w:rPr>
          <w:rFonts w:asciiTheme="majorHAnsi" w:eastAsia="Times New Roman" w:hAnsiTheme="majorHAnsi" w:cstheme="majorHAnsi"/>
          <w:kern w:val="0"/>
          <w:lang w:eastAsia="en-GB"/>
          <w14:ligatures w14:val="none"/>
        </w:rPr>
        <w:t xml:space="preserve">: Employ instructional methods that cater to Megan's learning preferences and enhance her ability to focus, such as integrating visual aids, simplifying intricate concepts into more manageable portions, and offering periodic intervals of rest during lectures or activities. Employ inclusive language and clear directions to ensure understanding and minimize cognitive burden. </w:t>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b/>
          <w:bCs/>
          <w:kern w:val="0"/>
          <w:lang w:eastAsia="en-GB"/>
          <w14:ligatures w14:val="none"/>
        </w:rPr>
        <w:t>Regular Monitoring and Review</w:t>
      </w:r>
      <w:r w:rsidRPr="004C186B">
        <w:rPr>
          <w:rFonts w:asciiTheme="majorHAnsi" w:eastAsia="Times New Roman" w:hAnsiTheme="majorHAnsi" w:cstheme="majorHAnsi"/>
          <w:kern w:val="0"/>
          <w:lang w:eastAsia="en-GB"/>
          <w14:ligatures w14:val="none"/>
        </w:rPr>
        <w:t xml:space="preserve">: Schedule periodic meetings with Megan to evaluate her advancement, resolve any issues or obstacles hindering her learning, and implement any required modifications to her assistance plan. Engage in collaboration with mental health counsellors, learning support specialists, and other agencies to guarantee comprehensive assistance for Megan's overall </w:t>
      </w:r>
      <w:r w:rsidRPr="004C186B">
        <w:rPr>
          <w:rFonts w:asciiTheme="majorHAnsi" w:eastAsia="Times New Roman" w:hAnsiTheme="majorHAnsi" w:cstheme="majorHAnsi"/>
          <w:kern w:val="0"/>
          <w:lang w:eastAsia="en-GB"/>
          <w14:ligatures w14:val="none"/>
        </w:rPr>
        <w:lastRenderedPageBreak/>
        <w:t xml:space="preserve">well-being and academic achievement. </w:t>
      </w:r>
      <w:r w:rsidRPr="004C186B">
        <w:rPr>
          <w:rFonts w:asciiTheme="majorHAnsi" w:eastAsia="Times New Roman" w:hAnsiTheme="majorHAnsi" w:cstheme="majorHAnsi"/>
          <w:kern w:val="0"/>
          <w:lang w:eastAsia="en-GB"/>
          <w14:ligatures w14:val="none"/>
        </w:rPr>
        <w:br/>
      </w:r>
      <w:r w:rsidRPr="004C186B">
        <w:rPr>
          <w:rFonts w:asciiTheme="majorHAnsi" w:eastAsia="Times New Roman" w:hAnsiTheme="majorHAnsi" w:cstheme="majorHAnsi"/>
          <w:kern w:val="0"/>
          <w:lang w:eastAsia="en-GB"/>
          <w14:ligatures w14:val="none"/>
        </w:rPr>
        <w:br/>
        <w:t xml:space="preserve">By employing these steps, we may establish a conducive and all-encompassing learning atmosphere where Megan feels appreciated, empowered, and capable of actively participating in her academic pursuits. Continuing contact and collaboration with Megan, her family, and support services will be crucial in delivering efficient support customized to her specific need. </w:t>
      </w:r>
      <w:r w:rsidR="00F95CFB" w:rsidRPr="004C186B">
        <w:rPr>
          <w:rFonts w:asciiTheme="majorHAnsi" w:eastAsia="Times New Roman" w:hAnsiTheme="majorHAnsi" w:cstheme="majorHAnsi"/>
          <w:kern w:val="0"/>
          <w:lang w:eastAsia="en-GB"/>
          <w14:ligatures w14:val="none"/>
        </w:rPr>
        <w:t>Universities UK. (2016).</w:t>
      </w:r>
    </w:p>
    <w:p w14:paraId="583BA899" w14:textId="77777777" w:rsidR="00B365BD" w:rsidRPr="004C186B" w:rsidRDefault="00B365BD" w:rsidP="005A129C">
      <w:pPr>
        <w:rPr>
          <w:rFonts w:asciiTheme="majorHAnsi" w:eastAsia="Times New Roman" w:hAnsiTheme="majorHAnsi" w:cstheme="majorHAnsi"/>
          <w:kern w:val="0"/>
          <w:lang w:eastAsia="en-GB"/>
          <w14:ligatures w14:val="none"/>
        </w:rPr>
      </w:pPr>
    </w:p>
    <w:p w14:paraId="3CDB0DCB" w14:textId="6520AF13" w:rsidR="00B365BD" w:rsidRPr="004C186B" w:rsidRDefault="00B365BD" w:rsidP="00B365BD">
      <w:pPr>
        <w:rPr>
          <w:rFonts w:asciiTheme="majorHAnsi" w:eastAsia="Times New Roman" w:hAnsiTheme="majorHAnsi" w:cstheme="majorHAnsi"/>
          <w:b/>
          <w:bCs/>
          <w:kern w:val="0"/>
          <w:lang w:eastAsia="en-GB"/>
          <w14:ligatures w14:val="none"/>
        </w:rPr>
      </w:pPr>
      <w:r w:rsidRPr="004C186B">
        <w:rPr>
          <w:rFonts w:asciiTheme="majorHAnsi" w:eastAsia="Times New Roman" w:hAnsiTheme="majorHAnsi" w:cstheme="majorHAnsi"/>
          <w:b/>
          <w:bCs/>
          <w:kern w:val="0"/>
          <w:lang w:eastAsia="en-GB"/>
          <w14:ligatures w14:val="none"/>
        </w:rPr>
        <w:t xml:space="preserve">Statement of support for </w:t>
      </w:r>
      <w:proofErr w:type="spellStart"/>
      <w:r w:rsidRPr="004C186B">
        <w:rPr>
          <w:rFonts w:asciiTheme="majorHAnsi" w:eastAsia="Times New Roman" w:hAnsiTheme="majorHAnsi" w:cstheme="majorHAnsi"/>
          <w:b/>
          <w:bCs/>
          <w:kern w:val="0"/>
          <w:lang w:eastAsia="en-GB"/>
          <w14:ligatures w14:val="none"/>
        </w:rPr>
        <w:t>Efas</w:t>
      </w:r>
      <w:proofErr w:type="spellEnd"/>
      <w:r w:rsidRPr="004C186B">
        <w:rPr>
          <w:rFonts w:asciiTheme="majorHAnsi" w:eastAsia="Times New Roman" w:hAnsiTheme="majorHAnsi" w:cstheme="majorHAnsi"/>
          <w:b/>
          <w:bCs/>
          <w:kern w:val="0"/>
          <w:lang w:eastAsia="en-GB"/>
          <w14:ligatures w14:val="none"/>
        </w:rPr>
        <w:t xml:space="preserve"> </w:t>
      </w:r>
    </w:p>
    <w:p w14:paraId="6C42E9B1" w14:textId="249F977C" w:rsidR="00B365BD" w:rsidRPr="004C186B" w:rsidRDefault="00B365BD" w:rsidP="00B365BD">
      <w:pPr>
        <w:rPr>
          <w:rFonts w:asciiTheme="majorHAnsi" w:eastAsia="Times New Roman" w:hAnsiTheme="majorHAnsi" w:cstheme="majorHAnsi"/>
          <w:kern w:val="0"/>
          <w:lang w:eastAsia="en-GB"/>
          <w14:ligatures w14:val="none"/>
        </w:rPr>
      </w:pPr>
      <w:r w:rsidRPr="004C186B">
        <w:rPr>
          <w:rFonts w:asciiTheme="majorHAnsi" w:eastAsia="Times New Roman" w:hAnsiTheme="majorHAnsi" w:cstheme="majorHAnsi"/>
          <w:kern w:val="0"/>
          <w:lang w:eastAsia="en-GB"/>
          <w14:ligatures w14:val="none"/>
        </w:rPr>
        <w:t>As a teacher within a post-16 health and social care setting, it is imperative to ensure a safe and inclusive learning environment for all students, including Efa, who has raised concerns about feeling marginalized and discriminated against due to her race. Efa's experiences of being ostracized, subjected to offensive comments, and facing dismissive attitudes from peers and lecturers highlight significant challenges that need to be addressed promptly and effectively.</w:t>
      </w:r>
      <w:r w:rsidRPr="004C186B">
        <w:rPr>
          <w:rFonts w:asciiTheme="majorHAnsi" w:eastAsia="Times New Roman" w:hAnsiTheme="majorHAnsi" w:cstheme="majorHAnsi"/>
          <w:kern w:val="0"/>
          <w:lang w:eastAsia="en-GB"/>
          <w14:ligatures w14:val="none"/>
        </w:rPr>
        <w:t xml:space="preserve"> </w:t>
      </w:r>
      <w:r w:rsidRPr="004C186B">
        <w:rPr>
          <w:rFonts w:asciiTheme="majorHAnsi" w:eastAsia="Times New Roman" w:hAnsiTheme="majorHAnsi" w:cstheme="majorHAnsi"/>
          <w:kern w:val="0"/>
          <w:lang w:eastAsia="en-GB"/>
          <w14:ligatures w14:val="none"/>
        </w:rPr>
        <w:t>In the identified setting, it is crucial to uphold policies and procedures promoting equality, diversity, and inclusivity, including zero tolerance for discrimination, harassment, and bullying. Additionally, providing training and awareness programs for staff and students on cultural sensitivity, unconscious bias, and respectful communication is essential to prevent such incidents and foster a supportive learning community.</w:t>
      </w:r>
      <w:r w:rsidR="00F95CFB" w:rsidRPr="004C186B">
        <w:rPr>
          <w:rFonts w:asciiTheme="majorHAnsi" w:hAnsiTheme="majorHAnsi" w:cstheme="majorHAnsi"/>
        </w:rPr>
        <w:t xml:space="preserve"> </w:t>
      </w:r>
      <w:r w:rsidR="00F95CFB" w:rsidRPr="004C186B">
        <w:rPr>
          <w:rFonts w:asciiTheme="majorHAnsi" w:eastAsia="Times New Roman" w:hAnsiTheme="majorHAnsi" w:cstheme="majorHAnsi"/>
          <w:kern w:val="0"/>
          <w:lang w:eastAsia="en-GB"/>
          <w14:ligatures w14:val="none"/>
        </w:rPr>
        <w:t>Agency for Education and Skills Funding (2022)</w:t>
      </w:r>
    </w:p>
    <w:p w14:paraId="5E0C26A2" w14:textId="77777777" w:rsidR="00B365BD" w:rsidRPr="004C186B" w:rsidRDefault="00B365BD" w:rsidP="00B365BD">
      <w:pPr>
        <w:rPr>
          <w:rFonts w:asciiTheme="majorHAnsi" w:eastAsia="Times New Roman" w:hAnsiTheme="majorHAnsi" w:cstheme="majorHAnsi"/>
          <w:kern w:val="0"/>
          <w:lang w:eastAsia="en-GB"/>
          <w14:ligatures w14:val="none"/>
        </w:rPr>
      </w:pPr>
    </w:p>
    <w:p w14:paraId="1332EE18" w14:textId="77777777" w:rsidR="00B365BD" w:rsidRPr="004C186B" w:rsidRDefault="00B365BD" w:rsidP="00B365BD">
      <w:pPr>
        <w:rPr>
          <w:rFonts w:asciiTheme="majorHAnsi" w:eastAsia="Times New Roman" w:hAnsiTheme="majorHAnsi" w:cstheme="majorHAnsi"/>
          <w:kern w:val="0"/>
          <w:lang w:eastAsia="en-GB"/>
          <w14:ligatures w14:val="none"/>
        </w:rPr>
      </w:pPr>
      <w:r w:rsidRPr="004C186B">
        <w:rPr>
          <w:rFonts w:asciiTheme="majorHAnsi" w:eastAsia="Times New Roman" w:hAnsiTheme="majorHAnsi" w:cstheme="majorHAnsi"/>
          <w:kern w:val="0"/>
          <w:lang w:eastAsia="en-GB"/>
          <w14:ligatures w14:val="none"/>
        </w:rPr>
        <w:t>To address Efa's concerns and support her continued participation in the course, the following measures can be implemented:</w:t>
      </w:r>
    </w:p>
    <w:p w14:paraId="23E4CF02" w14:textId="77777777" w:rsidR="00B365BD" w:rsidRPr="004C186B" w:rsidRDefault="00B365BD" w:rsidP="00B365BD">
      <w:pPr>
        <w:rPr>
          <w:rFonts w:asciiTheme="majorHAnsi" w:eastAsia="Times New Roman" w:hAnsiTheme="majorHAnsi" w:cstheme="majorHAnsi"/>
          <w:kern w:val="0"/>
          <w:lang w:eastAsia="en-GB"/>
          <w14:ligatures w14:val="none"/>
        </w:rPr>
      </w:pPr>
    </w:p>
    <w:p w14:paraId="1BE653B9" w14:textId="77777777" w:rsidR="00B365BD" w:rsidRPr="004C186B" w:rsidRDefault="00B365BD" w:rsidP="00B365BD">
      <w:pPr>
        <w:rPr>
          <w:rFonts w:asciiTheme="majorHAnsi" w:eastAsia="Times New Roman" w:hAnsiTheme="majorHAnsi" w:cstheme="majorHAnsi"/>
          <w:kern w:val="0"/>
          <w:lang w:eastAsia="en-GB"/>
          <w14:ligatures w14:val="none"/>
        </w:rPr>
      </w:pPr>
      <w:r w:rsidRPr="004C186B">
        <w:rPr>
          <w:rFonts w:asciiTheme="majorHAnsi" w:eastAsia="Times New Roman" w:hAnsiTheme="majorHAnsi" w:cstheme="majorHAnsi"/>
          <w:b/>
          <w:bCs/>
          <w:kern w:val="0"/>
          <w:lang w:eastAsia="en-GB"/>
          <w14:ligatures w14:val="none"/>
        </w:rPr>
        <w:t>Immediate Intervention</w:t>
      </w:r>
      <w:r w:rsidRPr="004C186B">
        <w:rPr>
          <w:rFonts w:asciiTheme="majorHAnsi" w:eastAsia="Times New Roman" w:hAnsiTheme="majorHAnsi" w:cstheme="majorHAnsi"/>
          <w:kern w:val="0"/>
          <w:lang w:eastAsia="en-GB"/>
          <w14:ligatures w14:val="none"/>
        </w:rPr>
        <w:t>: Arrange a private meeting with Efa to discuss her concerns and reassure her that her feelings are valid and taken seriously. Offer empathy and support while actively listening to her experiences and perspectives. Apologize on behalf of the institution for the distress caused and emphasize the commitment to addressing the issues promptly.</w:t>
      </w:r>
    </w:p>
    <w:p w14:paraId="6E26AB6F" w14:textId="77777777" w:rsidR="00B365BD" w:rsidRPr="004C186B" w:rsidRDefault="00B365BD" w:rsidP="00B365BD">
      <w:pPr>
        <w:rPr>
          <w:rFonts w:asciiTheme="majorHAnsi" w:eastAsia="Times New Roman" w:hAnsiTheme="majorHAnsi" w:cstheme="majorHAnsi"/>
          <w:kern w:val="0"/>
          <w:lang w:eastAsia="en-GB"/>
          <w14:ligatures w14:val="none"/>
        </w:rPr>
      </w:pPr>
    </w:p>
    <w:p w14:paraId="5C8BA940" w14:textId="397B1B24" w:rsidR="00B365BD" w:rsidRPr="004C186B" w:rsidRDefault="00B365BD" w:rsidP="00B365BD">
      <w:pPr>
        <w:rPr>
          <w:rFonts w:asciiTheme="majorHAnsi" w:eastAsia="Times New Roman" w:hAnsiTheme="majorHAnsi" w:cstheme="majorHAnsi"/>
          <w:kern w:val="0"/>
          <w:lang w:eastAsia="en-GB"/>
          <w14:ligatures w14:val="none"/>
        </w:rPr>
      </w:pPr>
      <w:r w:rsidRPr="004C186B">
        <w:rPr>
          <w:rFonts w:asciiTheme="majorHAnsi" w:eastAsia="Times New Roman" w:hAnsiTheme="majorHAnsi" w:cstheme="majorHAnsi"/>
          <w:b/>
          <w:bCs/>
          <w:kern w:val="0"/>
          <w:lang w:eastAsia="en-GB"/>
          <w14:ligatures w14:val="none"/>
        </w:rPr>
        <w:t>Anti-Discrimination Policies</w:t>
      </w:r>
      <w:r w:rsidRPr="004C186B">
        <w:rPr>
          <w:rFonts w:asciiTheme="majorHAnsi" w:eastAsia="Times New Roman" w:hAnsiTheme="majorHAnsi" w:cstheme="majorHAnsi"/>
          <w:kern w:val="0"/>
          <w:lang w:eastAsia="en-GB"/>
          <w14:ligatures w14:val="none"/>
        </w:rPr>
        <w:t xml:space="preserve">: Reiterate the college's commitment to promoting equality and diversity and highlight the consequences of discriminatory </w:t>
      </w:r>
      <w:r w:rsidR="00F95CFB" w:rsidRPr="004C186B">
        <w:rPr>
          <w:rFonts w:asciiTheme="majorHAnsi" w:eastAsia="Times New Roman" w:hAnsiTheme="majorHAnsi" w:cstheme="majorHAnsi"/>
          <w:kern w:val="0"/>
          <w:lang w:eastAsia="en-GB"/>
          <w14:ligatures w14:val="none"/>
        </w:rPr>
        <w:t>behaviour</w:t>
      </w:r>
      <w:r w:rsidRPr="004C186B">
        <w:rPr>
          <w:rFonts w:asciiTheme="majorHAnsi" w:eastAsia="Times New Roman" w:hAnsiTheme="majorHAnsi" w:cstheme="majorHAnsi"/>
          <w:kern w:val="0"/>
          <w:lang w:eastAsia="en-GB"/>
          <w14:ligatures w14:val="none"/>
        </w:rPr>
        <w:t>. Ensure Efa is aware of the reporting procedures for incidents of discrimination or harassment and offer support in pursuing formal complaints if she chooses to do so</w:t>
      </w:r>
      <w:proofErr w:type="gramStart"/>
      <w:r w:rsidRPr="004C186B">
        <w:rPr>
          <w:rFonts w:asciiTheme="majorHAnsi" w:eastAsia="Times New Roman" w:hAnsiTheme="majorHAnsi" w:cstheme="majorHAnsi"/>
          <w:kern w:val="0"/>
          <w:lang w:eastAsia="en-GB"/>
          <w14:ligatures w14:val="none"/>
        </w:rPr>
        <w:t>.</w:t>
      </w:r>
      <w:r w:rsidR="00F95CFB" w:rsidRPr="004C186B">
        <w:rPr>
          <w:rFonts w:asciiTheme="majorHAnsi" w:hAnsiTheme="majorHAnsi" w:cstheme="majorHAnsi"/>
        </w:rPr>
        <w:t xml:space="preserve"> </w:t>
      </w:r>
      <w:r w:rsidR="00F95CFB" w:rsidRPr="004C186B">
        <w:rPr>
          <w:rFonts w:asciiTheme="majorHAnsi" w:eastAsia="Times New Roman" w:hAnsiTheme="majorHAnsi" w:cstheme="majorHAnsi"/>
          <w:kern w:val="0"/>
          <w:lang w:eastAsia="en-GB"/>
          <w14:ligatures w14:val="none"/>
        </w:rPr>
        <w:t>)</w:t>
      </w:r>
      <w:proofErr w:type="gramEnd"/>
      <w:r w:rsidR="00F95CFB" w:rsidRPr="004C186B">
        <w:rPr>
          <w:rFonts w:asciiTheme="majorHAnsi" w:eastAsia="Times New Roman" w:hAnsiTheme="majorHAnsi" w:cstheme="majorHAnsi"/>
          <w:kern w:val="0"/>
          <w:lang w:eastAsia="en-GB"/>
          <w14:ligatures w14:val="none"/>
        </w:rPr>
        <w:t xml:space="preserve"> Equality Act 2010.</w:t>
      </w:r>
    </w:p>
    <w:p w14:paraId="74E8D3B0" w14:textId="77777777" w:rsidR="00B365BD" w:rsidRPr="004C186B" w:rsidRDefault="00B365BD" w:rsidP="00B365BD">
      <w:pPr>
        <w:rPr>
          <w:rFonts w:asciiTheme="majorHAnsi" w:eastAsia="Times New Roman" w:hAnsiTheme="majorHAnsi" w:cstheme="majorHAnsi"/>
          <w:kern w:val="0"/>
          <w:lang w:eastAsia="en-GB"/>
          <w14:ligatures w14:val="none"/>
        </w:rPr>
      </w:pPr>
    </w:p>
    <w:p w14:paraId="230E062B" w14:textId="77777777" w:rsidR="00B365BD" w:rsidRPr="004C186B" w:rsidRDefault="00B365BD" w:rsidP="00B365BD">
      <w:pPr>
        <w:rPr>
          <w:rFonts w:asciiTheme="majorHAnsi" w:eastAsia="Times New Roman" w:hAnsiTheme="majorHAnsi" w:cstheme="majorHAnsi"/>
          <w:kern w:val="0"/>
          <w:lang w:eastAsia="en-GB"/>
          <w14:ligatures w14:val="none"/>
        </w:rPr>
      </w:pPr>
      <w:r w:rsidRPr="004C186B">
        <w:rPr>
          <w:rFonts w:asciiTheme="majorHAnsi" w:eastAsia="Times New Roman" w:hAnsiTheme="majorHAnsi" w:cstheme="majorHAnsi"/>
          <w:b/>
          <w:bCs/>
          <w:kern w:val="0"/>
          <w:lang w:eastAsia="en-GB"/>
          <w14:ligatures w14:val="none"/>
        </w:rPr>
        <w:t>Cultural Awareness Training:</w:t>
      </w:r>
      <w:r w:rsidRPr="004C186B">
        <w:rPr>
          <w:rFonts w:asciiTheme="majorHAnsi" w:eastAsia="Times New Roman" w:hAnsiTheme="majorHAnsi" w:cstheme="majorHAnsi"/>
          <w:kern w:val="0"/>
          <w:lang w:eastAsia="en-GB"/>
          <w14:ligatures w14:val="none"/>
        </w:rPr>
        <w:t xml:space="preserve"> Organize mandatory cultural awareness workshops for staff and students to enhance understanding and appreciation of diversity. Provide resources and guidance on respectful communication, challenging stereotypes, and creating an inclusive learning environment where all voices are valued and respected.</w:t>
      </w:r>
    </w:p>
    <w:p w14:paraId="6C0F6394" w14:textId="77777777" w:rsidR="00B365BD" w:rsidRPr="004C186B" w:rsidRDefault="00B365BD" w:rsidP="00B365BD">
      <w:pPr>
        <w:rPr>
          <w:rFonts w:asciiTheme="majorHAnsi" w:eastAsia="Times New Roman" w:hAnsiTheme="majorHAnsi" w:cstheme="majorHAnsi"/>
          <w:kern w:val="0"/>
          <w:lang w:eastAsia="en-GB"/>
          <w14:ligatures w14:val="none"/>
        </w:rPr>
      </w:pPr>
    </w:p>
    <w:p w14:paraId="256C1B4E" w14:textId="77777777" w:rsidR="00B365BD" w:rsidRPr="004C186B" w:rsidRDefault="00B365BD" w:rsidP="00B365BD">
      <w:pPr>
        <w:rPr>
          <w:rFonts w:asciiTheme="majorHAnsi" w:eastAsia="Times New Roman" w:hAnsiTheme="majorHAnsi" w:cstheme="majorHAnsi"/>
          <w:kern w:val="0"/>
          <w:lang w:eastAsia="en-GB"/>
          <w14:ligatures w14:val="none"/>
        </w:rPr>
      </w:pPr>
      <w:r w:rsidRPr="004C186B">
        <w:rPr>
          <w:rFonts w:asciiTheme="majorHAnsi" w:eastAsia="Times New Roman" w:hAnsiTheme="majorHAnsi" w:cstheme="majorHAnsi"/>
          <w:b/>
          <w:bCs/>
          <w:kern w:val="0"/>
          <w:lang w:eastAsia="en-GB"/>
          <w14:ligatures w14:val="none"/>
        </w:rPr>
        <w:t>Peer Support Networks:</w:t>
      </w:r>
      <w:r w:rsidRPr="004C186B">
        <w:rPr>
          <w:rFonts w:asciiTheme="majorHAnsi" w:eastAsia="Times New Roman" w:hAnsiTheme="majorHAnsi" w:cstheme="majorHAnsi"/>
          <w:kern w:val="0"/>
          <w:lang w:eastAsia="en-GB"/>
          <w14:ligatures w14:val="none"/>
        </w:rPr>
        <w:t xml:space="preserve"> Facilitate the formation of peer support networks or affinity groups where students from similar backgrounds can connect, share experiences, and provide mutual support. Encourage Efa to join these groups to find solidarity and belonging within the college community.</w:t>
      </w:r>
    </w:p>
    <w:p w14:paraId="3F604099" w14:textId="77777777" w:rsidR="00B365BD" w:rsidRPr="004C186B" w:rsidRDefault="00B365BD" w:rsidP="00B365BD">
      <w:pPr>
        <w:rPr>
          <w:rFonts w:asciiTheme="majorHAnsi" w:eastAsia="Times New Roman" w:hAnsiTheme="majorHAnsi" w:cstheme="majorHAnsi"/>
          <w:kern w:val="0"/>
          <w:lang w:eastAsia="en-GB"/>
          <w14:ligatures w14:val="none"/>
        </w:rPr>
      </w:pPr>
    </w:p>
    <w:p w14:paraId="6A9B0F70" w14:textId="77777777" w:rsidR="00B365BD" w:rsidRPr="004C186B" w:rsidRDefault="00B365BD" w:rsidP="00B365BD">
      <w:pPr>
        <w:rPr>
          <w:rFonts w:asciiTheme="majorHAnsi" w:eastAsia="Times New Roman" w:hAnsiTheme="majorHAnsi" w:cstheme="majorHAnsi"/>
          <w:kern w:val="0"/>
          <w:lang w:eastAsia="en-GB"/>
          <w14:ligatures w14:val="none"/>
        </w:rPr>
      </w:pPr>
      <w:r w:rsidRPr="004C186B">
        <w:rPr>
          <w:rFonts w:asciiTheme="majorHAnsi" w:eastAsia="Times New Roman" w:hAnsiTheme="majorHAnsi" w:cstheme="majorHAnsi"/>
          <w:b/>
          <w:bCs/>
          <w:kern w:val="0"/>
          <w:lang w:eastAsia="en-GB"/>
          <w14:ligatures w14:val="none"/>
        </w:rPr>
        <w:t>Mentorship and Advocacy</w:t>
      </w:r>
      <w:r w:rsidRPr="004C186B">
        <w:rPr>
          <w:rFonts w:asciiTheme="majorHAnsi" w:eastAsia="Times New Roman" w:hAnsiTheme="majorHAnsi" w:cstheme="majorHAnsi"/>
          <w:kern w:val="0"/>
          <w:lang w:eastAsia="en-GB"/>
          <w14:ligatures w14:val="none"/>
        </w:rPr>
        <w:t>: Assign a mentor or advocate to Efa who can offer personalized support, advice, and advocacy throughout her academic journey. The mentor can provide guidance on navigating challenging situations, building confidence, and accessing relevant support services.</w:t>
      </w:r>
    </w:p>
    <w:p w14:paraId="59AC1E11" w14:textId="77777777" w:rsidR="00B365BD" w:rsidRPr="004C186B" w:rsidRDefault="00B365BD" w:rsidP="00B365BD">
      <w:pPr>
        <w:rPr>
          <w:rFonts w:asciiTheme="majorHAnsi" w:eastAsia="Times New Roman" w:hAnsiTheme="majorHAnsi" w:cstheme="majorHAnsi"/>
          <w:kern w:val="0"/>
          <w:lang w:eastAsia="en-GB"/>
          <w14:ligatures w14:val="none"/>
        </w:rPr>
      </w:pPr>
    </w:p>
    <w:p w14:paraId="3B0A5EF9" w14:textId="19D9898F" w:rsidR="00B365BD" w:rsidRPr="004C186B" w:rsidRDefault="00B365BD" w:rsidP="00B365BD">
      <w:pPr>
        <w:rPr>
          <w:rFonts w:asciiTheme="majorHAnsi" w:eastAsia="Times New Roman" w:hAnsiTheme="majorHAnsi" w:cstheme="majorHAnsi"/>
          <w:kern w:val="0"/>
          <w:lang w:eastAsia="en-GB"/>
          <w14:ligatures w14:val="none"/>
        </w:rPr>
      </w:pPr>
      <w:r w:rsidRPr="004C186B">
        <w:rPr>
          <w:rFonts w:asciiTheme="majorHAnsi" w:eastAsia="Times New Roman" w:hAnsiTheme="majorHAnsi" w:cstheme="majorHAnsi"/>
          <w:b/>
          <w:bCs/>
          <w:kern w:val="0"/>
          <w:lang w:eastAsia="en-GB"/>
          <w14:ligatures w14:val="none"/>
        </w:rPr>
        <w:t>Faculty Training</w:t>
      </w:r>
      <w:r w:rsidRPr="004C186B">
        <w:rPr>
          <w:rFonts w:asciiTheme="majorHAnsi" w:eastAsia="Times New Roman" w:hAnsiTheme="majorHAnsi" w:cstheme="majorHAnsi"/>
          <w:kern w:val="0"/>
          <w:lang w:eastAsia="en-GB"/>
          <w14:ligatures w14:val="none"/>
        </w:rPr>
        <w:t>: Provide training for lecturers and staff on cultural competence, inclusive teaching practices, and effective communication with diverse student populations. Emphasize the importance of creating an inclusive classroom environment where all students feel valued, respected, and empowered to participate actively in discussions and group activities.</w:t>
      </w:r>
      <w:r w:rsidR="004C186B" w:rsidRPr="004C186B">
        <w:rPr>
          <w:rFonts w:asciiTheme="majorHAnsi" w:hAnsiTheme="majorHAnsi" w:cstheme="majorHAnsi"/>
        </w:rPr>
        <w:t xml:space="preserve"> </w:t>
      </w:r>
      <w:r w:rsidR="004C186B" w:rsidRPr="004C186B">
        <w:rPr>
          <w:rFonts w:asciiTheme="majorHAnsi" w:eastAsia="Times New Roman" w:hAnsiTheme="majorHAnsi" w:cstheme="majorHAnsi"/>
          <w:kern w:val="0"/>
          <w:lang w:eastAsia="en-GB"/>
          <w14:ligatures w14:val="none"/>
        </w:rPr>
        <w:t>Anon (2012)</w:t>
      </w:r>
    </w:p>
    <w:p w14:paraId="17EA4669" w14:textId="77777777" w:rsidR="00B365BD" w:rsidRPr="004C186B" w:rsidRDefault="00B365BD" w:rsidP="00B365BD">
      <w:pPr>
        <w:rPr>
          <w:rFonts w:asciiTheme="majorHAnsi" w:eastAsia="Times New Roman" w:hAnsiTheme="majorHAnsi" w:cstheme="majorHAnsi"/>
          <w:kern w:val="0"/>
          <w:lang w:eastAsia="en-GB"/>
          <w14:ligatures w14:val="none"/>
        </w:rPr>
      </w:pPr>
    </w:p>
    <w:p w14:paraId="119BD65B" w14:textId="4EB20CDA" w:rsidR="00B365BD" w:rsidRPr="004C186B" w:rsidRDefault="00B365BD" w:rsidP="00B365BD">
      <w:pPr>
        <w:rPr>
          <w:rFonts w:asciiTheme="majorHAnsi" w:eastAsia="Times New Roman" w:hAnsiTheme="majorHAnsi" w:cstheme="majorHAnsi"/>
          <w:kern w:val="0"/>
          <w:lang w:eastAsia="en-GB"/>
          <w14:ligatures w14:val="none"/>
        </w:rPr>
      </w:pPr>
      <w:r w:rsidRPr="004C186B">
        <w:rPr>
          <w:rFonts w:asciiTheme="majorHAnsi" w:eastAsia="Times New Roman" w:hAnsiTheme="majorHAnsi" w:cstheme="majorHAnsi"/>
          <w:b/>
          <w:bCs/>
          <w:kern w:val="0"/>
          <w:lang w:eastAsia="en-GB"/>
          <w14:ligatures w14:val="none"/>
        </w:rPr>
        <w:t xml:space="preserve">Regular Check-ins: </w:t>
      </w:r>
      <w:r w:rsidRPr="004C186B">
        <w:rPr>
          <w:rFonts w:asciiTheme="majorHAnsi" w:eastAsia="Times New Roman" w:hAnsiTheme="majorHAnsi" w:cstheme="majorHAnsi"/>
          <w:kern w:val="0"/>
          <w:lang w:eastAsia="en-GB"/>
          <w14:ligatures w14:val="none"/>
        </w:rPr>
        <w:t>Schedule regular follow-up meetings with Efa to monitor her well-being, academic progress, and satisfaction with the implemented support measures. Adjust interventions as needed based on her feedback and evolving needs.</w:t>
      </w:r>
      <w:r w:rsidR="00F95CFB" w:rsidRPr="004C186B">
        <w:rPr>
          <w:rFonts w:asciiTheme="majorHAnsi" w:hAnsiTheme="majorHAnsi" w:cstheme="majorHAnsi"/>
        </w:rPr>
        <w:t xml:space="preserve"> </w:t>
      </w:r>
      <w:r w:rsidR="00F95CFB" w:rsidRPr="004C186B">
        <w:rPr>
          <w:rFonts w:asciiTheme="majorHAnsi" w:eastAsia="Times New Roman" w:hAnsiTheme="majorHAnsi" w:cstheme="majorHAnsi"/>
          <w:kern w:val="0"/>
          <w:lang w:eastAsia="en-GB"/>
          <w14:ligatures w14:val="none"/>
        </w:rPr>
        <w:t>Anon (2019)</w:t>
      </w:r>
    </w:p>
    <w:p w14:paraId="227B1AFB" w14:textId="77777777" w:rsidR="00B365BD" w:rsidRPr="004C186B" w:rsidRDefault="00B365BD" w:rsidP="00B365BD">
      <w:pPr>
        <w:rPr>
          <w:rFonts w:asciiTheme="majorHAnsi" w:eastAsia="Times New Roman" w:hAnsiTheme="majorHAnsi" w:cstheme="majorHAnsi"/>
          <w:kern w:val="0"/>
          <w:lang w:eastAsia="en-GB"/>
          <w14:ligatures w14:val="none"/>
        </w:rPr>
      </w:pPr>
    </w:p>
    <w:p w14:paraId="67C6D251" w14:textId="77777777" w:rsidR="00B365BD" w:rsidRPr="004C186B" w:rsidRDefault="00B365BD" w:rsidP="00B365BD">
      <w:pPr>
        <w:rPr>
          <w:rFonts w:asciiTheme="majorHAnsi" w:eastAsia="Times New Roman" w:hAnsiTheme="majorHAnsi" w:cstheme="majorHAnsi"/>
          <w:kern w:val="0"/>
          <w:lang w:eastAsia="en-GB"/>
          <w14:ligatures w14:val="none"/>
        </w:rPr>
      </w:pPr>
      <w:r w:rsidRPr="004C186B">
        <w:rPr>
          <w:rFonts w:asciiTheme="majorHAnsi" w:eastAsia="Times New Roman" w:hAnsiTheme="majorHAnsi" w:cstheme="majorHAnsi"/>
          <w:kern w:val="0"/>
          <w:lang w:eastAsia="en-GB"/>
          <w14:ligatures w14:val="none"/>
        </w:rPr>
        <w:t>By implementing these measures, we can demonstrate a genuine commitment to addressing discrimination and promoting inclusivity within the college community. It is essential to foster a culture of respect, empathy, and understanding where all students, regardless of race or background, feel welcome, valued, and supported in their academic pursuits.</w:t>
      </w:r>
    </w:p>
    <w:p w14:paraId="1879179F" w14:textId="77777777" w:rsidR="00663623" w:rsidRPr="004C186B" w:rsidRDefault="00663623" w:rsidP="005A129C">
      <w:pPr>
        <w:rPr>
          <w:rFonts w:asciiTheme="majorHAnsi" w:eastAsia="Times New Roman" w:hAnsiTheme="majorHAnsi" w:cstheme="majorHAnsi"/>
          <w:kern w:val="0"/>
          <w:lang w:eastAsia="en-GB"/>
          <w14:ligatures w14:val="none"/>
        </w:rPr>
      </w:pPr>
    </w:p>
    <w:p w14:paraId="0E8A30E8" w14:textId="77777777" w:rsidR="00B365BD" w:rsidRPr="004C186B" w:rsidRDefault="00B365BD" w:rsidP="005A129C">
      <w:pPr>
        <w:rPr>
          <w:rFonts w:asciiTheme="majorHAnsi" w:eastAsia="Times New Roman" w:hAnsiTheme="majorHAnsi" w:cstheme="majorHAnsi"/>
          <w:kern w:val="0"/>
          <w:lang w:eastAsia="en-GB"/>
          <w14:ligatures w14:val="none"/>
        </w:rPr>
      </w:pPr>
    </w:p>
    <w:p w14:paraId="45AE9E69" w14:textId="77777777" w:rsidR="00B365BD" w:rsidRPr="004C186B" w:rsidRDefault="00B365BD" w:rsidP="005A129C">
      <w:pPr>
        <w:rPr>
          <w:rFonts w:asciiTheme="majorHAnsi" w:eastAsia="Times New Roman" w:hAnsiTheme="majorHAnsi" w:cstheme="majorHAnsi"/>
          <w:kern w:val="0"/>
          <w:lang w:eastAsia="en-GB"/>
          <w14:ligatures w14:val="none"/>
        </w:rPr>
      </w:pPr>
    </w:p>
    <w:p w14:paraId="33845A77" w14:textId="77777777" w:rsidR="00B365BD" w:rsidRPr="004C186B" w:rsidRDefault="00B365BD" w:rsidP="005A129C">
      <w:pPr>
        <w:rPr>
          <w:rFonts w:asciiTheme="majorHAnsi" w:eastAsia="Times New Roman" w:hAnsiTheme="majorHAnsi" w:cstheme="majorHAnsi"/>
          <w:kern w:val="0"/>
          <w:lang w:eastAsia="en-GB"/>
          <w14:ligatures w14:val="none"/>
        </w:rPr>
      </w:pPr>
    </w:p>
    <w:p w14:paraId="4F7824A5" w14:textId="77777777" w:rsidR="00B365BD" w:rsidRPr="004C186B" w:rsidRDefault="00B365BD" w:rsidP="005A129C">
      <w:pPr>
        <w:rPr>
          <w:rFonts w:asciiTheme="majorHAnsi" w:eastAsia="Times New Roman" w:hAnsiTheme="majorHAnsi" w:cstheme="majorHAnsi"/>
          <w:kern w:val="0"/>
          <w:lang w:eastAsia="en-GB"/>
          <w14:ligatures w14:val="none"/>
        </w:rPr>
      </w:pPr>
    </w:p>
    <w:p w14:paraId="01F85966" w14:textId="77777777" w:rsidR="00B365BD" w:rsidRPr="004C186B" w:rsidRDefault="00B365BD" w:rsidP="005A129C">
      <w:pPr>
        <w:rPr>
          <w:rFonts w:asciiTheme="majorHAnsi" w:eastAsia="Times New Roman" w:hAnsiTheme="majorHAnsi" w:cstheme="majorHAnsi"/>
          <w:kern w:val="0"/>
          <w:lang w:eastAsia="en-GB"/>
          <w14:ligatures w14:val="none"/>
        </w:rPr>
      </w:pPr>
    </w:p>
    <w:p w14:paraId="672A6E4E" w14:textId="77777777" w:rsidR="00B365BD" w:rsidRPr="004C186B" w:rsidRDefault="00B365BD" w:rsidP="005A129C">
      <w:pPr>
        <w:rPr>
          <w:rFonts w:asciiTheme="majorHAnsi" w:eastAsia="Times New Roman" w:hAnsiTheme="majorHAnsi" w:cstheme="majorHAnsi"/>
          <w:kern w:val="0"/>
          <w:lang w:eastAsia="en-GB"/>
          <w14:ligatures w14:val="none"/>
        </w:rPr>
      </w:pPr>
    </w:p>
    <w:p w14:paraId="598B0106" w14:textId="77777777" w:rsidR="00B365BD" w:rsidRPr="004C186B" w:rsidRDefault="00B365BD" w:rsidP="005A129C">
      <w:pPr>
        <w:rPr>
          <w:rFonts w:asciiTheme="majorHAnsi" w:eastAsia="Times New Roman" w:hAnsiTheme="majorHAnsi" w:cstheme="majorHAnsi"/>
          <w:kern w:val="0"/>
          <w:lang w:eastAsia="en-GB"/>
          <w14:ligatures w14:val="none"/>
        </w:rPr>
      </w:pPr>
    </w:p>
    <w:p w14:paraId="42967E4E" w14:textId="77777777" w:rsidR="004C186B" w:rsidRDefault="004C186B" w:rsidP="005A129C"/>
    <w:p w14:paraId="7BAE8B44" w14:textId="77777777" w:rsidR="004C186B" w:rsidRDefault="004C186B" w:rsidP="005A129C"/>
    <w:p w14:paraId="1351B2FE" w14:textId="77777777" w:rsidR="004C186B" w:rsidRDefault="004C186B" w:rsidP="005A129C"/>
    <w:p w14:paraId="4F043175" w14:textId="77777777" w:rsidR="004C186B" w:rsidRDefault="004C186B" w:rsidP="005A129C"/>
    <w:p w14:paraId="2846DEBB" w14:textId="77777777" w:rsidR="004C186B" w:rsidRDefault="004C186B" w:rsidP="005A129C"/>
    <w:p w14:paraId="1A047881" w14:textId="77777777" w:rsidR="004C186B" w:rsidRDefault="004C186B" w:rsidP="005A129C"/>
    <w:p w14:paraId="7D9606C4" w14:textId="77777777" w:rsidR="004C186B" w:rsidRDefault="004C186B" w:rsidP="005A129C"/>
    <w:p w14:paraId="1CFB87B3" w14:textId="77777777" w:rsidR="004C186B" w:rsidRDefault="004C186B" w:rsidP="005A129C"/>
    <w:p w14:paraId="2BFA8CCD" w14:textId="7F8E9BCA" w:rsidR="005A129C" w:rsidRDefault="005A129C" w:rsidP="005A129C">
      <w:r>
        <w:lastRenderedPageBreak/>
        <w:t>References</w:t>
      </w:r>
    </w:p>
    <w:p w14:paraId="186D4B58" w14:textId="40AD8DE1" w:rsidR="004C186B" w:rsidRDefault="004C186B" w:rsidP="004C186B">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pPr>
      <w:r>
        <w:t xml:space="preserve">Agency for Education and Skills Funding. (2022). The regulations pertaining to funding and performance management for the academic year 2022 to 2023. [Online] Available at: </w:t>
      </w:r>
      <w:r w:rsidRPr="004C186B">
        <w:rPr>
          <w:rFonts w:eastAsiaTheme="majorEastAsia"/>
          <w:bdr w:val="single" w:sz="2" w:space="0" w:color="E3E3E3" w:frame="1"/>
        </w:rPr>
        <w:t>https://www.gov.uk/government/organisations/education-and-skills-funding-agency</w:t>
      </w:r>
      <w:r>
        <w:t xml:space="preserve"> (Accessed: 02.04.2024).</w:t>
      </w:r>
    </w:p>
    <w:p w14:paraId="33F03FD1" w14:textId="77777777" w:rsidR="004C186B" w:rsidRDefault="004C186B" w:rsidP="004C186B">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pPr>
      <w:r>
        <w:t>Anon. (2012). Equality and diversity in the lifelong learning sector (2nd ed.). Learning Matters.</w:t>
      </w:r>
    </w:p>
    <w:p w14:paraId="22CD0E64" w14:textId="77777777" w:rsidR="004C186B" w:rsidRDefault="004C186B" w:rsidP="004C186B">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pPr>
      <w:r>
        <w:t>Anon. (2019). Student mental health &amp; wellbeing in higher education: a practical guide. Sage Publications Ltd.</w:t>
      </w:r>
    </w:p>
    <w:p w14:paraId="2FADE786" w14:textId="77777777" w:rsidR="004C186B" w:rsidRDefault="004C186B" w:rsidP="004C186B">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pPr>
      <w:r>
        <w:t>Barden, N. (2019). Student Mental Health and Wellbeing in Higher Education: A practical guide (1st ed.). London: SAGE Publications.</w:t>
      </w:r>
    </w:p>
    <w:p w14:paraId="3D97C750" w14:textId="020FD482" w:rsidR="004C186B" w:rsidRDefault="004C186B" w:rsidP="004C186B">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pPr>
      <w:r>
        <w:t xml:space="preserve">Department for Education. (2015). SEND code of practice: 0 to 25 years. Retrieved from </w:t>
      </w:r>
      <w:r w:rsidRPr="004C186B">
        <w:rPr>
          <w:rFonts w:eastAsiaTheme="majorEastAsia"/>
          <w:bdr w:val="single" w:sz="2" w:space="0" w:color="E3E3E3" w:frame="1"/>
        </w:rPr>
        <w:t>https://www.gov.uk/government/publications/send-code-of-practice-0-to-25</w:t>
      </w:r>
      <w:r>
        <w:t>.</w:t>
      </w:r>
    </w:p>
    <w:p w14:paraId="02C6146B" w14:textId="380824C5" w:rsidR="004C186B" w:rsidRDefault="004C186B" w:rsidP="004C186B">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pPr>
      <w:r>
        <w:t xml:space="preserve">Department for Education. (2019). Promoting fundamental British values as part of SMSC in schools: Departmental advice for maintained schools. Retrieved from </w:t>
      </w:r>
      <w:r w:rsidRPr="004C186B">
        <w:rPr>
          <w:rFonts w:eastAsiaTheme="majorEastAsia"/>
          <w:bdr w:val="single" w:sz="2" w:space="0" w:color="E3E3E3" w:frame="1"/>
        </w:rPr>
        <w:t>https://www.gov.uk/government/publications/promoting-fundamental-british-values-through-smsc</w:t>
      </w:r>
      <w:r>
        <w:t>.</w:t>
      </w:r>
    </w:p>
    <w:p w14:paraId="040A03DF" w14:textId="20E0CAF7" w:rsidR="004C186B" w:rsidRDefault="004C186B" w:rsidP="004C186B">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pPr>
      <w:r>
        <w:t xml:space="preserve">Equality and Human Rights Commission. (2019). Equality Act 2010: Guidance. Retrieved from </w:t>
      </w:r>
      <w:r w:rsidRPr="004C186B">
        <w:rPr>
          <w:rFonts w:eastAsiaTheme="majorEastAsia"/>
          <w:bdr w:val="single" w:sz="2" w:space="0" w:color="E3E3E3" w:frame="1"/>
        </w:rPr>
        <w:t>https://www.equalityhumanrights.com/en/advice-and-guidance/equality-act-2010-guidance</w:t>
      </w:r>
      <w:r>
        <w:t>.</w:t>
      </w:r>
    </w:p>
    <w:p w14:paraId="0F4341EE" w14:textId="77777777" w:rsidR="004C186B" w:rsidRDefault="004C186B" w:rsidP="004C186B">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pPr>
      <w:r>
        <w:t>Jonathan Rix (Ed.). (2010). Equality, participation and inclusion 2: diverse contexts (2nd ed.). New York; London: Routledge.</w:t>
      </w:r>
    </w:p>
    <w:p w14:paraId="22450F9C" w14:textId="77777777" w:rsidR="004C186B" w:rsidRDefault="004C186B" w:rsidP="004C186B">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pPr>
      <w:r>
        <w:t>Knowles, G. (2018). Supporting inclusive practice and ensuring opportunity is equal for all (3rd ed.). London, [England]; New York, New York: Routledge.</w:t>
      </w:r>
    </w:p>
    <w:p w14:paraId="4E749B31" w14:textId="5970321B" w:rsidR="004C186B" w:rsidRDefault="004C186B" w:rsidP="004C186B">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pPr>
      <w:r>
        <w:t xml:space="preserve">Legislation.gov.uk. (2010). Equality Act 2010. Available at: </w:t>
      </w:r>
      <w:r w:rsidRPr="004C186B">
        <w:rPr>
          <w:rFonts w:eastAsiaTheme="majorEastAsia"/>
          <w:bdr w:val="single" w:sz="2" w:space="0" w:color="E3E3E3" w:frame="1"/>
        </w:rPr>
        <w:t>https://www.legislation.gov.uk/ukpga/2010/15/contents</w:t>
      </w:r>
      <w:r>
        <w:t xml:space="preserve"> (Accessed: 02 04 2024).</w:t>
      </w:r>
    </w:p>
    <w:p w14:paraId="6A727BE1" w14:textId="5D1F2CBD" w:rsidR="004C186B" w:rsidRDefault="004C186B" w:rsidP="004C186B">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pPr>
      <w:r>
        <w:t xml:space="preserve">Reid, G. (2016). Dyslexia: a </w:t>
      </w:r>
      <w:r>
        <w:t>practitioner’s</w:t>
      </w:r>
      <w:r>
        <w:t xml:space="preserve"> handbook (5th ed.). Chichester, England: Wiley Blackwell.</w:t>
      </w:r>
    </w:p>
    <w:p w14:paraId="45075D6D" w14:textId="4F2E1AA1" w:rsidR="004C186B" w:rsidRDefault="004C186B" w:rsidP="004C186B">
      <w:pPr>
        <w:pStyle w:val="NormalWeb"/>
        <w:pBdr>
          <w:top w:val="single" w:sz="2" w:space="0" w:color="E3E3E3"/>
          <w:left w:val="single" w:sz="2" w:space="0" w:color="E3E3E3"/>
          <w:bottom w:val="single" w:sz="2" w:space="0" w:color="E3E3E3"/>
          <w:right w:val="single" w:sz="2" w:space="0" w:color="E3E3E3"/>
        </w:pBdr>
        <w:spacing w:before="300" w:beforeAutospacing="0" w:after="0" w:afterAutospacing="0"/>
      </w:pPr>
      <w:r>
        <w:t xml:space="preserve">Universities UK. (2016). Changing the culture: Report of the Universities UK taskforce examining violence against women, harassment and hate crime affecting university students. Retrieved from </w:t>
      </w:r>
      <w:r w:rsidRPr="004C186B">
        <w:rPr>
          <w:rFonts w:eastAsiaTheme="majorEastAsia"/>
          <w:bdr w:val="single" w:sz="2" w:space="0" w:color="E3E3E3" w:frame="1"/>
        </w:rPr>
        <w:t>https://www.universitiesuk.ac.uk/policy-and-analysis/reports/Pages/changing-the-culture.aspx</w:t>
      </w:r>
      <w:r>
        <w:t>.</w:t>
      </w:r>
    </w:p>
    <w:p w14:paraId="4697EDA6" w14:textId="77777777" w:rsidR="004C186B" w:rsidRDefault="004C186B" w:rsidP="004C186B">
      <w:pPr>
        <w:pStyle w:val="z-TopofForm"/>
      </w:pPr>
      <w:r>
        <w:t>Top of Form</w:t>
      </w:r>
    </w:p>
    <w:p w14:paraId="03A04229" w14:textId="77777777" w:rsidR="005A129C" w:rsidRDefault="005A129C" w:rsidP="005A129C"/>
    <w:p w14:paraId="65D80E4D" w14:textId="77777777" w:rsidR="005A129C" w:rsidRDefault="005A129C" w:rsidP="005A129C"/>
    <w:p w14:paraId="0216B429" w14:textId="77777777" w:rsidR="005A129C" w:rsidRDefault="005A129C" w:rsidP="005A129C"/>
    <w:p w14:paraId="722D7DFD" w14:textId="77777777" w:rsidR="005A129C" w:rsidRDefault="005A129C" w:rsidP="005A129C"/>
    <w:sectPr w:rsidR="005A12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BB0B2" w14:textId="77777777" w:rsidR="001E09CF" w:rsidRDefault="001E09CF" w:rsidP="007D3AA8">
      <w:pPr>
        <w:spacing w:after="0" w:line="240" w:lineRule="auto"/>
      </w:pPr>
      <w:r>
        <w:separator/>
      </w:r>
    </w:p>
  </w:endnote>
  <w:endnote w:type="continuationSeparator" w:id="0">
    <w:p w14:paraId="2AE5E477" w14:textId="77777777" w:rsidR="001E09CF" w:rsidRDefault="001E09CF" w:rsidP="007D3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53D42" w14:textId="77777777" w:rsidR="001E09CF" w:rsidRDefault="001E09CF" w:rsidP="007D3AA8">
      <w:pPr>
        <w:spacing w:after="0" w:line="240" w:lineRule="auto"/>
      </w:pPr>
      <w:r>
        <w:separator/>
      </w:r>
    </w:p>
  </w:footnote>
  <w:footnote w:type="continuationSeparator" w:id="0">
    <w:p w14:paraId="43FA1C77" w14:textId="77777777" w:rsidR="001E09CF" w:rsidRDefault="001E09CF" w:rsidP="007D3A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2D29F9"/>
    <w:multiLevelType w:val="hybridMultilevel"/>
    <w:tmpl w:val="F6907F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5394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203"/>
    <w:rsid w:val="00011C36"/>
    <w:rsid w:val="00034203"/>
    <w:rsid w:val="001E09CF"/>
    <w:rsid w:val="00420E9B"/>
    <w:rsid w:val="00424E44"/>
    <w:rsid w:val="0047453F"/>
    <w:rsid w:val="004C186B"/>
    <w:rsid w:val="005347AD"/>
    <w:rsid w:val="00541C1D"/>
    <w:rsid w:val="005A129C"/>
    <w:rsid w:val="005F01E6"/>
    <w:rsid w:val="00663623"/>
    <w:rsid w:val="00780210"/>
    <w:rsid w:val="007D3AA8"/>
    <w:rsid w:val="00826DC9"/>
    <w:rsid w:val="00B25EE1"/>
    <w:rsid w:val="00B365BD"/>
    <w:rsid w:val="00B5626C"/>
    <w:rsid w:val="00D175BE"/>
    <w:rsid w:val="00F95CFB"/>
    <w:rsid w:val="00FF74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2271B"/>
  <w15:docId w15:val="{7AFF6423-84AC-4972-ABE8-616A7241E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20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3420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3420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3420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3420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342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42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42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42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20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3420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3420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3420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3420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342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42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42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4203"/>
    <w:rPr>
      <w:rFonts w:eastAsiaTheme="majorEastAsia" w:cstheme="majorBidi"/>
      <w:color w:val="272727" w:themeColor="text1" w:themeTint="D8"/>
    </w:rPr>
  </w:style>
  <w:style w:type="paragraph" w:styleId="Title">
    <w:name w:val="Title"/>
    <w:basedOn w:val="Normal"/>
    <w:next w:val="Normal"/>
    <w:link w:val="TitleChar"/>
    <w:uiPriority w:val="10"/>
    <w:qFormat/>
    <w:rsid w:val="000342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2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42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42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4203"/>
    <w:pPr>
      <w:spacing w:before="160"/>
      <w:jc w:val="center"/>
    </w:pPr>
    <w:rPr>
      <w:i/>
      <w:iCs/>
      <w:color w:val="404040" w:themeColor="text1" w:themeTint="BF"/>
    </w:rPr>
  </w:style>
  <w:style w:type="character" w:customStyle="1" w:styleId="QuoteChar">
    <w:name w:val="Quote Char"/>
    <w:basedOn w:val="DefaultParagraphFont"/>
    <w:link w:val="Quote"/>
    <w:uiPriority w:val="29"/>
    <w:rsid w:val="00034203"/>
    <w:rPr>
      <w:i/>
      <w:iCs/>
      <w:color w:val="404040" w:themeColor="text1" w:themeTint="BF"/>
    </w:rPr>
  </w:style>
  <w:style w:type="paragraph" w:styleId="ListParagraph">
    <w:name w:val="List Paragraph"/>
    <w:basedOn w:val="Normal"/>
    <w:uiPriority w:val="34"/>
    <w:qFormat/>
    <w:rsid w:val="00034203"/>
    <w:pPr>
      <w:ind w:left="720"/>
      <w:contextualSpacing/>
    </w:pPr>
  </w:style>
  <w:style w:type="character" w:styleId="IntenseEmphasis">
    <w:name w:val="Intense Emphasis"/>
    <w:basedOn w:val="DefaultParagraphFont"/>
    <w:uiPriority w:val="21"/>
    <w:qFormat/>
    <w:rsid w:val="00034203"/>
    <w:rPr>
      <w:i/>
      <w:iCs/>
      <w:color w:val="2F5496" w:themeColor="accent1" w:themeShade="BF"/>
    </w:rPr>
  </w:style>
  <w:style w:type="paragraph" w:styleId="IntenseQuote">
    <w:name w:val="Intense Quote"/>
    <w:basedOn w:val="Normal"/>
    <w:next w:val="Normal"/>
    <w:link w:val="IntenseQuoteChar"/>
    <w:uiPriority w:val="30"/>
    <w:qFormat/>
    <w:rsid w:val="000342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34203"/>
    <w:rPr>
      <w:i/>
      <w:iCs/>
      <w:color w:val="2F5496" w:themeColor="accent1" w:themeShade="BF"/>
    </w:rPr>
  </w:style>
  <w:style w:type="character" w:styleId="IntenseReference">
    <w:name w:val="Intense Reference"/>
    <w:basedOn w:val="DefaultParagraphFont"/>
    <w:uiPriority w:val="32"/>
    <w:qFormat/>
    <w:rsid w:val="00034203"/>
    <w:rPr>
      <w:b/>
      <w:bCs/>
      <w:smallCaps/>
      <w:color w:val="2F5496" w:themeColor="accent1" w:themeShade="BF"/>
      <w:spacing w:val="5"/>
    </w:rPr>
  </w:style>
  <w:style w:type="paragraph" w:styleId="Header">
    <w:name w:val="header"/>
    <w:basedOn w:val="Normal"/>
    <w:link w:val="HeaderChar"/>
    <w:uiPriority w:val="99"/>
    <w:unhideWhenUsed/>
    <w:rsid w:val="007D3A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AA8"/>
  </w:style>
  <w:style w:type="paragraph" w:styleId="Footer">
    <w:name w:val="footer"/>
    <w:basedOn w:val="Normal"/>
    <w:link w:val="FooterChar"/>
    <w:uiPriority w:val="99"/>
    <w:unhideWhenUsed/>
    <w:rsid w:val="007D3A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AA8"/>
  </w:style>
  <w:style w:type="character" w:styleId="Hyperlink">
    <w:name w:val="Hyperlink"/>
    <w:basedOn w:val="DefaultParagraphFont"/>
    <w:uiPriority w:val="99"/>
    <w:unhideWhenUsed/>
    <w:rsid w:val="00F95CFB"/>
    <w:rPr>
      <w:color w:val="0563C1" w:themeColor="hyperlink"/>
      <w:u w:val="single"/>
    </w:rPr>
  </w:style>
  <w:style w:type="character" w:styleId="UnresolvedMention">
    <w:name w:val="Unresolved Mention"/>
    <w:basedOn w:val="DefaultParagraphFont"/>
    <w:uiPriority w:val="99"/>
    <w:semiHidden/>
    <w:unhideWhenUsed/>
    <w:rsid w:val="00F95CFB"/>
    <w:rPr>
      <w:color w:val="605E5C"/>
      <w:shd w:val="clear" w:color="auto" w:fill="E1DFDD"/>
    </w:rPr>
  </w:style>
  <w:style w:type="paragraph" w:styleId="NormalWeb">
    <w:name w:val="Normal (Web)"/>
    <w:basedOn w:val="Normal"/>
    <w:uiPriority w:val="99"/>
    <w:semiHidden/>
    <w:unhideWhenUsed/>
    <w:rsid w:val="004C186B"/>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paragraph" w:styleId="z-TopofForm">
    <w:name w:val="HTML Top of Form"/>
    <w:basedOn w:val="Normal"/>
    <w:next w:val="Normal"/>
    <w:link w:val="z-TopofFormChar"/>
    <w:hidden/>
    <w:uiPriority w:val="99"/>
    <w:semiHidden/>
    <w:unhideWhenUsed/>
    <w:rsid w:val="004C186B"/>
    <w:pPr>
      <w:pBdr>
        <w:bottom w:val="single" w:sz="6" w:space="1" w:color="auto"/>
      </w:pBdr>
      <w:spacing w:after="0" w:line="240" w:lineRule="auto"/>
      <w:jc w:val="center"/>
    </w:pPr>
    <w:rPr>
      <w:rFonts w:ascii="Arial" w:eastAsia="Times New Roman" w:hAnsi="Arial" w:cs="Arial"/>
      <w:vanish/>
      <w:kern w:val="0"/>
      <w:sz w:val="16"/>
      <w:szCs w:val="16"/>
      <w:lang w:eastAsia="zh-CN"/>
      <w14:ligatures w14:val="none"/>
    </w:rPr>
  </w:style>
  <w:style w:type="character" w:customStyle="1" w:styleId="z-TopofFormChar">
    <w:name w:val="z-Top of Form Char"/>
    <w:basedOn w:val="DefaultParagraphFont"/>
    <w:link w:val="z-TopofForm"/>
    <w:uiPriority w:val="99"/>
    <w:semiHidden/>
    <w:rsid w:val="004C186B"/>
    <w:rPr>
      <w:rFonts w:ascii="Arial" w:eastAsia="Times New Roman" w:hAnsi="Arial" w:cs="Arial"/>
      <w:vanish/>
      <w:kern w:val="0"/>
      <w:sz w:val="16"/>
      <w:szCs w:val="16"/>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8160">
      <w:bodyDiv w:val="1"/>
      <w:marLeft w:val="0"/>
      <w:marRight w:val="0"/>
      <w:marTop w:val="0"/>
      <w:marBottom w:val="0"/>
      <w:divBdr>
        <w:top w:val="none" w:sz="0" w:space="0" w:color="auto"/>
        <w:left w:val="none" w:sz="0" w:space="0" w:color="auto"/>
        <w:bottom w:val="none" w:sz="0" w:space="0" w:color="auto"/>
        <w:right w:val="none" w:sz="0" w:space="0" w:color="auto"/>
      </w:divBdr>
      <w:divsChild>
        <w:div w:id="2107916927">
          <w:marLeft w:val="0"/>
          <w:marRight w:val="0"/>
          <w:marTop w:val="0"/>
          <w:marBottom w:val="0"/>
          <w:divBdr>
            <w:top w:val="none" w:sz="0" w:space="0" w:color="auto"/>
            <w:left w:val="none" w:sz="0" w:space="0" w:color="auto"/>
            <w:bottom w:val="none" w:sz="0" w:space="0" w:color="auto"/>
            <w:right w:val="none" w:sz="0" w:space="0" w:color="auto"/>
          </w:divBdr>
        </w:div>
        <w:div w:id="367490680">
          <w:marLeft w:val="0"/>
          <w:marRight w:val="0"/>
          <w:marTop w:val="0"/>
          <w:marBottom w:val="0"/>
          <w:divBdr>
            <w:top w:val="none" w:sz="0" w:space="0" w:color="auto"/>
            <w:left w:val="none" w:sz="0" w:space="0" w:color="auto"/>
            <w:bottom w:val="none" w:sz="0" w:space="0" w:color="auto"/>
            <w:right w:val="none" w:sz="0" w:space="0" w:color="auto"/>
          </w:divBdr>
        </w:div>
      </w:divsChild>
    </w:div>
    <w:div w:id="122433448">
      <w:bodyDiv w:val="1"/>
      <w:marLeft w:val="0"/>
      <w:marRight w:val="0"/>
      <w:marTop w:val="0"/>
      <w:marBottom w:val="0"/>
      <w:divBdr>
        <w:top w:val="none" w:sz="0" w:space="0" w:color="auto"/>
        <w:left w:val="none" w:sz="0" w:space="0" w:color="auto"/>
        <w:bottom w:val="none" w:sz="0" w:space="0" w:color="auto"/>
        <w:right w:val="none" w:sz="0" w:space="0" w:color="auto"/>
      </w:divBdr>
    </w:div>
    <w:div w:id="144591016">
      <w:bodyDiv w:val="1"/>
      <w:marLeft w:val="0"/>
      <w:marRight w:val="0"/>
      <w:marTop w:val="0"/>
      <w:marBottom w:val="0"/>
      <w:divBdr>
        <w:top w:val="none" w:sz="0" w:space="0" w:color="auto"/>
        <w:left w:val="none" w:sz="0" w:space="0" w:color="auto"/>
        <w:bottom w:val="none" w:sz="0" w:space="0" w:color="auto"/>
        <w:right w:val="none" w:sz="0" w:space="0" w:color="auto"/>
      </w:divBdr>
    </w:div>
    <w:div w:id="155927602">
      <w:bodyDiv w:val="1"/>
      <w:marLeft w:val="0"/>
      <w:marRight w:val="0"/>
      <w:marTop w:val="0"/>
      <w:marBottom w:val="0"/>
      <w:divBdr>
        <w:top w:val="none" w:sz="0" w:space="0" w:color="auto"/>
        <w:left w:val="none" w:sz="0" w:space="0" w:color="auto"/>
        <w:bottom w:val="none" w:sz="0" w:space="0" w:color="auto"/>
        <w:right w:val="none" w:sz="0" w:space="0" w:color="auto"/>
      </w:divBdr>
      <w:divsChild>
        <w:div w:id="1740058790">
          <w:marLeft w:val="0"/>
          <w:marRight w:val="0"/>
          <w:marTop w:val="0"/>
          <w:marBottom w:val="0"/>
          <w:divBdr>
            <w:top w:val="single" w:sz="2" w:space="0" w:color="E3E3E3"/>
            <w:left w:val="single" w:sz="2" w:space="0" w:color="E3E3E3"/>
            <w:bottom w:val="single" w:sz="2" w:space="0" w:color="E3E3E3"/>
            <w:right w:val="single" w:sz="2" w:space="0" w:color="E3E3E3"/>
          </w:divBdr>
          <w:divsChild>
            <w:div w:id="1513452311">
              <w:marLeft w:val="0"/>
              <w:marRight w:val="0"/>
              <w:marTop w:val="0"/>
              <w:marBottom w:val="0"/>
              <w:divBdr>
                <w:top w:val="single" w:sz="2" w:space="0" w:color="E3E3E3"/>
                <w:left w:val="single" w:sz="2" w:space="0" w:color="E3E3E3"/>
                <w:bottom w:val="single" w:sz="2" w:space="0" w:color="E3E3E3"/>
                <w:right w:val="single" w:sz="2" w:space="0" w:color="E3E3E3"/>
              </w:divBdr>
              <w:divsChild>
                <w:div w:id="1698239602">
                  <w:marLeft w:val="0"/>
                  <w:marRight w:val="0"/>
                  <w:marTop w:val="0"/>
                  <w:marBottom w:val="0"/>
                  <w:divBdr>
                    <w:top w:val="single" w:sz="2" w:space="0" w:color="E3E3E3"/>
                    <w:left w:val="single" w:sz="2" w:space="0" w:color="E3E3E3"/>
                    <w:bottom w:val="single" w:sz="2" w:space="0" w:color="E3E3E3"/>
                    <w:right w:val="single" w:sz="2" w:space="0" w:color="E3E3E3"/>
                  </w:divBdr>
                  <w:divsChild>
                    <w:div w:id="781845470">
                      <w:marLeft w:val="0"/>
                      <w:marRight w:val="0"/>
                      <w:marTop w:val="0"/>
                      <w:marBottom w:val="0"/>
                      <w:divBdr>
                        <w:top w:val="single" w:sz="2" w:space="0" w:color="E3E3E3"/>
                        <w:left w:val="single" w:sz="2" w:space="0" w:color="E3E3E3"/>
                        <w:bottom w:val="single" w:sz="2" w:space="0" w:color="E3E3E3"/>
                        <w:right w:val="single" w:sz="2" w:space="0" w:color="E3E3E3"/>
                      </w:divBdr>
                      <w:divsChild>
                        <w:div w:id="776363239">
                          <w:marLeft w:val="0"/>
                          <w:marRight w:val="0"/>
                          <w:marTop w:val="0"/>
                          <w:marBottom w:val="0"/>
                          <w:divBdr>
                            <w:top w:val="single" w:sz="2" w:space="0" w:color="E3E3E3"/>
                            <w:left w:val="single" w:sz="2" w:space="0" w:color="E3E3E3"/>
                            <w:bottom w:val="single" w:sz="2" w:space="0" w:color="E3E3E3"/>
                            <w:right w:val="single" w:sz="2" w:space="0" w:color="E3E3E3"/>
                          </w:divBdr>
                          <w:divsChild>
                            <w:div w:id="5788165">
                              <w:marLeft w:val="0"/>
                              <w:marRight w:val="0"/>
                              <w:marTop w:val="0"/>
                              <w:marBottom w:val="0"/>
                              <w:divBdr>
                                <w:top w:val="single" w:sz="2" w:space="0" w:color="E3E3E3"/>
                                <w:left w:val="single" w:sz="2" w:space="0" w:color="E3E3E3"/>
                                <w:bottom w:val="single" w:sz="2" w:space="0" w:color="E3E3E3"/>
                                <w:right w:val="single" w:sz="2" w:space="0" w:color="E3E3E3"/>
                              </w:divBdr>
                              <w:divsChild>
                                <w:div w:id="1198784875">
                                  <w:marLeft w:val="0"/>
                                  <w:marRight w:val="0"/>
                                  <w:marTop w:val="100"/>
                                  <w:marBottom w:val="100"/>
                                  <w:divBdr>
                                    <w:top w:val="single" w:sz="2" w:space="0" w:color="E3E3E3"/>
                                    <w:left w:val="single" w:sz="2" w:space="0" w:color="E3E3E3"/>
                                    <w:bottom w:val="single" w:sz="2" w:space="0" w:color="E3E3E3"/>
                                    <w:right w:val="single" w:sz="2" w:space="0" w:color="E3E3E3"/>
                                  </w:divBdr>
                                  <w:divsChild>
                                    <w:div w:id="1973361624">
                                      <w:marLeft w:val="0"/>
                                      <w:marRight w:val="0"/>
                                      <w:marTop w:val="0"/>
                                      <w:marBottom w:val="0"/>
                                      <w:divBdr>
                                        <w:top w:val="single" w:sz="2" w:space="0" w:color="E3E3E3"/>
                                        <w:left w:val="single" w:sz="2" w:space="0" w:color="E3E3E3"/>
                                        <w:bottom w:val="single" w:sz="2" w:space="0" w:color="E3E3E3"/>
                                        <w:right w:val="single" w:sz="2" w:space="0" w:color="E3E3E3"/>
                                      </w:divBdr>
                                      <w:divsChild>
                                        <w:div w:id="172693672">
                                          <w:marLeft w:val="0"/>
                                          <w:marRight w:val="0"/>
                                          <w:marTop w:val="0"/>
                                          <w:marBottom w:val="0"/>
                                          <w:divBdr>
                                            <w:top w:val="single" w:sz="2" w:space="0" w:color="E3E3E3"/>
                                            <w:left w:val="single" w:sz="2" w:space="0" w:color="E3E3E3"/>
                                            <w:bottom w:val="single" w:sz="2" w:space="0" w:color="E3E3E3"/>
                                            <w:right w:val="single" w:sz="2" w:space="0" w:color="E3E3E3"/>
                                          </w:divBdr>
                                          <w:divsChild>
                                            <w:div w:id="809135952">
                                              <w:marLeft w:val="0"/>
                                              <w:marRight w:val="0"/>
                                              <w:marTop w:val="0"/>
                                              <w:marBottom w:val="0"/>
                                              <w:divBdr>
                                                <w:top w:val="single" w:sz="2" w:space="0" w:color="E3E3E3"/>
                                                <w:left w:val="single" w:sz="2" w:space="0" w:color="E3E3E3"/>
                                                <w:bottom w:val="single" w:sz="2" w:space="0" w:color="E3E3E3"/>
                                                <w:right w:val="single" w:sz="2" w:space="0" w:color="E3E3E3"/>
                                              </w:divBdr>
                                              <w:divsChild>
                                                <w:div w:id="1204710402">
                                                  <w:marLeft w:val="0"/>
                                                  <w:marRight w:val="0"/>
                                                  <w:marTop w:val="0"/>
                                                  <w:marBottom w:val="0"/>
                                                  <w:divBdr>
                                                    <w:top w:val="single" w:sz="2" w:space="0" w:color="E3E3E3"/>
                                                    <w:left w:val="single" w:sz="2" w:space="0" w:color="E3E3E3"/>
                                                    <w:bottom w:val="single" w:sz="2" w:space="0" w:color="E3E3E3"/>
                                                    <w:right w:val="single" w:sz="2" w:space="0" w:color="E3E3E3"/>
                                                  </w:divBdr>
                                                  <w:divsChild>
                                                    <w:div w:id="272907370">
                                                      <w:marLeft w:val="0"/>
                                                      <w:marRight w:val="0"/>
                                                      <w:marTop w:val="0"/>
                                                      <w:marBottom w:val="0"/>
                                                      <w:divBdr>
                                                        <w:top w:val="single" w:sz="2" w:space="0" w:color="E3E3E3"/>
                                                        <w:left w:val="single" w:sz="2" w:space="0" w:color="E3E3E3"/>
                                                        <w:bottom w:val="single" w:sz="2" w:space="0" w:color="E3E3E3"/>
                                                        <w:right w:val="single" w:sz="2" w:space="0" w:color="E3E3E3"/>
                                                      </w:divBdr>
                                                      <w:divsChild>
                                                        <w:div w:id="1013267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17909744">
          <w:marLeft w:val="0"/>
          <w:marRight w:val="0"/>
          <w:marTop w:val="0"/>
          <w:marBottom w:val="0"/>
          <w:divBdr>
            <w:top w:val="none" w:sz="0" w:space="0" w:color="auto"/>
            <w:left w:val="none" w:sz="0" w:space="0" w:color="auto"/>
            <w:bottom w:val="none" w:sz="0" w:space="0" w:color="auto"/>
            <w:right w:val="none" w:sz="0" w:space="0" w:color="auto"/>
          </w:divBdr>
        </w:div>
      </w:divsChild>
    </w:div>
    <w:div w:id="261882780">
      <w:bodyDiv w:val="1"/>
      <w:marLeft w:val="0"/>
      <w:marRight w:val="0"/>
      <w:marTop w:val="0"/>
      <w:marBottom w:val="0"/>
      <w:divBdr>
        <w:top w:val="none" w:sz="0" w:space="0" w:color="auto"/>
        <w:left w:val="none" w:sz="0" w:space="0" w:color="auto"/>
        <w:bottom w:val="none" w:sz="0" w:space="0" w:color="auto"/>
        <w:right w:val="none" w:sz="0" w:space="0" w:color="auto"/>
      </w:divBdr>
    </w:div>
    <w:div w:id="710806921">
      <w:bodyDiv w:val="1"/>
      <w:marLeft w:val="0"/>
      <w:marRight w:val="0"/>
      <w:marTop w:val="0"/>
      <w:marBottom w:val="0"/>
      <w:divBdr>
        <w:top w:val="none" w:sz="0" w:space="0" w:color="auto"/>
        <w:left w:val="none" w:sz="0" w:space="0" w:color="auto"/>
        <w:bottom w:val="none" w:sz="0" w:space="0" w:color="auto"/>
        <w:right w:val="none" w:sz="0" w:space="0" w:color="auto"/>
      </w:divBdr>
    </w:div>
    <w:div w:id="825048603">
      <w:bodyDiv w:val="1"/>
      <w:marLeft w:val="0"/>
      <w:marRight w:val="0"/>
      <w:marTop w:val="0"/>
      <w:marBottom w:val="0"/>
      <w:divBdr>
        <w:top w:val="none" w:sz="0" w:space="0" w:color="auto"/>
        <w:left w:val="none" w:sz="0" w:space="0" w:color="auto"/>
        <w:bottom w:val="none" w:sz="0" w:space="0" w:color="auto"/>
        <w:right w:val="none" w:sz="0" w:space="0" w:color="auto"/>
      </w:divBdr>
    </w:div>
    <w:div w:id="847014297">
      <w:bodyDiv w:val="1"/>
      <w:marLeft w:val="0"/>
      <w:marRight w:val="0"/>
      <w:marTop w:val="0"/>
      <w:marBottom w:val="0"/>
      <w:divBdr>
        <w:top w:val="none" w:sz="0" w:space="0" w:color="auto"/>
        <w:left w:val="none" w:sz="0" w:space="0" w:color="auto"/>
        <w:bottom w:val="none" w:sz="0" w:space="0" w:color="auto"/>
        <w:right w:val="none" w:sz="0" w:space="0" w:color="auto"/>
      </w:divBdr>
      <w:divsChild>
        <w:div w:id="654534861">
          <w:marLeft w:val="0"/>
          <w:marRight w:val="0"/>
          <w:marTop w:val="0"/>
          <w:marBottom w:val="0"/>
          <w:divBdr>
            <w:top w:val="none" w:sz="0" w:space="0" w:color="auto"/>
            <w:left w:val="none" w:sz="0" w:space="0" w:color="auto"/>
            <w:bottom w:val="none" w:sz="0" w:space="0" w:color="auto"/>
            <w:right w:val="none" w:sz="0" w:space="0" w:color="auto"/>
          </w:divBdr>
        </w:div>
        <w:div w:id="371079430">
          <w:marLeft w:val="0"/>
          <w:marRight w:val="0"/>
          <w:marTop w:val="0"/>
          <w:marBottom w:val="0"/>
          <w:divBdr>
            <w:top w:val="none" w:sz="0" w:space="0" w:color="auto"/>
            <w:left w:val="none" w:sz="0" w:space="0" w:color="auto"/>
            <w:bottom w:val="none" w:sz="0" w:space="0" w:color="auto"/>
            <w:right w:val="none" w:sz="0" w:space="0" w:color="auto"/>
          </w:divBdr>
        </w:div>
      </w:divsChild>
    </w:div>
    <w:div w:id="992220905">
      <w:bodyDiv w:val="1"/>
      <w:marLeft w:val="0"/>
      <w:marRight w:val="0"/>
      <w:marTop w:val="0"/>
      <w:marBottom w:val="0"/>
      <w:divBdr>
        <w:top w:val="none" w:sz="0" w:space="0" w:color="auto"/>
        <w:left w:val="none" w:sz="0" w:space="0" w:color="auto"/>
        <w:bottom w:val="none" w:sz="0" w:space="0" w:color="auto"/>
        <w:right w:val="none" w:sz="0" w:space="0" w:color="auto"/>
      </w:divBdr>
    </w:div>
    <w:div w:id="1297833508">
      <w:bodyDiv w:val="1"/>
      <w:marLeft w:val="0"/>
      <w:marRight w:val="0"/>
      <w:marTop w:val="0"/>
      <w:marBottom w:val="0"/>
      <w:divBdr>
        <w:top w:val="none" w:sz="0" w:space="0" w:color="auto"/>
        <w:left w:val="none" w:sz="0" w:space="0" w:color="auto"/>
        <w:bottom w:val="none" w:sz="0" w:space="0" w:color="auto"/>
        <w:right w:val="none" w:sz="0" w:space="0" w:color="auto"/>
      </w:divBdr>
    </w:div>
    <w:div w:id="1854145609">
      <w:bodyDiv w:val="1"/>
      <w:marLeft w:val="0"/>
      <w:marRight w:val="0"/>
      <w:marTop w:val="0"/>
      <w:marBottom w:val="0"/>
      <w:divBdr>
        <w:top w:val="none" w:sz="0" w:space="0" w:color="auto"/>
        <w:left w:val="none" w:sz="0" w:space="0" w:color="auto"/>
        <w:bottom w:val="none" w:sz="0" w:space="0" w:color="auto"/>
        <w:right w:val="none" w:sz="0" w:space="0" w:color="auto"/>
      </w:divBdr>
      <w:divsChild>
        <w:div w:id="452136576">
          <w:marLeft w:val="0"/>
          <w:marRight w:val="0"/>
          <w:marTop w:val="0"/>
          <w:marBottom w:val="0"/>
          <w:divBdr>
            <w:top w:val="single" w:sz="2" w:space="0" w:color="E3E3E3"/>
            <w:left w:val="single" w:sz="2" w:space="0" w:color="E3E3E3"/>
            <w:bottom w:val="single" w:sz="2" w:space="0" w:color="E3E3E3"/>
            <w:right w:val="single" w:sz="2" w:space="0" w:color="E3E3E3"/>
          </w:divBdr>
          <w:divsChild>
            <w:div w:id="75791936">
              <w:marLeft w:val="0"/>
              <w:marRight w:val="0"/>
              <w:marTop w:val="0"/>
              <w:marBottom w:val="0"/>
              <w:divBdr>
                <w:top w:val="single" w:sz="2" w:space="0" w:color="E3E3E3"/>
                <w:left w:val="single" w:sz="2" w:space="0" w:color="E3E3E3"/>
                <w:bottom w:val="single" w:sz="2" w:space="0" w:color="E3E3E3"/>
                <w:right w:val="single" w:sz="2" w:space="0" w:color="E3E3E3"/>
              </w:divBdr>
              <w:divsChild>
                <w:div w:id="1064375417">
                  <w:marLeft w:val="0"/>
                  <w:marRight w:val="0"/>
                  <w:marTop w:val="0"/>
                  <w:marBottom w:val="0"/>
                  <w:divBdr>
                    <w:top w:val="single" w:sz="2" w:space="0" w:color="E3E3E3"/>
                    <w:left w:val="single" w:sz="2" w:space="0" w:color="E3E3E3"/>
                    <w:bottom w:val="single" w:sz="2" w:space="0" w:color="E3E3E3"/>
                    <w:right w:val="single" w:sz="2" w:space="0" w:color="E3E3E3"/>
                  </w:divBdr>
                  <w:divsChild>
                    <w:div w:id="1134640631">
                      <w:marLeft w:val="0"/>
                      <w:marRight w:val="0"/>
                      <w:marTop w:val="0"/>
                      <w:marBottom w:val="0"/>
                      <w:divBdr>
                        <w:top w:val="single" w:sz="2" w:space="0" w:color="E3E3E3"/>
                        <w:left w:val="single" w:sz="2" w:space="0" w:color="E3E3E3"/>
                        <w:bottom w:val="single" w:sz="2" w:space="0" w:color="E3E3E3"/>
                        <w:right w:val="single" w:sz="2" w:space="0" w:color="E3E3E3"/>
                      </w:divBdr>
                      <w:divsChild>
                        <w:div w:id="441843734">
                          <w:marLeft w:val="0"/>
                          <w:marRight w:val="0"/>
                          <w:marTop w:val="0"/>
                          <w:marBottom w:val="0"/>
                          <w:divBdr>
                            <w:top w:val="single" w:sz="2" w:space="0" w:color="E3E3E3"/>
                            <w:left w:val="single" w:sz="2" w:space="0" w:color="E3E3E3"/>
                            <w:bottom w:val="single" w:sz="2" w:space="0" w:color="E3E3E3"/>
                            <w:right w:val="single" w:sz="2" w:space="0" w:color="E3E3E3"/>
                          </w:divBdr>
                          <w:divsChild>
                            <w:div w:id="354115591">
                              <w:marLeft w:val="0"/>
                              <w:marRight w:val="0"/>
                              <w:marTop w:val="0"/>
                              <w:marBottom w:val="0"/>
                              <w:divBdr>
                                <w:top w:val="single" w:sz="2" w:space="0" w:color="E3E3E3"/>
                                <w:left w:val="single" w:sz="2" w:space="0" w:color="E3E3E3"/>
                                <w:bottom w:val="single" w:sz="2" w:space="0" w:color="E3E3E3"/>
                                <w:right w:val="single" w:sz="2" w:space="0" w:color="E3E3E3"/>
                              </w:divBdr>
                              <w:divsChild>
                                <w:div w:id="875317464">
                                  <w:marLeft w:val="0"/>
                                  <w:marRight w:val="0"/>
                                  <w:marTop w:val="100"/>
                                  <w:marBottom w:val="100"/>
                                  <w:divBdr>
                                    <w:top w:val="single" w:sz="2" w:space="0" w:color="E3E3E3"/>
                                    <w:left w:val="single" w:sz="2" w:space="0" w:color="E3E3E3"/>
                                    <w:bottom w:val="single" w:sz="2" w:space="0" w:color="E3E3E3"/>
                                    <w:right w:val="single" w:sz="2" w:space="0" w:color="E3E3E3"/>
                                  </w:divBdr>
                                  <w:divsChild>
                                    <w:div w:id="2138984195">
                                      <w:marLeft w:val="0"/>
                                      <w:marRight w:val="0"/>
                                      <w:marTop w:val="0"/>
                                      <w:marBottom w:val="0"/>
                                      <w:divBdr>
                                        <w:top w:val="single" w:sz="2" w:space="0" w:color="E3E3E3"/>
                                        <w:left w:val="single" w:sz="2" w:space="0" w:color="E3E3E3"/>
                                        <w:bottom w:val="single" w:sz="2" w:space="0" w:color="E3E3E3"/>
                                        <w:right w:val="single" w:sz="2" w:space="0" w:color="E3E3E3"/>
                                      </w:divBdr>
                                      <w:divsChild>
                                        <w:div w:id="1210923475">
                                          <w:marLeft w:val="0"/>
                                          <w:marRight w:val="0"/>
                                          <w:marTop w:val="0"/>
                                          <w:marBottom w:val="0"/>
                                          <w:divBdr>
                                            <w:top w:val="single" w:sz="2" w:space="0" w:color="E3E3E3"/>
                                            <w:left w:val="single" w:sz="2" w:space="0" w:color="E3E3E3"/>
                                            <w:bottom w:val="single" w:sz="2" w:space="0" w:color="E3E3E3"/>
                                            <w:right w:val="single" w:sz="2" w:space="0" w:color="E3E3E3"/>
                                          </w:divBdr>
                                          <w:divsChild>
                                            <w:div w:id="587270783">
                                              <w:marLeft w:val="0"/>
                                              <w:marRight w:val="0"/>
                                              <w:marTop w:val="0"/>
                                              <w:marBottom w:val="0"/>
                                              <w:divBdr>
                                                <w:top w:val="single" w:sz="2" w:space="0" w:color="E3E3E3"/>
                                                <w:left w:val="single" w:sz="2" w:space="0" w:color="E3E3E3"/>
                                                <w:bottom w:val="single" w:sz="2" w:space="0" w:color="E3E3E3"/>
                                                <w:right w:val="single" w:sz="2" w:space="0" w:color="E3E3E3"/>
                                              </w:divBdr>
                                              <w:divsChild>
                                                <w:div w:id="2046708949">
                                                  <w:marLeft w:val="0"/>
                                                  <w:marRight w:val="0"/>
                                                  <w:marTop w:val="0"/>
                                                  <w:marBottom w:val="0"/>
                                                  <w:divBdr>
                                                    <w:top w:val="single" w:sz="2" w:space="0" w:color="E3E3E3"/>
                                                    <w:left w:val="single" w:sz="2" w:space="0" w:color="E3E3E3"/>
                                                    <w:bottom w:val="single" w:sz="2" w:space="0" w:color="E3E3E3"/>
                                                    <w:right w:val="single" w:sz="2" w:space="0" w:color="E3E3E3"/>
                                                  </w:divBdr>
                                                  <w:divsChild>
                                                    <w:div w:id="499082500">
                                                      <w:marLeft w:val="0"/>
                                                      <w:marRight w:val="0"/>
                                                      <w:marTop w:val="0"/>
                                                      <w:marBottom w:val="0"/>
                                                      <w:divBdr>
                                                        <w:top w:val="single" w:sz="2" w:space="0" w:color="E3E3E3"/>
                                                        <w:left w:val="single" w:sz="2" w:space="0" w:color="E3E3E3"/>
                                                        <w:bottom w:val="single" w:sz="2" w:space="0" w:color="E3E3E3"/>
                                                        <w:right w:val="single" w:sz="2" w:space="0" w:color="E3E3E3"/>
                                                      </w:divBdr>
                                                      <w:divsChild>
                                                        <w:div w:id="14058373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71118050">
          <w:marLeft w:val="0"/>
          <w:marRight w:val="0"/>
          <w:marTop w:val="0"/>
          <w:marBottom w:val="0"/>
          <w:divBdr>
            <w:top w:val="none" w:sz="0" w:space="0" w:color="auto"/>
            <w:left w:val="none" w:sz="0" w:space="0" w:color="auto"/>
            <w:bottom w:val="none" w:sz="0" w:space="0" w:color="auto"/>
            <w:right w:val="none" w:sz="0" w:space="0" w:color="auto"/>
          </w:divBdr>
        </w:div>
      </w:divsChild>
    </w:div>
    <w:div w:id="1884291524">
      <w:bodyDiv w:val="1"/>
      <w:marLeft w:val="0"/>
      <w:marRight w:val="0"/>
      <w:marTop w:val="0"/>
      <w:marBottom w:val="0"/>
      <w:divBdr>
        <w:top w:val="none" w:sz="0" w:space="0" w:color="auto"/>
        <w:left w:val="none" w:sz="0" w:space="0" w:color="auto"/>
        <w:bottom w:val="none" w:sz="0" w:space="0" w:color="auto"/>
        <w:right w:val="none" w:sz="0" w:space="0" w:color="auto"/>
      </w:divBdr>
    </w:div>
    <w:div w:id="1892494598">
      <w:bodyDiv w:val="1"/>
      <w:marLeft w:val="0"/>
      <w:marRight w:val="0"/>
      <w:marTop w:val="0"/>
      <w:marBottom w:val="0"/>
      <w:divBdr>
        <w:top w:val="none" w:sz="0" w:space="0" w:color="auto"/>
        <w:left w:val="none" w:sz="0" w:space="0" w:color="auto"/>
        <w:bottom w:val="none" w:sz="0" w:space="0" w:color="auto"/>
        <w:right w:val="none" w:sz="0" w:space="0" w:color="auto"/>
      </w:divBdr>
      <w:divsChild>
        <w:div w:id="1894926791">
          <w:marLeft w:val="0"/>
          <w:marRight w:val="0"/>
          <w:marTop w:val="0"/>
          <w:marBottom w:val="0"/>
          <w:divBdr>
            <w:top w:val="single" w:sz="2" w:space="0" w:color="E3E3E3"/>
            <w:left w:val="single" w:sz="2" w:space="0" w:color="E3E3E3"/>
            <w:bottom w:val="single" w:sz="2" w:space="0" w:color="E3E3E3"/>
            <w:right w:val="single" w:sz="2" w:space="0" w:color="E3E3E3"/>
          </w:divBdr>
          <w:divsChild>
            <w:div w:id="5403459">
              <w:marLeft w:val="0"/>
              <w:marRight w:val="0"/>
              <w:marTop w:val="0"/>
              <w:marBottom w:val="0"/>
              <w:divBdr>
                <w:top w:val="single" w:sz="2" w:space="0" w:color="E3E3E3"/>
                <w:left w:val="single" w:sz="2" w:space="0" w:color="E3E3E3"/>
                <w:bottom w:val="single" w:sz="2" w:space="0" w:color="E3E3E3"/>
                <w:right w:val="single" w:sz="2" w:space="0" w:color="E3E3E3"/>
              </w:divBdr>
              <w:divsChild>
                <w:div w:id="159005687">
                  <w:marLeft w:val="0"/>
                  <w:marRight w:val="0"/>
                  <w:marTop w:val="0"/>
                  <w:marBottom w:val="0"/>
                  <w:divBdr>
                    <w:top w:val="single" w:sz="2" w:space="0" w:color="E3E3E3"/>
                    <w:left w:val="single" w:sz="2" w:space="0" w:color="E3E3E3"/>
                    <w:bottom w:val="single" w:sz="2" w:space="0" w:color="E3E3E3"/>
                    <w:right w:val="single" w:sz="2" w:space="0" w:color="E3E3E3"/>
                  </w:divBdr>
                  <w:divsChild>
                    <w:div w:id="1784420357">
                      <w:marLeft w:val="0"/>
                      <w:marRight w:val="0"/>
                      <w:marTop w:val="0"/>
                      <w:marBottom w:val="0"/>
                      <w:divBdr>
                        <w:top w:val="single" w:sz="2" w:space="0" w:color="E3E3E3"/>
                        <w:left w:val="single" w:sz="2" w:space="0" w:color="E3E3E3"/>
                        <w:bottom w:val="single" w:sz="2" w:space="0" w:color="E3E3E3"/>
                        <w:right w:val="single" w:sz="2" w:space="0" w:color="E3E3E3"/>
                      </w:divBdr>
                      <w:divsChild>
                        <w:div w:id="141655749">
                          <w:marLeft w:val="0"/>
                          <w:marRight w:val="0"/>
                          <w:marTop w:val="0"/>
                          <w:marBottom w:val="0"/>
                          <w:divBdr>
                            <w:top w:val="single" w:sz="2" w:space="0" w:color="E3E3E3"/>
                            <w:left w:val="single" w:sz="2" w:space="0" w:color="E3E3E3"/>
                            <w:bottom w:val="single" w:sz="2" w:space="0" w:color="E3E3E3"/>
                            <w:right w:val="single" w:sz="2" w:space="0" w:color="E3E3E3"/>
                          </w:divBdr>
                          <w:divsChild>
                            <w:div w:id="962539206">
                              <w:marLeft w:val="0"/>
                              <w:marRight w:val="0"/>
                              <w:marTop w:val="0"/>
                              <w:marBottom w:val="0"/>
                              <w:divBdr>
                                <w:top w:val="single" w:sz="2" w:space="0" w:color="E3E3E3"/>
                                <w:left w:val="single" w:sz="2" w:space="0" w:color="E3E3E3"/>
                                <w:bottom w:val="single" w:sz="2" w:space="0" w:color="E3E3E3"/>
                                <w:right w:val="single" w:sz="2" w:space="0" w:color="E3E3E3"/>
                              </w:divBdr>
                              <w:divsChild>
                                <w:div w:id="757140299">
                                  <w:marLeft w:val="0"/>
                                  <w:marRight w:val="0"/>
                                  <w:marTop w:val="100"/>
                                  <w:marBottom w:val="100"/>
                                  <w:divBdr>
                                    <w:top w:val="single" w:sz="2" w:space="0" w:color="E3E3E3"/>
                                    <w:left w:val="single" w:sz="2" w:space="0" w:color="E3E3E3"/>
                                    <w:bottom w:val="single" w:sz="2" w:space="0" w:color="E3E3E3"/>
                                    <w:right w:val="single" w:sz="2" w:space="0" w:color="E3E3E3"/>
                                  </w:divBdr>
                                  <w:divsChild>
                                    <w:div w:id="2016837278">
                                      <w:marLeft w:val="0"/>
                                      <w:marRight w:val="0"/>
                                      <w:marTop w:val="0"/>
                                      <w:marBottom w:val="0"/>
                                      <w:divBdr>
                                        <w:top w:val="single" w:sz="2" w:space="0" w:color="E3E3E3"/>
                                        <w:left w:val="single" w:sz="2" w:space="0" w:color="E3E3E3"/>
                                        <w:bottom w:val="single" w:sz="2" w:space="0" w:color="E3E3E3"/>
                                        <w:right w:val="single" w:sz="2" w:space="0" w:color="E3E3E3"/>
                                      </w:divBdr>
                                      <w:divsChild>
                                        <w:div w:id="678653055">
                                          <w:marLeft w:val="0"/>
                                          <w:marRight w:val="0"/>
                                          <w:marTop w:val="0"/>
                                          <w:marBottom w:val="0"/>
                                          <w:divBdr>
                                            <w:top w:val="single" w:sz="2" w:space="0" w:color="E3E3E3"/>
                                            <w:left w:val="single" w:sz="2" w:space="0" w:color="E3E3E3"/>
                                            <w:bottom w:val="single" w:sz="2" w:space="0" w:color="E3E3E3"/>
                                            <w:right w:val="single" w:sz="2" w:space="0" w:color="E3E3E3"/>
                                          </w:divBdr>
                                          <w:divsChild>
                                            <w:div w:id="1321346135">
                                              <w:marLeft w:val="0"/>
                                              <w:marRight w:val="0"/>
                                              <w:marTop w:val="0"/>
                                              <w:marBottom w:val="0"/>
                                              <w:divBdr>
                                                <w:top w:val="single" w:sz="2" w:space="0" w:color="E3E3E3"/>
                                                <w:left w:val="single" w:sz="2" w:space="0" w:color="E3E3E3"/>
                                                <w:bottom w:val="single" w:sz="2" w:space="0" w:color="E3E3E3"/>
                                                <w:right w:val="single" w:sz="2" w:space="0" w:color="E3E3E3"/>
                                              </w:divBdr>
                                              <w:divsChild>
                                                <w:div w:id="573778599">
                                                  <w:marLeft w:val="0"/>
                                                  <w:marRight w:val="0"/>
                                                  <w:marTop w:val="0"/>
                                                  <w:marBottom w:val="0"/>
                                                  <w:divBdr>
                                                    <w:top w:val="single" w:sz="2" w:space="0" w:color="E3E3E3"/>
                                                    <w:left w:val="single" w:sz="2" w:space="0" w:color="E3E3E3"/>
                                                    <w:bottom w:val="single" w:sz="2" w:space="0" w:color="E3E3E3"/>
                                                    <w:right w:val="single" w:sz="2" w:space="0" w:color="E3E3E3"/>
                                                  </w:divBdr>
                                                  <w:divsChild>
                                                    <w:div w:id="1852789907">
                                                      <w:marLeft w:val="0"/>
                                                      <w:marRight w:val="0"/>
                                                      <w:marTop w:val="0"/>
                                                      <w:marBottom w:val="0"/>
                                                      <w:divBdr>
                                                        <w:top w:val="single" w:sz="2" w:space="0" w:color="E3E3E3"/>
                                                        <w:left w:val="single" w:sz="2" w:space="0" w:color="E3E3E3"/>
                                                        <w:bottom w:val="single" w:sz="2" w:space="0" w:color="E3E3E3"/>
                                                        <w:right w:val="single" w:sz="2" w:space="0" w:color="E3E3E3"/>
                                                      </w:divBdr>
                                                      <w:divsChild>
                                                        <w:div w:id="6063549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27239026">
          <w:marLeft w:val="0"/>
          <w:marRight w:val="0"/>
          <w:marTop w:val="0"/>
          <w:marBottom w:val="0"/>
          <w:divBdr>
            <w:top w:val="none" w:sz="0" w:space="0" w:color="auto"/>
            <w:left w:val="none" w:sz="0" w:space="0" w:color="auto"/>
            <w:bottom w:val="none" w:sz="0" w:space="0" w:color="auto"/>
            <w:right w:val="none" w:sz="0" w:space="0" w:color="auto"/>
          </w:divBdr>
        </w:div>
      </w:divsChild>
    </w:div>
    <w:div w:id="2048602242">
      <w:bodyDiv w:val="1"/>
      <w:marLeft w:val="0"/>
      <w:marRight w:val="0"/>
      <w:marTop w:val="0"/>
      <w:marBottom w:val="0"/>
      <w:divBdr>
        <w:top w:val="none" w:sz="0" w:space="0" w:color="auto"/>
        <w:left w:val="none" w:sz="0" w:space="0" w:color="auto"/>
        <w:bottom w:val="none" w:sz="0" w:space="0" w:color="auto"/>
        <w:right w:val="none" w:sz="0" w:space="0" w:color="auto"/>
      </w:divBdr>
      <w:divsChild>
        <w:div w:id="12270269">
          <w:marLeft w:val="0"/>
          <w:marRight w:val="0"/>
          <w:marTop w:val="0"/>
          <w:marBottom w:val="0"/>
          <w:divBdr>
            <w:top w:val="single" w:sz="2" w:space="0" w:color="E3E3E3"/>
            <w:left w:val="single" w:sz="2" w:space="0" w:color="E3E3E3"/>
            <w:bottom w:val="single" w:sz="2" w:space="0" w:color="E3E3E3"/>
            <w:right w:val="single" w:sz="2" w:space="0" w:color="E3E3E3"/>
          </w:divBdr>
          <w:divsChild>
            <w:div w:id="1425226299">
              <w:marLeft w:val="0"/>
              <w:marRight w:val="0"/>
              <w:marTop w:val="100"/>
              <w:marBottom w:val="100"/>
              <w:divBdr>
                <w:top w:val="single" w:sz="2" w:space="0" w:color="E3E3E3"/>
                <w:left w:val="single" w:sz="2" w:space="0" w:color="E3E3E3"/>
                <w:bottom w:val="single" w:sz="2" w:space="0" w:color="E3E3E3"/>
                <w:right w:val="single" w:sz="2" w:space="0" w:color="E3E3E3"/>
              </w:divBdr>
              <w:divsChild>
                <w:div w:id="1821530290">
                  <w:marLeft w:val="0"/>
                  <w:marRight w:val="0"/>
                  <w:marTop w:val="0"/>
                  <w:marBottom w:val="0"/>
                  <w:divBdr>
                    <w:top w:val="single" w:sz="2" w:space="0" w:color="E3E3E3"/>
                    <w:left w:val="single" w:sz="2" w:space="0" w:color="E3E3E3"/>
                    <w:bottom w:val="single" w:sz="2" w:space="0" w:color="E3E3E3"/>
                    <w:right w:val="single" w:sz="2" w:space="0" w:color="E3E3E3"/>
                  </w:divBdr>
                  <w:divsChild>
                    <w:div w:id="1619291977">
                      <w:marLeft w:val="0"/>
                      <w:marRight w:val="0"/>
                      <w:marTop w:val="0"/>
                      <w:marBottom w:val="0"/>
                      <w:divBdr>
                        <w:top w:val="single" w:sz="2" w:space="0" w:color="E3E3E3"/>
                        <w:left w:val="single" w:sz="2" w:space="0" w:color="E3E3E3"/>
                        <w:bottom w:val="single" w:sz="2" w:space="0" w:color="E3E3E3"/>
                        <w:right w:val="single" w:sz="2" w:space="0" w:color="E3E3E3"/>
                      </w:divBdr>
                      <w:divsChild>
                        <w:div w:id="649292666">
                          <w:marLeft w:val="0"/>
                          <w:marRight w:val="0"/>
                          <w:marTop w:val="0"/>
                          <w:marBottom w:val="0"/>
                          <w:divBdr>
                            <w:top w:val="single" w:sz="2" w:space="0" w:color="E3E3E3"/>
                            <w:left w:val="single" w:sz="2" w:space="0" w:color="E3E3E3"/>
                            <w:bottom w:val="single" w:sz="2" w:space="0" w:color="E3E3E3"/>
                            <w:right w:val="single" w:sz="2" w:space="0" w:color="E3E3E3"/>
                          </w:divBdr>
                          <w:divsChild>
                            <w:div w:id="2105415713">
                              <w:marLeft w:val="0"/>
                              <w:marRight w:val="0"/>
                              <w:marTop w:val="0"/>
                              <w:marBottom w:val="0"/>
                              <w:divBdr>
                                <w:top w:val="single" w:sz="2" w:space="0" w:color="E3E3E3"/>
                                <w:left w:val="single" w:sz="2" w:space="0" w:color="E3E3E3"/>
                                <w:bottom w:val="single" w:sz="2" w:space="0" w:color="E3E3E3"/>
                                <w:right w:val="single" w:sz="2" w:space="0" w:color="E3E3E3"/>
                              </w:divBdr>
                              <w:divsChild>
                                <w:div w:id="2045056842">
                                  <w:marLeft w:val="0"/>
                                  <w:marRight w:val="0"/>
                                  <w:marTop w:val="0"/>
                                  <w:marBottom w:val="0"/>
                                  <w:divBdr>
                                    <w:top w:val="single" w:sz="2" w:space="0" w:color="E3E3E3"/>
                                    <w:left w:val="single" w:sz="2" w:space="0" w:color="E3E3E3"/>
                                    <w:bottom w:val="single" w:sz="2" w:space="0" w:color="E3E3E3"/>
                                    <w:right w:val="single" w:sz="2" w:space="0" w:color="E3E3E3"/>
                                  </w:divBdr>
                                  <w:divsChild>
                                    <w:div w:id="3025851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3eb33a0-f383-4069-9f53-0e79fd56955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4" ma:contentTypeDescription="Create a new document." ma:contentTypeScope="" ma:versionID="24befc64a39988d2e8b862310d4fd62b">
  <xsd:schema xmlns:xsd="http://www.w3.org/2001/XMLSchema" xmlns:xs="http://www.w3.org/2001/XMLSchema" xmlns:p="http://schemas.microsoft.com/office/2006/metadata/properties" xmlns:ns3="53eb33a0-f383-4069-9f53-0e79fd56955c" xmlns:ns4="18e00798-69c8-4d73-a841-5247a1895ee0" targetNamespace="http://schemas.microsoft.com/office/2006/metadata/properties" ma:root="true" ma:fieldsID="15163cf503ee1d203a0001632a4a5ad8" ns3:_="" ns4:_="">
    <xsd:import namespace="53eb33a0-f383-4069-9f53-0e79fd56955c"/>
    <xsd:import namespace="18e00798-69c8-4d73-a841-5247a1895ee0"/>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5B5BDE-6C62-4B4A-B4A3-130595643D2A}">
  <ds:schemaRefs>
    <ds:schemaRef ds:uri="http://purl.org/dc/elements/1.1/"/>
    <ds:schemaRef ds:uri="http://schemas.microsoft.com/office/infopath/2007/PartnerControls"/>
    <ds:schemaRef ds:uri="http://schemas.microsoft.com/office/2006/documentManagement/types"/>
    <ds:schemaRef ds:uri="http://purl.org/dc/terms/"/>
    <ds:schemaRef ds:uri="http://www.w3.org/XML/1998/namespace"/>
    <ds:schemaRef ds:uri="http://purl.org/dc/dcmitype/"/>
    <ds:schemaRef ds:uri="http://schemas.openxmlformats.org/package/2006/metadata/core-properties"/>
    <ds:schemaRef ds:uri="18e00798-69c8-4d73-a841-5247a1895ee0"/>
    <ds:schemaRef ds:uri="53eb33a0-f383-4069-9f53-0e79fd56955c"/>
    <ds:schemaRef ds:uri="http://schemas.microsoft.com/office/2006/metadata/properties"/>
  </ds:schemaRefs>
</ds:datastoreItem>
</file>

<file path=customXml/itemProps2.xml><?xml version="1.0" encoding="utf-8"?>
<ds:datastoreItem xmlns:ds="http://schemas.openxmlformats.org/officeDocument/2006/customXml" ds:itemID="{AAE355E1-0FA9-4993-B17A-B69A8E4DBE00}">
  <ds:schemaRefs>
    <ds:schemaRef ds:uri="http://schemas.microsoft.com/sharepoint/v3/contenttype/forms"/>
  </ds:schemaRefs>
</ds:datastoreItem>
</file>

<file path=customXml/itemProps3.xml><?xml version="1.0" encoding="utf-8"?>
<ds:datastoreItem xmlns:ds="http://schemas.openxmlformats.org/officeDocument/2006/customXml" ds:itemID="{EDD3B386-F2C6-4B62-A62D-E57D19E4D7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eb33a0-f383-4069-9f53-0e79fd56955c"/>
    <ds:schemaRef ds:uri="18e00798-69c8-4d73-a841-5247a1895e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3032</Words>
  <Characters>17285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Phillips (P148040)</dc:creator>
  <cp:keywords/>
  <dc:description/>
  <cp:lastModifiedBy>Ben Phillips (P148040)</cp:lastModifiedBy>
  <cp:revision>2</cp:revision>
  <dcterms:created xsi:type="dcterms:W3CDTF">2024-04-04T16:21:00Z</dcterms:created>
  <dcterms:modified xsi:type="dcterms:W3CDTF">2024-04-04T16:21:00Z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