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2494E" w14:textId="77777777" w:rsidR="008E34CD" w:rsidRDefault="00000000">
      <w:pPr>
        <w:jc w:val="center"/>
      </w:pPr>
      <w:r>
        <w:rPr>
          <w:b/>
          <w:sz w:val="40"/>
        </w:rPr>
        <w:t>Health, Wellbeing and Sustainable Development</w:t>
      </w:r>
    </w:p>
    <w:p w14:paraId="58231D43" w14:textId="77777777" w:rsidR="008E34CD" w:rsidRDefault="00000000">
      <w:pPr>
        <w:jc w:val="center"/>
      </w:pPr>
      <w:r>
        <w:rPr>
          <w:b/>
          <w:sz w:val="32"/>
        </w:rPr>
        <w:t>Component 2: Written Assignment (Report)</w:t>
      </w:r>
    </w:p>
    <w:p w14:paraId="56266AB5" w14:textId="77777777" w:rsidR="008E34CD" w:rsidRDefault="00000000">
      <w:pPr>
        <w:jc w:val="center"/>
      </w:pPr>
      <w:r>
        <w:rPr>
          <w:b/>
        </w:rPr>
        <w:br/>
        <w:t>A Critical Examination of SDG 3 (Good Health and Wellbeing) and SDG 10 (Reduced Inequalities): Global, National and Local Policy Responses</w:t>
      </w:r>
    </w:p>
    <w:p w14:paraId="1AD873A7" w14:textId="77777777" w:rsidR="008E34CD" w:rsidRDefault="008E34CD"/>
    <w:p w14:paraId="7CD99599" w14:textId="77777777" w:rsidR="008E34CD" w:rsidRDefault="008E34CD"/>
    <w:p w14:paraId="424CF6CF" w14:textId="77777777" w:rsidR="008E34CD" w:rsidRDefault="008E34CD"/>
    <w:tbl>
      <w:tblPr>
        <w:tblStyle w:val="TableGrid"/>
        <w:tblW w:w="0" w:type="auto"/>
        <w:tblLook w:val="04A0" w:firstRow="1" w:lastRow="0" w:firstColumn="1" w:lastColumn="0" w:noHBand="0" w:noVBand="1"/>
      </w:tblPr>
      <w:tblGrid>
        <w:gridCol w:w="4680"/>
        <w:gridCol w:w="4680"/>
      </w:tblGrid>
      <w:tr w:rsidR="008E34CD" w14:paraId="3FC8B688" w14:textId="77777777">
        <w:tc>
          <w:tcPr>
            <w:tcW w:w="4680" w:type="dxa"/>
          </w:tcPr>
          <w:p w14:paraId="1DA53027" w14:textId="77777777" w:rsidR="008E34CD" w:rsidRDefault="00000000">
            <w:pPr>
              <w:spacing w:line="276" w:lineRule="auto"/>
            </w:pPr>
            <w:r>
              <w:rPr>
                <w:b/>
              </w:rPr>
              <w:t>Programme</w:t>
            </w:r>
          </w:p>
        </w:tc>
        <w:tc>
          <w:tcPr>
            <w:tcW w:w="4680" w:type="dxa"/>
          </w:tcPr>
          <w:p w14:paraId="6535108C" w14:textId="77777777" w:rsidR="008E34CD" w:rsidRDefault="00000000">
            <w:pPr>
              <w:spacing w:line="276" w:lineRule="auto"/>
            </w:pPr>
            <w:r>
              <w:t>BSc (Hons) Health and Social Care</w:t>
            </w:r>
          </w:p>
        </w:tc>
      </w:tr>
      <w:tr w:rsidR="008E34CD" w14:paraId="0A3FDB5C" w14:textId="77777777">
        <w:tc>
          <w:tcPr>
            <w:tcW w:w="4680" w:type="dxa"/>
          </w:tcPr>
          <w:p w14:paraId="120F59EC" w14:textId="77777777" w:rsidR="008E34CD" w:rsidRDefault="00000000">
            <w:pPr>
              <w:spacing w:line="276" w:lineRule="auto"/>
            </w:pPr>
            <w:r>
              <w:rPr>
                <w:b/>
              </w:rPr>
              <w:t>Module</w:t>
            </w:r>
          </w:p>
        </w:tc>
        <w:tc>
          <w:tcPr>
            <w:tcW w:w="4680" w:type="dxa"/>
          </w:tcPr>
          <w:p w14:paraId="71F97664" w14:textId="77777777" w:rsidR="008E34CD" w:rsidRDefault="00000000">
            <w:pPr>
              <w:spacing w:line="276" w:lineRule="auto"/>
            </w:pPr>
            <w:r>
              <w:t>Health, Wellbeing and Sustainable Development</w:t>
            </w:r>
          </w:p>
        </w:tc>
      </w:tr>
      <w:tr w:rsidR="008E34CD" w14:paraId="6B130644" w14:textId="77777777">
        <w:tc>
          <w:tcPr>
            <w:tcW w:w="4680" w:type="dxa"/>
          </w:tcPr>
          <w:p w14:paraId="4ECF03CE" w14:textId="77777777" w:rsidR="008E34CD" w:rsidRDefault="00000000">
            <w:pPr>
              <w:spacing w:line="276" w:lineRule="auto"/>
            </w:pPr>
            <w:r>
              <w:rPr>
                <w:b/>
              </w:rPr>
              <w:t>Module code</w:t>
            </w:r>
          </w:p>
        </w:tc>
        <w:tc>
          <w:tcPr>
            <w:tcW w:w="4680" w:type="dxa"/>
          </w:tcPr>
          <w:p w14:paraId="76D1D631" w14:textId="77777777" w:rsidR="008E34CD" w:rsidRDefault="00000000">
            <w:pPr>
              <w:spacing w:line="276" w:lineRule="auto"/>
            </w:pPr>
            <w:r>
              <w:t>BMHP6030</w:t>
            </w:r>
          </w:p>
        </w:tc>
      </w:tr>
      <w:tr w:rsidR="008E34CD" w14:paraId="3F3FF0CD" w14:textId="77777777">
        <w:tc>
          <w:tcPr>
            <w:tcW w:w="4680" w:type="dxa"/>
          </w:tcPr>
          <w:p w14:paraId="53E45145" w14:textId="77777777" w:rsidR="008E34CD" w:rsidRDefault="00000000">
            <w:pPr>
              <w:spacing w:line="276" w:lineRule="auto"/>
            </w:pPr>
            <w:r>
              <w:rPr>
                <w:b/>
              </w:rPr>
              <w:t>Assignment</w:t>
            </w:r>
          </w:p>
        </w:tc>
        <w:tc>
          <w:tcPr>
            <w:tcW w:w="4680" w:type="dxa"/>
          </w:tcPr>
          <w:p w14:paraId="790E9390" w14:textId="77777777" w:rsidR="008E34CD" w:rsidRDefault="00000000">
            <w:pPr>
              <w:spacing w:line="276" w:lineRule="auto"/>
            </w:pPr>
            <w:r>
              <w:t>Component 2: Written Assignment (Report)</w:t>
            </w:r>
          </w:p>
        </w:tc>
      </w:tr>
      <w:tr w:rsidR="008E34CD" w14:paraId="3517782F" w14:textId="77777777">
        <w:tc>
          <w:tcPr>
            <w:tcW w:w="4680" w:type="dxa"/>
          </w:tcPr>
          <w:p w14:paraId="1305BB1F" w14:textId="77777777" w:rsidR="008E34CD" w:rsidRDefault="00000000">
            <w:pPr>
              <w:spacing w:line="276" w:lineRule="auto"/>
            </w:pPr>
            <w:r>
              <w:rPr>
                <w:b/>
              </w:rPr>
              <w:t>Student name</w:t>
            </w:r>
          </w:p>
        </w:tc>
        <w:tc>
          <w:tcPr>
            <w:tcW w:w="4680" w:type="dxa"/>
          </w:tcPr>
          <w:p w14:paraId="5DE85526" w14:textId="13E34ECD" w:rsidR="008E34CD" w:rsidRDefault="00000000">
            <w:pPr>
              <w:spacing w:line="276" w:lineRule="auto"/>
            </w:pPr>
            <w:r>
              <w:t>[</w:t>
            </w:r>
            <w:r w:rsidR="00AB59FC">
              <w:t>Liza Bedworth</w:t>
            </w:r>
            <w:r>
              <w:t>]</w:t>
            </w:r>
          </w:p>
        </w:tc>
      </w:tr>
      <w:tr w:rsidR="008E34CD" w14:paraId="706A820C" w14:textId="77777777">
        <w:tc>
          <w:tcPr>
            <w:tcW w:w="4680" w:type="dxa"/>
          </w:tcPr>
          <w:p w14:paraId="606A73B2" w14:textId="77777777" w:rsidR="008E34CD" w:rsidRDefault="00000000">
            <w:pPr>
              <w:spacing w:line="276" w:lineRule="auto"/>
            </w:pPr>
            <w:r>
              <w:rPr>
                <w:b/>
              </w:rPr>
              <w:t>Student number</w:t>
            </w:r>
          </w:p>
        </w:tc>
        <w:tc>
          <w:tcPr>
            <w:tcW w:w="4680" w:type="dxa"/>
          </w:tcPr>
          <w:p w14:paraId="6EE55E96" w14:textId="3CA3E647" w:rsidR="008E34CD" w:rsidRDefault="00000000">
            <w:pPr>
              <w:spacing w:line="276" w:lineRule="auto"/>
            </w:pPr>
            <w:r>
              <w:t>[</w:t>
            </w:r>
            <w:r w:rsidR="00AB59FC">
              <w:t>2238817</w:t>
            </w:r>
            <w:r>
              <w:t>]</w:t>
            </w:r>
          </w:p>
        </w:tc>
      </w:tr>
      <w:tr w:rsidR="008E34CD" w14:paraId="3826FFCC" w14:textId="77777777">
        <w:tc>
          <w:tcPr>
            <w:tcW w:w="4680" w:type="dxa"/>
          </w:tcPr>
          <w:p w14:paraId="410BF361" w14:textId="77777777" w:rsidR="008E34CD" w:rsidRDefault="00000000">
            <w:pPr>
              <w:spacing w:line="276" w:lineRule="auto"/>
            </w:pPr>
            <w:r>
              <w:rPr>
                <w:b/>
              </w:rPr>
              <w:t>Lecturers</w:t>
            </w:r>
          </w:p>
        </w:tc>
        <w:tc>
          <w:tcPr>
            <w:tcW w:w="4680" w:type="dxa"/>
          </w:tcPr>
          <w:p w14:paraId="0284B52C" w14:textId="77777777" w:rsidR="008E34CD" w:rsidRDefault="00000000">
            <w:pPr>
              <w:spacing w:line="276" w:lineRule="auto"/>
            </w:pPr>
            <w:r>
              <w:t>Parese Ahmed, Olufemi Oluranti and Zakiyyah Ahmed</w:t>
            </w:r>
          </w:p>
        </w:tc>
      </w:tr>
      <w:tr w:rsidR="008E34CD" w14:paraId="14002FF0" w14:textId="77777777">
        <w:tc>
          <w:tcPr>
            <w:tcW w:w="4680" w:type="dxa"/>
          </w:tcPr>
          <w:p w14:paraId="4B301266" w14:textId="77777777" w:rsidR="008E34CD" w:rsidRDefault="00000000">
            <w:pPr>
              <w:spacing w:line="276" w:lineRule="auto"/>
            </w:pPr>
            <w:r>
              <w:rPr>
                <w:b/>
              </w:rPr>
              <w:t>Main body word count</w:t>
            </w:r>
          </w:p>
        </w:tc>
        <w:tc>
          <w:tcPr>
            <w:tcW w:w="4680" w:type="dxa"/>
          </w:tcPr>
          <w:p w14:paraId="0E3EA302" w14:textId="77777777" w:rsidR="008E34CD" w:rsidRDefault="00000000">
            <w:pPr>
              <w:spacing w:line="276" w:lineRule="auto"/>
            </w:pPr>
            <w:r>
              <w:t>1889</w:t>
            </w:r>
          </w:p>
        </w:tc>
      </w:tr>
    </w:tbl>
    <w:p w14:paraId="663BC41B" w14:textId="77777777" w:rsidR="008E34CD" w:rsidRDefault="00000000">
      <w:pPr>
        <w:jc w:val="center"/>
      </w:pPr>
      <w:r>
        <w:rPr>
          <w:sz w:val="20"/>
        </w:rPr>
        <w:br/>
        <w:t>Submission deadline: Thursday 19 November 2026, 17:00</w:t>
      </w:r>
    </w:p>
    <w:p w14:paraId="1DDF294F" w14:textId="77777777" w:rsidR="008E34CD" w:rsidRDefault="00000000">
      <w:r>
        <w:br w:type="page"/>
      </w:r>
    </w:p>
    <w:p w14:paraId="15408BF3" w14:textId="77777777" w:rsidR="008E34CD" w:rsidRDefault="00000000">
      <w:pPr>
        <w:pStyle w:val="Heading1"/>
      </w:pPr>
      <w:r>
        <w:lastRenderedPageBreak/>
        <w:t>Contents</w:t>
      </w:r>
    </w:p>
    <w:p w14:paraId="6845B15B" w14:textId="77777777" w:rsidR="008E34CD" w:rsidRDefault="00000000">
      <w:pPr>
        <w:spacing w:line="276" w:lineRule="auto"/>
      </w:pPr>
      <w:r>
        <w:t>1. Introduction ........ 3</w:t>
      </w:r>
    </w:p>
    <w:p w14:paraId="54B1E638" w14:textId="77777777" w:rsidR="008E34CD" w:rsidRDefault="00000000">
      <w:pPr>
        <w:spacing w:line="276" w:lineRule="auto"/>
      </w:pPr>
      <w:r>
        <w:t>2. SDG 3 and SDG 10: global significance and interaction ........ 3</w:t>
      </w:r>
    </w:p>
    <w:p w14:paraId="47D9DD57" w14:textId="77777777" w:rsidR="008E34CD" w:rsidRDefault="00000000">
      <w:pPr>
        <w:spacing w:line="276" w:lineRule="auto"/>
      </w:pPr>
      <w:r>
        <w:t>3. Evaluation of national policy and initiatives ........ 5</w:t>
      </w:r>
    </w:p>
    <w:p w14:paraId="0C0D3B22" w14:textId="77777777" w:rsidR="008E34CD" w:rsidRDefault="00000000">
      <w:pPr>
        <w:spacing w:line="276" w:lineRule="auto"/>
      </w:pPr>
      <w:r>
        <w:t>4. Evaluation of local initiatives: Birmingham ........ 6</w:t>
      </w:r>
    </w:p>
    <w:p w14:paraId="72A249BC" w14:textId="77777777" w:rsidR="008E34CD" w:rsidRDefault="00000000">
      <w:pPr>
        <w:spacing w:line="276" w:lineRule="auto"/>
      </w:pPr>
      <w:r>
        <w:t>5. Recommendations ........ 7</w:t>
      </w:r>
    </w:p>
    <w:p w14:paraId="56F3AEF3" w14:textId="77777777" w:rsidR="008E34CD" w:rsidRDefault="00000000">
      <w:pPr>
        <w:spacing w:line="276" w:lineRule="auto"/>
      </w:pPr>
      <w:r>
        <w:t>6. Conclusion ........ 7</w:t>
      </w:r>
    </w:p>
    <w:p w14:paraId="5D8B91A4" w14:textId="77777777" w:rsidR="008E34CD" w:rsidRDefault="00000000">
      <w:pPr>
        <w:spacing w:line="276" w:lineRule="auto"/>
      </w:pPr>
      <w:r>
        <w:t>References ........ 8</w:t>
      </w:r>
    </w:p>
    <w:p w14:paraId="4E5F39F6" w14:textId="77777777" w:rsidR="008E34CD" w:rsidRDefault="00000000">
      <w:r>
        <w:br w:type="page"/>
      </w:r>
    </w:p>
    <w:p w14:paraId="363F7619" w14:textId="77777777" w:rsidR="008E34CD" w:rsidRDefault="00000000">
      <w:pPr>
        <w:pStyle w:val="Heading1"/>
      </w:pPr>
      <w:r>
        <w:lastRenderedPageBreak/>
        <w:t>1. Introduction</w:t>
      </w:r>
    </w:p>
    <w:p w14:paraId="3BA26DDB" w14:textId="77777777" w:rsidR="008E34CD" w:rsidRDefault="00000000">
      <w:pPr>
        <w:jc w:val="both"/>
      </w:pPr>
      <w:r>
        <w:t>Health, wellbeing and sustainable development are increasingly treated as interconnected rather than separate policy concerns. The United Nations Sustainable Development Goals (SDGs) provide a global framework for action, while national and local health systems translate these ambitions into policies and services. This report critically examines SDG 3, Good Health and Wellbeing, alongside SDG 10, Reduced Inequalities. These goals are closely linked because population health cannot improve sustainably when access to resources, healthy environments and healthcare remains unequal. The report analyses global progress, evaluates current initiatives in England and Birmingham, and uses secondary data to judge their effectiveness. Particular attention is given to NHS England's Core20PLUS5 approach, the Greener NHS programme, Birmingham's Joint Health and Wellbeing Strategy and the city's Clean Air Zone. The central argument is that progress is visible, but policy impact is constrained by persistent socioeconomic inequalities, uneven implementation and the difficulty of converting strategic commitments into measurable improvements in healthy life expectancy.</w:t>
      </w:r>
    </w:p>
    <w:p w14:paraId="615D3D0E" w14:textId="77777777" w:rsidR="008E34CD" w:rsidRDefault="00000000">
      <w:pPr>
        <w:pStyle w:val="Heading1"/>
      </w:pPr>
      <w:r>
        <w:t>2. SDG 3 and SDG 10: global significance and interaction</w:t>
      </w:r>
    </w:p>
    <w:p w14:paraId="50FC1B66" w14:textId="77777777" w:rsidR="008E34CD" w:rsidRDefault="00000000">
      <w:pPr>
        <w:jc w:val="both"/>
      </w:pPr>
      <w:r>
        <w:t>SDG 3 seeks to ensure healthy lives and promote wellbeing for all at all ages. Its targets include reducing maternal and child mortality, controlling communicable disease, reducing premature mortality from non-communicable diseases, promoting mental health, strengthening prevention and achieving universal health coverage (United Nations, 2026a). It is therefore broader than healthcare delivery alone. It requires prevention, public health, access to medicines, a skilled workforce and action on wider determinants. However, recent WHO evidence indicates that progress on health-related SDGs has slowed or regressed in several areas following COVID-19 and wider global crises (WHO, 2026). This demonstrates a key limitation of SDG 3: it sets a strong normative direction, but its achievement depends on economic, political and social systems outside the health sector.</w:t>
      </w:r>
    </w:p>
    <w:p w14:paraId="72B405AC" w14:textId="77777777" w:rsidR="008E34CD" w:rsidRDefault="00000000">
      <w:pPr>
        <w:jc w:val="both"/>
      </w:pPr>
      <w:r>
        <w:t>SDG 10 aims to reduce inequalities within and between countries by improving social, economic and political inclusion and reducing unequal outcomes (United Nations, 2026b). Its relationship with SDG 3 is direct. Income, education, employment, housing, ethnicity, disability and place influence exposure to risk and access to protective resources. Greer et al. (2022) argue that the SDGs can support intersectoral collaboration because health outcomes are produced across many policy areas, not only through healthcare. Similarly, Marmot et al. (2020) found that inequalities in the social determinants of health were closely associated with widening differences in health outcomes in England.</w:t>
      </w:r>
    </w:p>
    <w:p w14:paraId="7F4A8DB8" w14:textId="77777777" w:rsidR="008E34CD" w:rsidRDefault="00000000">
      <w:pPr>
        <w:jc w:val="both"/>
      </w:pPr>
      <w:r>
        <w:lastRenderedPageBreak/>
        <w:t>The interaction between SDG 3 and SDG 10 is therefore important. Universal interventions can improve average population health while still widening inequalities if better-off groups benefit faster. This is sometimes described as an equity problem rather than a simple access problem. Current English data illustrates the scale of the challenge. In 2022-2024, male life expectancy in the most deprived areas of England was 73.2 years compared with 83.6 years in the least deprived areas; for females it was 78.3 compared with 86.4 years. The gap in healthy life expectancy was even larger: 49.8 versus 69.2 years for males, and 48.2 versus 68.5 years for females (ONS, 2026). These figures suggest that progress towards SDG 3 cannot be judged solely by national averages. SDG 10 requires policymakers to examine who benefits, who is excluded and whether improvement is proportionately greater among groups with the greatest need.</w:t>
      </w:r>
    </w:p>
    <w:p w14:paraId="6A2BBDF5" w14:textId="77777777" w:rsidR="008E34CD" w:rsidRDefault="00000000">
      <w:pPr>
        <w:pStyle w:val="Heading1"/>
      </w:pPr>
      <w:r>
        <w:t>3. Evaluation of national policy and initiatives</w:t>
      </w:r>
    </w:p>
    <w:p w14:paraId="2B23526C" w14:textId="77777777" w:rsidR="008E34CD" w:rsidRDefault="00000000">
      <w:pPr>
        <w:jc w:val="both"/>
      </w:pPr>
      <w:r>
        <w:t>At national level, NHS England's Core20PLUS5 framework is one of the clearest attempts to translate SDG 3 and SDG 10 into practical service priorities. 'Core20' refers to the most deprived 20% of the national population, 'PLUS' identifies locally selected groups experiencing poorer outcomes, and the '5' identifies clinical areas requiring accelerated improvement (NHS England, 2026a). The model is valuable because it moves beyond a universal approach and explicitly directs attention towards populations with the greatest disadvantage. It also gives Integrated Care Systems a common structure for using local data and targeting action.</w:t>
      </w:r>
    </w:p>
    <w:p w14:paraId="051DBABA" w14:textId="77777777" w:rsidR="008E34CD" w:rsidRDefault="00000000">
      <w:pPr>
        <w:jc w:val="both"/>
      </w:pPr>
      <w:r>
        <w:t>Nevertheless, evidence suggests that implementation is uneven. A recent analysis of Integrated Care System plans found broad alignment with Core20PLUS5, but considerable variation in how the framework was operationalised. Competing priorities, differences in local maturity and inconsistent funding were identified as barriers to sustained progress (Elliott et al., 2025). This is significant because a framework can appear successful at policy level while producing variable outcomes in practice. Core20PLUS5 also focuses mainly on healthcare inequalities; it cannot by itself correct low income, insecure housing, unemployment or environmental risk. For this reason, the framework should be integrated with local government and public health action on the wider determinants of health.</w:t>
      </w:r>
    </w:p>
    <w:p w14:paraId="60911B9A" w14:textId="77777777" w:rsidR="008E34CD" w:rsidRDefault="00000000">
      <w:pPr>
        <w:jc w:val="both"/>
      </w:pPr>
      <w:r>
        <w:t xml:space="preserve">Sustainability is also increasingly embedded within national health policy through the Greener NHS programme. The NHS has committed to net zero emissions by 2040 for emissions it directly controls and by 2045 for emissions it can influence (NHS England, 2026b). NHS England reports that direct emissions have fallen substantially since the 1990 baseline, indicating meaningful organisational progress. The policy is important for SDG 3 because </w:t>
      </w:r>
      <w:r>
        <w:lastRenderedPageBreak/>
        <w:t>climate change, air pollution and extreme weather affect respiratory, cardiovascular and mental health, while a lower-carbon health service can create co-benefits through cleaner transport, energy efficiency and prevention.</w:t>
      </w:r>
    </w:p>
    <w:p w14:paraId="39DCDF54" w14:textId="77777777" w:rsidR="008E34CD" w:rsidRDefault="00000000">
      <w:pPr>
        <w:jc w:val="both"/>
      </w:pPr>
      <w:r>
        <w:t>However, environmental sustainability can conflict with equity if changes are designed without considering affordability and access. Digital consultations may reduce travel emissions, for example, but can disadvantage people who lack digital skills, devices, connectivity or private space. Likewise, transport decarbonisation can benefit population health while creating financial burdens for lower-income drivers if support is insufficient. A sustainable health policy therefore needs an explicit equity test. This reflects the Health in All Policies approach: health consequences should be considered across transport, housing, education, economic and environmental policy rather than being left solely to the NHS (Cairney, St Denny and Mitchell, 2021; Greer et al., 2022).</w:t>
      </w:r>
    </w:p>
    <w:p w14:paraId="69706112" w14:textId="77777777" w:rsidR="008E34CD" w:rsidRDefault="00000000">
      <w:pPr>
        <w:jc w:val="both"/>
      </w:pPr>
      <w:r>
        <w:t>Prevention policy provides a further test of national effectiveness. Smoking, harmful alcohol use, poor diet and physical inactivity remain major causes of preventable disease and are socially patterned, meaning that the burden is greater in disadvantaged communities (Everest et al., 2022). Population-level measures such as regulation, taxation and healthier environments can have wider reach than programmes that rely on individual motivation. However, governments often favour information campaigns and behaviour-change interventions because they are politically easier to implement. This can unintentionally frame poor health as an individual failure while underestimating the constraints created by income, food affordability, working conditions and neighbourhood environments. A stronger SDG approach would combine clinical prevention with fiscal, regulatory and social policy. It would also require explicit monitoring of distributional effects so that a fall in national disease prevalence is not treated as success if the deprivation gap widens. This illustrates why SDG 3 and SDG 10 should be implemented as a connected policy agenda rather than as separate targets.</w:t>
      </w:r>
    </w:p>
    <w:p w14:paraId="1748DB4A" w14:textId="77777777" w:rsidR="008E34CD" w:rsidRDefault="00000000">
      <w:pPr>
        <w:pStyle w:val="Heading1"/>
      </w:pPr>
      <w:r>
        <w:t>4. Evaluation of local initiatives: Birmingham</w:t>
      </w:r>
    </w:p>
    <w:p w14:paraId="61116100" w14:textId="77777777" w:rsidR="008E34CD" w:rsidRDefault="00000000">
      <w:pPr>
        <w:jc w:val="both"/>
      </w:pPr>
      <w:r>
        <w:t>Birmingham provides a useful local case because it combines high deprivation, marked health inequalities and active sustainability programmes. Birmingham City Council's Joint Health and Wellbeing Strategy, Creating a Bolder, Healthier City 2022-2030, places 'Closing the Gap' at its centre and includes priorities on healthy food, mental wellbeing, physical activity, prevention and a green and sustainable future (Birmingham City Council, 2022). This is consistent with SDG 3 and SDG 10 because it recognises that health improvement must be linked to inequality reduction and environmental conditions.</w:t>
      </w:r>
    </w:p>
    <w:p w14:paraId="72C322E6" w14:textId="77777777" w:rsidR="008E34CD" w:rsidRDefault="00000000">
      <w:pPr>
        <w:jc w:val="both"/>
      </w:pPr>
      <w:r>
        <w:lastRenderedPageBreak/>
        <w:t>Secondary data, however, shows that the need remains substantial. Birmingham's Director of Public Health reported healthy life expectancy in 2021-2023 of 57.6 years for men and 57.2 years for women, compared with 61.9 years nationally for both sexes (Birmingham City Council, 2025a). In addition, Birmingham's 2025 monitoring data identified the city as the eighth most deprived local authority in England, with 44% of residents and 53% of children living in neighbourhoods within the most deprived 10% nationally (Birmingham City Council, 2025b). These indicators demonstrate that local policy is appropriately targeted, but they also show that strategy alone has not yet closed the gap. Long-term structural determinants, including income, employment, housing quality and education, are likely to limit the effect of health-service interventions unless they are addressed simultaneously.</w:t>
      </w:r>
    </w:p>
    <w:p w14:paraId="431ED2F5" w14:textId="77777777" w:rsidR="008E34CD" w:rsidRDefault="00000000">
      <w:pPr>
        <w:jc w:val="both"/>
      </w:pPr>
      <w:r>
        <w:t>The Birmingham Clean Air Zone (CAZ), introduced in 2021, is an example of a local initiative linking health and sustainable development. Its purpose is to reduce exposure to traffic-related nitrogen dioxide by discouraging the most polluting vehicles from entering the city centre. Evaluation data published in 2026 reported that nitrogen dioxide within the zone was around 27% lower in 2024 than in the 2019 pre-pandemic baseline (Birmingham City Observatory, 2026). This represents a measurable environmental improvement and supports SDG 3 through reduced exposure to a major health risk. It also demonstrates the value of local regulation in creating healthier environments.</w:t>
      </w:r>
    </w:p>
    <w:p w14:paraId="108FCF28" w14:textId="77777777" w:rsidR="008E34CD" w:rsidRDefault="00000000">
      <w:pPr>
        <w:jc w:val="both"/>
      </w:pPr>
      <w:r>
        <w:t>Yet the same evaluation did not identify clear short-term improvements in cardiovascular or respiratory hospital admissions. This does not necessarily mean the CAZ is ineffective. Health effects may take longer to emerge, admissions are influenced by multiple confounders, and city-wide health outcomes are difficult to attribute to a single intervention. The finding does, however, underline the importance of realistic evaluation and avoiding claims based solely on improved air-quality measures. Equity also requires attention: charges can disproportionately affect people with fewer resources to replace non-compliant vehicles. The initiative is therefore strongest when financial support, active travel, affordable public transport and targeted community engagement accompany regulation.</w:t>
      </w:r>
    </w:p>
    <w:p w14:paraId="780AF650" w14:textId="77777777" w:rsidR="008E34CD" w:rsidRDefault="00000000">
      <w:pPr>
        <w:jc w:val="both"/>
      </w:pPr>
      <w:r>
        <w:t>Overall, Birmingham's approach demonstrates good strategic alignment with the SDGs, but the persistence of low healthy life expectancy and deprivation indicates a continuing implementation gap. Local action should be judged not only by whether programmes exist, but by whether inequality-sensitive outcome indicators improve over time.</w:t>
      </w:r>
    </w:p>
    <w:p w14:paraId="57985186" w14:textId="77777777" w:rsidR="008E34CD" w:rsidRDefault="00000000">
      <w:pPr>
        <w:pStyle w:val="Heading1"/>
      </w:pPr>
      <w:r>
        <w:lastRenderedPageBreak/>
        <w:t>5. Recommendations</w:t>
      </w:r>
    </w:p>
    <w:p w14:paraId="097C6244" w14:textId="77777777" w:rsidR="008E34CD" w:rsidRDefault="00000000">
      <w:pPr>
        <w:jc w:val="both"/>
      </w:pPr>
      <w:r>
        <w:t>First, national and local organisations should strengthen proportionate universalism: services should remain available to everyone, but the intensity of investment should increase with level of disadvantage. Core20PLUS5 should therefore be linked more explicitly to poverty, housing, employment and local authority datasets, rather than relying mainly on clinical indicators.</w:t>
      </w:r>
    </w:p>
    <w:p w14:paraId="03D2835A" w14:textId="77777777" w:rsidR="008E34CD" w:rsidRDefault="00000000">
      <w:pPr>
        <w:jc w:val="both"/>
      </w:pPr>
      <w:r>
        <w:t>Second, Birmingham should publish a small, consistent set of annual SDG-linked measures for each priority, including healthy life expectancy, avoidable mortality, mental wellbeing, access to prevention, air quality and outcomes by deprivation, ethnicity, disability and sex. Transparent disaggregation would make it easier to identify whether average improvement is masking widening inequalities.</w:t>
      </w:r>
    </w:p>
    <w:p w14:paraId="3E05D376" w14:textId="77777777" w:rsidR="008E34CD" w:rsidRDefault="00000000">
      <w:pPr>
        <w:jc w:val="both"/>
      </w:pPr>
      <w:r>
        <w:t>Third, sustainability initiatives should include formal health-equity impact assessment before implementation. Policies such as clean-air charging, digital-first care and service reconfiguration should assess who bears the costs as well as who receives the benefits. Mitigation should include targeted financial assistance, digital inclusion and accessible alternatives.</w:t>
      </w:r>
    </w:p>
    <w:p w14:paraId="008E1F73" w14:textId="77777777" w:rsidR="008E34CD" w:rsidRDefault="00000000">
      <w:pPr>
        <w:jc w:val="both"/>
      </w:pPr>
      <w:r>
        <w:t>Finally, multi-year funding is needed for prevention and community partnerships. Short funding cycles undermine programmes whose outcomes may take years to become measurable. Integrated Care Systems, councils and voluntary organisations should jointly commission interventions and evaluate them using both quantitative outcomes and lived-experience evidence. This would better reflect the interconnected logic of SDG 3 and SDG 10.</w:t>
      </w:r>
    </w:p>
    <w:p w14:paraId="6759407D" w14:textId="77777777" w:rsidR="008E34CD" w:rsidRDefault="00000000">
      <w:pPr>
        <w:pStyle w:val="Heading1"/>
      </w:pPr>
      <w:r>
        <w:t>6. Conclusion</w:t>
      </w:r>
    </w:p>
    <w:p w14:paraId="660BE0B6" w14:textId="77777777" w:rsidR="008E34CD" w:rsidRDefault="00000000">
      <w:pPr>
        <w:jc w:val="both"/>
      </w:pPr>
      <w:r>
        <w:t>SDG 3 and SDG 10 are mutually dependent: good health and wellbeing cannot be achieved sustainably while major social and healthcare inequalities persist. England has developed credible initiatives, including Core20PLUS5 and the Greener NHS programme, while Birmingham has embedded inequality reduction and sustainability within its health and wellbeing strategy and environmental action. The evidence nevertheless shows a gap between policy ambition and population outcomes. National deprivation gradients in life expectancy remain large, Birmingham's healthy life expectancy remains below the national average, and local environmental improvements have not yet translated into easily detectable short-term hospital outcomes. Future policy should therefore combine universal services with targeted investment, stronger cross-sector action on wider determinants, transparent disaggregated data and long-term evaluation. This would move health and social care beyond demonstrating policy activity towards demonstrating equitable and sustainable improvement in citizens' lives.</w:t>
      </w:r>
    </w:p>
    <w:p w14:paraId="70B8A199" w14:textId="77777777" w:rsidR="008E34CD" w:rsidRDefault="00000000">
      <w:pPr>
        <w:pStyle w:val="Heading1"/>
      </w:pPr>
      <w:r>
        <w:lastRenderedPageBreak/>
        <w:t>References</w:t>
      </w:r>
    </w:p>
    <w:p w14:paraId="761C519B" w14:textId="77777777" w:rsidR="008E34CD" w:rsidRDefault="00000000">
      <w:pPr>
        <w:spacing w:after="160" w:line="276" w:lineRule="auto"/>
        <w:ind w:left="360" w:hanging="360"/>
      </w:pPr>
      <w:r>
        <w:rPr>
          <w:sz w:val="21"/>
        </w:rPr>
        <w:t>Birmingham City Council (2022) Creating a Bolder, Healthier City: Joint Birmingham Health and Wellbeing Strategy 2022-2030. Birmingham: Birmingham City Council. Available at: https://www.birmingham.gov.uk/download/downloads/id/23756/creating_a_bolder_healthier_city_2022_to_2030.pdf (Accessed: 13 October 2026).</w:t>
      </w:r>
    </w:p>
    <w:p w14:paraId="37739E38" w14:textId="77777777" w:rsidR="008E34CD" w:rsidRDefault="00000000">
      <w:pPr>
        <w:spacing w:after="160" w:line="276" w:lineRule="auto"/>
        <w:ind w:left="360" w:hanging="360"/>
      </w:pPr>
      <w:r>
        <w:rPr>
          <w:sz w:val="21"/>
        </w:rPr>
        <w:t>Birmingham City Council (2025a) Director of Public Health Annual Report 2025. Birmingham: Birmingham City Council. Available at: https://www.birmingham.gov.uk/download/downloads/id/30834/director_of_public_health_annual_report_2025.pdf (Accessed: 13 October 2026).</w:t>
      </w:r>
    </w:p>
    <w:p w14:paraId="6989AE5F" w14:textId="77777777" w:rsidR="008E34CD" w:rsidRDefault="00000000">
      <w:pPr>
        <w:spacing w:after="160" w:line="276" w:lineRule="auto"/>
        <w:ind w:left="360" w:hanging="360"/>
      </w:pPr>
      <w:r>
        <w:rPr>
          <w:sz w:val="21"/>
        </w:rPr>
        <w:t>Birmingham City Council (2025b) Authority Monitoring Report 2024-2025. Birmingham: Birmingham City Council. Available at: https://www.birmingham.gov.uk/download/downloads/id/31269/authority_monitoring_report_2024_to_2025.pdf (Accessed: 13 October 2026).</w:t>
      </w:r>
    </w:p>
    <w:p w14:paraId="61F35F28" w14:textId="77777777" w:rsidR="008E34CD" w:rsidRDefault="00000000">
      <w:pPr>
        <w:spacing w:after="160" w:line="276" w:lineRule="auto"/>
        <w:ind w:left="360" w:hanging="360"/>
      </w:pPr>
      <w:r>
        <w:rPr>
          <w:sz w:val="21"/>
        </w:rPr>
        <w:t>Birmingham City Observatory (2026) Evaluating population level interventions: Health Impacts of a Clean Air Zone. Birmingham: Birmingham City Council. Available at: https://www.cityobservatory.birmingham.gov.uk/ (Accessed: 13 October 2026).</w:t>
      </w:r>
    </w:p>
    <w:p w14:paraId="509669E8" w14:textId="77777777" w:rsidR="008E34CD" w:rsidRDefault="00000000">
      <w:pPr>
        <w:spacing w:after="160" w:line="276" w:lineRule="auto"/>
        <w:ind w:left="360" w:hanging="360"/>
      </w:pPr>
      <w:r>
        <w:rPr>
          <w:sz w:val="21"/>
        </w:rPr>
        <w:t>Cairney, P., St Denny, E. and Mitchell, H. (2021) 'The future of public health policymaking after COVID-19: a qualitative systematic review of lessons from Health in All Policies', Open Research Europe, 1, 23. doi: 10.12688/openreseurope.13178.2.</w:t>
      </w:r>
    </w:p>
    <w:p w14:paraId="3569C418" w14:textId="77777777" w:rsidR="008E34CD" w:rsidRDefault="00000000">
      <w:pPr>
        <w:spacing w:after="160" w:line="276" w:lineRule="auto"/>
        <w:ind w:left="360" w:hanging="360"/>
      </w:pPr>
      <w:r>
        <w:rPr>
          <w:sz w:val="21"/>
        </w:rPr>
        <w:t>Elliott, H., Tozer, C., Fenton, A., Powers, C., Lines, C., Hill, M., Owolabi, B. and Ford, J.A. (2025) 'From policy to action: a document content analysis reviewing the adoption of the healthcare inequalities programme in local health system plans in England', BMJ Open, 15(10), e102163. doi: 10.1136/bmjopen-2025-102163. Available at: https://bmjopen.bmj.com/content/15/10/e102163 (Accessed: 13 October 2026).</w:t>
      </w:r>
    </w:p>
    <w:p w14:paraId="3594AC41" w14:textId="77777777" w:rsidR="008E34CD" w:rsidRDefault="00000000">
      <w:pPr>
        <w:spacing w:after="160" w:line="276" w:lineRule="auto"/>
        <w:ind w:left="360" w:hanging="360"/>
      </w:pPr>
      <w:r>
        <w:rPr>
          <w:sz w:val="21"/>
        </w:rPr>
        <w:t>Everest, G., Marshall, L., Fraser, C. and Briggs, A. (2022) Addressing the leading risk factors for ill health. London: The Health Foundation. Available at: https://www.health.org.uk/reports-and-analysis/reports/addressing-the-leading-risk-factors-for-ill-health (Accessed: 13 October 2026).</w:t>
      </w:r>
    </w:p>
    <w:p w14:paraId="23A103CB" w14:textId="77777777" w:rsidR="008E34CD" w:rsidRDefault="00000000">
      <w:pPr>
        <w:spacing w:after="160" w:line="276" w:lineRule="auto"/>
        <w:ind w:left="360" w:hanging="360"/>
      </w:pPr>
      <w:r>
        <w:rPr>
          <w:sz w:val="21"/>
        </w:rPr>
        <w:t>Greer, S.L., Falkenbach, M., Siciliani, L., McKee, M., Wismar, M. and Figueras, J. (2022) 'From Health in All Policies to Health for All Policies', The Lancet Public Health, 7(8), pp. e718-e720. doi: 10.1016/S2468-2667(22)00155-4.</w:t>
      </w:r>
    </w:p>
    <w:p w14:paraId="731B55D7" w14:textId="77777777" w:rsidR="008E34CD" w:rsidRDefault="00000000">
      <w:pPr>
        <w:spacing w:after="160" w:line="276" w:lineRule="auto"/>
        <w:ind w:left="360" w:hanging="360"/>
      </w:pPr>
      <w:r>
        <w:rPr>
          <w:sz w:val="21"/>
        </w:rPr>
        <w:t>Marmot, M., Allen, J., Boyce, T., Goldblatt, P. and Morrison, J. (2020) Health Equity in England: The Marmot Review 10 Years On. London: Institute of Health Equity. Available at: https://www.health.org.uk/reports-and-analysis/reports/health-equity-in-england-the-marmot-review-10-years-on-0 (Accessed: 13 October 2026).</w:t>
      </w:r>
    </w:p>
    <w:p w14:paraId="7AB903CD" w14:textId="77777777" w:rsidR="008E34CD" w:rsidRDefault="00000000">
      <w:pPr>
        <w:spacing w:after="160" w:line="276" w:lineRule="auto"/>
        <w:ind w:left="360" w:hanging="360"/>
      </w:pPr>
      <w:r>
        <w:rPr>
          <w:sz w:val="21"/>
        </w:rPr>
        <w:t>NHS England (2026a) Core20PLUS5 (adults) - an approach to reducing healthcare inequalities. Available at: https://www.england.nhs.uk/about/equality/equality-hub/national-healthcare-inequalities-improvement-programme/core20plus5/ (Accessed: 13 October 2026).</w:t>
      </w:r>
    </w:p>
    <w:p w14:paraId="26D3C27D" w14:textId="77777777" w:rsidR="008E34CD" w:rsidRDefault="00000000">
      <w:pPr>
        <w:spacing w:after="160" w:line="276" w:lineRule="auto"/>
        <w:ind w:left="360" w:hanging="360"/>
      </w:pPr>
      <w:r>
        <w:rPr>
          <w:sz w:val="21"/>
        </w:rPr>
        <w:t>NHS England (2026b) Delivering a net zero NHS. Available at: https://www.england.nhs.uk/greenernhs/a-net-zero-nhs/ (Accessed: 13 October 2026).</w:t>
      </w:r>
    </w:p>
    <w:p w14:paraId="24D9085C" w14:textId="77777777" w:rsidR="008E34CD" w:rsidRDefault="00000000">
      <w:pPr>
        <w:spacing w:after="160" w:line="276" w:lineRule="auto"/>
        <w:ind w:left="360" w:hanging="360"/>
      </w:pPr>
      <w:r>
        <w:rPr>
          <w:sz w:val="21"/>
        </w:rPr>
        <w:t xml:space="preserve">Office for National Statistics (ONS) (2026) Healthy life expectancy by national area deprivation, England and Wales: between 2013 to 2015 and 2022 to 2024. Newport: ONS. Available at: </w:t>
      </w:r>
      <w:r>
        <w:rPr>
          <w:sz w:val="21"/>
        </w:rPr>
        <w:lastRenderedPageBreak/>
        <w:t>https://www.ons.gov.uk/peoplepopulationandcommunity/healthandsocialcare/healthinequalities/bulletins/healthylifeexpectancybynationalareadeprivationenglandandwales/latest (Accessed: 13 October 2026).</w:t>
      </w:r>
    </w:p>
    <w:p w14:paraId="352267D2" w14:textId="77777777" w:rsidR="008E34CD" w:rsidRDefault="00000000">
      <w:pPr>
        <w:spacing w:after="160" w:line="276" w:lineRule="auto"/>
        <w:ind w:left="360" w:hanging="360"/>
      </w:pPr>
      <w:r>
        <w:rPr>
          <w:sz w:val="21"/>
        </w:rPr>
        <w:t>United Nations (2026a) Goal 3: Ensure healthy lives and promote well-being for all at all ages. Available at: https://sdgs.un.org/goals/goal3 (Accessed: 13 October 2026).</w:t>
      </w:r>
    </w:p>
    <w:p w14:paraId="03F5B830" w14:textId="77777777" w:rsidR="008E34CD" w:rsidRDefault="00000000">
      <w:pPr>
        <w:spacing w:after="160" w:line="276" w:lineRule="auto"/>
        <w:ind w:left="360" w:hanging="360"/>
      </w:pPr>
      <w:r>
        <w:rPr>
          <w:sz w:val="21"/>
        </w:rPr>
        <w:t>United Nations (2026b) Goal 10: Reduce inequality within and among countries. Available at: https://sdgs.un.org/goals/goal10 (Accessed: 13 October 2026).</w:t>
      </w:r>
    </w:p>
    <w:p w14:paraId="04A7B533" w14:textId="77777777" w:rsidR="008E34CD" w:rsidRDefault="00000000">
      <w:pPr>
        <w:spacing w:after="160" w:line="276" w:lineRule="auto"/>
        <w:ind w:left="360" w:hanging="360"/>
      </w:pPr>
      <w:r>
        <w:rPr>
          <w:sz w:val="21"/>
        </w:rPr>
        <w:t>World Health Organization (WHO) (2026) Health in the 2030 Agenda for Sustainable Development: progress on health-related Sustainable Development Goals. Geneva: WHO. Available at: https://apps.who.int/gb/ebwha/pdf_files/EB158/B158_15-en.pdf (Accessed: 13 October 2026).</w:t>
      </w:r>
    </w:p>
    <w:sectPr w:rsidR="008E34CD"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4F4F9" w14:textId="77777777" w:rsidR="001325EB" w:rsidRDefault="001325EB">
      <w:pPr>
        <w:spacing w:after="0" w:line="240" w:lineRule="auto"/>
      </w:pPr>
      <w:r>
        <w:separator/>
      </w:r>
    </w:p>
  </w:endnote>
  <w:endnote w:type="continuationSeparator" w:id="0">
    <w:p w14:paraId="774EFEEB" w14:textId="77777777" w:rsidR="001325EB" w:rsidRDefault="00132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AA91F" w14:textId="77777777" w:rsidR="008E34CD" w:rsidRDefault="00000000">
    <w:pPr>
      <w:pStyle w:val="Footer"/>
      <w:jc w:val="center"/>
    </w:pPr>
    <w:r>
      <w:rPr>
        <w:sz w:val="18"/>
      </w:rPr>
      <w:t xml:space="preserve">Page </w:t>
    </w:r>
    <w:r>
      <w:rPr>
        <w:sz w:val="18"/>
      </w:rPr>
      <w:fldChar w:fldCharType="begin"/>
    </w:r>
    <w:r>
      <w:rPr>
        <w:sz w:val="18"/>
      </w:rPr>
      <w:instrText>PAGE</w:instrText>
    </w:r>
    <w:r w:rsidR="00AB59FC">
      <w:rPr>
        <w:sz w:val="18"/>
      </w:rPr>
      <w:fldChar w:fldCharType="separate"/>
    </w:r>
    <w:r w:rsidR="00AB59FC">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42951" w14:textId="77777777" w:rsidR="001325EB" w:rsidRDefault="001325EB">
      <w:pPr>
        <w:spacing w:after="0" w:line="240" w:lineRule="auto"/>
      </w:pPr>
      <w:r>
        <w:separator/>
      </w:r>
    </w:p>
  </w:footnote>
  <w:footnote w:type="continuationSeparator" w:id="0">
    <w:p w14:paraId="77C17EE3" w14:textId="77777777" w:rsidR="001325EB" w:rsidRDefault="001325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13248162">
    <w:abstractNumId w:val="8"/>
  </w:num>
  <w:num w:numId="2" w16cid:durableId="1768891206">
    <w:abstractNumId w:val="6"/>
  </w:num>
  <w:num w:numId="3" w16cid:durableId="925502059">
    <w:abstractNumId w:val="5"/>
  </w:num>
  <w:num w:numId="4" w16cid:durableId="989792693">
    <w:abstractNumId w:val="4"/>
  </w:num>
  <w:num w:numId="5" w16cid:durableId="273948515">
    <w:abstractNumId w:val="7"/>
  </w:num>
  <w:num w:numId="6" w16cid:durableId="726487315">
    <w:abstractNumId w:val="3"/>
  </w:num>
  <w:num w:numId="7" w16cid:durableId="904726731">
    <w:abstractNumId w:val="2"/>
  </w:num>
  <w:num w:numId="8" w16cid:durableId="1595820939">
    <w:abstractNumId w:val="1"/>
  </w:num>
  <w:num w:numId="9" w16cid:durableId="395858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25EB"/>
    <w:rsid w:val="0015074B"/>
    <w:rsid w:val="0029639D"/>
    <w:rsid w:val="00326F90"/>
    <w:rsid w:val="008E34CD"/>
    <w:rsid w:val="00AA1D8D"/>
    <w:rsid w:val="00AB59FC"/>
    <w:rsid w:val="00B47730"/>
    <w:rsid w:val="00C11EE1"/>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BF6634"/>
  <w14:defaultImageDpi w14:val="300"/>
  <w15:docId w15:val="{D8710939-0B5C-4470-94E9-863B29B46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2795</Words>
  <Characters>15936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BMHP6030 Component 2 Report - Health, Wellbeing and Sustainable Development</dc:title>
  <dc:subject>SDG 3 and SDG 10: Global, National and Local Policy Responses</dc:subject>
  <dc:creator>Student</dc:creator>
  <cp:keywords/>
  <dc:description>generated by python-docx</dc:description>
  <cp:lastModifiedBy>Liza Bedworth (2238817)</cp:lastModifiedBy>
  <cp:revision>2</cp:revision>
  <dcterms:created xsi:type="dcterms:W3CDTF">2026-10-14T07:36:00Z</dcterms:created>
  <dcterms:modified xsi:type="dcterms:W3CDTF">2026-10-14T07:36:00Z</dcterms:modified>
  <cp:category/>
</cp:coreProperties>
</file>