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1A5F2" w14:textId="7832CF91" w:rsidR="00405818" w:rsidRDefault="00405818"/>
    <w:p w14:paraId="708A54CB" w14:textId="77777777" w:rsidR="007F792A" w:rsidRDefault="007F792A"/>
    <w:p w14:paraId="11965057" w14:textId="77777777" w:rsidR="007F792A" w:rsidRDefault="007F792A"/>
    <w:p w14:paraId="3D501304" w14:textId="77777777" w:rsidR="007F792A" w:rsidRDefault="007F792A"/>
    <w:p w14:paraId="50DA2FF3" w14:textId="77777777" w:rsidR="007F792A" w:rsidRDefault="007F792A" w:rsidP="007F792A">
      <w:pPr>
        <w:spacing w:line="480" w:lineRule="auto"/>
        <w:jc w:val="both"/>
        <w:rPr>
          <w:rFonts w:ascii="Arial" w:hAnsi="Arial" w:cs="Arial"/>
          <w:b/>
          <w:sz w:val="24"/>
          <w:szCs w:val="24"/>
          <w:lang w:val="en-GB"/>
        </w:rPr>
      </w:pPr>
    </w:p>
    <w:p w14:paraId="5D6E6B58" w14:textId="77777777" w:rsidR="007F792A" w:rsidRDefault="007F792A" w:rsidP="007F792A">
      <w:pPr>
        <w:spacing w:line="480" w:lineRule="auto"/>
        <w:jc w:val="both"/>
        <w:rPr>
          <w:rFonts w:ascii="Arial" w:hAnsi="Arial" w:cs="Arial"/>
          <w:b/>
          <w:sz w:val="24"/>
          <w:szCs w:val="24"/>
          <w:lang w:val="en-GB"/>
        </w:rPr>
      </w:pPr>
    </w:p>
    <w:p w14:paraId="701908A6" w14:textId="77777777" w:rsidR="007F792A" w:rsidRDefault="007F792A" w:rsidP="007F792A">
      <w:pPr>
        <w:spacing w:line="480" w:lineRule="auto"/>
        <w:jc w:val="both"/>
        <w:rPr>
          <w:rFonts w:ascii="Arial" w:hAnsi="Arial" w:cs="Arial"/>
          <w:b/>
          <w:sz w:val="24"/>
          <w:szCs w:val="24"/>
          <w:lang w:val="en-GB"/>
        </w:rPr>
      </w:pPr>
    </w:p>
    <w:p w14:paraId="1F08CD7A" w14:textId="7A7251A8" w:rsidR="007F792A" w:rsidRPr="00521AE3" w:rsidRDefault="007F792A" w:rsidP="007F792A">
      <w:pPr>
        <w:spacing w:line="480" w:lineRule="auto"/>
        <w:jc w:val="center"/>
        <w:rPr>
          <w:rFonts w:ascii="Arial" w:hAnsi="Arial" w:cs="Arial"/>
          <w:b/>
          <w:sz w:val="24"/>
          <w:szCs w:val="24"/>
          <w:lang w:val="en-GB"/>
        </w:rPr>
      </w:pPr>
      <w:r w:rsidRPr="008C62E6">
        <w:rPr>
          <w:rFonts w:ascii="Arial" w:hAnsi="Arial" w:cs="Arial"/>
          <w:b/>
          <w:sz w:val="24"/>
          <w:szCs w:val="24"/>
          <w:lang w:val="en-GB"/>
        </w:rPr>
        <w:t>Embracing Circular Economy in Corporate Social Responsibilit</w:t>
      </w:r>
      <w:r>
        <w:rPr>
          <w:rFonts w:ascii="Arial" w:hAnsi="Arial" w:cs="Arial"/>
          <w:b/>
          <w:sz w:val="24"/>
          <w:szCs w:val="24"/>
          <w:lang w:val="en-GB"/>
        </w:rPr>
        <w:t>y</w:t>
      </w:r>
    </w:p>
    <w:p w14:paraId="2FBF959E" w14:textId="77777777" w:rsidR="007F792A" w:rsidRDefault="007F792A" w:rsidP="007F792A">
      <w:pPr>
        <w:spacing w:line="480" w:lineRule="auto"/>
        <w:jc w:val="both"/>
        <w:rPr>
          <w:rFonts w:ascii="Arial" w:hAnsi="Arial" w:cs="Arial"/>
          <w:b/>
          <w:sz w:val="24"/>
          <w:szCs w:val="24"/>
          <w:lang w:val="en-GB"/>
        </w:rPr>
      </w:pPr>
    </w:p>
    <w:p w14:paraId="18B29E42" w14:textId="77777777" w:rsidR="007F792A" w:rsidRDefault="007F792A" w:rsidP="007F792A">
      <w:pPr>
        <w:spacing w:line="480" w:lineRule="auto"/>
        <w:jc w:val="both"/>
        <w:rPr>
          <w:rFonts w:ascii="Arial" w:hAnsi="Arial" w:cs="Arial"/>
          <w:b/>
          <w:sz w:val="24"/>
          <w:szCs w:val="24"/>
          <w:lang w:val="en-GB"/>
        </w:rPr>
      </w:pPr>
    </w:p>
    <w:p w14:paraId="3121E534" w14:textId="77777777" w:rsidR="007F792A" w:rsidRDefault="007F792A" w:rsidP="007F792A">
      <w:pPr>
        <w:spacing w:line="480" w:lineRule="auto"/>
        <w:jc w:val="both"/>
        <w:rPr>
          <w:rFonts w:ascii="Arial" w:hAnsi="Arial" w:cs="Arial"/>
          <w:b/>
          <w:sz w:val="24"/>
          <w:szCs w:val="24"/>
          <w:lang w:val="en-GB"/>
        </w:rPr>
      </w:pPr>
    </w:p>
    <w:p w14:paraId="71BAFBA5" w14:textId="77777777" w:rsidR="007F792A" w:rsidRPr="00521AE3" w:rsidRDefault="007F792A" w:rsidP="007F792A">
      <w:pPr>
        <w:spacing w:line="480" w:lineRule="auto"/>
        <w:jc w:val="both"/>
        <w:rPr>
          <w:rFonts w:ascii="Arial" w:hAnsi="Arial" w:cs="Arial"/>
          <w:b/>
          <w:sz w:val="24"/>
          <w:szCs w:val="24"/>
          <w:lang w:val="en-GB"/>
        </w:rPr>
      </w:pPr>
    </w:p>
    <w:p w14:paraId="63DB8F22" w14:textId="77777777" w:rsidR="007F792A" w:rsidRPr="00521AE3" w:rsidRDefault="007F792A" w:rsidP="007F792A">
      <w:pPr>
        <w:spacing w:line="480" w:lineRule="auto"/>
        <w:jc w:val="both"/>
        <w:rPr>
          <w:rFonts w:ascii="Arial" w:hAnsi="Arial" w:cs="Arial"/>
          <w:sz w:val="24"/>
          <w:szCs w:val="24"/>
          <w:lang w:val="en-GB"/>
        </w:rPr>
      </w:pPr>
      <w:r w:rsidRPr="00521AE3">
        <w:rPr>
          <w:rFonts w:ascii="Arial" w:hAnsi="Arial" w:cs="Arial"/>
          <w:sz w:val="24"/>
          <w:szCs w:val="24"/>
          <w:lang w:val="en-GB"/>
        </w:rPr>
        <w:t xml:space="preserve">Student name: </w:t>
      </w:r>
      <w:r>
        <w:rPr>
          <w:rFonts w:ascii="Arial" w:hAnsi="Arial" w:cs="Arial"/>
          <w:sz w:val="24"/>
          <w:szCs w:val="24"/>
          <w:lang w:val="en-GB"/>
        </w:rPr>
        <w:t>Alex</w:t>
      </w:r>
      <w:r w:rsidRPr="00521AE3">
        <w:rPr>
          <w:rFonts w:ascii="Arial" w:hAnsi="Arial" w:cs="Arial"/>
          <w:sz w:val="24"/>
          <w:szCs w:val="24"/>
          <w:lang w:val="en-GB"/>
        </w:rPr>
        <w:t xml:space="preserve"> Bradea</w:t>
      </w:r>
    </w:p>
    <w:p w14:paraId="790F0927" w14:textId="77777777" w:rsidR="007F792A" w:rsidRPr="00521AE3" w:rsidRDefault="007F792A" w:rsidP="007F792A">
      <w:pPr>
        <w:spacing w:line="480" w:lineRule="auto"/>
        <w:jc w:val="both"/>
        <w:rPr>
          <w:rFonts w:ascii="Arial" w:hAnsi="Arial" w:cs="Arial"/>
          <w:sz w:val="24"/>
          <w:szCs w:val="24"/>
          <w:lang w:val="en-GB"/>
        </w:rPr>
      </w:pPr>
      <w:r w:rsidRPr="00521AE3">
        <w:rPr>
          <w:rFonts w:ascii="Arial" w:hAnsi="Arial" w:cs="Arial"/>
          <w:sz w:val="24"/>
          <w:szCs w:val="24"/>
          <w:lang w:val="en-GB"/>
        </w:rPr>
        <w:t>Student ID: 2125159</w:t>
      </w:r>
    </w:p>
    <w:p w14:paraId="50DF1C65" w14:textId="77777777" w:rsidR="007F792A" w:rsidRPr="00521AE3" w:rsidRDefault="007F792A" w:rsidP="007F792A">
      <w:pPr>
        <w:spacing w:line="480" w:lineRule="auto"/>
        <w:jc w:val="both"/>
        <w:rPr>
          <w:rFonts w:ascii="Arial" w:hAnsi="Arial" w:cs="Arial"/>
          <w:sz w:val="24"/>
          <w:szCs w:val="24"/>
          <w:lang w:val="en-GB"/>
        </w:rPr>
      </w:pPr>
      <w:r w:rsidRPr="00521AE3">
        <w:rPr>
          <w:rFonts w:ascii="Arial" w:hAnsi="Arial" w:cs="Arial"/>
          <w:sz w:val="24"/>
          <w:szCs w:val="24"/>
          <w:lang w:val="en-GB"/>
        </w:rPr>
        <w:t xml:space="preserve">Module title: </w:t>
      </w:r>
      <w:r w:rsidRPr="00E240D1">
        <w:rPr>
          <w:rFonts w:ascii="Arial" w:hAnsi="Arial" w:cs="Arial"/>
          <w:sz w:val="24"/>
          <w:szCs w:val="24"/>
          <w:lang w:val="en-GB"/>
        </w:rPr>
        <w:t>Sustainable Hospitality &amp; Tourism Management</w:t>
      </w:r>
    </w:p>
    <w:p w14:paraId="1A513904" w14:textId="77777777" w:rsidR="007F792A" w:rsidRPr="00521AE3" w:rsidRDefault="007F792A" w:rsidP="007F792A">
      <w:pPr>
        <w:spacing w:line="480" w:lineRule="auto"/>
        <w:jc w:val="both"/>
        <w:rPr>
          <w:rFonts w:ascii="Arial" w:hAnsi="Arial" w:cs="Arial"/>
          <w:sz w:val="24"/>
          <w:szCs w:val="24"/>
          <w:lang w:val="en-GB"/>
        </w:rPr>
      </w:pPr>
      <w:r>
        <w:rPr>
          <w:rFonts w:ascii="Arial" w:hAnsi="Arial" w:cs="Arial"/>
          <w:sz w:val="24"/>
          <w:szCs w:val="24"/>
          <w:lang w:val="en-GB"/>
        </w:rPr>
        <w:t>Module code: BMIH5006</w:t>
      </w:r>
    </w:p>
    <w:p w14:paraId="39051EA1" w14:textId="77777777" w:rsidR="007F792A" w:rsidRPr="009C5252" w:rsidRDefault="007F792A" w:rsidP="007F792A">
      <w:pPr>
        <w:spacing w:line="480" w:lineRule="auto"/>
        <w:jc w:val="both"/>
        <w:rPr>
          <w:rFonts w:ascii="Arial" w:hAnsi="Arial" w:cs="Arial"/>
          <w:sz w:val="24"/>
          <w:szCs w:val="24"/>
          <w:lang w:val="en-GB"/>
        </w:rPr>
      </w:pPr>
      <w:r>
        <w:rPr>
          <w:rFonts w:ascii="Arial" w:hAnsi="Arial" w:cs="Arial"/>
          <w:sz w:val="24"/>
          <w:szCs w:val="24"/>
          <w:lang w:val="en-GB"/>
        </w:rPr>
        <w:t xml:space="preserve">Lecturer: </w:t>
      </w:r>
      <w:r w:rsidRPr="009C5252">
        <w:rPr>
          <w:rFonts w:ascii="Arial" w:hAnsi="Arial" w:cs="Arial"/>
          <w:sz w:val="24"/>
          <w:szCs w:val="24"/>
          <w:lang w:val="en-GB"/>
        </w:rPr>
        <w:t>Dr Huw Thomas</w:t>
      </w:r>
    </w:p>
    <w:p w14:paraId="1474C79B" w14:textId="77777777" w:rsidR="007F792A" w:rsidRDefault="007F792A" w:rsidP="007F792A">
      <w:pPr>
        <w:spacing w:line="480" w:lineRule="auto"/>
        <w:jc w:val="both"/>
        <w:rPr>
          <w:rFonts w:ascii="Arial" w:hAnsi="Arial" w:cs="Arial"/>
          <w:sz w:val="24"/>
          <w:szCs w:val="24"/>
          <w:lang w:val="en-GB"/>
        </w:rPr>
      </w:pPr>
      <w:r>
        <w:rPr>
          <w:rFonts w:ascii="Arial" w:hAnsi="Arial" w:cs="Arial"/>
          <w:sz w:val="24"/>
          <w:szCs w:val="24"/>
          <w:lang w:val="en-GB"/>
        </w:rPr>
        <w:t>Words number: 2 093</w:t>
      </w:r>
    </w:p>
    <w:p w14:paraId="2DA0A0D8" w14:textId="77777777" w:rsidR="007F792A" w:rsidRDefault="007F792A" w:rsidP="007F792A">
      <w:pPr>
        <w:spacing w:line="480" w:lineRule="auto"/>
        <w:jc w:val="both"/>
        <w:rPr>
          <w:rFonts w:ascii="Arial" w:hAnsi="Arial" w:cs="Arial"/>
          <w:sz w:val="24"/>
          <w:szCs w:val="24"/>
          <w:lang w:val="en-GB"/>
        </w:rPr>
      </w:pPr>
    </w:p>
    <w:p w14:paraId="754DF755" w14:textId="77777777" w:rsidR="007F792A" w:rsidRDefault="007F792A" w:rsidP="007F792A">
      <w:pPr>
        <w:spacing w:line="480" w:lineRule="auto"/>
        <w:jc w:val="both"/>
        <w:rPr>
          <w:rFonts w:ascii="Arial" w:hAnsi="Arial" w:cs="Arial"/>
          <w:sz w:val="24"/>
          <w:szCs w:val="24"/>
          <w:lang w:val="en-GB"/>
        </w:rPr>
      </w:pPr>
    </w:p>
    <w:p w14:paraId="35FB86F8" w14:textId="77777777" w:rsidR="007F792A" w:rsidRDefault="007F792A" w:rsidP="007F792A">
      <w:pPr>
        <w:spacing w:line="480" w:lineRule="auto"/>
        <w:jc w:val="both"/>
        <w:rPr>
          <w:rFonts w:ascii="Arial" w:hAnsi="Arial" w:cs="Arial"/>
          <w:sz w:val="24"/>
          <w:szCs w:val="24"/>
          <w:lang w:val="en-GB"/>
        </w:rPr>
      </w:pPr>
    </w:p>
    <w:p w14:paraId="752FA6E7" w14:textId="77777777" w:rsidR="007F792A" w:rsidRDefault="007F792A" w:rsidP="007F792A">
      <w:pPr>
        <w:spacing w:line="480" w:lineRule="auto"/>
        <w:jc w:val="both"/>
        <w:rPr>
          <w:rFonts w:ascii="Arial" w:hAnsi="Arial" w:cs="Arial"/>
          <w:sz w:val="24"/>
          <w:szCs w:val="24"/>
          <w:lang w:val="en-GB"/>
        </w:rPr>
      </w:pPr>
    </w:p>
    <w:p w14:paraId="1384B892" w14:textId="77777777" w:rsidR="007F792A" w:rsidRPr="00521AE3" w:rsidRDefault="007F792A" w:rsidP="007F792A">
      <w:pPr>
        <w:spacing w:line="480" w:lineRule="auto"/>
        <w:jc w:val="both"/>
        <w:rPr>
          <w:rFonts w:ascii="Arial" w:hAnsi="Arial" w:cs="Arial"/>
          <w:sz w:val="24"/>
          <w:szCs w:val="24"/>
          <w:lang w:val="en-GB"/>
        </w:rPr>
      </w:pPr>
    </w:p>
    <w:p w14:paraId="5F1A32DD" w14:textId="3F7F72F6" w:rsidR="007F792A" w:rsidRPr="008C62E6" w:rsidRDefault="00444AA7" w:rsidP="007F792A">
      <w:pPr>
        <w:spacing w:line="360" w:lineRule="auto"/>
        <w:jc w:val="both"/>
        <w:rPr>
          <w:rFonts w:ascii="Arial" w:hAnsi="Arial" w:cs="Arial"/>
          <w:sz w:val="24"/>
          <w:szCs w:val="24"/>
          <w:lang w:val="en-GB"/>
        </w:rPr>
      </w:pPr>
      <w:r>
        <w:rPr>
          <w:rFonts w:ascii="Arial" w:hAnsi="Arial" w:cs="Arial"/>
          <w:sz w:val="24"/>
          <w:szCs w:val="24"/>
          <w:lang w:val="en-GB"/>
        </w:rPr>
        <w:t xml:space="preserve"> </w:t>
      </w:r>
      <w:r w:rsidR="007F792A" w:rsidRPr="008C62E6">
        <w:rPr>
          <w:rFonts w:ascii="Arial" w:hAnsi="Arial" w:cs="Arial"/>
          <w:sz w:val="24"/>
          <w:szCs w:val="24"/>
          <w:lang w:val="en-GB"/>
        </w:rPr>
        <w:t>Corporate Social Responsibility (CSR) has emerged as a fundamental aspect in the hotel industry, indicating an increasing recognition of the ecological and societal consequences that enterprises bear (</w:t>
      </w:r>
      <w:proofErr w:type="spellStart"/>
      <w:r w:rsidR="007F792A" w:rsidRPr="008C62E6">
        <w:rPr>
          <w:rFonts w:ascii="Arial" w:hAnsi="Arial" w:cs="Arial"/>
          <w:sz w:val="24"/>
          <w:szCs w:val="24"/>
          <w:lang w:val="en-GB"/>
        </w:rPr>
        <w:t>Stombelli</w:t>
      </w:r>
      <w:proofErr w:type="spellEnd"/>
      <w:r w:rsidR="007F792A" w:rsidRPr="008C62E6">
        <w:rPr>
          <w:rFonts w:ascii="Arial" w:hAnsi="Arial" w:cs="Arial"/>
          <w:sz w:val="24"/>
          <w:szCs w:val="24"/>
          <w:lang w:val="en-GB"/>
        </w:rPr>
        <w:t>, 2020). This essay examines the importance of Corporate Social Responsibility (CSR) in this industry, with a particular focus on the circular economy as a revolutionary method for implementing sustainable business strategies. Within the hospitality sector, corporate social responsibility (CSR) extends beyond a mere ethical duty, since it directly influences a hotel's operational efficacy, reputation, and customer contentment. The circular economy, which refers to an economic system that seeks to eradicate waste and promote the ongoing utilisation of resources, provides a structure for hotels to reconsider and revamp their business models. This is particularly pertinent in an industry renowned for its substantial utilisation of resources and production of trash. Hotels may greatly diminish their environmental impact and improve their attractiveness to environmentally aware consumers by implementing circular economy ideas (Huang and Hands, 2022).</w:t>
      </w:r>
    </w:p>
    <w:p w14:paraId="0B1E32E9"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 xml:space="preserve">This essay primarily focuses on analysing the CSR strategy of a certain hotel, specifically </w:t>
      </w:r>
      <w:proofErr w:type="gramStart"/>
      <w:r w:rsidRPr="008C62E6">
        <w:rPr>
          <w:rFonts w:ascii="Arial" w:hAnsi="Arial" w:cs="Arial"/>
          <w:sz w:val="24"/>
          <w:szCs w:val="24"/>
          <w:lang w:val="en-GB"/>
        </w:rPr>
        <w:t>in regards to</w:t>
      </w:r>
      <w:proofErr w:type="gramEnd"/>
      <w:r w:rsidRPr="008C62E6">
        <w:rPr>
          <w:rFonts w:ascii="Arial" w:hAnsi="Arial" w:cs="Arial"/>
          <w:sz w:val="24"/>
          <w:szCs w:val="24"/>
          <w:lang w:val="en-GB"/>
        </w:rPr>
        <w:t xml:space="preserve"> its implementation and incorporation of the circular economy. Our goal is to offer insights on how the hotel sector may successfully integrate sustainable practices that are in line with corporate social responsibility (CSR) objectives. This will result in advantages for both the business and the environment.</w:t>
      </w:r>
    </w:p>
    <w:p w14:paraId="2093DA55"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The notion of a circular economy signifies a significant transformation in our method of manufacturing and utilisation (</w:t>
      </w:r>
      <w:proofErr w:type="spellStart"/>
      <w:r w:rsidRPr="008C62E6">
        <w:rPr>
          <w:rFonts w:ascii="Arial" w:hAnsi="Arial" w:cs="Arial"/>
          <w:sz w:val="24"/>
          <w:szCs w:val="24"/>
          <w:lang w:val="en-GB"/>
        </w:rPr>
        <w:t>Patrizia</w:t>
      </w:r>
      <w:proofErr w:type="spellEnd"/>
      <w:r w:rsidRPr="008C62E6">
        <w:rPr>
          <w:rFonts w:ascii="Arial" w:hAnsi="Arial" w:cs="Arial"/>
          <w:sz w:val="24"/>
          <w:szCs w:val="24"/>
          <w:lang w:val="en-GB"/>
        </w:rPr>
        <w:t xml:space="preserve"> </w:t>
      </w:r>
      <w:proofErr w:type="spellStart"/>
      <w:r w:rsidRPr="008C62E6">
        <w:rPr>
          <w:rFonts w:ascii="Arial" w:hAnsi="Arial" w:cs="Arial"/>
          <w:sz w:val="24"/>
          <w:szCs w:val="24"/>
          <w:lang w:val="en-GB"/>
        </w:rPr>
        <w:t>Ghisellini</w:t>
      </w:r>
      <w:proofErr w:type="spellEnd"/>
      <w:r w:rsidRPr="008C62E6">
        <w:rPr>
          <w:rFonts w:ascii="Arial" w:hAnsi="Arial" w:cs="Arial"/>
          <w:sz w:val="24"/>
          <w:szCs w:val="24"/>
          <w:lang w:val="en-GB"/>
        </w:rPr>
        <w:t xml:space="preserve"> and </w:t>
      </w:r>
      <w:proofErr w:type="spellStart"/>
      <w:r w:rsidRPr="008C62E6">
        <w:rPr>
          <w:rFonts w:ascii="Arial" w:hAnsi="Arial" w:cs="Arial"/>
          <w:sz w:val="24"/>
          <w:szCs w:val="24"/>
          <w:lang w:val="en-GB"/>
        </w:rPr>
        <w:t>Ulgiati</w:t>
      </w:r>
      <w:proofErr w:type="spellEnd"/>
      <w:r w:rsidRPr="008C62E6">
        <w:rPr>
          <w:rFonts w:ascii="Arial" w:hAnsi="Arial" w:cs="Arial"/>
          <w:sz w:val="24"/>
          <w:szCs w:val="24"/>
          <w:lang w:val="en-GB"/>
        </w:rPr>
        <w:t>, 2020). A circular economy diverges from the conventional linear economy model, which follows a 'take-make-dispose' approach, by prioritising resource efficiency. Its objective is to maximise the utilisation of goods, materials, and resources, prolonging their lifespan. This strategy promotes waste reduction and fosters recycling, reusing, and remanufacturing, thus establishing a closed-loop system (Rashid and Malik, 2023). The fundamental tenets of a circular economy encompass the elimination of waste and pollution through thoughtful design, the continuous use of products and materials, and the restoration of natural systems (</w:t>
      </w:r>
      <w:proofErr w:type="spellStart"/>
      <w:r w:rsidRPr="008C62E6">
        <w:rPr>
          <w:rFonts w:ascii="Arial" w:hAnsi="Arial" w:cs="Arial"/>
          <w:sz w:val="24"/>
          <w:szCs w:val="24"/>
          <w:lang w:val="en-GB"/>
        </w:rPr>
        <w:t>Morseletto</w:t>
      </w:r>
      <w:proofErr w:type="spellEnd"/>
      <w:r w:rsidRPr="008C62E6">
        <w:rPr>
          <w:rFonts w:ascii="Arial" w:hAnsi="Arial" w:cs="Arial"/>
          <w:sz w:val="24"/>
          <w:szCs w:val="24"/>
          <w:lang w:val="en-GB"/>
        </w:rPr>
        <w:t>, 2020).</w:t>
      </w:r>
    </w:p>
    <w:p w14:paraId="632B9F81"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lastRenderedPageBreak/>
        <w:t>Integrating these ideas into Corporate Social Responsibility (CSR) strategies is in complete harmony with CSR objectives. Corporate Social Responsibility (CSR) in the hotel business has typically focused on promoting sustainable practices, environmental stewardship, and responsible resource management (Murray, Skene, &amp; Haynes, 2017). Hotels can mitigate their environmental footprint by implementing circular economy strategies, which involve waste reduction, carbon emission reduction, and preservation of natural resources (</w:t>
      </w:r>
      <w:proofErr w:type="spellStart"/>
      <w:r w:rsidRPr="008C62E6">
        <w:rPr>
          <w:rFonts w:ascii="Arial" w:hAnsi="Arial" w:cs="Arial"/>
          <w:sz w:val="24"/>
          <w:szCs w:val="24"/>
          <w:lang w:val="en-GB"/>
        </w:rPr>
        <w:t>Stombelli</w:t>
      </w:r>
      <w:proofErr w:type="spellEnd"/>
      <w:r w:rsidRPr="008C62E6">
        <w:rPr>
          <w:rFonts w:ascii="Arial" w:hAnsi="Arial" w:cs="Arial"/>
          <w:sz w:val="24"/>
          <w:szCs w:val="24"/>
          <w:lang w:val="en-GB"/>
        </w:rPr>
        <w:t>, 2020). This not only aligns with objectives for environmental sustainability but also displays a dedication to societal welfare and economic viability. The adoption of the circular economy concept enables enterprises to make a beneficial impact on the communities in which they operate. This is achieved by lowering the environmental pressures and potentially generating employment opportunities in the recycling and remanufacturing industries (</w:t>
      </w:r>
      <w:proofErr w:type="spellStart"/>
      <w:r w:rsidRPr="008C62E6">
        <w:rPr>
          <w:rFonts w:ascii="Arial" w:hAnsi="Arial" w:cs="Arial"/>
          <w:sz w:val="24"/>
          <w:szCs w:val="24"/>
          <w:lang w:val="en-GB"/>
        </w:rPr>
        <w:t>Patrizia</w:t>
      </w:r>
      <w:proofErr w:type="spellEnd"/>
      <w:r w:rsidRPr="008C62E6">
        <w:rPr>
          <w:rFonts w:ascii="Arial" w:hAnsi="Arial" w:cs="Arial"/>
          <w:sz w:val="24"/>
          <w:szCs w:val="24"/>
          <w:lang w:val="en-GB"/>
        </w:rPr>
        <w:t xml:space="preserve"> </w:t>
      </w:r>
      <w:proofErr w:type="spellStart"/>
      <w:r w:rsidRPr="008C62E6">
        <w:rPr>
          <w:rFonts w:ascii="Arial" w:hAnsi="Arial" w:cs="Arial"/>
          <w:sz w:val="24"/>
          <w:szCs w:val="24"/>
          <w:lang w:val="en-GB"/>
        </w:rPr>
        <w:t>Ghisellini</w:t>
      </w:r>
      <w:proofErr w:type="spellEnd"/>
      <w:r w:rsidRPr="008C62E6">
        <w:rPr>
          <w:rFonts w:ascii="Arial" w:hAnsi="Arial" w:cs="Arial"/>
          <w:sz w:val="24"/>
          <w:szCs w:val="24"/>
          <w:lang w:val="en-GB"/>
        </w:rPr>
        <w:t xml:space="preserve"> and </w:t>
      </w:r>
      <w:proofErr w:type="spellStart"/>
      <w:r w:rsidRPr="008C62E6">
        <w:rPr>
          <w:rFonts w:ascii="Arial" w:hAnsi="Arial" w:cs="Arial"/>
          <w:sz w:val="24"/>
          <w:szCs w:val="24"/>
          <w:lang w:val="en-GB"/>
        </w:rPr>
        <w:t>Ulgiati</w:t>
      </w:r>
      <w:proofErr w:type="spellEnd"/>
      <w:r w:rsidRPr="008C62E6">
        <w:rPr>
          <w:rFonts w:ascii="Arial" w:hAnsi="Arial" w:cs="Arial"/>
          <w:sz w:val="24"/>
          <w:szCs w:val="24"/>
          <w:lang w:val="en-GB"/>
        </w:rPr>
        <w:t>, 2020).</w:t>
      </w:r>
    </w:p>
    <w:p w14:paraId="1B9313A6"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The justification for incorporating the circular economy into corporate social responsibility (CSR) strategy is complex and has multiple aspects (Oliveira et al., 2021). Primarily, it tackles the escalating environmental concerns among stakeholders, encompassing guests, staff, and the neighbourhood. Hotels that implement circular economy ideas can differentiate themselves in a competitive market by demonstrating their dedication to sustainable development. Implementing this strategy can bolster company reputation and foster customer loyalty, as customers are progressively favouring organisations that possess robust environmental credentials (Jones and Wynn, 2019). Furthermore, the adoption of circular economy methods can result in significant cost reductions over an extended period. Hotels can decrease operational expenses by enhancing resource utilisation, minimising waste, and enhancing efficiency (Zhang, Joglekar and Verma, 2012). Furthermore, the circular economy aligns with global environmental objectives, especially the United Nations Sustainable Development Goals (SDGs), allowing companies to actively contribute to broader international aims (Rodriguez-Anton et al., 2019</w:t>
      </w:r>
      <w:proofErr w:type="gramStart"/>
      <w:r w:rsidRPr="008C62E6">
        <w:rPr>
          <w:rFonts w:ascii="Arial" w:hAnsi="Arial" w:cs="Arial"/>
          <w:sz w:val="24"/>
          <w:szCs w:val="24"/>
          <w:lang w:val="en-GB"/>
        </w:rPr>
        <w:t>).Furthermore</w:t>
      </w:r>
      <w:proofErr w:type="gramEnd"/>
      <w:r w:rsidRPr="008C62E6">
        <w:rPr>
          <w:rFonts w:ascii="Arial" w:hAnsi="Arial" w:cs="Arial"/>
          <w:sz w:val="24"/>
          <w:szCs w:val="24"/>
          <w:lang w:val="en-GB"/>
        </w:rPr>
        <w:t xml:space="preserve">, the incorporation of circular economy principles into corporate social responsibility (CSR) policies fosters the development of new ideas and originality within the hospitality sector. The phenomenon prompts organisations to reassess their operations, supply chains, and even their business strategies (Rodriguez-Anton et al., 2019). Hotels could potentially implement renewable energy sources, allocate funds </w:t>
      </w:r>
      <w:r w:rsidRPr="008C62E6">
        <w:rPr>
          <w:rFonts w:ascii="Arial" w:hAnsi="Arial" w:cs="Arial"/>
          <w:sz w:val="24"/>
          <w:szCs w:val="24"/>
          <w:lang w:val="en-GB"/>
        </w:rPr>
        <w:lastRenderedPageBreak/>
        <w:t xml:space="preserve">towards energy-efficient appliances, or modify their facilities and services to reduce waste and optimise resource utilisation. These advancements not only promote ecological sustainability but also have the potential to improve the guest experience, providing distinctive selling features for the hotel (Chan, </w:t>
      </w:r>
      <w:proofErr w:type="spellStart"/>
      <w:r w:rsidRPr="008C62E6">
        <w:rPr>
          <w:rFonts w:ascii="Arial" w:hAnsi="Arial" w:cs="Arial"/>
          <w:sz w:val="24"/>
          <w:szCs w:val="24"/>
          <w:lang w:val="en-GB"/>
        </w:rPr>
        <w:t>Okumus</w:t>
      </w:r>
      <w:proofErr w:type="spellEnd"/>
      <w:r w:rsidRPr="008C62E6">
        <w:rPr>
          <w:rFonts w:ascii="Arial" w:hAnsi="Arial" w:cs="Arial"/>
          <w:sz w:val="24"/>
          <w:szCs w:val="24"/>
          <w:lang w:val="en-GB"/>
        </w:rPr>
        <w:t xml:space="preserve"> and Chan, 2016). </w:t>
      </w:r>
    </w:p>
    <w:p w14:paraId="74657D7A"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To summarise, the circular economy presents a pragmatic and inventive structure for the hotel industry to accomplish its corporate social responsibility (CSR) goals. By adopting this strategy, hotels can make substantial progress towards achieving environmental sustainability, economic efficiency, and social responsibility, thus ensuring their position in a more sustainable future.</w:t>
      </w:r>
    </w:p>
    <w:p w14:paraId="748B97AB"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This essay will analyse in the next part the Premier Inn hotel, focusing on its corporate social responsibility efforts, particularly in relation to the circular economy. The following sections will provide an overview of the hotel and its work in this area.</w:t>
      </w:r>
    </w:p>
    <w:p w14:paraId="2A46801F"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Premier Inn, a highly esteemed and well-known hotel brand in the UK, has achieved substantial progress in its Corporate Social Responsibility (CSR) endeavours. Premier Inn, known for its focus on customer satisfaction, has expanded its dedication to include a wider commitment to sustainability and social responsibility (Anesco, 2023). The hotel business, a subsidiary of Whitbread PLC, prioritises minimising its ecological footprint, actively collaborating with the communities it operates in, and safeguarding the welfare of its staff. Premier Inn's corporate social responsibility (CSR) obligations are intricately woven into its business strategy, exemplifying a resolute commitment to environmental conservation, ethical business conduct, and active engagement with the community (Whitbread, 2023). This dedication is not solely a moral decision but also a tactical economic one, in accordance with the increasing customer demand for eco-friendly and socially accountable hospitality services.</w:t>
      </w:r>
    </w:p>
    <w:p w14:paraId="6DADE89F"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 xml:space="preserve">Premier Inn's corporate social responsibility (CSR) strategy is a comprehensive and well-structured framework that prioritises various important aspects, including environmental sustainability, community participation, employee wellbeing, and ethical business practices (Premier Inn, 2023a). An outstanding feature of their corporate social responsibility (CSR) strategy is their unwavering dedication to minimising their environmental footprint. These include efforts focused on reducing energy consumption, optimising water utilisation, and minimising waste output. Premier Inn has made substantial investments in energy-efficient technologies and sustainable </w:t>
      </w:r>
      <w:r w:rsidRPr="008C62E6">
        <w:rPr>
          <w:rFonts w:ascii="Arial" w:hAnsi="Arial" w:cs="Arial"/>
          <w:sz w:val="24"/>
          <w:szCs w:val="24"/>
          <w:lang w:val="en-GB"/>
        </w:rPr>
        <w:lastRenderedPageBreak/>
        <w:t>building designs, resulting in a significant reduction in its carbon footprint (Young, 2023). In addition, the hotel chain actively advocates for and implements recycling and trash management initiatives, both inside its organisation and in partnership with its guests (City to Sea, 2019).</w:t>
      </w:r>
    </w:p>
    <w:p w14:paraId="43C200EA"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Community engagement is a fundamental aspect of Premier Inn's Corporate Social Responsibility (CSR) policy. The hotel actively engages in local community initiatives and philanthropic endeavours, so making significant contributions to the local economy and overall societal welfare. Not only does this reinforce their connections with the community, but it also improves their brand reputation and customer allegiance (</w:t>
      </w:r>
      <w:proofErr w:type="spellStart"/>
      <w:r w:rsidRPr="008C62E6">
        <w:rPr>
          <w:rFonts w:ascii="Arial" w:hAnsi="Arial" w:cs="Arial"/>
          <w:sz w:val="24"/>
          <w:szCs w:val="24"/>
          <w:lang w:val="en-GB"/>
        </w:rPr>
        <w:t>Ljubica</w:t>
      </w:r>
      <w:proofErr w:type="spellEnd"/>
      <w:r w:rsidRPr="008C62E6">
        <w:rPr>
          <w:rFonts w:ascii="Arial" w:hAnsi="Arial" w:cs="Arial"/>
          <w:sz w:val="24"/>
          <w:szCs w:val="24"/>
          <w:lang w:val="en-GB"/>
        </w:rPr>
        <w:t xml:space="preserve"> and </w:t>
      </w:r>
      <w:proofErr w:type="spellStart"/>
      <w:r w:rsidRPr="008C62E6">
        <w:rPr>
          <w:rFonts w:ascii="Arial" w:hAnsi="Arial" w:cs="Arial"/>
          <w:sz w:val="24"/>
          <w:szCs w:val="24"/>
          <w:lang w:val="en-GB"/>
        </w:rPr>
        <w:t>Cvelbar</w:t>
      </w:r>
      <w:proofErr w:type="spellEnd"/>
      <w:r w:rsidRPr="008C62E6">
        <w:rPr>
          <w:rFonts w:ascii="Arial" w:hAnsi="Arial" w:cs="Arial"/>
          <w:sz w:val="24"/>
          <w:szCs w:val="24"/>
          <w:lang w:val="en-GB"/>
        </w:rPr>
        <w:t xml:space="preserve">, 2014). </w:t>
      </w:r>
    </w:p>
    <w:p w14:paraId="04A9F33E"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Premier Inn prioritises the wellbeing of its employees with great importance. Their corporate social responsibility (CSR) policy encompasses activities that prioritise employee development, diversity and inclusion, and workplace safety. Premier Inn's investment in its workers cultivates a motivated, skilled, and contented team, hence augmenting the calibre of service and client experience (Travel and tourism news middle east, 2023).</w:t>
      </w:r>
    </w:p>
    <w:p w14:paraId="06E54A06"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Moreover, Premier Inn's CSR policy places great importance on upholding ethical business practices. This encompasses the maintenance of transparent supply chains, the practice of ethical sourcing of products, and the enforcement of high ethical standards in their company operations. The adherence to ethical principles is essential not only for preserving customer trust but also for conforming to international sustainability benchmarks (Premier Inn, 2023).</w:t>
      </w:r>
    </w:p>
    <w:p w14:paraId="25557A02"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 xml:space="preserve">Premier Inn's corporate social responsibility (CSR) strategy, although extensive in its commitment to sustainability, demonstrates a limited incorporation of circular economy ideas. The hotel's efforts to minimise its environmental footprint, specifically by prioritising energy efficiency and waste reduction, align closely with the core principles of a circular economy, particularly </w:t>
      </w:r>
      <w:proofErr w:type="gramStart"/>
      <w:r w:rsidRPr="008C62E6">
        <w:rPr>
          <w:rFonts w:ascii="Arial" w:hAnsi="Arial" w:cs="Arial"/>
          <w:sz w:val="24"/>
          <w:szCs w:val="24"/>
          <w:lang w:val="en-GB"/>
        </w:rPr>
        <w:t>in regards to</w:t>
      </w:r>
      <w:proofErr w:type="gramEnd"/>
      <w:r w:rsidRPr="008C62E6">
        <w:rPr>
          <w:rFonts w:ascii="Arial" w:hAnsi="Arial" w:cs="Arial"/>
          <w:sz w:val="24"/>
          <w:szCs w:val="24"/>
          <w:lang w:val="en-GB"/>
        </w:rPr>
        <w:t xml:space="preserve"> optimising resource utilisation. Their allocation of resources towards sustainable technology and architectural designs exemplifies a transition towards more sustainable resource utilisation, a pivotal element of the circular economy. In addition, Premier Inn's recycling and trash management initiatives demonstrate a commitment to maintaining the usage of resources, in line with the goal of waste reduction (Premier Inn, 2022).</w:t>
      </w:r>
    </w:p>
    <w:p w14:paraId="5B36708C"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lastRenderedPageBreak/>
        <w:t>Nevertheless, a more profound incorporation of circular economy concepts can be attained by prioritising the elimination of waste from the outset, specifically in procurement procedures. Opting for biodegradable or totally recyclable materials would effectively complete the consumption cycle loop (Mestre and Cooper, 2017). In addition, although Premier Inn has made praiseworthy endeavours in waste management, adopting a more extensive circular economy strategy would require rethinking their supply chains and operational models to prioritise the reuse and refurbishment of products and materials. This would effectively prolong the lifespan of these resources (</w:t>
      </w:r>
      <w:proofErr w:type="spellStart"/>
      <w:r w:rsidRPr="008C62E6">
        <w:rPr>
          <w:rFonts w:ascii="Arial" w:hAnsi="Arial" w:cs="Arial"/>
          <w:sz w:val="24"/>
          <w:szCs w:val="24"/>
          <w:lang w:val="en-GB"/>
        </w:rPr>
        <w:t>Milios</w:t>
      </w:r>
      <w:proofErr w:type="spellEnd"/>
      <w:r w:rsidRPr="008C62E6">
        <w:rPr>
          <w:rFonts w:ascii="Arial" w:hAnsi="Arial" w:cs="Arial"/>
          <w:sz w:val="24"/>
          <w:szCs w:val="24"/>
          <w:lang w:val="en-GB"/>
        </w:rPr>
        <w:t>, 2017).</w:t>
      </w:r>
    </w:p>
    <w:p w14:paraId="5288922F"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Premier Inn's corporate social responsibility (CSR) policy is particularly robust in its dedication to promoting environmental sustainability. The emphasis on mitigating environmental effects by implementing energy-efficient strategies and minimising waste aligns with the objectives of a circular economy. Their active involvement in the community and adherence to ethical business standards enhance their corporate social responsibility (CSR) reputation, promoting strong community relationships that are essential for sustainable practices. The focus on employee welfare is a favourable factor that enhances the social dimension of corporate social responsibility (Premier Inn, 2023b).</w:t>
      </w:r>
    </w:p>
    <w:p w14:paraId="5C5D016B"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Notwithstanding these advantages, the policy demonstrates specific deficiencies. The implementation of circular economy concepts is not comprehensive in its extent. Expanding their strategy to include sustainable procurement and product life cycle management would improve their adoption in a more comprehensive manner (</w:t>
      </w:r>
      <w:proofErr w:type="spellStart"/>
      <w:r w:rsidRPr="008C62E6">
        <w:rPr>
          <w:rFonts w:ascii="Arial" w:hAnsi="Arial" w:cs="Arial"/>
          <w:sz w:val="24"/>
          <w:szCs w:val="24"/>
          <w:lang w:val="en-GB"/>
        </w:rPr>
        <w:t>Milios</w:t>
      </w:r>
      <w:proofErr w:type="spellEnd"/>
      <w:r w:rsidRPr="008C62E6">
        <w:rPr>
          <w:rFonts w:ascii="Arial" w:hAnsi="Arial" w:cs="Arial"/>
          <w:sz w:val="24"/>
          <w:szCs w:val="24"/>
          <w:lang w:val="en-GB"/>
        </w:rPr>
        <w:t xml:space="preserve">, 2017). Furthermore, enhancing the transparency of their corporate social responsibility (CSR) initiatives can be achieved by implementing more comprehensive and frequent reporting. This will enable stakeholders to </w:t>
      </w:r>
      <w:proofErr w:type="gramStart"/>
      <w:r w:rsidRPr="008C62E6">
        <w:rPr>
          <w:rFonts w:ascii="Arial" w:hAnsi="Arial" w:cs="Arial"/>
          <w:sz w:val="24"/>
          <w:szCs w:val="24"/>
          <w:lang w:val="en-GB"/>
        </w:rPr>
        <w:t>more effectively evaluate and provide feedback on the company's sustainability performance (</w:t>
      </w:r>
      <w:proofErr w:type="spellStart"/>
      <w:r w:rsidRPr="008C62E6">
        <w:rPr>
          <w:rFonts w:ascii="Arial" w:hAnsi="Arial" w:cs="Arial"/>
          <w:sz w:val="24"/>
          <w:szCs w:val="24"/>
          <w:lang w:val="en-GB"/>
        </w:rPr>
        <w:t>Zsóka</w:t>
      </w:r>
      <w:proofErr w:type="spellEnd"/>
      <w:r w:rsidRPr="008C62E6">
        <w:rPr>
          <w:rFonts w:ascii="Arial" w:hAnsi="Arial" w:cs="Arial"/>
          <w:sz w:val="24"/>
          <w:szCs w:val="24"/>
          <w:lang w:val="en-GB"/>
        </w:rPr>
        <w:t xml:space="preserve"> and </w:t>
      </w:r>
      <w:proofErr w:type="spellStart"/>
      <w:r w:rsidRPr="008C62E6">
        <w:rPr>
          <w:rFonts w:ascii="Arial" w:hAnsi="Arial" w:cs="Arial"/>
          <w:sz w:val="24"/>
          <w:szCs w:val="24"/>
          <w:lang w:val="en-GB"/>
        </w:rPr>
        <w:t>Vajkai</w:t>
      </w:r>
      <w:proofErr w:type="spellEnd"/>
      <w:r w:rsidRPr="008C62E6">
        <w:rPr>
          <w:rFonts w:ascii="Arial" w:hAnsi="Arial" w:cs="Arial"/>
          <w:sz w:val="24"/>
          <w:szCs w:val="24"/>
          <w:lang w:val="en-GB"/>
        </w:rPr>
        <w:t>, 2018)</w:t>
      </w:r>
      <w:proofErr w:type="gramEnd"/>
      <w:r w:rsidRPr="008C62E6">
        <w:rPr>
          <w:rFonts w:ascii="Arial" w:hAnsi="Arial" w:cs="Arial"/>
          <w:sz w:val="24"/>
          <w:szCs w:val="24"/>
          <w:lang w:val="en-GB"/>
        </w:rPr>
        <w:t xml:space="preserve">. Furthermore, their approach </w:t>
      </w:r>
      <w:proofErr w:type="gramStart"/>
      <w:r w:rsidRPr="008C62E6">
        <w:rPr>
          <w:rFonts w:ascii="Arial" w:hAnsi="Arial" w:cs="Arial"/>
          <w:sz w:val="24"/>
          <w:szCs w:val="24"/>
          <w:lang w:val="en-GB"/>
        </w:rPr>
        <w:t>has the ability to</w:t>
      </w:r>
      <w:proofErr w:type="gramEnd"/>
      <w:r w:rsidRPr="008C62E6">
        <w:rPr>
          <w:rFonts w:ascii="Arial" w:hAnsi="Arial" w:cs="Arial"/>
          <w:sz w:val="24"/>
          <w:szCs w:val="24"/>
          <w:lang w:val="en-GB"/>
        </w:rPr>
        <w:t xml:space="preserve"> foster increased innovation. By adopting circular economy ideas, such as providing services that reduce resource consumption or forming partnerships for resource sharing, businesses can enhance operational efficiency and foster innovation (</w:t>
      </w:r>
      <w:proofErr w:type="spellStart"/>
      <w:r w:rsidRPr="008C62E6">
        <w:rPr>
          <w:rFonts w:ascii="Arial" w:hAnsi="Arial" w:cs="Arial"/>
          <w:sz w:val="24"/>
          <w:szCs w:val="24"/>
          <w:lang w:val="en-GB"/>
        </w:rPr>
        <w:t>Baldassarre</w:t>
      </w:r>
      <w:proofErr w:type="spellEnd"/>
      <w:r w:rsidRPr="008C62E6">
        <w:rPr>
          <w:rFonts w:ascii="Arial" w:hAnsi="Arial" w:cs="Arial"/>
          <w:sz w:val="24"/>
          <w:szCs w:val="24"/>
          <w:lang w:val="en-GB"/>
        </w:rPr>
        <w:t xml:space="preserve"> et al., 2019).</w:t>
      </w:r>
    </w:p>
    <w:p w14:paraId="770C58BC"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 xml:space="preserve">To summarise, Premier Inn's CSR strategy demonstrates a notable dedication to sustainability and social responsibility. However, there is room for further incorporation </w:t>
      </w:r>
      <w:r w:rsidRPr="008C62E6">
        <w:rPr>
          <w:rFonts w:ascii="Arial" w:hAnsi="Arial" w:cs="Arial"/>
          <w:sz w:val="24"/>
          <w:szCs w:val="24"/>
          <w:lang w:val="en-GB"/>
        </w:rPr>
        <w:lastRenderedPageBreak/>
        <w:t>of circular economy ideas. This would not only enhance their efforts towards environmental sustainability but also create opportunities for operational efficiency and business innovation.</w:t>
      </w:r>
    </w:p>
    <w:p w14:paraId="2FB50F98" w14:textId="77777777" w:rsidR="007F792A" w:rsidRPr="008C62E6" w:rsidRDefault="007F792A" w:rsidP="007F792A">
      <w:pPr>
        <w:spacing w:line="360" w:lineRule="auto"/>
        <w:jc w:val="both"/>
        <w:rPr>
          <w:rFonts w:ascii="Arial" w:hAnsi="Arial" w:cs="Arial"/>
          <w:sz w:val="24"/>
          <w:szCs w:val="24"/>
          <w:lang w:val="en-GB"/>
        </w:rPr>
      </w:pPr>
    </w:p>
    <w:p w14:paraId="50241841"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The hotel business is progressively embracing circular economy methods, including significant examples that establish sustainability as the norm.</w:t>
      </w:r>
    </w:p>
    <w:p w14:paraId="13C34DE2"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The Iberostar Group serves as an illustration of a company that has made notable efforts in ocean conservation and sustainable seafood procurement, specifically targeting concerns related to biodiversity and the long-term viability of ecosystems. The "Wave of Change" campaign serves as a compelling illustration of how circular economy techniques can transcend the confines of hotel operations and address wider environmental issues (Leyva and Parra, 2021). However, Premier Inn's CSR policy appears to prioritise energy efficiency and community engagement, rather than placing equal emphasis on larger environmental concerns. Premier Inn could consider implementing broader circular economy efforts, such as sustainable food procurement and ecosystem preservation, to strengthen their corporate social responsibility (CSR) influence.</w:t>
      </w:r>
    </w:p>
    <w:p w14:paraId="468F8987"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In addition, The Hilton Hotel Group has made significant progress in sustainability through its "Travel with Purpose" initiative. Hilton's endeavours in soap recycling and water saving demonstrate a holistic approach to sustainable operations. Premier Inn's soap recycling programme exemplifies ingenuity in the reuse of materials, a fundamental element of the circular economy, beyond their existing norms. The circular economy methods have a substantial impact on the hotel business. Hotels can decrease their impact on the environment and establish higher benchmarks for ethical business operations by implementing these approaches (Culler, 2015). These methods result in significant reductions in waste, water, and energy usage, so helping to conserve natural resources and minimise environmental damage. Furthermore, the adoption of the circular economy approach frequently leads to improved operational efficiencies and cost savings, rendering it a financially appealing strategy. Significantly, it also improves the reputation of the company and fosters customer loyalty, as visitors increasingly favour hotels that exhibit a dedication to environmental stewardship.</w:t>
      </w:r>
    </w:p>
    <w:p w14:paraId="0B9BE340"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lastRenderedPageBreak/>
        <w:t>The case studies of Iberostar Group and Hilton Hotel Group exemplify the various methods by which circular economy principles can be successfully incorporated into hotel operations. These approaches not only provide a substantial contribution to sustainability but also conform to the changing expectations of consumers and stakeholders. By emulating these industry models, Premier Inn can perhaps attain better sustainability and bolster their market position.</w:t>
      </w:r>
    </w:p>
    <w:p w14:paraId="7669D49B"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The examination of Premier Inn's CSR strategy demonstrates a praiseworthy dedication to ecological sustainability, involvement in the community, and the welfare of its employees. Although the policy effectively covers various important aspects of corporate social responsibility (CSR), its incorporation of circular economy ideas, while evident, lacks full development. Premier Inn has achieved significant progress in waste management and energy efficiency. However, there is room for further improvement by implementing a more complete approach to circular economy techniques, namely in sustainable procurement and product life cycle management.</w:t>
      </w:r>
    </w:p>
    <w:p w14:paraId="550E2DA7"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t>Premier Inn, along with the wider hotel sector, finds itself at a pivotal moment when considering the future. Amidst global environmental challenges, it is crucial to adopt more sustainable corporate methods. Through complete adoption of a circular economy model, Premier Inn may significantly improve its corporate social responsibility (CSR) performance, align with worldwide sustainability objectives, and gain a competitive advantage in a market that is becoming more environmentally sensitive. The transition to a circular economy holds the potential to bring about environmental advantages as well as a new model of economic and social accountability for the business. This move signifies a more sustainable and lucrative future for the hospitality sector.</w:t>
      </w:r>
    </w:p>
    <w:p w14:paraId="1BFA3683" w14:textId="77777777" w:rsidR="007F792A" w:rsidRPr="008C62E6" w:rsidRDefault="007F792A" w:rsidP="007F792A">
      <w:pPr>
        <w:spacing w:line="360" w:lineRule="auto"/>
        <w:jc w:val="both"/>
        <w:rPr>
          <w:rFonts w:ascii="Arial" w:hAnsi="Arial" w:cs="Arial"/>
          <w:sz w:val="24"/>
          <w:szCs w:val="24"/>
          <w:lang w:val="en-GB"/>
        </w:rPr>
      </w:pPr>
      <w:r w:rsidRPr="008C62E6">
        <w:rPr>
          <w:rFonts w:ascii="Arial" w:hAnsi="Arial" w:cs="Arial"/>
          <w:sz w:val="24"/>
          <w:szCs w:val="24"/>
          <w:lang w:val="en-GB"/>
        </w:rPr>
        <w:br w:type="page"/>
      </w:r>
    </w:p>
    <w:sdt>
      <w:sdtPr>
        <w:rPr>
          <w:rFonts w:ascii="Arial" w:eastAsiaTheme="minorHAnsi" w:hAnsi="Arial" w:cs="Arial"/>
          <w:color w:val="auto"/>
          <w:kern w:val="0"/>
          <w:sz w:val="24"/>
          <w:szCs w:val="24"/>
          <w:lang w:val="en-US"/>
          <w14:ligatures w14:val="none"/>
        </w:rPr>
        <w:id w:val="97375565"/>
        <w:docPartObj>
          <w:docPartGallery w:val="Bibliographies"/>
          <w:docPartUnique/>
        </w:docPartObj>
      </w:sdtPr>
      <w:sdtContent>
        <w:p w14:paraId="690A0712" w14:textId="77777777" w:rsidR="007F792A" w:rsidRDefault="007F792A" w:rsidP="007F792A">
          <w:pPr>
            <w:pStyle w:val="Heading1"/>
            <w:spacing w:line="360" w:lineRule="auto"/>
            <w:jc w:val="both"/>
            <w:rPr>
              <w:rFonts w:ascii="Arial" w:hAnsi="Arial" w:cs="Arial"/>
              <w:sz w:val="24"/>
              <w:szCs w:val="24"/>
            </w:rPr>
          </w:pPr>
          <w:r w:rsidRPr="008C62E6">
            <w:rPr>
              <w:rFonts w:ascii="Arial" w:hAnsi="Arial" w:cs="Arial"/>
              <w:sz w:val="24"/>
              <w:szCs w:val="24"/>
            </w:rPr>
            <w:t>References</w:t>
          </w:r>
        </w:p>
        <w:p w14:paraId="270E8B56" w14:textId="77777777" w:rsidR="005C4FB1" w:rsidRPr="005C4FB1" w:rsidRDefault="005C4FB1" w:rsidP="005C4FB1">
          <w:pPr>
            <w:rPr>
              <w:lang w:val="en-GB"/>
            </w:rPr>
          </w:pPr>
        </w:p>
        <w:sdt>
          <w:sdtPr>
            <w:rPr>
              <w:rFonts w:ascii="Arial" w:eastAsiaTheme="minorHAnsi" w:hAnsi="Arial" w:cs="Arial"/>
              <w:sz w:val="22"/>
              <w:szCs w:val="26"/>
            </w:rPr>
            <w:id w:val="-573587230"/>
            <w:bibliography/>
          </w:sdtPr>
          <w:sdtContent>
            <w:p w14:paraId="40BE2251"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Anesco</w:t>
              </w:r>
              <w:proofErr w:type="spellEnd"/>
              <w:r w:rsidRPr="008C62E6">
                <w:rPr>
                  <w:rFonts w:ascii="Arial" w:hAnsi="Arial" w:cs="Arial"/>
                </w:rPr>
                <w:t xml:space="preserve"> (2023). </w:t>
              </w:r>
              <w:r w:rsidRPr="008C62E6">
                <w:rPr>
                  <w:rFonts w:ascii="Arial" w:hAnsi="Arial" w:cs="Arial"/>
                  <w:i/>
                  <w:iCs/>
                </w:rPr>
                <w:t>Premier Inn</w:t>
              </w:r>
              <w:r w:rsidRPr="008C62E6">
                <w:rPr>
                  <w:rFonts w:ascii="Arial" w:hAnsi="Arial" w:cs="Arial"/>
                </w:rPr>
                <w:t xml:space="preserve">. [online] </w:t>
              </w:r>
              <w:proofErr w:type="spellStart"/>
              <w:r w:rsidRPr="008C62E6">
                <w:rPr>
                  <w:rFonts w:ascii="Arial" w:hAnsi="Arial" w:cs="Arial"/>
                </w:rPr>
                <w:t>Anesco</w:t>
              </w:r>
              <w:proofErr w:type="spellEnd"/>
              <w:r w:rsidRPr="008C62E6">
                <w:rPr>
                  <w:rFonts w:ascii="Arial" w:hAnsi="Arial" w:cs="Arial"/>
                </w:rPr>
                <w:t>. Available at: https://anesco.com/project/premier-inn/.</w:t>
              </w:r>
            </w:p>
            <w:p w14:paraId="59376307"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Baldassarre</w:t>
              </w:r>
              <w:proofErr w:type="spellEnd"/>
              <w:r w:rsidRPr="008C62E6">
                <w:rPr>
                  <w:rFonts w:ascii="Arial" w:hAnsi="Arial" w:cs="Arial"/>
                </w:rPr>
                <w:t xml:space="preserve">, B., </w:t>
              </w:r>
              <w:proofErr w:type="spellStart"/>
              <w:r w:rsidRPr="008C62E6">
                <w:rPr>
                  <w:rFonts w:ascii="Arial" w:hAnsi="Arial" w:cs="Arial"/>
                </w:rPr>
                <w:t>Schepers</w:t>
              </w:r>
              <w:proofErr w:type="spellEnd"/>
              <w:r w:rsidRPr="008C62E6">
                <w:rPr>
                  <w:rFonts w:ascii="Arial" w:hAnsi="Arial" w:cs="Arial"/>
                </w:rPr>
                <w:t xml:space="preserve">, M., </w:t>
              </w:r>
              <w:proofErr w:type="spellStart"/>
              <w:r w:rsidRPr="008C62E6">
                <w:rPr>
                  <w:rFonts w:ascii="Arial" w:hAnsi="Arial" w:cs="Arial"/>
                </w:rPr>
                <w:t>Bocken</w:t>
              </w:r>
              <w:proofErr w:type="spellEnd"/>
              <w:r w:rsidRPr="008C62E6">
                <w:rPr>
                  <w:rFonts w:ascii="Arial" w:hAnsi="Arial" w:cs="Arial"/>
                </w:rPr>
                <w:t xml:space="preserve">, N., </w:t>
              </w:r>
              <w:proofErr w:type="spellStart"/>
              <w:r w:rsidRPr="008C62E6">
                <w:rPr>
                  <w:rFonts w:ascii="Arial" w:hAnsi="Arial" w:cs="Arial"/>
                </w:rPr>
                <w:t>Cuppen</w:t>
              </w:r>
              <w:proofErr w:type="spellEnd"/>
              <w:r w:rsidRPr="008C62E6">
                <w:rPr>
                  <w:rFonts w:ascii="Arial" w:hAnsi="Arial" w:cs="Arial"/>
                </w:rPr>
                <w:t xml:space="preserve">, E., </w:t>
              </w:r>
              <w:proofErr w:type="spellStart"/>
              <w:r w:rsidRPr="008C62E6">
                <w:rPr>
                  <w:rFonts w:ascii="Arial" w:hAnsi="Arial" w:cs="Arial"/>
                </w:rPr>
                <w:t>Korevaar</w:t>
              </w:r>
              <w:proofErr w:type="spellEnd"/>
              <w:r w:rsidRPr="008C62E6">
                <w:rPr>
                  <w:rFonts w:ascii="Arial" w:hAnsi="Arial" w:cs="Arial"/>
                </w:rPr>
                <w:t xml:space="preserve">, G. and </w:t>
              </w:r>
              <w:proofErr w:type="spellStart"/>
              <w:r w:rsidRPr="008C62E6">
                <w:rPr>
                  <w:rFonts w:ascii="Arial" w:hAnsi="Arial" w:cs="Arial"/>
                </w:rPr>
                <w:t>Calabretta</w:t>
              </w:r>
              <w:proofErr w:type="spellEnd"/>
              <w:r w:rsidRPr="008C62E6">
                <w:rPr>
                  <w:rFonts w:ascii="Arial" w:hAnsi="Arial" w:cs="Arial"/>
                </w:rPr>
                <w:t xml:space="preserve">, G. (2019). Industrial Symbiosis: towards a design process for eco-industrial clusters by integrating Circular Economy and Industrial Ecology perspectives. </w:t>
              </w:r>
              <w:r w:rsidRPr="008C62E6">
                <w:rPr>
                  <w:rFonts w:ascii="Arial" w:hAnsi="Arial" w:cs="Arial"/>
                  <w:i/>
                  <w:iCs/>
                </w:rPr>
                <w:t>Journal of Cleaner Production</w:t>
              </w:r>
              <w:r w:rsidRPr="008C62E6">
                <w:rPr>
                  <w:rFonts w:ascii="Arial" w:hAnsi="Arial" w:cs="Arial"/>
                </w:rPr>
                <w:t xml:space="preserve">, [online] 216, pp.446–460. </w:t>
              </w:r>
              <w:proofErr w:type="spellStart"/>
              <w:proofErr w:type="gramStart"/>
              <w:r w:rsidRPr="008C62E6">
                <w:rPr>
                  <w:rFonts w:ascii="Arial" w:hAnsi="Arial" w:cs="Arial"/>
                </w:rPr>
                <w:t>doi:https</w:t>
              </w:r>
              <w:proofErr w:type="spellEnd"/>
              <w:r w:rsidRPr="008C62E6">
                <w:rPr>
                  <w:rFonts w:ascii="Arial" w:hAnsi="Arial" w:cs="Arial"/>
                </w:rPr>
                <w:t>://doi.org/10.1016/j.jclepro.2019.01.091</w:t>
              </w:r>
              <w:proofErr w:type="gramEnd"/>
              <w:r w:rsidRPr="008C62E6">
                <w:rPr>
                  <w:rFonts w:ascii="Arial" w:hAnsi="Arial" w:cs="Arial"/>
                </w:rPr>
                <w:t>.</w:t>
              </w:r>
            </w:p>
            <w:p w14:paraId="3CDEE912"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Chan, E.S.W., </w:t>
              </w:r>
              <w:proofErr w:type="spellStart"/>
              <w:r w:rsidRPr="008C62E6">
                <w:rPr>
                  <w:rFonts w:ascii="Arial" w:hAnsi="Arial" w:cs="Arial"/>
                </w:rPr>
                <w:t>Okumus</w:t>
              </w:r>
              <w:proofErr w:type="spellEnd"/>
              <w:r w:rsidRPr="008C62E6">
                <w:rPr>
                  <w:rFonts w:ascii="Arial" w:hAnsi="Arial" w:cs="Arial"/>
                </w:rPr>
                <w:t xml:space="preserve">, F. and Chan, W. (2016). The Applications of Environmental Technologies in Hotels. </w:t>
              </w:r>
              <w:r w:rsidRPr="008C62E6">
                <w:rPr>
                  <w:rFonts w:ascii="Arial" w:hAnsi="Arial" w:cs="Arial"/>
                  <w:i/>
                  <w:iCs/>
                </w:rPr>
                <w:t>Journal of Hospitality Marketing &amp; Management</w:t>
              </w:r>
              <w:r w:rsidRPr="008C62E6">
                <w:rPr>
                  <w:rFonts w:ascii="Arial" w:hAnsi="Arial" w:cs="Arial"/>
                </w:rPr>
                <w:t xml:space="preserve">, 26(1), pp.23–47. </w:t>
              </w:r>
              <w:proofErr w:type="spellStart"/>
              <w:proofErr w:type="gramStart"/>
              <w:r w:rsidRPr="008C62E6">
                <w:rPr>
                  <w:rFonts w:ascii="Arial" w:hAnsi="Arial" w:cs="Arial"/>
                </w:rPr>
                <w:t>doi:https</w:t>
              </w:r>
              <w:proofErr w:type="spellEnd"/>
              <w:r w:rsidRPr="008C62E6">
                <w:rPr>
                  <w:rFonts w:ascii="Arial" w:hAnsi="Arial" w:cs="Arial"/>
                </w:rPr>
                <w:t>://doi.org/10.1080/19368623.2016.1176975</w:t>
              </w:r>
              <w:proofErr w:type="gramEnd"/>
              <w:r w:rsidRPr="008C62E6">
                <w:rPr>
                  <w:rFonts w:ascii="Arial" w:hAnsi="Arial" w:cs="Arial"/>
                </w:rPr>
                <w:t>.</w:t>
              </w:r>
            </w:p>
            <w:p w14:paraId="4EA03619"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City to Sea (2019). </w:t>
              </w:r>
              <w:r w:rsidRPr="008C62E6">
                <w:rPr>
                  <w:rFonts w:ascii="Arial" w:hAnsi="Arial" w:cs="Arial"/>
                  <w:i/>
                  <w:iCs/>
                </w:rPr>
                <w:t xml:space="preserve">Plastic </w:t>
              </w:r>
              <w:proofErr w:type="spellStart"/>
              <w:r w:rsidRPr="008C62E6">
                <w:rPr>
                  <w:rFonts w:ascii="Arial" w:hAnsi="Arial" w:cs="Arial"/>
                  <w:i/>
                  <w:iCs/>
                </w:rPr>
                <w:t>FreeTravel</w:t>
              </w:r>
              <w:proofErr w:type="spellEnd"/>
              <w:r w:rsidRPr="008C62E6">
                <w:rPr>
                  <w:rFonts w:ascii="Arial" w:hAnsi="Arial" w:cs="Arial"/>
                  <w:i/>
                  <w:iCs/>
                </w:rPr>
                <w:t xml:space="preserve"> Case Study – Premier </w:t>
              </w:r>
              <w:proofErr w:type="gramStart"/>
              <w:r w:rsidRPr="008C62E6">
                <w:rPr>
                  <w:rFonts w:ascii="Arial" w:hAnsi="Arial" w:cs="Arial"/>
                  <w:i/>
                  <w:iCs/>
                </w:rPr>
                <w:t xml:space="preserve">Inn </w:t>
              </w:r>
              <w:r w:rsidRPr="008C62E6">
                <w:rPr>
                  <w:rFonts w:ascii="Arial" w:hAnsi="Arial" w:cs="Arial"/>
                </w:rPr>
                <w:t>.</w:t>
              </w:r>
              <w:proofErr w:type="gramEnd"/>
              <w:r w:rsidRPr="008C62E6">
                <w:rPr>
                  <w:rFonts w:ascii="Arial" w:hAnsi="Arial" w:cs="Arial"/>
                </w:rPr>
                <w:t xml:space="preserve"> [online] City to Sea. Available at: https://www.citytosea.org.uk/plasticfreetravel-case-study-premier-inn/.</w:t>
              </w:r>
            </w:p>
            <w:p w14:paraId="73483FC3"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Culler, C. (2015). Good Works: The Topoi of Corporate Social Responsibility in the Travel and Tourism Industry. </w:t>
              </w:r>
              <w:r w:rsidRPr="008C62E6">
                <w:rPr>
                  <w:rFonts w:ascii="Arial" w:hAnsi="Arial" w:cs="Arial"/>
                  <w:i/>
                  <w:iCs/>
                </w:rPr>
                <w:t>Electronic Theses and Dissertations</w:t>
              </w:r>
              <w:r w:rsidRPr="008C62E6">
                <w:rPr>
                  <w:rFonts w:ascii="Arial" w:hAnsi="Arial" w:cs="Arial"/>
                </w:rPr>
                <w:t>. [online] Available at: https://stars.library.ucf.edu/etd/1449/.</w:t>
              </w:r>
            </w:p>
            <w:p w14:paraId="35C2FE26"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Huang, Y. and Hands, D. (2022). </w:t>
              </w:r>
              <w:proofErr w:type="spellStart"/>
              <w:r w:rsidRPr="008C62E6">
                <w:rPr>
                  <w:rFonts w:ascii="Arial" w:hAnsi="Arial" w:cs="Arial"/>
                </w:rPr>
                <w:t>Organisational</w:t>
              </w:r>
              <w:proofErr w:type="spellEnd"/>
              <w:r w:rsidRPr="008C62E6">
                <w:rPr>
                  <w:rFonts w:ascii="Arial" w:hAnsi="Arial" w:cs="Arial"/>
                </w:rPr>
                <w:t xml:space="preserve"> Complexity and Change by Design. </w:t>
              </w:r>
              <w:r w:rsidRPr="008C62E6">
                <w:rPr>
                  <w:rFonts w:ascii="Arial" w:hAnsi="Arial" w:cs="Arial"/>
                  <w:i/>
                  <w:iCs/>
                </w:rPr>
                <w:t>Design Thinking for New Business Contexts</w:t>
              </w:r>
              <w:r w:rsidRPr="008C62E6">
                <w:rPr>
                  <w:rFonts w:ascii="Arial" w:hAnsi="Arial" w:cs="Arial"/>
                </w:rPr>
                <w:t xml:space="preserve">, pp.53–76. </w:t>
              </w:r>
              <w:proofErr w:type="spellStart"/>
              <w:proofErr w:type="gramStart"/>
              <w:r w:rsidRPr="008C62E6">
                <w:rPr>
                  <w:rFonts w:ascii="Arial" w:hAnsi="Arial" w:cs="Arial"/>
                </w:rPr>
                <w:t>doi:https</w:t>
              </w:r>
              <w:proofErr w:type="spellEnd"/>
              <w:r w:rsidRPr="008C62E6">
                <w:rPr>
                  <w:rFonts w:ascii="Arial" w:hAnsi="Arial" w:cs="Arial"/>
                </w:rPr>
                <w:t>://doi.org/10.1007/978-3-030-94206-9_4</w:t>
              </w:r>
              <w:proofErr w:type="gramEnd"/>
              <w:r w:rsidRPr="008C62E6">
                <w:rPr>
                  <w:rFonts w:ascii="Arial" w:hAnsi="Arial" w:cs="Arial"/>
                </w:rPr>
                <w:t>.</w:t>
              </w:r>
            </w:p>
            <w:p w14:paraId="149CB746"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Jones, </w:t>
              </w:r>
              <w:proofErr w:type="gramStart"/>
              <w:r w:rsidRPr="008C62E6">
                <w:rPr>
                  <w:rFonts w:ascii="Arial" w:hAnsi="Arial" w:cs="Arial"/>
                </w:rPr>
                <w:t>P.</w:t>
              </w:r>
              <w:proofErr w:type="gramEnd"/>
              <w:r w:rsidRPr="008C62E6">
                <w:rPr>
                  <w:rFonts w:ascii="Arial" w:hAnsi="Arial" w:cs="Arial"/>
                </w:rPr>
                <w:t xml:space="preserve"> and Wynn, M.G. (2019). The circular economy, natural capital and resilience in tourism and hospitality. </w:t>
              </w:r>
              <w:r w:rsidRPr="008C62E6">
                <w:rPr>
                  <w:rFonts w:ascii="Arial" w:hAnsi="Arial" w:cs="Arial"/>
                  <w:i/>
                  <w:iCs/>
                </w:rPr>
                <w:t>International Journal of Contemporary Hospitality Management</w:t>
              </w:r>
              <w:r w:rsidRPr="008C62E6">
                <w:rPr>
                  <w:rFonts w:ascii="Arial" w:hAnsi="Arial" w:cs="Arial"/>
                </w:rPr>
                <w:t xml:space="preserve">, 31(6). </w:t>
              </w:r>
              <w:proofErr w:type="spellStart"/>
              <w:proofErr w:type="gramStart"/>
              <w:r w:rsidRPr="008C62E6">
                <w:rPr>
                  <w:rFonts w:ascii="Arial" w:hAnsi="Arial" w:cs="Arial"/>
                </w:rPr>
                <w:t>doi:https</w:t>
              </w:r>
              <w:proofErr w:type="spellEnd"/>
              <w:r w:rsidRPr="008C62E6">
                <w:rPr>
                  <w:rFonts w:ascii="Arial" w:hAnsi="Arial" w:cs="Arial"/>
                </w:rPr>
                <w:t>://doi.org/10.1108/ijchm-05-2018-0370</w:t>
              </w:r>
              <w:proofErr w:type="gramEnd"/>
              <w:r w:rsidRPr="008C62E6">
                <w:rPr>
                  <w:rFonts w:ascii="Arial" w:hAnsi="Arial" w:cs="Arial"/>
                </w:rPr>
                <w:t>.</w:t>
              </w:r>
            </w:p>
            <w:p w14:paraId="5B2FA622"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Leyva, E.S. and Parra, D.P. (2021). Environmental approach in the hotel industry: Riding the wave of change. </w:t>
              </w:r>
              <w:r w:rsidRPr="008C62E6">
                <w:rPr>
                  <w:rFonts w:ascii="Arial" w:hAnsi="Arial" w:cs="Arial"/>
                  <w:i/>
                  <w:iCs/>
                </w:rPr>
                <w:t>Sustainable Futures</w:t>
              </w:r>
              <w:r w:rsidRPr="008C62E6">
                <w:rPr>
                  <w:rFonts w:ascii="Arial" w:hAnsi="Arial" w:cs="Arial"/>
                </w:rPr>
                <w:t xml:space="preserve">, [online] 3, p.100050. </w:t>
              </w:r>
              <w:proofErr w:type="spellStart"/>
              <w:proofErr w:type="gramStart"/>
              <w:r w:rsidRPr="008C62E6">
                <w:rPr>
                  <w:rFonts w:ascii="Arial" w:hAnsi="Arial" w:cs="Arial"/>
                </w:rPr>
                <w:t>doi:https</w:t>
              </w:r>
              <w:proofErr w:type="spellEnd"/>
              <w:r w:rsidRPr="008C62E6">
                <w:rPr>
                  <w:rFonts w:ascii="Arial" w:hAnsi="Arial" w:cs="Arial"/>
                </w:rPr>
                <w:t>://doi.org/10.1016/j.sftr.2021.100050</w:t>
              </w:r>
              <w:proofErr w:type="gramEnd"/>
              <w:r w:rsidRPr="008C62E6">
                <w:rPr>
                  <w:rFonts w:ascii="Arial" w:hAnsi="Arial" w:cs="Arial"/>
                </w:rPr>
                <w:t>.</w:t>
              </w:r>
            </w:p>
            <w:p w14:paraId="4E055EE9"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Ljubica</w:t>
              </w:r>
              <w:proofErr w:type="spellEnd"/>
              <w:r w:rsidRPr="008C62E6">
                <w:rPr>
                  <w:rFonts w:ascii="Arial" w:hAnsi="Arial" w:cs="Arial"/>
                </w:rPr>
                <w:t xml:space="preserve">, K. and </w:t>
              </w:r>
              <w:proofErr w:type="spellStart"/>
              <w:r w:rsidRPr="008C62E6">
                <w:rPr>
                  <w:rFonts w:ascii="Arial" w:hAnsi="Arial" w:cs="Arial"/>
                </w:rPr>
                <w:t>Cvelbar</w:t>
              </w:r>
              <w:proofErr w:type="spellEnd"/>
              <w:r w:rsidRPr="008C62E6">
                <w:rPr>
                  <w:rFonts w:ascii="Arial" w:hAnsi="Arial" w:cs="Arial"/>
                </w:rPr>
                <w:t xml:space="preserve"> (2014). </w:t>
              </w:r>
              <w:r w:rsidRPr="008C62E6">
                <w:rPr>
                  <w:rFonts w:ascii="Arial" w:hAnsi="Arial" w:cs="Arial"/>
                  <w:i/>
                  <w:iCs/>
                </w:rPr>
                <w:t xml:space="preserve">CORPORATE SOCIAL RESPONSIBILITY PRACTICES IN INTERNATIONAL HOTEL CHAINS: A WEB CONTENT ANALYSIS </w:t>
              </w:r>
              <w:proofErr w:type="gramStart"/>
              <w:r w:rsidRPr="008C62E6">
                <w:rPr>
                  <w:rFonts w:ascii="Arial" w:hAnsi="Arial" w:cs="Arial"/>
                  <w:i/>
                  <w:iCs/>
                </w:rPr>
                <w:lastRenderedPageBreak/>
                <w:t>July,</w:t>
              </w:r>
              <w:proofErr w:type="gramEnd"/>
              <w:r w:rsidRPr="008C62E6">
                <w:rPr>
                  <w:rFonts w:ascii="Arial" w:hAnsi="Arial" w:cs="Arial"/>
                  <w:i/>
                  <w:iCs/>
                </w:rPr>
                <w:t xml:space="preserve"> 30 </w:t>
              </w:r>
              <w:proofErr w:type="spellStart"/>
              <w:r w:rsidRPr="008C62E6">
                <w:rPr>
                  <w:rFonts w:ascii="Arial" w:hAnsi="Arial" w:cs="Arial"/>
                  <w:i/>
                  <w:iCs/>
                </w:rPr>
                <w:t>th</w:t>
              </w:r>
              <w:proofErr w:type="spellEnd"/>
              <w:r w:rsidRPr="008C62E6">
                <w:rPr>
                  <w:rFonts w:ascii="Arial" w:hAnsi="Arial" w:cs="Arial"/>
                  <w:i/>
                  <w:iCs/>
                </w:rPr>
                <w:t xml:space="preserve"> 2014 MAJA ČERNEC</w:t>
              </w:r>
              <w:r w:rsidRPr="008C62E6">
                <w:rPr>
                  <w:rFonts w:ascii="Arial" w:hAnsi="Arial" w:cs="Arial"/>
                </w:rPr>
                <w:t>. [online] Available at: http://www.cek.ef.uni-lj.si/magister/Cernec1527-B.pdf.</w:t>
              </w:r>
            </w:p>
            <w:p w14:paraId="3F16F473"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Mestre, A. and Cooper, T. (2017). Circular Product Design. A Multiple Loops Life Cycle Design Approach for the Circular Economy. </w:t>
              </w:r>
              <w:r w:rsidRPr="008C62E6">
                <w:rPr>
                  <w:rFonts w:ascii="Arial" w:hAnsi="Arial" w:cs="Arial"/>
                  <w:i/>
                  <w:iCs/>
                </w:rPr>
                <w:t>The Design Journal</w:t>
              </w:r>
              <w:r w:rsidRPr="008C62E6">
                <w:rPr>
                  <w:rFonts w:ascii="Arial" w:hAnsi="Arial" w:cs="Arial"/>
                </w:rPr>
                <w:t xml:space="preserve">, 20(sup1), </w:t>
              </w:r>
              <w:proofErr w:type="gramStart"/>
              <w:r w:rsidRPr="008C62E6">
                <w:rPr>
                  <w:rFonts w:ascii="Arial" w:hAnsi="Arial" w:cs="Arial"/>
                </w:rPr>
                <w:t>pp.S</w:t>
              </w:r>
              <w:proofErr w:type="gramEnd"/>
              <w:r w:rsidRPr="008C62E6">
                <w:rPr>
                  <w:rFonts w:ascii="Arial" w:hAnsi="Arial" w:cs="Arial"/>
                </w:rPr>
                <w:t xml:space="preserve">1620–S1635. </w:t>
              </w:r>
              <w:proofErr w:type="spellStart"/>
              <w:proofErr w:type="gramStart"/>
              <w:r w:rsidRPr="008C62E6">
                <w:rPr>
                  <w:rFonts w:ascii="Arial" w:hAnsi="Arial" w:cs="Arial"/>
                </w:rPr>
                <w:t>doi:https</w:t>
              </w:r>
              <w:proofErr w:type="spellEnd"/>
              <w:r w:rsidRPr="008C62E6">
                <w:rPr>
                  <w:rFonts w:ascii="Arial" w:hAnsi="Arial" w:cs="Arial"/>
                </w:rPr>
                <w:t>://doi.org/10.1080/14606925.2017.1352686</w:t>
              </w:r>
              <w:proofErr w:type="gramEnd"/>
              <w:r w:rsidRPr="008C62E6">
                <w:rPr>
                  <w:rFonts w:ascii="Arial" w:hAnsi="Arial" w:cs="Arial"/>
                </w:rPr>
                <w:t>.</w:t>
              </w:r>
            </w:p>
            <w:p w14:paraId="6EACB784"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Milios</w:t>
              </w:r>
              <w:proofErr w:type="spellEnd"/>
              <w:r w:rsidRPr="008C62E6">
                <w:rPr>
                  <w:rFonts w:ascii="Arial" w:hAnsi="Arial" w:cs="Arial"/>
                </w:rPr>
                <w:t xml:space="preserve">, L. (2017). Advancing to a Circular Economy: three essential ingredients for a comprehensive policy mix. </w:t>
              </w:r>
              <w:r w:rsidRPr="008C62E6">
                <w:rPr>
                  <w:rFonts w:ascii="Arial" w:hAnsi="Arial" w:cs="Arial"/>
                  <w:i/>
                  <w:iCs/>
                </w:rPr>
                <w:t>Sustainability Science</w:t>
              </w:r>
              <w:r w:rsidRPr="008C62E6">
                <w:rPr>
                  <w:rFonts w:ascii="Arial" w:hAnsi="Arial" w:cs="Arial"/>
                </w:rPr>
                <w:t xml:space="preserve">, 13(3), pp.861–878. </w:t>
              </w:r>
              <w:proofErr w:type="spellStart"/>
              <w:proofErr w:type="gramStart"/>
              <w:r w:rsidRPr="008C62E6">
                <w:rPr>
                  <w:rFonts w:ascii="Arial" w:hAnsi="Arial" w:cs="Arial"/>
                </w:rPr>
                <w:t>doi:https</w:t>
              </w:r>
              <w:proofErr w:type="spellEnd"/>
              <w:r w:rsidRPr="008C62E6">
                <w:rPr>
                  <w:rFonts w:ascii="Arial" w:hAnsi="Arial" w:cs="Arial"/>
                </w:rPr>
                <w:t>://doi.org/10.1007/s11625-017-0502-9</w:t>
              </w:r>
              <w:proofErr w:type="gramEnd"/>
              <w:r w:rsidRPr="008C62E6">
                <w:rPr>
                  <w:rFonts w:ascii="Arial" w:hAnsi="Arial" w:cs="Arial"/>
                </w:rPr>
                <w:t>.</w:t>
              </w:r>
            </w:p>
            <w:p w14:paraId="730937B0"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Morseletto</w:t>
              </w:r>
              <w:proofErr w:type="spellEnd"/>
              <w:r w:rsidRPr="008C62E6">
                <w:rPr>
                  <w:rFonts w:ascii="Arial" w:hAnsi="Arial" w:cs="Arial"/>
                </w:rPr>
                <w:t xml:space="preserve">, P. (2020). Restorative and regenerative: Exploring the concepts in the circular economy. </w:t>
              </w:r>
              <w:r w:rsidRPr="008C62E6">
                <w:rPr>
                  <w:rFonts w:ascii="Arial" w:hAnsi="Arial" w:cs="Arial"/>
                  <w:i/>
                  <w:iCs/>
                </w:rPr>
                <w:t>Journal of Industrial Ecology</w:t>
              </w:r>
              <w:r w:rsidRPr="008C62E6">
                <w:rPr>
                  <w:rFonts w:ascii="Arial" w:hAnsi="Arial" w:cs="Arial"/>
                </w:rPr>
                <w:t xml:space="preserve">, 24(4). </w:t>
              </w:r>
              <w:proofErr w:type="spellStart"/>
              <w:proofErr w:type="gramStart"/>
              <w:r w:rsidRPr="008C62E6">
                <w:rPr>
                  <w:rFonts w:ascii="Arial" w:hAnsi="Arial" w:cs="Arial"/>
                </w:rPr>
                <w:t>doi:https</w:t>
              </w:r>
              <w:proofErr w:type="spellEnd"/>
              <w:r w:rsidRPr="008C62E6">
                <w:rPr>
                  <w:rFonts w:ascii="Arial" w:hAnsi="Arial" w:cs="Arial"/>
                </w:rPr>
                <w:t>://doi.org/10.1111/jiec.12987</w:t>
              </w:r>
              <w:proofErr w:type="gramEnd"/>
              <w:r w:rsidRPr="008C62E6">
                <w:rPr>
                  <w:rFonts w:ascii="Arial" w:hAnsi="Arial" w:cs="Arial"/>
                </w:rPr>
                <w:t>.</w:t>
              </w:r>
            </w:p>
            <w:p w14:paraId="43AA5B24"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Murray, A., Skene, K. and Haynes, K. (2017). The Circular Economy: An Interdisciplinary Exploration of the Concept and Application in a Global Context. </w:t>
              </w:r>
              <w:r w:rsidRPr="008C62E6">
                <w:rPr>
                  <w:rFonts w:ascii="Arial" w:hAnsi="Arial" w:cs="Arial"/>
                  <w:i/>
                  <w:iCs/>
                </w:rPr>
                <w:t>Journal of Business Ethics</w:t>
              </w:r>
              <w:r w:rsidRPr="008C62E6">
                <w:rPr>
                  <w:rFonts w:ascii="Arial" w:hAnsi="Arial" w:cs="Arial"/>
                </w:rPr>
                <w:t>, 140(3), pp.369–380.</w:t>
              </w:r>
            </w:p>
            <w:p w14:paraId="797745D2"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Oliveira, M., Miguel, M., van </w:t>
              </w:r>
              <w:proofErr w:type="spellStart"/>
              <w:r w:rsidRPr="008C62E6">
                <w:rPr>
                  <w:rFonts w:ascii="Arial" w:hAnsi="Arial" w:cs="Arial"/>
                </w:rPr>
                <w:t>Langen</w:t>
              </w:r>
              <w:proofErr w:type="spellEnd"/>
              <w:r w:rsidRPr="008C62E6">
                <w:rPr>
                  <w:rFonts w:ascii="Arial" w:hAnsi="Arial" w:cs="Arial"/>
                </w:rPr>
                <w:t xml:space="preserve">, S.K., Ncube, A., </w:t>
              </w:r>
              <w:proofErr w:type="spellStart"/>
              <w:r w:rsidRPr="008C62E6">
                <w:rPr>
                  <w:rFonts w:ascii="Arial" w:hAnsi="Arial" w:cs="Arial"/>
                </w:rPr>
                <w:t>Zucaro</w:t>
              </w:r>
              <w:proofErr w:type="spellEnd"/>
              <w:r w:rsidRPr="008C62E6">
                <w:rPr>
                  <w:rFonts w:ascii="Arial" w:hAnsi="Arial" w:cs="Arial"/>
                </w:rPr>
                <w:t xml:space="preserve">, A., </w:t>
              </w:r>
              <w:proofErr w:type="spellStart"/>
              <w:r w:rsidRPr="008C62E6">
                <w:rPr>
                  <w:rFonts w:ascii="Arial" w:hAnsi="Arial" w:cs="Arial"/>
                </w:rPr>
                <w:t>Fiorentino</w:t>
              </w:r>
              <w:proofErr w:type="spellEnd"/>
              <w:r w:rsidRPr="008C62E6">
                <w:rPr>
                  <w:rFonts w:ascii="Arial" w:hAnsi="Arial" w:cs="Arial"/>
                </w:rPr>
                <w:t xml:space="preserve">, G., </w:t>
              </w:r>
              <w:proofErr w:type="spellStart"/>
              <w:r w:rsidRPr="008C62E6">
                <w:rPr>
                  <w:rFonts w:ascii="Arial" w:hAnsi="Arial" w:cs="Arial"/>
                </w:rPr>
                <w:t>Passaro</w:t>
              </w:r>
              <w:proofErr w:type="spellEnd"/>
              <w:r w:rsidRPr="008C62E6">
                <w:rPr>
                  <w:rFonts w:ascii="Arial" w:hAnsi="Arial" w:cs="Arial"/>
                </w:rPr>
                <w:t xml:space="preserve">, R., </w:t>
              </w:r>
              <w:proofErr w:type="spellStart"/>
              <w:r w:rsidRPr="008C62E6">
                <w:rPr>
                  <w:rFonts w:ascii="Arial" w:hAnsi="Arial" w:cs="Arial"/>
                </w:rPr>
                <w:t>Santagata</w:t>
              </w:r>
              <w:proofErr w:type="spellEnd"/>
              <w:r w:rsidRPr="008C62E6">
                <w:rPr>
                  <w:rFonts w:ascii="Arial" w:hAnsi="Arial" w:cs="Arial"/>
                </w:rPr>
                <w:t xml:space="preserve">, R., Coleman, N., Lowe, B.H., </w:t>
              </w:r>
              <w:proofErr w:type="spellStart"/>
              <w:r w:rsidRPr="008C62E6">
                <w:rPr>
                  <w:rFonts w:ascii="Arial" w:hAnsi="Arial" w:cs="Arial"/>
                </w:rPr>
                <w:t>Ulgiati</w:t>
              </w:r>
              <w:proofErr w:type="spellEnd"/>
              <w:r w:rsidRPr="008C62E6">
                <w:rPr>
                  <w:rFonts w:ascii="Arial" w:hAnsi="Arial" w:cs="Arial"/>
                </w:rPr>
                <w:t xml:space="preserve">, S. and Genovese, A. (2021). Circular Economy and the Transition to a Sustainable Society: Integrated Assessment Methods for a New Paradigm. </w:t>
              </w:r>
              <w:r w:rsidRPr="008C62E6">
                <w:rPr>
                  <w:rFonts w:ascii="Arial" w:hAnsi="Arial" w:cs="Arial"/>
                  <w:i/>
                  <w:iCs/>
                </w:rPr>
                <w:t>Circular Economy and Sustainability</w:t>
              </w:r>
              <w:r w:rsidRPr="008C62E6">
                <w:rPr>
                  <w:rFonts w:ascii="Arial" w:hAnsi="Arial" w:cs="Arial"/>
                </w:rPr>
                <w:t xml:space="preserve">. </w:t>
              </w:r>
              <w:proofErr w:type="spellStart"/>
              <w:proofErr w:type="gramStart"/>
              <w:r w:rsidRPr="008C62E6">
                <w:rPr>
                  <w:rFonts w:ascii="Arial" w:hAnsi="Arial" w:cs="Arial"/>
                </w:rPr>
                <w:t>doi:https</w:t>
              </w:r>
              <w:proofErr w:type="spellEnd"/>
              <w:r w:rsidRPr="008C62E6">
                <w:rPr>
                  <w:rFonts w:ascii="Arial" w:hAnsi="Arial" w:cs="Arial"/>
                </w:rPr>
                <w:t>://doi.org/10.1007/s43615-021-00019-y</w:t>
              </w:r>
              <w:proofErr w:type="gramEnd"/>
              <w:r w:rsidRPr="008C62E6">
                <w:rPr>
                  <w:rFonts w:ascii="Arial" w:hAnsi="Arial" w:cs="Arial"/>
                </w:rPr>
                <w:t>.</w:t>
              </w:r>
            </w:p>
            <w:p w14:paraId="6FBE9002"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Patrizia</w:t>
              </w:r>
              <w:proofErr w:type="spellEnd"/>
              <w:r w:rsidRPr="008C62E6">
                <w:rPr>
                  <w:rFonts w:ascii="Arial" w:hAnsi="Arial" w:cs="Arial"/>
                </w:rPr>
                <w:t xml:space="preserve"> </w:t>
              </w:r>
              <w:proofErr w:type="spellStart"/>
              <w:r w:rsidRPr="008C62E6">
                <w:rPr>
                  <w:rFonts w:ascii="Arial" w:hAnsi="Arial" w:cs="Arial"/>
                </w:rPr>
                <w:t>Ghisellini</w:t>
              </w:r>
              <w:proofErr w:type="spellEnd"/>
              <w:r w:rsidRPr="008C62E6">
                <w:rPr>
                  <w:rFonts w:ascii="Arial" w:hAnsi="Arial" w:cs="Arial"/>
                </w:rPr>
                <w:t xml:space="preserve"> and </w:t>
              </w:r>
              <w:proofErr w:type="spellStart"/>
              <w:r w:rsidRPr="008C62E6">
                <w:rPr>
                  <w:rFonts w:ascii="Arial" w:hAnsi="Arial" w:cs="Arial"/>
                </w:rPr>
                <w:t>Ulgiati</w:t>
              </w:r>
              <w:proofErr w:type="spellEnd"/>
              <w:r w:rsidRPr="008C62E6">
                <w:rPr>
                  <w:rFonts w:ascii="Arial" w:hAnsi="Arial" w:cs="Arial"/>
                </w:rPr>
                <w:t xml:space="preserve">, S. (2020). Managing the transition to the circular economy. </w:t>
              </w:r>
              <w:proofErr w:type="spellStart"/>
              <w:proofErr w:type="gramStart"/>
              <w:r w:rsidRPr="008C62E6">
                <w:rPr>
                  <w:rFonts w:ascii="Arial" w:hAnsi="Arial" w:cs="Arial"/>
                </w:rPr>
                <w:t>doi:https</w:t>
              </w:r>
              <w:proofErr w:type="spellEnd"/>
              <w:r w:rsidRPr="008C62E6">
                <w:rPr>
                  <w:rFonts w:ascii="Arial" w:hAnsi="Arial" w:cs="Arial"/>
                </w:rPr>
                <w:t>://doi.org/10.4337/9781788972727.00048</w:t>
              </w:r>
              <w:proofErr w:type="gramEnd"/>
              <w:r w:rsidRPr="008C62E6">
                <w:rPr>
                  <w:rFonts w:ascii="Arial" w:hAnsi="Arial" w:cs="Arial"/>
                </w:rPr>
                <w:t>.</w:t>
              </w:r>
            </w:p>
            <w:p w14:paraId="7CA78D57"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Premier Inn (2022). </w:t>
              </w:r>
              <w:r w:rsidRPr="008C62E6">
                <w:rPr>
                  <w:rFonts w:ascii="Arial" w:hAnsi="Arial" w:cs="Arial"/>
                  <w:i/>
                  <w:iCs/>
                </w:rPr>
                <w:t xml:space="preserve">Whitbread ESG Report 2022 Social Governance </w:t>
              </w:r>
              <w:proofErr w:type="gramStart"/>
              <w:r w:rsidRPr="008C62E6">
                <w:rPr>
                  <w:rFonts w:ascii="Arial" w:hAnsi="Arial" w:cs="Arial"/>
                  <w:i/>
                  <w:iCs/>
                </w:rPr>
                <w:t xml:space="preserve">1 </w:t>
              </w:r>
              <w:r w:rsidRPr="008C62E6">
                <w:rPr>
                  <w:rFonts w:ascii="Arial" w:hAnsi="Arial" w:cs="Arial"/>
                </w:rPr>
                <w:t>.</w:t>
              </w:r>
              <w:proofErr w:type="gramEnd"/>
              <w:r w:rsidRPr="008C62E6">
                <w:rPr>
                  <w:rFonts w:ascii="Arial" w:hAnsi="Arial" w:cs="Arial"/>
                </w:rPr>
                <w:t xml:space="preserve"> [online] Available at: https://www.premierinn.com/content/dam/pi/websites/desktop/why/force%20for%20good/final-esg-report-2021-2022.pdf.</w:t>
              </w:r>
            </w:p>
            <w:p w14:paraId="42E6431C"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Premier Inn (2023a). </w:t>
              </w:r>
              <w:r w:rsidRPr="008C62E6">
                <w:rPr>
                  <w:rFonts w:ascii="Arial" w:hAnsi="Arial" w:cs="Arial"/>
                  <w:i/>
                  <w:iCs/>
                </w:rPr>
                <w:t>Force For Good</w:t>
              </w:r>
              <w:r w:rsidRPr="008C62E6">
                <w:rPr>
                  <w:rFonts w:ascii="Arial" w:hAnsi="Arial" w:cs="Arial"/>
                </w:rPr>
                <w:t>. [online] Premier Inn. Available at: https://www.premierinn.com/gb/en/why/force-for-good.html.</w:t>
              </w:r>
            </w:p>
            <w:p w14:paraId="16A9506E"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lastRenderedPageBreak/>
                <w:t xml:space="preserve">Premier Inn (2023b). </w:t>
              </w:r>
              <w:r w:rsidRPr="008C62E6">
                <w:rPr>
                  <w:rFonts w:ascii="Arial" w:hAnsi="Arial" w:cs="Arial"/>
                  <w:i/>
                  <w:iCs/>
                </w:rPr>
                <w:t>Wellbeing and sustainability at Premier Inn</w:t>
              </w:r>
              <w:r w:rsidRPr="008C62E6">
                <w:rPr>
                  <w:rFonts w:ascii="Arial" w:hAnsi="Arial" w:cs="Arial"/>
                </w:rPr>
                <w:t>. [online] www.premierinn.com. Available at: https://www.premierinn.com/gb/en/business-blog/wellbeing-and-sustainability-at-premier-inn.html.</w:t>
              </w:r>
            </w:p>
            <w:p w14:paraId="787F5BD5"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Rashid, S. and Malik, S. (2023). Transition from a Linear to a Circular Economy. </w:t>
              </w:r>
              <w:r w:rsidRPr="008C62E6">
                <w:rPr>
                  <w:rFonts w:ascii="Arial" w:hAnsi="Arial" w:cs="Arial"/>
                  <w:i/>
                  <w:iCs/>
                </w:rPr>
                <w:t>Springer eBooks</w:t>
              </w:r>
              <w:r w:rsidRPr="008C62E6">
                <w:rPr>
                  <w:rFonts w:ascii="Arial" w:hAnsi="Arial" w:cs="Arial"/>
                </w:rPr>
                <w:t xml:space="preserve">, pp.1–20. </w:t>
              </w:r>
              <w:proofErr w:type="spellStart"/>
              <w:proofErr w:type="gramStart"/>
              <w:r w:rsidRPr="008C62E6">
                <w:rPr>
                  <w:rFonts w:ascii="Arial" w:hAnsi="Arial" w:cs="Arial"/>
                </w:rPr>
                <w:t>doi:https</w:t>
              </w:r>
              <w:proofErr w:type="spellEnd"/>
              <w:r w:rsidRPr="008C62E6">
                <w:rPr>
                  <w:rFonts w:ascii="Arial" w:hAnsi="Arial" w:cs="Arial"/>
                </w:rPr>
                <w:t>://doi.org/10.1007/978-3-031-42220-1_1</w:t>
              </w:r>
              <w:proofErr w:type="gramEnd"/>
              <w:r w:rsidRPr="008C62E6">
                <w:rPr>
                  <w:rFonts w:ascii="Arial" w:hAnsi="Arial" w:cs="Arial"/>
                </w:rPr>
                <w:t>.</w:t>
              </w:r>
            </w:p>
            <w:p w14:paraId="48F2EC58"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Rodriguez-Anton, J.M., Rubio-</w:t>
              </w:r>
              <w:proofErr w:type="spellStart"/>
              <w:r w:rsidRPr="008C62E6">
                <w:rPr>
                  <w:rFonts w:ascii="Arial" w:hAnsi="Arial" w:cs="Arial"/>
                </w:rPr>
                <w:t>Andrada</w:t>
              </w:r>
              <w:proofErr w:type="spellEnd"/>
              <w:r w:rsidRPr="008C62E6">
                <w:rPr>
                  <w:rFonts w:ascii="Arial" w:hAnsi="Arial" w:cs="Arial"/>
                </w:rPr>
                <w:t xml:space="preserve">, L., </w:t>
              </w:r>
              <w:proofErr w:type="spellStart"/>
              <w:r w:rsidRPr="008C62E6">
                <w:rPr>
                  <w:rFonts w:ascii="Arial" w:hAnsi="Arial" w:cs="Arial"/>
                </w:rPr>
                <w:t>Celemín-Pedroche</w:t>
              </w:r>
              <w:proofErr w:type="spellEnd"/>
              <w:r w:rsidRPr="008C62E6">
                <w:rPr>
                  <w:rFonts w:ascii="Arial" w:hAnsi="Arial" w:cs="Arial"/>
                </w:rPr>
                <w:t xml:space="preserve">, M.S. and Alonso-Almeida, M.D.M. (2019). Analysis of the relations between circular economy and sustainable development goals. </w:t>
              </w:r>
              <w:r w:rsidRPr="008C62E6">
                <w:rPr>
                  <w:rFonts w:ascii="Arial" w:hAnsi="Arial" w:cs="Arial"/>
                  <w:i/>
                  <w:iCs/>
                </w:rPr>
                <w:t>International Journal of Sustainable Development &amp; World Ecology</w:t>
              </w:r>
              <w:r w:rsidRPr="008C62E6">
                <w:rPr>
                  <w:rFonts w:ascii="Arial" w:hAnsi="Arial" w:cs="Arial"/>
                </w:rPr>
                <w:t xml:space="preserve">, 26(8), pp.708–720. </w:t>
              </w:r>
              <w:proofErr w:type="spellStart"/>
              <w:proofErr w:type="gramStart"/>
              <w:r w:rsidRPr="008C62E6">
                <w:rPr>
                  <w:rFonts w:ascii="Arial" w:hAnsi="Arial" w:cs="Arial"/>
                </w:rPr>
                <w:t>doi:https</w:t>
              </w:r>
              <w:proofErr w:type="spellEnd"/>
              <w:r w:rsidRPr="008C62E6">
                <w:rPr>
                  <w:rFonts w:ascii="Arial" w:hAnsi="Arial" w:cs="Arial"/>
                </w:rPr>
                <w:t>://doi.org/10.1080/13504509.2019.1666754</w:t>
              </w:r>
              <w:proofErr w:type="gramEnd"/>
              <w:r w:rsidRPr="008C62E6">
                <w:rPr>
                  <w:rFonts w:ascii="Arial" w:hAnsi="Arial" w:cs="Arial"/>
                </w:rPr>
                <w:t>.</w:t>
              </w:r>
            </w:p>
            <w:p w14:paraId="2A61D073"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Stombelli</w:t>
              </w:r>
              <w:proofErr w:type="spellEnd"/>
              <w:r w:rsidRPr="008C62E6">
                <w:rPr>
                  <w:rFonts w:ascii="Arial" w:hAnsi="Arial" w:cs="Arial"/>
                </w:rPr>
                <w:t xml:space="preserve">, V.M. (2020). Corporate Social Responsibility in hospitality: are sustainability initiatives </w:t>
              </w:r>
              <w:proofErr w:type="gramStart"/>
              <w:r w:rsidRPr="008C62E6">
                <w:rPr>
                  <w:rFonts w:ascii="Arial" w:hAnsi="Arial" w:cs="Arial"/>
                </w:rPr>
                <w:t>really sustainable</w:t>
              </w:r>
              <w:proofErr w:type="gramEnd"/>
              <w:r w:rsidRPr="008C62E6">
                <w:rPr>
                  <w:rFonts w:ascii="Arial" w:hAnsi="Arial" w:cs="Arial"/>
                </w:rPr>
                <w:t xml:space="preserve">? Case examples from </w:t>
              </w:r>
              <w:proofErr w:type="spellStart"/>
              <w:r w:rsidRPr="008C62E6">
                <w:rPr>
                  <w:rFonts w:ascii="Arial" w:hAnsi="Arial" w:cs="Arial"/>
                </w:rPr>
                <w:t>CitizenM</w:t>
              </w:r>
              <w:proofErr w:type="spellEnd"/>
              <w:r w:rsidRPr="008C62E6">
                <w:rPr>
                  <w:rFonts w:ascii="Arial" w:hAnsi="Arial" w:cs="Arial"/>
                </w:rPr>
                <w:t xml:space="preserve">, </w:t>
              </w:r>
              <w:proofErr w:type="spellStart"/>
              <w:r w:rsidRPr="008C62E6">
                <w:rPr>
                  <w:rFonts w:ascii="Arial" w:hAnsi="Arial" w:cs="Arial"/>
                </w:rPr>
                <w:t>Lefay</w:t>
              </w:r>
              <w:proofErr w:type="spellEnd"/>
              <w:r w:rsidRPr="008C62E6">
                <w:rPr>
                  <w:rFonts w:ascii="Arial" w:hAnsi="Arial" w:cs="Arial"/>
                </w:rPr>
                <w:t xml:space="preserve"> and Six Senses. </w:t>
              </w:r>
              <w:r w:rsidRPr="008C62E6">
                <w:rPr>
                  <w:rFonts w:ascii="Arial" w:hAnsi="Arial" w:cs="Arial"/>
                  <w:i/>
                  <w:iCs/>
                </w:rPr>
                <w:t>Worldwide Hospitality and Tourism Themes</w:t>
              </w:r>
              <w:r w:rsidRPr="008C62E6">
                <w:rPr>
                  <w:rFonts w:ascii="Arial" w:hAnsi="Arial" w:cs="Arial"/>
                </w:rPr>
                <w:t xml:space="preserve">, 12(5), pp.525–545. </w:t>
              </w:r>
              <w:proofErr w:type="spellStart"/>
              <w:proofErr w:type="gramStart"/>
              <w:r w:rsidRPr="008C62E6">
                <w:rPr>
                  <w:rFonts w:ascii="Arial" w:hAnsi="Arial" w:cs="Arial"/>
                </w:rPr>
                <w:t>doi:https</w:t>
              </w:r>
              <w:proofErr w:type="spellEnd"/>
              <w:r w:rsidRPr="008C62E6">
                <w:rPr>
                  <w:rFonts w:ascii="Arial" w:hAnsi="Arial" w:cs="Arial"/>
                </w:rPr>
                <w:t>://doi.org/10.1108/whatt-06-2020-0041</w:t>
              </w:r>
              <w:proofErr w:type="gramEnd"/>
              <w:r w:rsidRPr="008C62E6">
                <w:rPr>
                  <w:rFonts w:ascii="Arial" w:hAnsi="Arial" w:cs="Arial"/>
                </w:rPr>
                <w:t>.</w:t>
              </w:r>
            </w:p>
            <w:p w14:paraId="05869583"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Travel and tourism news middle east (2023). </w:t>
              </w:r>
              <w:r w:rsidRPr="008C62E6">
                <w:rPr>
                  <w:rFonts w:ascii="Arial" w:hAnsi="Arial" w:cs="Arial"/>
                  <w:i/>
                  <w:iCs/>
                </w:rPr>
                <w:t>Premier Inn launches wellbeing drive for guests and staff</w:t>
              </w:r>
              <w:r w:rsidRPr="008C62E6">
                <w:rPr>
                  <w:rFonts w:ascii="Arial" w:hAnsi="Arial" w:cs="Arial"/>
                </w:rPr>
                <w:t>. [online] Available at: https://www.ttnworldwide.com/Article/345058/Premier-Inn-launches-wellbeing-drive-for-guests-and-staff.</w:t>
              </w:r>
            </w:p>
            <w:p w14:paraId="17226BE1"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Whitbread (2023). </w:t>
              </w:r>
              <w:r w:rsidRPr="008C62E6">
                <w:rPr>
                  <w:rFonts w:ascii="Arial" w:hAnsi="Arial" w:cs="Arial"/>
                  <w:i/>
                  <w:iCs/>
                </w:rPr>
                <w:t>Environmental, Social and Governance Report 2022/23</w:t>
              </w:r>
              <w:r w:rsidRPr="008C62E6">
                <w:rPr>
                  <w:rFonts w:ascii="Arial" w:hAnsi="Arial" w:cs="Arial"/>
                </w:rPr>
                <w:t>. [online] Available at: https://cdn.whitbread.co.uk/media/2023/05/Whitbread_ESG_Report_FY22_23.pdf.</w:t>
              </w:r>
            </w:p>
            <w:p w14:paraId="1E914D70"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Young, A. (2023). </w:t>
              </w:r>
              <w:r w:rsidRPr="008C62E6">
                <w:rPr>
                  <w:rFonts w:ascii="Arial" w:hAnsi="Arial" w:cs="Arial"/>
                  <w:i/>
                  <w:iCs/>
                </w:rPr>
                <w:t xml:space="preserve">All-electric Premier Inn sets standard for </w:t>
              </w:r>
              <w:proofErr w:type="gramStart"/>
              <w:r w:rsidRPr="008C62E6">
                <w:rPr>
                  <w:rFonts w:ascii="Arial" w:hAnsi="Arial" w:cs="Arial"/>
                  <w:i/>
                  <w:iCs/>
                </w:rPr>
                <w:t xml:space="preserve">future </w:t>
              </w:r>
              <w:r w:rsidRPr="008C62E6">
                <w:rPr>
                  <w:rFonts w:ascii="Arial" w:hAnsi="Arial" w:cs="Arial"/>
                </w:rPr>
                <w:t>.</w:t>
              </w:r>
              <w:proofErr w:type="gramEnd"/>
              <w:r w:rsidRPr="008C62E6">
                <w:rPr>
                  <w:rFonts w:ascii="Arial" w:hAnsi="Arial" w:cs="Arial"/>
                </w:rPr>
                <w:t xml:space="preserve"> [online] Available at: https://www.housekeepingtodayuk.com/all-electric-premier-inn-sets-standard-for-future/ [Accessed 29 Jan. 2024].</w:t>
              </w:r>
            </w:p>
            <w:p w14:paraId="47548C17" w14:textId="77777777" w:rsidR="007F792A" w:rsidRPr="008C62E6" w:rsidRDefault="007F792A" w:rsidP="007F792A">
              <w:pPr>
                <w:pStyle w:val="NormalWeb"/>
                <w:spacing w:before="0" w:beforeAutospacing="0" w:after="240" w:afterAutospacing="0" w:line="360" w:lineRule="auto"/>
                <w:jc w:val="both"/>
                <w:rPr>
                  <w:rFonts w:ascii="Arial" w:hAnsi="Arial" w:cs="Arial"/>
                </w:rPr>
              </w:pPr>
              <w:r w:rsidRPr="008C62E6">
                <w:rPr>
                  <w:rFonts w:ascii="Arial" w:hAnsi="Arial" w:cs="Arial"/>
                </w:rPr>
                <w:t xml:space="preserve">Zhang, J.J., Joglekar, N.R. and Verma, R. (2012). Exploring Resource Efficiency Benchmarks for Environmental Sustainability in Hotels. </w:t>
              </w:r>
              <w:r w:rsidRPr="008C62E6">
                <w:rPr>
                  <w:rFonts w:ascii="Arial" w:hAnsi="Arial" w:cs="Arial"/>
                  <w:i/>
                  <w:iCs/>
                </w:rPr>
                <w:t>Cornell Hospitality Quarterly</w:t>
              </w:r>
              <w:r w:rsidRPr="008C62E6">
                <w:rPr>
                  <w:rFonts w:ascii="Arial" w:hAnsi="Arial" w:cs="Arial"/>
                </w:rPr>
                <w:t xml:space="preserve">, 53(3), pp.229–241. </w:t>
              </w:r>
              <w:proofErr w:type="spellStart"/>
              <w:proofErr w:type="gramStart"/>
              <w:r w:rsidRPr="008C62E6">
                <w:rPr>
                  <w:rFonts w:ascii="Arial" w:hAnsi="Arial" w:cs="Arial"/>
                </w:rPr>
                <w:t>doi:https</w:t>
              </w:r>
              <w:proofErr w:type="spellEnd"/>
              <w:r w:rsidRPr="008C62E6">
                <w:rPr>
                  <w:rFonts w:ascii="Arial" w:hAnsi="Arial" w:cs="Arial"/>
                </w:rPr>
                <w:t>://doi.org/10.1177/1938965512441165</w:t>
              </w:r>
              <w:proofErr w:type="gramEnd"/>
              <w:r w:rsidRPr="008C62E6">
                <w:rPr>
                  <w:rFonts w:ascii="Arial" w:hAnsi="Arial" w:cs="Arial"/>
                </w:rPr>
                <w:t>.</w:t>
              </w:r>
            </w:p>
            <w:p w14:paraId="118F365C" w14:textId="77777777" w:rsidR="007F792A" w:rsidRPr="008C62E6" w:rsidRDefault="007F792A" w:rsidP="007F792A">
              <w:pPr>
                <w:pStyle w:val="NormalWeb"/>
                <w:spacing w:before="0" w:beforeAutospacing="0" w:after="240" w:afterAutospacing="0" w:line="360" w:lineRule="auto"/>
                <w:jc w:val="both"/>
                <w:rPr>
                  <w:rFonts w:ascii="Arial" w:hAnsi="Arial" w:cs="Arial"/>
                </w:rPr>
              </w:pPr>
              <w:proofErr w:type="spellStart"/>
              <w:r w:rsidRPr="008C62E6">
                <w:rPr>
                  <w:rFonts w:ascii="Arial" w:hAnsi="Arial" w:cs="Arial"/>
                </w:rPr>
                <w:t>Zsóka</w:t>
              </w:r>
              <w:proofErr w:type="spellEnd"/>
              <w:r w:rsidRPr="008C62E6">
                <w:rPr>
                  <w:rFonts w:ascii="Arial" w:hAnsi="Arial" w:cs="Arial"/>
                </w:rPr>
                <w:t xml:space="preserve">, Á. and </w:t>
              </w:r>
              <w:proofErr w:type="spellStart"/>
              <w:r w:rsidRPr="008C62E6">
                <w:rPr>
                  <w:rFonts w:ascii="Arial" w:hAnsi="Arial" w:cs="Arial"/>
                </w:rPr>
                <w:t>Vajkai</w:t>
              </w:r>
              <w:proofErr w:type="spellEnd"/>
              <w:r w:rsidRPr="008C62E6">
                <w:rPr>
                  <w:rFonts w:ascii="Arial" w:hAnsi="Arial" w:cs="Arial"/>
                </w:rPr>
                <w:t xml:space="preserve">, É. (2018). Corporate sustainability reporting: </w:t>
              </w:r>
              <w:proofErr w:type="spellStart"/>
              <w:r w:rsidRPr="008C62E6">
                <w:rPr>
                  <w:rFonts w:ascii="Arial" w:hAnsi="Arial" w:cs="Arial"/>
                </w:rPr>
                <w:t>Scrutinising</w:t>
              </w:r>
              <w:proofErr w:type="spellEnd"/>
              <w:r w:rsidRPr="008C62E6">
                <w:rPr>
                  <w:rFonts w:ascii="Arial" w:hAnsi="Arial" w:cs="Arial"/>
                </w:rPr>
                <w:t xml:space="preserve"> the requirements of comparability, </w:t>
              </w:r>
              <w:proofErr w:type="gramStart"/>
              <w:r w:rsidRPr="008C62E6">
                <w:rPr>
                  <w:rFonts w:ascii="Arial" w:hAnsi="Arial" w:cs="Arial"/>
                </w:rPr>
                <w:t>transparency</w:t>
              </w:r>
              <w:proofErr w:type="gramEnd"/>
              <w:r w:rsidRPr="008C62E6">
                <w:rPr>
                  <w:rFonts w:ascii="Arial" w:hAnsi="Arial" w:cs="Arial"/>
                </w:rPr>
                <w:t xml:space="preserve"> and reflection of sustainability </w:t>
              </w:r>
              <w:r w:rsidRPr="008C62E6">
                <w:rPr>
                  <w:rFonts w:ascii="Arial" w:hAnsi="Arial" w:cs="Arial"/>
                </w:rPr>
                <w:lastRenderedPageBreak/>
                <w:t xml:space="preserve">performance. </w:t>
              </w:r>
              <w:r w:rsidRPr="008C62E6">
                <w:rPr>
                  <w:rFonts w:ascii="Arial" w:hAnsi="Arial" w:cs="Arial"/>
                  <w:i/>
                  <w:iCs/>
                </w:rPr>
                <w:t>Society and Economy</w:t>
              </w:r>
              <w:r w:rsidRPr="008C62E6">
                <w:rPr>
                  <w:rFonts w:ascii="Arial" w:hAnsi="Arial" w:cs="Arial"/>
                </w:rPr>
                <w:t xml:space="preserve">, 40(1), pp.19–44. </w:t>
              </w:r>
              <w:proofErr w:type="spellStart"/>
              <w:proofErr w:type="gramStart"/>
              <w:r w:rsidRPr="008C62E6">
                <w:rPr>
                  <w:rFonts w:ascii="Arial" w:hAnsi="Arial" w:cs="Arial"/>
                </w:rPr>
                <w:t>doi:https</w:t>
              </w:r>
              <w:proofErr w:type="spellEnd"/>
              <w:r w:rsidRPr="008C62E6">
                <w:rPr>
                  <w:rFonts w:ascii="Arial" w:hAnsi="Arial" w:cs="Arial"/>
                </w:rPr>
                <w:t>://doi.org/10.1556/204.2018.40.1.3</w:t>
              </w:r>
              <w:proofErr w:type="gramEnd"/>
              <w:r w:rsidRPr="008C62E6">
                <w:rPr>
                  <w:rFonts w:ascii="Arial" w:hAnsi="Arial" w:cs="Arial"/>
                </w:rPr>
                <w:t>.</w:t>
              </w:r>
            </w:p>
            <w:p w14:paraId="01518DF4" w14:textId="3E251F65" w:rsidR="007F792A" w:rsidRDefault="00000000" w:rsidP="007F792A"/>
          </w:sdtContent>
        </w:sdt>
      </w:sdtContent>
    </w:sdt>
    <w:p w14:paraId="3BC869BD" w14:textId="77777777" w:rsidR="007F792A" w:rsidRDefault="007F792A"/>
    <w:sectPr w:rsidR="007F79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636"/>
    <w:rsid w:val="002968E3"/>
    <w:rsid w:val="003A298A"/>
    <w:rsid w:val="00405818"/>
    <w:rsid w:val="00444AA7"/>
    <w:rsid w:val="00482F34"/>
    <w:rsid w:val="005C4FB1"/>
    <w:rsid w:val="007F792A"/>
    <w:rsid w:val="00803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5430FF"/>
  <w15:chartTrackingRefBased/>
  <w15:docId w15:val="{00D4C99B-9DEA-D84A-9C73-93FCDE81C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92A"/>
    <w:pPr>
      <w:spacing w:after="160" w:line="259" w:lineRule="auto"/>
    </w:pPr>
    <w:rPr>
      <w:rFonts w:ascii="Times New Roman" w:hAnsi="Times New Roman" w:cs="Times New Roman"/>
      <w:kern w:val="0"/>
      <w:sz w:val="22"/>
      <w:szCs w:val="26"/>
      <w:lang w:val="en-US"/>
      <w14:ligatures w14:val="none"/>
    </w:rPr>
  </w:style>
  <w:style w:type="paragraph" w:styleId="Heading1">
    <w:name w:val="heading 1"/>
    <w:basedOn w:val="Normal"/>
    <w:next w:val="Normal"/>
    <w:link w:val="Heading1Char"/>
    <w:uiPriority w:val="9"/>
    <w:qFormat/>
    <w:rsid w:val="00803636"/>
    <w:pPr>
      <w:keepNext/>
      <w:keepLines/>
      <w:spacing w:before="360" w:after="80" w:line="240"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803636"/>
    <w:pPr>
      <w:keepNext/>
      <w:keepLines/>
      <w:spacing w:before="160" w:after="80" w:line="240"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8036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36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36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363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363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363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363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36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36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36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36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36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36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36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36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3636"/>
    <w:rPr>
      <w:rFonts w:eastAsiaTheme="majorEastAsia" w:cstheme="majorBidi"/>
      <w:color w:val="272727" w:themeColor="text1" w:themeTint="D8"/>
    </w:rPr>
  </w:style>
  <w:style w:type="paragraph" w:styleId="Title">
    <w:name w:val="Title"/>
    <w:basedOn w:val="Normal"/>
    <w:next w:val="Normal"/>
    <w:link w:val="TitleChar"/>
    <w:uiPriority w:val="10"/>
    <w:qFormat/>
    <w:rsid w:val="00803636"/>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8036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3636"/>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8036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3636"/>
    <w:pPr>
      <w:spacing w:before="160" w:line="240" w:lineRule="auto"/>
      <w:jc w:val="center"/>
    </w:pPr>
    <w:rPr>
      <w:rFonts w:asciiTheme="minorHAnsi" w:hAnsiTheme="minorHAnsi" w:cstheme="minorBidi"/>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803636"/>
    <w:rPr>
      <w:i/>
      <w:iCs/>
      <w:color w:val="404040" w:themeColor="text1" w:themeTint="BF"/>
    </w:rPr>
  </w:style>
  <w:style w:type="paragraph" w:styleId="ListParagraph">
    <w:name w:val="List Paragraph"/>
    <w:basedOn w:val="Normal"/>
    <w:uiPriority w:val="34"/>
    <w:qFormat/>
    <w:rsid w:val="00803636"/>
    <w:pPr>
      <w:spacing w:after="0" w:line="240" w:lineRule="auto"/>
      <w:ind w:left="720"/>
      <w:contextualSpacing/>
    </w:pPr>
    <w:rPr>
      <w:rFonts w:asciiTheme="minorHAnsi" w:hAnsiTheme="minorHAnsi" w:cstheme="minorBidi"/>
      <w:kern w:val="2"/>
      <w:sz w:val="24"/>
      <w:szCs w:val="24"/>
      <w:lang w:val="en-GB"/>
      <w14:ligatures w14:val="standardContextual"/>
    </w:rPr>
  </w:style>
  <w:style w:type="character" w:styleId="IntenseEmphasis">
    <w:name w:val="Intense Emphasis"/>
    <w:basedOn w:val="DefaultParagraphFont"/>
    <w:uiPriority w:val="21"/>
    <w:qFormat/>
    <w:rsid w:val="00803636"/>
    <w:rPr>
      <w:i/>
      <w:iCs/>
      <w:color w:val="0F4761" w:themeColor="accent1" w:themeShade="BF"/>
    </w:rPr>
  </w:style>
  <w:style w:type="paragraph" w:styleId="IntenseQuote">
    <w:name w:val="Intense Quote"/>
    <w:basedOn w:val="Normal"/>
    <w:next w:val="Normal"/>
    <w:link w:val="IntenseQuoteChar"/>
    <w:uiPriority w:val="30"/>
    <w:qFormat/>
    <w:rsid w:val="00803636"/>
    <w:pPr>
      <w:pBdr>
        <w:top w:val="single" w:sz="4" w:space="10" w:color="0F4761" w:themeColor="accent1" w:themeShade="BF"/>
        <w:bottom w:val="single" w:sz="4" w:space="10" w:color="0F4761" w:themeColor="accent1" w:themeShade="BF"/>
      </w:pBdr>
      <w:spacing w:before="360" w:after="360" w:line="240" w:lineRule="auto"/>
      <w:ind w:left="864" w:right="864"/>
      <w:jc w:val="center"/>
    </w:pPr>
    <w:rPr>
      <w:rFonts w:asciiTheme="minorHAnsi" w:hAnsiTheme="minorHAnsi" w:cstheme="minorBidi"/>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803636"/>
    <w:rPr>
      <w:i/>
      <w:iCs/>
      <w:color w:val="0F4761" w:themeColor="accent1" w:themeShade="BF"/>
    </w:rPr>
  </w:style>
  <w:style w:type="character" w:styleId="IntenseReference">
    <w:name w:val="Intense Reference"/>
    <w:basedOn w:val="DefaultParagraphFont"/>
    <w:uiPriority w:val="32"/>
    <w:qFormat/>
    <w:rsid w:val="00803636"/>
    <w:rPr>
      <w:b/>
      <w:bCs/>
      <w:smallCaps/>
      <w:color w:val="0F4761" w:themeColor="accent1" w:themeShade="BF"/>
      <w:spacing w:val="5"/>
    </w:rPr>
  </w:style>
  <w:style w:type="paragraph" w:styleId="NormalWeb">
    <w:name w:val="Normal (Web)"/>
    <w:basedOn w:val="Normal"/>
    <w:uiPriority w:val="99"/>
    <w:semiHidden/>
    <w:unhideWhenUsed/>
    <w:rsid w:val="007F792A"/>
    <w:pPr>
      <w:spacing w:before="100" w:beforeAutospacing="1" w:after="100" w:afterAutospacing="1" w:line="240" w:lineRule="auto"/>
    </w:pPr>
    <w:rPr>
      <w:rFonts w:eastAsia="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3397</Words>
  <Characters>19368</Characters>
  <Application>Microsoft Office Word</Application>
  <DocSecurity>0</DocSecurity>
  <Lines>161</Lines>
  <Paragraphs>45</Paragraphs>
  <ScaleCrop>false</ScaleCrop>
  <Company/>
  <LinksUpToDate>false</LinksUpToDate>
  <CharactersWithSpaces>22720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Bradea (2125160)</dc:creator>
  <cp:keywords/>
  <dc:description/>
  <cp:lastModifiedBy>Alexia Bradea</cp:lastModifiedBy>
  <cp:revision>4</cp:revision>
  <dcterms:created xsi:type="dcterms:W3CDTF">2024-01-30T22:48:00Z</dcterms:created>
  <dcterms:modified xsi:type="dcterms:W3CDTF">2024-01-30T22:56:00Z</dcterms:modified>
</cp:coreProperties>
</file>