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1FBAAF" w14:textId="22664C47" w:rsidR="00351952" w:rsidRDefault="009272A4" w:rsidP="00351952">
      <w:pPr>
        <w:jc w:val="center"/>
        <w:rPr>
          <w:u w:val="single"/>
        </w:rPr>
      </w:pPr>
      <w:r>
        <w:rPr>
          <w:u w:val="single"/>
        </w:rPr>
        <w:t>The Duality of Egyptian Gods</w:t>
      </w:r>
    </w:p>
    <w:p w14:paraId="3D3E6739" w14:textId="0F787BA0" w:rsidR="002334E9" w:rsidRDefault="00BB17A4">
      <w:r>
        <w:t xml:space="preserve">The area of interest for this </w:t>
      </w:r>
      <w:r w:rsidR="00CB48EC">
        <w:t>research project</w:t>
      </w:r>
      <w:r>
        <w:t xml:space="preserve"> is the dual</w:t>
      </w:r>
      <w:r w:rsidR="009A0CBA">
        <w:t>ism underpinning the understanding and representation of Egyptian gods</w:t>
      </w:r>
      <w:r>
        <w:t xml:space="preserve">, focusing on Anubis. The specific focus is what these representations can tell us about the religious beliefs and practices of ancient Egypt. Anubis is </w:t>
      </w:r>
      <w:r w:rsidR="00AF45E3">
        <w:t xml:space="preserve">often </w:t>
      </w:r>
      <w:r>
        <w:t>depicted in a human form with a jackal head</w:t>
      </w:r>
      <w:r w:rsidR="00AF45E3">
        <w:t xml:space="preserve"> but is sometimes shown as a </w:t>
      </w:r>
      <w:r w:rsidR="00247BA2">
        <w:t xml:space="preserve">full </w:t>
      </w:r>
      <w:r w:rsidR="00AF45E3">
        <w:t xml:space="preserve">jackal. </w:t>
      </w:r>
      <w:r w:rsidR="00247BA2">
        <w:t>This project will</w:t>
      </w:r>
      <w:r w:rsidR="00AF45E3">
        <w:t xml:space="preserve"> explore the associations of Anubis with his role as protector of the dead and how these may be connected to his jackal form.</w:t>
      </w:r>
    </w:p>
    <w:p w14:paraId="7CD6869A" w14:textId="7A33BF69" w:rsidR="00714CC1" w:rsidRDefault="00714CC1">
      <w:r>
        <w:t xml:space="preserve">The main objective for this </w:t>
      </w:r>
      <w:r w:rsidR="009A0CBA">
        <w:t>project</w:t>
      </w:r>
      <w:r>
        <w:t xml:space="preserve"> is to understand how the duality of Anubis </w:t>
      </w:r>
      <w:r w:rsidR="001F4DAC">
        <w:t>is related to notions of duality that pervade Ancient Egyptian belief systems.</w:t>
      </w:r>
      <w:r w:rsidR="00247BA2">
        <w:t xml:space="preserve"> </w:t>
      </w:r>
      <w:r w:rsidR="00500E33">
        <w:t>Duality can be seen throughout Ancient Egyptian beliefs from the belief that two of the gods (Osiris and Re) represent eternal existence and circular regeneration respectively</w:t>
      </w:r>
      <w:r w:rsidR="00500E33">
        <w:rPr>
          <w:rStyle w:val="FootnoteReference"/>
        </w:rPr>
        <w:footnoteReference w:id="1"/>
      </w:r>
      <w:r w:rsidR="00500E33">
        <w:t xml:space="preserve"> to the human/divine aspects of the king.</w:t>
      </w:r>
      <w:r w:rsidR="00500E33">
        <w:rPr>
          <w:rStyle w:val="FootnoteReference"/>
        </w:rPr>
        <w:footnoteReference w:id="2"/>
      </w:r>
      <w:r w:rsidR="00500E33">
        <w:t xml:space="preserve"> Duality was so integral to Egyptian belief that attempts to change any of the dual aspects were not readily accepted by the Egyptian people.</w:t>
      </w:r>
      <w:r w:rsidR="00500E33">
        <w:rPr>
          <w:rStyle w:val="FootnoteReference"/>
        </w:rPr>
        <w:footnoteReference w:id="3"/>
      </w:r>
    </w:p>
    <w:p w14:paraId="6F5A0CA7" w14:textId="68A9DA90" w:rsidR="001F4DAC" w:rsidRDefault="001F4DAC">
      <w:r>
        <w:t xml:space="preserve">In order to reach this </w:t>
      </w:r>
      <w:r w:rsidR="00416950">
        <w:t>understanding,</w:t>
      </w:r>
      <w:r>
        <w:t xml:space="preserve"> the following questions will be addressed:</w:t>
      </w:r>
    </w:p>
    <w:p w14:paraId="78DB2214" w14:textId="3935494A" w:rsidR="001F4DAC" w:rsidRDefault="001F4DAC">
      <w:r>
        <w:t xml:space="preserve">Why is the jackal necessary in depictions of Anubis and what is communicated through this depiction, for example </w:t>
      </w:r>
      <w:proofErr w:type="gramStart"/>
      <w:r>
        <w:t>other-ness</w:t>
      </w:r>
      <w:proofErr w:type="gramEnd"/>
      <w:r w:rsidR="0016097A">
        <w:t xml:space="preserve"> and</w:t>
      </w:r>
      <w:r>
        <w:t xml:space="preserve"> divinity?</w:t>
      </w:r>
    </w:p>
    <w:p w14:paraId="31E06F56" w14:textId="1E0FC098" w:rsidR="001F4DAC" w:rsidRDefault="00AF45E3">
      <w:r>
        <w:lastRenderedPageBreak/>
        <w:t xml:space="preserve">How does the dual representation of Anubis link to the other </w:t>
      </w:r>
      <w:r w:rsidR="001F4DAC">
        <w:t xml:space="preserve">animal-headed </w:t>
      </w:r>
      <w:r>
        <w:t>gods</w:t>
      </w:r>
      <w:r w:rsidR="001F4DAC">
        <w:t>?</w:t>
      </w:r>
    </w:p>
    <w:p w14:paraId="057FDFFB" w14:textId="0835650C" w:rsidR="00D53555" w:rsidRDefault="001F4DAC">
      <w:r>
        <w:t xml:space="preserve">What other </w:t>
      </w:r>
      <w:r w:rsidR="00AF45E3">
        <w:t>aspects of</w:t>
      </w:r>
      <w:r>
        <w:t xml:space="preserve"> duality can be found in</w:t>
      </w:r>
      <w:r w:rsidR="00AF45E3">
        <w:t xml:space="preserve"> Egyptian </w:t>
      </w:r>
      <w:r w:rsidR="00714CC1">
        <w:t>belief</w:t>
      </w:r>
      <w:r>
        <w:t xml:space="preserve"> systems that may link to the duality of the gods</w:t>
      </w:r>
      <w:r w:rsidR="00714CC1">
        <w:t>?</w:t>
      </w:r>
    </w:p>
    <w:p w14:paraId="3A376DCE" w14:textId="25E87E91" w:rsidR="0016097A" w:rsidRDefault="009272A4" w:rsidP="00351952">
      <w:r>
        <w:t xml:space="preserve">In order to conduct this study </w:t>
      </w:r>
      <w:r w:rsidR="00714CC1">
        <w:t>a few</w:t>
      </w:r>
      <w:r>
        <w:t xml:space="preserve"> </w:t>
      </w:r>
      <w:r w:rsidR="009A0CBA">
        <w:t xml:space="preserve">representative </w:t>
      </w:r>
      <w:r>
        <w:t xml:space="preserve">artistic </w:t>
      </w:r>
      <w:r w:rsidR="009A0CBA">
        <w:t>depictions</w:t>
      </w:r>
      <w:r>
        <w:t xml:space="preserve"> </w:t>
      </w:r>
      <w:r w:rsidR="0016097A">
        <w:t xml:space="preserve">of Anubis </w:t>
      </w:r>
      <w:r>
        <w:t xml:space="preserve">will be analysed and compared. </w:t>
      </w:r>
      <w:r w:rsidR="00714CC1">
        <w:t xml:space="preserve">These </w:t>
      </w:r>
      <w:r w:rsidR="009A0CBA">
        <w:t>depictions</w:t>
      </w:r>
      <w:r w:rsidR="00714CC1">
        <w:t xml:space="preserve"> will </w:t>
      </w:r>
      <w:r w:rsidR="001F4DAC">
        <w:t>include</w:t>
      </w:r>
      <w:r w:rsidR="00714CC1">
        <w:t xml:space="preserve"> both fully animal and mixed animal/human</w:t>
      </w:r>
      <w:r w:rsidR="009A0CBA">
        <w:t xml:space="preserve"> forms of Anubis</w:t>
      </w:r>
      <w:r w:rsidR="001F4DAC">
        <w:t>.</w:t>
      </w:r>
      <w:r w:rsidR="0016097A">
        <w:t xml:space="preserve"> </w:t>
      </w:r>
      <w:proofErr w:type="gramStart"/>
      <w:r w:rsidR="0016097A">
        <w:t>The majority of</w:t>
      </w:r>
      <w:proofErr w:type="gramEnd"/>
      <w:r w:rsidR="0016097A">
        <w:t xml:space="preserve"> these representations will be from funerary settings such as tombs and funerary temples. </w:t>
      </w:r>
      <w:r w:rsidR="00957B31">
        <w:t xml:space="preserve">As a result of this aspects of burial customs will be </w:t>
      </w:r>
      <w:r w:rsidR="001E2ABE">
        <w:t>explored</w:t>
      </w:r>
      <w:r w:rsidR="00957B31">
        <w:t xml:space="preserve">, </w:t>
      </w:r>
      <w:proofErr w:type="gramStart"/>
      <w:r w:rsidR="00957B31">
        <w:t>in particular the</w:t>
      </w:r>
      <w:proofErr w:type="gramEnd"/>
      <w:r w:rsidR="00957B31">
        <w:t xml:space="preserve"> duality of life and death and how Anubis plays a rol</w:t>
      </w:r>
      <w:r w:rsidR="009A0CBA">
        <w:t>e</w:t>
      </w:r>
      <w:r w:rsidR="00957B31">
        <w:t xml:space="preserve"> in this.</w:t>
      </w:r>
    </w:p>
    <w:p w14:paraId="6DF21046" w14:textId="6D90494C" w:rsidR="00C47FEF" w:rsidRDefault="00C47FEF" w:rsidP="00351952">
      <w:r>
        <w:t xml:space="preserve">The main theory used to analyse these artistic representations comes from the author Alfred </w:t>
      </w:r>
      <w:proofErr w:type="spellStart"/>
      <w:r>
        <w:t>Gell</w:t>
      </w:r>
      <w:proofErr w:type="spellEnd"/>
      <w:r>
        <w:t xml:space="preserve">. </w:t>
      </w:r>
      <w:r w:rsidR="007079CB">
        <w:t>His approach is to use anthropological theories to look at art by replacing “persons” for “art objects”.</w:t>
      </w:r>
      <w:r w:rsidR="007079CB">
        <w:rPr>
          <w:rStyle w:val="FootnoteReference"/>
        </w:rPr>
        <w:footnoteReference w:id="4"/>
      </w:r>
      <w:r>
        <w:t xml:space="preserve"> He believes that to properly analyse art a researcher must stop seeing it as art</w:t>
      </w:r>
      <w:r w:rsidR="001E2ABE">
        <w:t xml:space="preserve">, </w:t>
      </w:r>
      <w:proofErr w:type="spellStart"/>
      <w:r w:rsidR="001E2ABE">
        <w:t>an</w:t>
      </w:r>
      <w:proofErr w:type="spellEnd"/>
      <w:r w:rsidR="001E2ABE">
        <w:t xml:space="preserve"> ethnocentric approach that is deeply embedded in western European culture,</w:t>
      </w:r>
      <w:r>
        <w:t xml:space="preserve"> and must look at it th</w:t>
      </w:r>
      <w:r w:rsidR="00416950">
        <w:t>r</w:t>
      </w:r>
      <w:r>
        <w:t xml:space="preserve">ough the eyes of the original onlooker. </w:t>
      </w:r>
      <w:r w:rsidR="009A0CBA">
        <w:t>In addition to</w:t>
      </w:r>
      <w:r>
        <w:t xml:space="preserve"> this</w:t>
      </w:r>
      <w:r w:rsidR="009A0CBA">
        <w:t>,</w:t>
      </w:r>
      <w:r>
        <w:t xml:space="preserve"> a range of other scholarship will be used to understand religious beliefs and practices within Egypt. As a part of this, the significance of animals and what they can tell us about Egyptian beliefs will also be investigated. This scholarship will also</w:t>
      </w:r>
      <w:r w:rsidR="001E2ABE">
        <w:t xml:space="preserve"> attempt to</w:t>
      </w:r>
      <w:r>
        <w:t xml:space="preserve"> present the importance of </w:t>
      </w:r>
      <w:r w:rsidR="0016097A">
        <w:t>duality within Egypt and how it is presented within religion.</w:t>
      </w:r>
    </w:p>
    <w:p w14:paraId="55C7DF77" w14:textId="6EA812DE" w:rsidR="00D53555" w:rsidRDefault="0016097A">
      <w:r>
        <w:lastRenderedPageBreak/>
        <w:t xml:space="preserve">In </w:t>
      </w:r>
      <w:r w:rsidR="001E2ABE">
        <w:t>conclusion</w:t>
      </w:r>
      <w:r>
        <w:t xml:space="preserve"> it is hoped that this </w:t>
      </w:r>
      <w:r w:rsidR="00523308">
        <w:t>project</w:t>
      </w:r>
      <w:r>
        <w:t xml:space="preserve"> will explain how duality is an integral part of Egyptian belief.</w:t>
      </w:r>
      <w:r w:rsidR="00957B31">
        <w:t xml:space="preserve"> The dual representation of Anubis will </w:t>
      </w:r>
      <w:proofErr w:type="gramStart"/>
      <w:r w:rsidR="001E2ABE">
        <w:t>be seen as</w:t>
      </w:r>
      <w:proofErr w:type="gramEnd"/>
      <w:r w:rsidR="001E2ABE">
        <w:t xml:space="preserve"> part of a wider belief construct in which dualism features as a universal principal that shapes multiple aspects of the Ancient Egyptian world.</w:t>
      </w:r>
    </w:p>
    <w:p w14:paraId="40E8B97F" w14:textId="7FFE4461" w:rsidR="00D90EFB" w:rsidRDefault="00D90EFB">
      <w:pPr>
        <w:rPr>
          <w:u w:val="single"/>
        </w:rPr>
      </w:pPr>
      <w:r>
        <w:rPr>
          <w:u w:val="single"/>
        </w:rPr>
        <w:t>Bibliography</w:t>
      </w:r>
    </w:p>
    <w:p w14:paraId="118A2B5B" w14:textId="77777777" w:rsidR="00D90EFB" w:rsidRPr="00D90EFB" w:rsidRDefault="00D90EFB">
      <w:r>
        <w:t xml:space="preserve">Baines, J et al. (1991) </w:t>
      </w:r>
      <w:r>
        <w:rPr>
          <w:i/>
          <w:iCs/>
        </w:rPr>
        <w:t xml:space="preserve">Religion </w:t>
      </w:r>
      <w:proofErr w:type="gramStart"/>
      <w:r>
        <w:rPr>
          <w:i/>
          <w:iCs/>
        </w:rPr>
        <w:t>In</w:t>
      </w:r>
      <w:proofErr w:type="gramEnd"/>
      <w:r>
        <w:rPr>
          <w:i/>
          <w:iCs/>
        </w:rPr>
        <w:t xml:space="preserve"> Ancient Egypt: Gods, Myths, and Personal </w:t>
      </w:r>
      <w:bookmarkStart w:id="0" w:name="_GoBack"/>
      <w:bookmarkEnd w:id="0"/>
      <w:r>
        <w:rPr>
          <w:i/>
          <w:iCs/>
        </w:rPr>
        <w:t xml:space="preserve">Practice, </w:t>
      </w:r>
      <w:r>
        <w:t>New York: Cornell University Press</w:t>
      </w:r>
    </w:p>
    <w:p w14:paraId="7CAE01D2" w14:textId="77777777" w:rsidR="00D90EFB" w:rsidRDefault="00D90EFB">
      <w:proofErr w:type="spellStart"/>
      <w:r>
        <w:t>Gell</w:t>
      </w:r>
      <w:proofErr w:type="spellEnd"/>
      <w:r>
        <w:t xml:space="preserve">, A (1998) </w:t>
      </w:r>
      <w:r>
        <w:rPr>
          <w:i/>
          <w:iCs/>
        </w:rPr>
        <w:t xml:space="preserve">Art and Agency: An Anthropological Theory, </w:t>
      </w:r>
      <w:r>
        <w:t>Oxford: Oxford University Press</w:t>
      </w:r>
    </w:p>
    <w:sectPr w:rsidR="00D90E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6A9C23" w14:textId="77777777" w:rsidR="00F25308" w:rsidRDefault="00F25308" w:rsidP="007079CB">
      <w:pPr>
        <w:spacing w:after="0" w:line="240" w:lineRule="auto"/>
      </w:pPr>
      <w:r>
        <w:separator/>
      </w:r>
    </w:p>
  </w:endnote>
  <w:endnote w:type="continuationSeparator" w:id="0">
    <w:p w14:paraId="04933663" w14:textId="77777777" w:rsidR="00F25308" w:rsidRDefault="00F25308" w:rsidP="007079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51E5D9" w14:textId="77777777" w:rsidR="00F25308" w:rsidRDefault="00F25308" w:rsidP="007079CB">
      <w:pPr>
        <w:spacing w:after="0" w:line="240" w:lineRule="auto"/>
      </w:pPr>
      <w:r>
        <w:separator/>
      </w:r>
    </w:p>
  </w:footnote>
  <w:footnote w:type="continuationSeparator" w:id="0">
    <w:p w14:paraId="1C69E863" w14:textId="77777777" w:rsidR="00F25308" w:rsidRDefault="00F25308" w:rsidP="007079CB">
      <w:pPr>
        <w:spacing w:after="0" w:line="240" w:lineRule="auto"/>
      </w:pPr>
      <w:r>
        <w:continuationSeparator/>
      </w:r>
    </w:p>
  </w:footnote>
  <w:footnote w:id="1">
    <w:p w14:paraId="13C709C9" w14:textId="32286B49" w:rsidR="00500E33" w:rsidRDefault="00500E33">
      <w:pPr>
        <w:pStyle w:val="FootnoteText"/>
      </w:pPr>
      <w:r>
        <w:rPr>
          <w:rStyle w:val="FootnoteReference"/>
        </w:rPr>
        <w:footnoteRef/>
      </w:r>
      <w:r>
        <w:t xml:space="preserve"> Shafer et al., 1991, p. 46</w:t>
      </w:r>
    </w:p>
  </w:footnote>
  <w:footnote w:id="2">
    <w:p w14:paraId="52C23A39" w14:textId="26BD8AD3" w:rsidR="00500E33" w:rsidRDefault="00500E33">
      <w:pPr>
        <w:pStyle w:val="FootnoteText"/>
      </w:pPr>
      <w:r>
        <w:rPr>
          <w:rStyle w:val="FootnoteReference"/>
        </w:rPr>
        <w:footnoteRef/>
      </w:r>
      <w:r>
        <w:t xml:space="preserve"> Shafer et al., 1991, p. 62</w:t>
      </w:r>
    </w:p>
  </w:footnote>
  <w:footnote w:id="3">
    <w:p w14:paraId="2E4313A9" w14:textId="440881D9" w:rsidR="00500E33" w:rsidRDefault="00500E33">
      <w:pPr>
        <w:pStyle w:val="FootnoteText"/>
      </w:pPr>
      <w:r>
        <w:rPr>
          <w:rStyle w:val="FootnoteReference"/>
        </w:rPr>
        <w:footnoteRef/>
      </w:r>
      <w:r>
        <w:t xml:space="preserve"> Shafer et al., 1991, p. 86</w:t>
      </w:r>
    </w:p>
  </w:footnote>
  <w:footnote w:id="4">
    <w:p w14:paraId="2E0CE051" w14:textId="046E929E" w:rsidR="007079CB" w:rsidRDefault="007079C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="00416950">
        <w:t>Gell</w:t>
      </w:r>
      <w:proofErr w:type="spellEnd"/>
      <w:r w:rsidR="00416950">
        <w:t>, 1998, p. 5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195944"/>
    <w:multiLevelType w:val="hybridMultilevel"/>
    <w:tmpl w:val="9156FB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E455FD"/>
    <w:multiLevelType w:val="hybridMultilevel"/>
    <w:tmpl w:val="001CA0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0A52"/>
    <w:rsid w:val="0016097A"/>
    <w:rsid w:val="001D20AB"/>
    <w:rsid w:val="001E2ABE"/>
    <w:rsid w:val="001F4DAC"/>
    <w:rsid w:val="002334E9"/>
    <w:rsid w:val="00247BA2"/>
    <w:rsid w:val="0025463A"/>
    <w:rsid w:val="00351882"/>
    <w:rsid w:val="00351952"/>
    <w:rsid w:val="003E7535"/>
    <w:rsid w:val="00416950"/>
    <w:rsid w:val="00467199"/>
    <w:rsid w:val="004B0C63"/>
    <w:rsid w:val="00500E33"/>
    <w:rsid w:val="00523308"/>
    <w:rsid w:val="007079CB"/>
    <w:rsid w:val="00712B4D"/>
    <w:rsid w:val="00714CC1"/>
    <w:rsid w:val="00765A34"/>
    <w:rsid w:val="009272A4"/>
    <w:rsid w:val="00957B31"/>
    <w:rsid w:val="00970A52"/>
    <w:rsid w:val="009824AE"/>
    <w:rsid w:val="009A0CBA"/>
    <w:rsid w:val="00AF45E3"/>
    <w:rsid w:val="00B87019"/>
    <w:rsid w:val="00BB17A4"/>
    <w:rsid w:val="00BE2705"/>
    <w:rsid w:val="00C13DAF"/>
    <w:rsid w:val="00C47FEF"/>
    <w:rsid w:val="00CB48EC"/>
    <w:rsid w:val="00D53555"/>
    <w:rsid w:val="00D63952"/>
    <w:rsid w:val="00D77795"/>
    <w:rsid w:val="00D90EFB"/>
    <w:rsid w:val="00DC1617"/>
    <w:rsid w:val="00E9706D"/>
    <w:rsid w:val="00F25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BA0113"/>
  <w15:chartTrackingRefBased/>
  <w15:docId w15:val="{20330FED-2D22-4D0C-9C26-FF7B57DF6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mic Sans MS" w:eastAsiaTheme="minorHAnsi" w:hAnsi="Comic Sans MS" w:cs="Arial"/>
        <w:color w:val="222222"/>
        <w:spacing w:val="20"/>
        <w:sz w:val="21"/>
        <w:szCs w:val="21"/>
        <w:lang w:val="en-GB" w:eastAsia="en-U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1882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1D20AB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B48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48EC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079C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079C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079C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776B33-CC53-410B-AF6E-0E3C306EAD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3</Pages>
  <Words>485</Words>
  <Characters>2768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Watts-robinson (1801842)</dc:creator>
  <cp:keywords/>
  <dc:description/>
  <cp:lastModifiedBy>Rhiannon Watts-robinson (1801842)</cp:lastModifiedBy>
  <cp:revision>14</cp:revision>
  <dcterms:created xsi:type="dcterms:W3CDTF">2019-09-20T14:08:00Z</dcterms:created>
  <dcterms:modified xsi:type="dcterms:W3CDTF">2019-10-07T17:28:00Z</dcterms:modified>
</cp:coreProperties>
</file>