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C573A9" w14:textId="4F7918DA" w:rsidR="00382F3F" w:rsidRDefault="00382F3F" w:rsidP="00382F3F">
      <w:pPr>
        <w:pStyle w:val="Heading1"/>
        <w:rPr>
          <w:lang w:val="fr-FR"/>
        </w:rPr>
      </w:pPr>
      <w:r>
        <w:rPr>
          <w:lang w:val="fr-FR"/>
        </w:rPr>
        <w:t>Isatu kamara</w:t>
      </w:r>
    </w:p>
    <w:p w14:paraId="6FEAE1E8" w14:textId="6F9E041E" w:rsidR="00382F3F" w:rsidRPr="00382F3F" w:rsidRDefault="00382F3F" w:rsidP="00382F3F">
      <w:pPr>
        <w:rPr>
          <w:sz w:val="28"/>
          <w:szCs w:val="28"/>
          <w:lang w:val="fr-FR" w:bidi="bn-BD"/>
        </w:rPr>
      </w:pPr>
      <w:r>
        <w:rPr>
          <w:lang w:val="fr-FR" w:bidi="bn-BD"/>
        </w:rPr>
        <w:t>Student 2028698</w:t>
      </w:r>
    </w:p>
    <w:p w14:paraId="4FCF9EE8" w14:textId="77777777" w:rsidR="00382F3F" w:rsidRPr="00382F3F" w:rsidRDefault="00382F3F" w:rsidP="00382F3F">
      <w:pPr>
        <w:rPr>
          <w:lang w:val="fr-FR" w:bidi="bn-BD"/>
        </w:rPr>
      </w:pPr>
    </w:p>
    <w:p w14:paraId="06C171E6" w14:textId="77777777" w:rsidR="00B274FA" w:rsidRDefault="00B274FA" w:rsidP="00B274FA">
      <w:pPr>
        <w:rPr>
          <w:lang w:val="fr-FR" w:bidi="bn-BD"/>
        </w:rPr>
      </w:pPr>
    </w:p>
    <w:p w14:paraId="6B7F1E71" w14:textId="3E646D65" w:rsidR="00B274FA" w:rsidRDefault="00B274FA" w:rsidP="00B274FA">
      <w:pPr>
        <w:rPr>
          <w:lang w:val="fr-FR" w:bidi="bn-BD"/>
        </w:rPr>
      </w:pPr>
    </w:p>
    <w:p w14:paraId="0D9C4FE3" w14:textId="77777777" w:rsidR="00B274FA" w:rsidRDefault="00B274FA" w:rsidP="00B274FA">
      <w:pPr>
        <w:rPr>
          <w:lang w:val="fr-FR" w:bidi="bn-BD"/>
        </w:rPr>
      </w:pPr>
    </w:p>
    <w:p w14:paraId="71DC0BA9" w14:textId="77777777" w:rsidR="00B274FA" w:rsidRPr="00B274FA" w:rsidRDefault="00B274FA" w:rsidP="00B274FA">
      <w:pPr>
        <w:rPr>
          <w:lang w:val="fr-FR" w:bidi="bn-BD"/>
        </w:rPr>
      </w:pPr>
    </w:p>
    <w:p w14:paraId="6FD85EAF" w14:textId="77777777" w:rsidR="00B274FA" w:rsidRDefault="00B274FA" w:rsidP="00B274FA">
      <w:pPr>
        <w:rPr>
          <w:lang w:val="fr-FR" w:bidi="bn-BD"/>
        </w:rPr>
      </w:pPr>
    </w:p>
    <w:p w14:paraId="7A2572AD" w14:textId="77777777" w:rsidR="00B274FA" w:rsidRDefault="00B274FA" w:rsidP="00B274FA">
      <w:pPr>
        <w:rPr>
          <w:lang w:val="fr-FR" w:bidi="bn-BD"/>
        </w:rPr>
      </w:pPr>
    </w:p>
    <w:p w14:paraId="5902CA21" w14:textId="5467A43B" w:rsidR="00B274FA" w:rsidRPr="009C11AB" w:rsidRDefault="009C11AB" w:rsidP="00B274FA">
      <w:pPr>
        <w:rPr>
          <w:sz w:val="32"/>
          <w:szCs w:val="32"/>
          <w:lang w:val="fr-FR" w:bidi="bn-BD"/>
        </w:rPr>
      </w:pPr>
      <w:r>
        <w:rPr>
          <w:sz w:val="32"/>
          <w:szCs w:val="32"/>
          <w:lang w:val="fr-FR" w:bidi="bn-BD"/>
        </w:rPr>
        <w:t>Reference</w:t>
      </w:r>
    </w:p>
    <w:p w14:paraId="3C8B1606" w14:textId="1F7D4291" w:rsidR="00B274FA" w:rsidRPr="00B274FA" w:rsidRDefault="00B274FA" w:rsidP="00B274FA">
      <w:pPr>
        <w:rPr>
          <w:lang w:val="fr-FR" w:bidi="bn-BD"/>
        </w:rPr>
      </w:pPr>
    </w:p>
    <w:p w14:paraId="375DC223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411135">
        <w:rPr>
          <w:rFonts w:ascii="Times New Roman" w:hAnsi="Times New Roman" w:cs="Times New Roman"/>
          <w:sz w:val="24"/>
          <w:lang w:val="fr-FR"/>
        </w:rPr>
        <w:t>Baugerud, G.A. </w:t>
      </w:r>
      <w:r w:rsidRPr="00411135">
        <w:rPr>
          <w:rFonts w:ascii="Times New Roman" w:hAnsi="Times New Roman" w:cs="Times New Roman"/>
          <w:i/>
          <w:iCs/>
          <w:sz w:val="24"/>
          <w:lang w:val="fr-FR"/>
        </w:rPr>
        <w:t>et al.</w:t>
      </w:r>
      <w:r w:rsidRPr="00411135">
        <w:rPr>
          <w:rFonts w:ascii="Times New Roman" w:hAnsi="Times New Roman" w:cs="Times New Roman"/>
          <w:sz w:val="24"/>
          <w:lang w:val="fr-FR"/>
        </w:rPr>
        <w:t> </w:t>
      </w:r>
      <w:r w:rsidRPr="00BE003E">
        <w:rPr>
          <w:rFonts w:ascii="Times New Roman" w:hAnsi="Times New Roman" w:cs="Times New Roman"/>
          <w:sz w:val="24"/>
        </w:rPr>
        <w:t>(2023) ‘Evaluating Child Interviews Conducted by Child Protective Services Workers and Police Investigators’, </w:t>
      </w:r>
      <w:r w:rsidRPr="00BE003E">
        <w:rPr>
          <w:rFonts w:ascii="Times New Roman" w:hAnsi="Times New Roman" w:cs="Times New Roman"/>
          <w:i/>
          <w:iCs/>
          <w:sz w:val="24"/>
        </w:rPr>
        <w:t>The British Journal of Social Work</w:t>
      </w:r>
      <w:r w:rsidRPr="00BE003E">
        <w:rPr>
          <w:rFonts w:ascii="Times New Roman" w:hAnsi="Times New Roman" w:cs="Times New Roman"/>
          <w:sz w:val="24"/>
        </w:rPr>
        <w:t>, 53(5). Available at: https://doi.org/10.1093/bjsw/bcac245.</w:t>
      </w:r>
    </w:p>
    <w:p w14:paraId="22ED96AD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Department for Education (2003) </w:t>
      </w:r>
      <w:r w:rsidRPr="00BE003E">
        <w:rPr>
          <w:rFonts w:ascii="Times New Roman" w:hAnsi="Times New Roman" w:cs="Times New Roman"/>
          <w:i/>
          <w:iCs/>
          <w:sz w:val="24"/>
        </w:rPr>
        <w:t>Every Child Matters</w:t>
      </w:r>
      <w:r w:rsidRPr="00BE003E">
        <w:rPr>
          <w:rFonts w:ascii="Times New Roman" w:hAnsi="Times New Roman" w:cs="Times New Roman"/>
          <w:sz w:val="24"/>
        </w:rPr>
        <w:t>. Available at: https://assets.publishing.service.gov.uk/media/5a7c95a4e5274a0bb7cb806d/5860.pdf (Accessed: 13 November 2025).</w:t>
      </w:r>
    </w:p>
    <w:p w14:paraId="0FBA3C26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Holtom, S. (2024) </w:t>
      </w:r>
      <w:r w:rsidRPr="00BE003E">
        <w:rPr>
          <w:rFonts w:ascii="Times New Roman" w:hAnsi="Times New Roman" w:cs="Times New Roman"/>
          <w:i/>
          <w:iCs/>
          <w:sz w:val="24"/>
        </w:rPr>
        <w:t>Herefordshire Safeguarding Children Partnership</w:t>
      </w:r>
      <w:r w:rsidRPr="00BE003E">
        <w:rPr>
          <w:rFonts w:ascii="Times New Roman" w:hAnsi="Times New Roman" w:cs="Times New Roman"/>
          <w:sz w:val="24"/>
        </w:rPr>
        <w:t>. Available at: https://www.herefordshiresafeguardingboards.org.uk/wp-content/uploads/2024/03/Final-Report-LCSPR-Child-HN_Herefordshire-January-2024.pdf (Accessed: 13 November 2025).</w:t>
      </w:r>
    </w:p>
    <w:p w14:paraId="76A23459" w14:textId="77777777" w:rsidR="004050AC" w:rsidRPr="004050AC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  <w:lang w:val="fr-FR"/>
        </w:rPr>
      </w:pPr>
      <w:r w:rsidRPr="00BE003E">
        <w:rPr>
          <w:rFonts w:ascii="Times New Roman" w:hAnsi="Times New Roman" w:cs="Times New Roman"/>
          <w:sz w:val="24"/>
        </w:rPr>
        <w:t>Jahans</w:t>
      </w:r>
      <w:r w:rsidRPr="00BE003E">
        <w:rPr>
          <w:rFonts w:ascii="Cambria Math" w:hAnsi="Cambria Math" w:cs="Cambria Math"/>
          <w:sz w:val="24"/>
        </w:rPr>
        <w:t>‐</w:t>
      </w:r>
      <w:r w:rsidRPr="00BE003E">
        <w:rPr>
          <w:rFonts w:ascii="Times New Roman" w:hAnsi="Times New Roman" w:cs="Times New Roman"/>
          <w:sz w:val="24"/>
        </w:rPr>
        <w:t>Baynton, K. and Grealish, A. (2021) ‘Safeguarding Communications between Multiagency Professionals When Working with Children and Young people: a Qualitative Study’, </w:t>
      </w:r>
      <w:r w:rsidRPr="00BE003E">
        <w:rPr>
          <w:rFonts w:ascii="Times New Roman" w:hAnsi="Times New Roman" w:cs="Times New Roman"/>
          <w:i/>
          <w:iCs/>
          <w:sz w:val="24"/>
        </w:rPr>
        <w:t>Journal of Child and Adolescent Psychiatric Nursing</w:t>
      </w:r>
      <w:r w:rsidRPr="00BE003E">
        <w:rPr>
          <w:rFonts w:ascii="Times New Roman" w:hAnsi="Times New Roman" w:cs="Times New Roman"/>
          <w:sz w:val="24"/>
        </w:rPr>
        <w:t xml:space="preserve">, 35(2). </w:t>
      </w:r>
      <w:r w:rsidRPr="004050AC">
        <w:rPr>
          <w:rFonts w:ascii="Times New Roman" w:hAnsi="Times New Roman" w:cs="Times New Roman"/>
          <w:sz w:val="24"/>
          <w:lang w:val="fr-FR"/>
        </w:rPr>
        <w:t>Available at: https://onlinelibrary.wiley.com/doi/full/10.1111/jcap.12363.</w:t>
      </w:r>
    </w:p>
    <w:p w14:paraId="47BF4387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4050AC">
        <w:rPr>
          <w:rFonts w:ascii="Times New Roman" w:hAnsi="Times New Roman" w:cs="Times New Roman"/>
          <w:sz w:val="24"/>
          <w:lang w:val="fr-FR"/>
        </w:rPr>
        <w:lastRenderedPageBreak/>
        <w:t>James, S. </w:t>
      </w:r>
      <w:r w:rsidRPr="004050AC">
        <w:rPr>
          <w:rFonts w:ascii="Times New Roman" w:hAnsi="Times New Roman" w:cs="Times New Roman"/>
          <w:i/>
          <w:iCs/>
          <w:sz w:val="24"/>
          <w:lang w:val="fr-FR"/>
        </w:rPr>
        <w:t>et al.</w:t>
      </w:r>
      <w:r w:rsidRPr="004050AC">
        <w:rPr>
          <w:rFonts w:ascii="Times New Roman" w:hAnsi="Times New Roman" w:cs="Times New Roman"/>
          <w:sz w:val="24"/>
          <w:lang w:val="fr-FR"/>
        </w:rPr>
        <w:t> </w:t>
      </w:r>
      <w:r w:rsidRPr="00BE003E">
        <w:rPr>
          <w:rFonts w:ascii="Times New Roman" w:hAnsi="Times New Roman" w:cs="Times New Roman"/>
          <w:sz w:val="24"/>
        </w:rPr>
        <w:t>(2025) ‘Healthcare professional support: diabetic ketoacidosis avoidance and care’, </w:t>
      </w:r>
      <w:r w:rsidRPr="00BE003E">
        <w:rPr>
          <w:rFonts w:ascii="Times New Roman" w:hAnsi="Times New Roman" w:cs="Times New Roman"/>
          <w:i/>
          <w:iCs/>
          <w:sz w:val="24"/>
        </w:rPr>
        <w:t>Emergency Care Journal</w:t>
      </w:r>
      <w:r w:rsidRPr="00BE003E">
        <w:rPr>
          <w:rFonts w:ascii="Times New Roman" w:hAnsi="Times New Roman" w:cs="Times New Roman"/>
          <w:sz w:val="24"/>
        </w:rPr>
        <w:t>, 21(3), p. 13924. Available at: https://doi.org/10.4081/ecj.2025.13924.</w:t>
      </w:r>
    </w:p>
    <w:p w14:paraId="0F8E5C00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Macalister, J. (2022) </w:t>
      </w:r>
      <w:r w:rsidRPr="00BE003E">
        <w:rPr>
          <w:rFonts w:ascii="Times New Roman" w:hAnsi="Times New Roman" w:cs="Times New Roman"/>
          <w:i/>
          <w:iCs/>
          <w:sz w:val="24"/>
        </w:rPr>
        <w:t>The independent review of children’s social care</w:t>
      </w:r>
      <w:r w:rsidRPr="00BE003E">
        <w:rPr>
          <w:rFonts w:ascii="Times New Roman" w:hAnsi="Times New Roman" w:cs="Times New Roman"/>
          <w:sz w:val="24"/>
        </w:rPr>
        <w:t>. Available at: https://www.thefosteringnetwork.org.uk/media/d45b44zp/the-independent-review-of-childrens-social-care-final-report.pdf (Accessed: 13 November 2025).</w:t>
      </w:r>
    </w:p>
    <w:p w14:paraId="636C2A30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NSPCC (2023) </w:t>
      </w:r>
      <w:r w:rsidRPr="00BE003E">
        <w:rPr>
          <w:rFonts w:ascii="Times New Roman" w:hAnsi="Times New Roman" w:cs="Times New Roman"/>
          <w:i/>
          <w:iCs/>
          <w:sz w:val="24"/>
        </w:rPr>
        <w:t>Multi-agency and interdisciplinary working</w:t>
      </w:r>
      <w:r w:rsidRPr="00BE003E">
        <w:rPr>
          <w:rFonts w:ascii="Times New Roman" w:hAnsi="Times New Roman" w:cs="Times New Roman"/>
          <w:sz w:val="24"/>
        </w:rPr>
        <w:t>, </w:t>
      </w:r>
      <w:r w:rsidRPr="00BE003E">
        <w:rPr>
          <w:rFonts w:ascii="Times New Roman" w:hAnsi="Times New Roman" w:cs="Times New Roman"/>
          <w:i/>
          <w:iCs/>
          <w:sz w:val="24"/>
        </w:rPr>
        <w:t>NSPCC</w:t>
      </w:r>
      <w:r w:rsidRPr="00BE003E">
        <w:rPr>
          <w:rFonts w:ascii="Times New Roman" w:hAnsi="Times New Roman" w:cs="Times New Roman"/>
          <w:sz w:val="24"/>
        </w:rPr>
        <w:t>. Available at: https://learning.nspcc.org.uk/child-protection-system/multi-agency-working-child-protection (Accessed: 13 November 2025).</w:t>
      </w:r>
    </w:p>
    <w:p w14:paraId="479B6A80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O’Connor, M. </w:t>
      </w:r>
      <w:r w:rsidRPr="00BE003E">
        <w:rPr>
          <w:rFonts w:ascii="Times New Roman" w:hAnsi="Times New Roman" w:cs="Times New Roman"/>
          <w:i/>
          <w:iCs/>
          <w:sz w:val="24"/>
        </w:rPr>
        <w:t>et al.</w:t>
      </w:r>
      <w:r w:rsidRPr="00BE003E">
        <w:rPr>
          <w:rFonts w:ascii="Times New Roman" w:hAnsi="Times New Roman" w:cs="Times New Roman"/>
          <w:sz w:val="24"/>
        </w:rPr>
        <w:t> (2023) ‘How clinical psychologists respond to child safeguarding dilemmas: A qualitative study’, </w:t>
      </w:r>
      <w:r w:rsidRPr="00BE003E">
        <w:rPr>
          <w:rFonts w:ascii="Times New Roman" w:hAnsi="Times New Roman" w:cs="Times New Roman"/>
          <w:i/>
          <w:iCs/>
          <w:sz w:val="24"/>
        </w:rPr>
        <w:t>Child Abuse Review</w:t>
      </w:r>
      <w:r w:rsidRPr="00BE003E">
        <w:rPr>
          <w:rFonts w:ascii="Times New Roman" w:hAnsi="Times New Roman" w:cs="Times New Roman"/>
          <w:sz w:val="24"/>
        </w:rPr>
        <w:t>, 33(1). Available at: https://doi.org/10.1002/car.2850.</w:t>
      </w:r>
    </w:p>
    <w:p w14:paraId="30517C07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Rogowski, S. (2024) </w:t>
      </w:r>
      <w:r w:rsidRPr="00BE003E">
        <w:rPr>
          <w:rFonts w:ascii="Times New Roman" w:hAnsi="Times New Roman" w:cs="Times New Roman"/>
          <w:i/>
          <w:iCs/>
          <w:sz w:val="24"/>
        </w:rPr>
        <w:t>Critical social work with children and families : theory, context and practice</w:t>
      </w:r>
      <w:r w:rsidRPr="00BE003E">
        <w:rPr>
          <w:rFonts w:ascii="Times New Roman" w:hAnsi="Times New Roman" w:cs="Times New Roman"/>
          <w:sz w:val="24"/>
        </w:rPr>
        <w:t>. Policy Press.</w:t>
      </w:r>
    </w:p>
    <w:p w14:paraId="410FF5FB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Sun, Y. </w:t>
      </w:r>
      <w:r w:rsidRPr="00BE003E">
        <w:rPr>
          <w:rFonts w:ascii="Times New Roman" w:hAnsi="Times New Roman" w:cs="Times New Roman"/>
          <w:i/>
          <w:iCs/>
          <w:sz w:val="24"/>
        </w:rPr>
        <w:t>et al.</w:t>
      </w:r>
      <w:r w:rsidRPr="00BE003E">
        <w:rPr>
          <w:rFonts w:ascii="Times New Roman" w:hAnsi="Times New Roman" w:cs="Times New Roman"/>
          <w:sz w:val="24"/>
        </w:rPr>
        <w:t> (2025) ‘Cross-Disciplinary Collaboration to Promote Trauma-Informed Practices in Early Childhood and Primary Education’, </w:t>
      </w:r>
      <w:r w:rsidRPr="00BE003E">
        <w:rPr>
          <w:rFonts w:ascii="Times New Roman" w:hAnsi="Times New Roman" w:cs="Times New Roman"/>
          <w:i/>
          <w:iCs/>
          <w:sz w:val="24"/>
        </w:rPr>
        <w:t>Trauma, Violence, &amp; Abuse</w:t>
      </w:r>
      <w:r w:rsidRPr="00BE003E">
        <w:rPr>
          <w:rFonts w:ascii="Times New Roman" w:hAnsi="Times New Roman" w:cs="Times New Roman"/>
          <w:sz w:val="24"/>
        </w:rPr>
        <w:t> [Preprint]. Available at: https://doi.org/10.1177/15248380251325217.</w:t>
      </w:r>
    </w:p>
    <w:p w14:paraId="1C5C6511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Vujčić, M.T., Brajša-Žganec, A. and Franc, R. (2018) ‘Children and Young Peoples’ Views on Well-Being: A Qualitative Study’, </w:t>
      </w:r>
      <w:r w:rsidRPr="00BE003E">
        <w:rPr>
          <w:rFonts w:ascii="Times New Roman" w:hAnsi="Times New Roman" w:cs="Times New Roman"/>
          <w:i/>
          <w:iCs/>
          <w:sz w:val="24"/>
        </w:rPr>
        <w:t>Child Indicators Research</w:t>
      </w:r>
      <w:r w:rsidRPr="00BE003E">
        <w:rPr>
          <w:rFonts w:ascii="Times New Roman" w:hAnsi="Times New Roman" w:cs="Times New Roman"/>
          <w:sz w:val="24"/>
        </w:rPr>
        <w:t>, 12(3), pp. 791–819. Available at: https://doi.org/10.1007/s12187-018-9559-y.</w:t>
      </w:r>
    </w:p>
    <w:p w14:paraId="1F9E1093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Wales Centre for Public Policy (2021) </w:t>
      </w:r>
      <w:r w:rsidRPr="00BE003E">
        <w:rPr>
          <w:rFonts w:ascii="Times New Roman" w:hAnsi="Times New Roman" w:cs="Times New Roman"/>
          <w:i/>
          <w:iCs/>
          <w:sz w:val="24"/>
        </w:rPr>
        <w:t>Multi-agency Working and Outcomes for Children Looked after: Evidence Review</w:t>
      </w:r>
      <w:r w:rsidRPr="00BE003E">
        <w:rPr>
          <w:rFonts w:ascii="Times New Roman" w:hAnsi="Times New Roman" w:cs="Times New Roman"/>
          <w:sz w:val="24"/>
        </w:rPr>
        <w:t>. Available at: https://www.wcpp.org.uk/wp-content/uploads/2021/09/Multi-agency-working-and-outcomes-for-children-looked-after-Evidence-review.pdf (Accessed: 13 November 2025).</w:t>
      </w:r>
    </w:p>
    <w:p w14:paraId="0DEE9140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Walker, G. (2018) </w:t>
      </w:r>
      <w:r w:rsidRPr="00BE003E">
        <w:rPr>
          <w:rFonts w:ascii="Times New Roman" w:hAnsi="Times New Roman" w:cs="Times New Roman"/>
          <w:i/>
          <w:iCs/>
          <w:sz w:val="24"/>
        </w:rPr>
        <w:t>Working Together for Children : a Critical Introduction to Multi-Agency Working</w:t>
      </w:r>
      <w:r w:rsidRPr="00BE003E">
        <w:rPr>
          <w:rFonts w:ascii="Times New Roman" w:hAnsi="Times New Roman" w:cs="Times New Roman"/>
          <w:sz w:val="24"/>
        </w:rPr>
        <w:t>. Bloomsbury Academic.</w:t>
      </w:r>
    </w:p>
    <w:p w14:paraId="1447006C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t>Whittington, C. (2023) ‘Collaboration and partnership in context’, in </w:t>
      </w:r>
      <w:r w:rsidRPr="00BE003E">
        <w:rPr>
          <w:rFonts w:ascii="Times New Roman" w:hAnsi="Times New Roman" w:cs="Times New Roman"/>
          <w:i/>
          <w:iCs/>
          <w:sz w:val="24"/>
        </w:rPr>
        <w:t>Social Work</w:t>
      </w:r>
      <w:r w:rsidRPr="00BE003E">
        <w:rPr>
          <w:rFonts w:ascii="Times New Roman" w:hAnsi="Times New Roman" w:cs="Times New Roman"/>
          <w:sz w:val="24"/>
        </w:rPr>
        <w:t>. Routledge, pp. 240–246.</w:t>
      </w:r>
    </w:p>
    <w:p w14:paraId="02E7DD3F" w14:textId="77777777" w:rsidR="004050AC" w:rsidRPr="00BE003E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E003E">
        <w:rPr>
          <w:rFonts w:ascii="Times New Roman" w:hAnsi="Times New Roman" w:cs="Times New Roman"/>
          <w:sz w:val="24"/>
        </w:rPr>
        <w:lastRenderedPageBreak/>
        <w:t>Wright, H.R. (2015) </w:t>
      </w:r>
      <w:r w:rsidRPr="00BE003E">
        <w:rPr>
          <w:rFonts w:ascii="Times New Roman" w:hAnsi="Times New Roman" w:cs="Times New Roman"/>
          <w:i/>
          <w:iCs/>
          <w:sz w:val="24"/>
        </w:rPr>
        <w:t>The Child in Society</w:t>
      </w:r>
      <w:r w:rsidRPr="00BE003E">
        <w:rPr>
          <w:rFonts w:ascii="Times New Roman" w:hAnsi="Times New Roman" w:cs="Times New Roman"/>
          <w:sz w:val="24"/>
        </w:rPr>
        <w:t>. Sage Publications Limited.</w:t>
      </w:r>
    </w:p>
    <w:p w14:paraId="141F5B3C" w14:textId="77777777" w:rsidR="004050AC" w:rsidRPr="001D63F4" w:rsidRDefault="004050AC" w:rsidP="004050AC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73AF5E3" w14:textId="77777777" w:rsidR="007C4EC5" w:rsidRDefault="007C4EC5"/>
    <w:sectPr w:rsidR="007C4EC5" w:rsidSect="004050AC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2729E5" w14:textId="77777777" w:rsidR="00901609" w:rsidRDefault="00901609">
      <w:pPr>
        <w:spacing w:after="0" w:line="240" w:lineRule="auto"/>
      </w:pPr>
      <w:r>
        <w:separator/>
      </w:r>
    </w:p>
  </w:endnote>
  <w:endnote w:type="continuationSeparator" w:id="0">
    <w:p w14:paraId="03B415D2" w14:textId="77777777" w:rsidR="00901609" w:rsidRDefault="009016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90959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FBB9C2" w14:textId="77777777" w:rsidR="004050AC" w:rsidRDefault="004050A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0112115C" w14:textId="77777777" w:rsidR="004050AC" w:rsidRDefault="004050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284F28" w14:textId="77777777" w:rsidR="00901609" w:rsidRDefault="00901609">
      <w:pPr>
        <w:spacing w:after="0" w:line="240" w:lineRule="auto"/>
      </w:pPr>
      <w:r>
        <w:separator/>
      </w:r>
    </w:p>
  </w:footnote>
  <w:footnote w:type="continuationSeparator" w:id="0">
    <w:p w14:paraId="73A47640" w14:textId="77777777" w:rsidR="00901609" w:rsidRDefault="0090160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0AC"/>
    <w:rsid w:val="000B1D73"/>
    <w:rsid w:val="00382F3F"/>
    <w:rsid w:val="004050AC"/>
    <w:rsid w:val="00563302"/>
    <w:rsid w:val="005B29DA"/>
    <w:rsid w:val="00630B17"/>
    <w:rsid w:val="007C4EC5"/>
    <w:rsid w:val="00901609"/>
    <w:rsid w:val="009C11AB"/>
    <w:rsid w:val="00B274FA"/>
    <w:rsid w:val="00CB7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ADEBCB"/>
  <w15:chartTrackingRefBased/>
  <w15:docId w15:val="{B88FE59A-0C7F-434D-A3A5-690147821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50AC"/>
    <w:pPr>
      <w:spacing w:after="200" w:line="276" w:lineRule="auto"/>
    </w:pPr>
    <w:rPr>
      <w:kern w:val="0"/>
      <w:szCs w:val="22"/>
      <w:lang w:val="en-US" w:bidi="ar-SA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50AC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50"/>
      <w:lang w:val="en-GB" w:bidi="bn-BD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50AC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40"/>
      <w:lang w:val="en-GB" w:bidi="bn-BD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50AC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35"/>
      <w:lang w:val="en-GB" w:bidi="bn-BD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50AC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Cs w:val="28"/>
      <w:lang w:val="en-GB" w:bidi="bn-BD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50AC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:szCs w:val="28"/>
      <w:lang w:val="en-GB" w:bidi="bn-BD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50AC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Cs w:val="28"/>
      <w:lang w:val="en-GB" w:bidi="bn-BD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50AC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szCs w:val="28"/>
      <w:lang w:val="en-GB" w:bidi="bn-BD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50AC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Cs w:val="28"/>
      <w:lang w:val="en-GB" w:bidi="bn-BD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50AC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szCs w:val="28"/>
      <w:lang w:val="en-GB" w:bidi="bn-BD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50AC"/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50AC"/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50AC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50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50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50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50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50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50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50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  <w:lang w:val="en-GB" w:bidi="bn-BD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050AC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50AC"/>
    <w:pPr>
      <w:numPr>
        <w:ilvl w:val="1"/>
      </w:numPr>
      <w:spacing w:after="160"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35"/>
      <w:lang w:val="en-GB" w:bidi="bn-BD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050AC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4050AC"/>
    <w:pPr>
      <w:spacing w:before="160" w:after="160" w:line="259" w:lineRule="auto"/>
      <w:jc w:val="center"/>
    </w:pPr>
    <w:rPr>
      <w:i/>
      <w:iCs/>
      <w:color w:val="404040" w:themeColor="text1" w:themeTint="BF"/>
      <w:kern w:val="2"/>
      <w:szCs w:val="28"/>
      <w:lang w:val="en-GB" w:bidi="bn-BD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050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50AC"/>
    <w:pPr>
      <w:spacing w:after="160" w:line="259" w:lineRule="auto"/>
      <w:ind w:left="720"/>
      <w:contextualSpacing/>
    </w:pPr>
    <w:rPr>
      <w:kern w:val="2"/>
      <w:szCs w:val="28"/>
      <w:lang w:val="en-GB" w:bidi="bn-BD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050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50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  <w:kern w:val="2"/>
      <w:szCs w:val="28"/>
      <w:lang w:val="en-GB" w:bidi="bn-BD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50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50AC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4050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50AC"/>
    <w:rPr>
      <w:kern w:val="0"/>
      <w:szCs w:val="22"/>
      <w:lang w:val="en-US" w:bidi="ar-SA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DD1822-F3C0-4246-BBB6-A1CBA4188B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</TotalTime>
  <Pages>1</Pages>
  <Words>446</Words>
  <Characters>2548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Acmmos Research UK</dc:creator>
  <cp:keywords/>
  <dc:description/>
  <cp:lastModifiedBy>Isatu Kamara (2028698)</cp:lastModifiedBy>
  <cp:revision>5</cp:revision>
  <dcterms:created xsi:type="dcterms:W3CDTF">2025-11-15T10:50:00Z</dcterms:created>
  <dcterms:modified xsi:type="dcterms:W3CDTF">2025-11-24T17:36:00Z</dcterms:modified>
</cp:coreProperties>
</file>