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0C1A1" w14:textId="16721F73" w:rsidR="001E4E20" w:rsidRPr="00A412D3" w:rsidRDefault="00571EDF">
      <w:pPr>
        <w:rPr>
          <w:rFonts w:ascii="Times New Roman" w:hAnsi="Times New Roman" w:cs="Times New Roman"/>
          <w:sz w:val="24"/>
          <w:szCs w:val="24"/>
        </w:rPr>
      </w:pPr>
      <w:r w:rsidRPr="00A412D3">
        <w:rPr>
          <w:rFonts w:ascii="Times New Roman" w:hAnsi="Times New Roman" w:cs="Times New Roman"/>
          <w:sz w:val="24"/>
          <w:szCs w:val="24"/>
        </w:rPr>
        <w:t>University of Wales</w:t>
      </w:r>
    </w:p>
    <w:p w14:paraId="6A325F29" w14:textId="05FF2E73" w:rsidR="00571EDF" w:rsidRPr="00A412D3" w:rsidRDefault="00571EDF">
      <w:pPr>
        <w:rPr>
          <w:rFonts w:ascii="Times New Roman" w:hAnsi="Times New Roman" w:cs="Times New Roman"/>
          <w:sz w:val="24"/>
          <w:szCs w:val="24"/>
        </w:rPr>
      </w:pPr>
      <w:r w:rsidRPr="00A412D3">
        <w:rPr>
          <w:rFonts w:ascii="Times New Roman" w:hAnsi="Times New Roman" w:cs="Times New Roman"/>
          <w:sz w:val="24"/>
          <w:szCs w:val="24"/>
        </w:rPr>
        <w:t>Trinity Saint David</w:t>
      </w:r>
    </w:p>
    <w:p w14:paraId="50183EEF" w14:textId="6E82B3F6" w:rsidR="00571EDF" w:rsidRPr="00A412D3" w:rsidRDefault="00571EDF">
      <w:pPr>
        <w:rPr>
          <w:rFonts w:ascii="Times New Roman" w:hAnsi="Times New Roman" w:cs="Times New Roman"/>
          <w:sz w:val="24"/>
          <w:szCs w:val="24"/>
        </w:rPr>
      </w:pPr>
      <w:r w:rsidRPr="00A412D3">
        <w:rPr>
          <w:rFonts w:ascii="Times New Roman" w:hAnsi="Times New Roman" w:cs="Times New Roman"/>
          <w:sz w:val="24"/>
          <w:szCs w:val="24"/>
        </w:rPr>
        <w:t>London</w:t>
      </w:r>
    </w:p>
    <w:p w14:paraId="2F2D50E5" w14:textId="77777777" w:rsidR="00571EDF" w:rsidRPr="00571EDF" w:rsidRDefault="00571EDF">
      <w:pPr>
        <w:rPr>
          <w:rFonts w:ascii="Times New Roman" w:hAnsi="Times New Roman" w:cs="Times New Roman"/>
          <w:sz w:val="28"/>
          <w:szCs w:val="28"/>
        </w:rPr>
      </w:pPr>
    </w:p>
    <w:p w14:paraId="25FAC456" w14:textId="77777777" w:rsidR="00571EDF" w:rsidRDefault="00571EDF"/>
    <w:p w14:paraId="731E662E" w14:textId="77777777" w:rsidR="00571EDF" w:rsidRDefault="00571EDF"/>
    <w:p w14:paraId="543143F6" w14:textId="77777777" w:rsidR="00571EDF" w:rsidRDefault="00571EDF"/>
    <w:p w14:paraId="52AF61B8" w14:textId="77777777" w:rsidR="00571EDF" w:rsidRDefault="00571EDF"/>
    <w:p w14:paraId="3FDDA850" w14:textId="77777777" w:rsidR="00571EDF" w:rsidRDefault="00571EDF"/>
    <w:p w14:paraId="431E8BB4" w14:textId="3553799C" w:rsidR="00571EDF" w:rsidRPr="00A412D3" w:rsidRDefault="00571EDF" w:rsidP="00571EDF">
      <w:pPr>
        <w:jc w:val="center"/>
        <w:rPr>
          <w:rFonts w:ascii="Times New Roman" w:hAnsi="Times New Roman" w:cs="Times New Roman"/>
          <w:sz w:val="32"/>
          <w:szCs w:val="32"/>
        </w:rPr>
      </w:pPr>
      <w:r w:rsidRPr="00A412D3">
        <w:rPr>
          <w:rFonts w:ascii="Times New Roman" w:hAnsi="Times New Roman" w:cs="Times New Roman"/>
          <w:sz w:val="32"/>
          <w:szCs w:val="32"/>
        </w:rPr>
        <w:t xml:space="preserve">Component 1: </w:t>
      </w:r>
      <w:proofErr w:type="gramStart"/>
      <w:r w:rsidRPr="00A412D3">
        <w:rPr>
          <w:rFonts w:ascii="Times New Roman" w:hAnsi="Times New Roman" w:cs="Times New Roman"/>
          <w:sz w:val="32"/>
          <w:szCs w:val="32"/>
        </w:rPr>
        <w:t>Coursework :</w:t>
      </w:r>
      <w:proofErr w:type="gramEnd"/>
      <w:r w:rsidRPr="00A412D3">
        <w:rPr>
          <w:rFonts w:ascii="Times New Roman" w:hAnsi="Times New Roman" w:cs="Times New Roman"/>
          <w:sz w:val="32"/>
          <w:szCs w:val="32"/>
        </w:rPr>
        <w:t xml:space="preserve"> Written Report</w:t>
      </w:r>
    </w:p>
    <w:p w14:paraId="1C68B5EA" w14:textId="781784F5" w:rsidR="00571EDF" w:rsidRDefault="00571EDF">
      <w:r>
        <w:t xml:space="preserve"> </w:t>
      </w:r>
    </w:p>
    <w:p w14:paraId="7D700212" w14:textId="77777777" w:rsidR="00571EDF" w:rsidRDefault="00571EDF"/>
    <w:p w14:paraId="6F9DB363" w14:textId="77777777" w:rsidR="00571EDF" w:rsidRDefault="00571EDF"/>
    <w:p w14:paraId="319C3B93" w14:textId="77777777" w:rsidR="00571EDF" w:rsidRDefault="00571EDF"/>
    <w:p w14:paraId="73EB517F" w14:textId="77777777" w:rsidR="00571EDF" w:rsidRDefault="00571EDF"/>
    <w:p w14:paraId="2704147D" w14:textId="77777777" w:rsidR="00A412D3" w:rsidRDefault="00A412D3">
      <w:pPr>
        <w:rPr>
          <w:rFonts w:ascii="Times New Roman" w:hAnsi="Times New Roman" w:cs="Times New Roman"/>
          <w:sz w:val="24"/>
          <w:szCs w:val="24"/>
        </w:rPr>
      </w:pPr>
    </w:p>
    <w:p w14:paraId="60FE647F" w14:textId="35A5719B" w:rsidR="00571EDF" w:rsidRPr="00A412D3" w:rsidRDefault="00571EDF">
      <w:pPr>
        <w:rPr>
          <w:rFonts w:ascii="Times New Roman" w:hAnsi="Times New Roman" w:cs="Times New Roman"/>
          <w:sz w:val="24"/>
          <w:szCs w:val="24"/>
        </w:rPr>
      </w:pPr>
      <w:r w:rsidRPr="00A412D3">
        <w:rPr>
          <w:rFonts w:ascii="Times New Roman" w:hAnsi="Times New Roman" w:cs="Times New Roman"/>
          <w:sz w:val="24"/>
          <w:szCs w:val="24"/>
        </w:rPr>
        <w:t>Student name: Silviya Stancheva</w:t>
      </w:r>
    </w:p>
    <w:p w14:paraId="31A51E0E" w14:textId="3731C2A6" w:rsidR="00571EDF" w:rsidRPr="00A412D3" w:rsidRDefault="00571EDF">
      <w:pPr>
        <w:rPr>
          <w:rFonts w:ascii="Times New Roman" w:hAnsi="Times New Roman" w:cs="Times New Roman"/>
          <w:sz w:val="24"/>
          <w:szCs w:val="24"/>
        </w:rPr>
      </w:pPr>
      <w:r w:rsidRPr="00A412D3">
        <w:rPr>
          <w:rFonts w:ascii="Times New Roman" w:hAnsi="Times New Roman" w:cs="Times New Roman"/>
          <w:sz w:val="24"/>
          <w:szCs w:val="24"/>
        </w:rPr>
        <w:t>Student number: 2310452</w:t>
      </w:r>
    </w:p>
    <w:p w14:paraId="608ECE0B" w14:textId="40769877" w:rsidR="00571EDF" w:rsidRPr="00A412D3" w:rsidRDefault="00571EDF">
      <w:pPr>
        <w:rPr>
          <w:rFonts w:ascii="Times New Roman" w:hAnsi="Times New Roman" w:cs="Times New Roman"/>
          <w:sz w:val="24"/>
          <w:szCs w:val="24"/>
        </w:rPr>
      </w:pPr>
      <w:r w:rsidRPr="00A412D3">
        <w:rPr>
          <w:rFonts w:ascii="Times New Roman" w:hAnsi="Times New Roman" w:cs="Times New Roman"/>
          <w:sz w:val="24"/>
          <w:szCs w:val="24"/>
        </w:rPr>
        <w:t>Module code: LCBB6015</w:t>
      </w:r>
    </w:p>
    <w:p w14:paraId="1442A935" w14:textId="6C6A6B4A" w:rsidR="00571EDF" w:rsidRPr="00A412D3" w:rsidRDefault="00571EDF">
      <w:pPr>
        <w:rPr>
          <w:rFonts w:ascii="Times New Roman" w:hAnsi="Times New Roman" w:cs="Times New Roman"/>
          <w:sz w:val="24"/>
          <w:szCs w:val="24"/>
        </w:rPr>
      </w:pPr>
      <w:r w:rsidRPr="00A412D3">
        <w:rPr>
          <w:rFonts w:ascii="Times New Roman" w:hAnsi="Times New Roman" w:cs="Times New Roman"/>
          <w:sz w:val="24"/>
          <w:szCs w:val="24"/>
        </w:rPr>
        <w:t>Modul name: Strategic Management and Sustainability</w:t>
      </w:r>
    </w:p>
    <w:p w14:paraId="57B596E3" w14:textId="480B635F" w:rsidR="00571EDF" w:rsidRPr="00A412D3" w:rsidRDefault="00571EDF">
      <w:pPr>
        <w:rPr>
          <w:rFonts w:ascii="Times New Roman" w:hAnsi="Times New Roman" w:cs="Times New Roman"/>
          <w:sz w:val="24"/>
          <w:szCs w:val="24"/>
        </w:rPr>
      </w:pPr>
      <w:r w:rsidRPr="00A412D3">
        <w:rPr>
          <w:rFonts w:ascii="Times New Roman" w:hAnsi="Times New Roman" w:cs="Times New Roman"/>
          <w:sz w:val="24"/>
          <w:szCs w:val="24"/>
        </w:rPr>
        <w:t>Programme: BA(Hons) Business Management</w:t>
      </w:r>
    </w:p>
    <w:p w14:paraId="14C44157" w14:textId="68FACD32" w:rsidR="00571EDF" w:rsidRPr="00A412D3" w:rsidRDefault="00571EDF">
      <w:pPr>
        <w:rPr>
          <w:rFonts w:ascii="Times New Roman" w:hAnsi="Times New Roman" w:cs="Times New Roman"/>
          <w:sz w:val="24"/>
          <w:szCs w:val="24"/>
        </w:rPr>
      </w:pPr>
      <w:r w:rsidRPr="00A412D3">
        <w:rPr>
          <w:rFonts w:ascii="Times New Roman" w:hAnsi="Times New Roman" w:cs="Times New Roman"/>
          <w:sz w:val="24"/>
          <w:szCs w:val="24"/>
        </w:rPr>
        <w:t>Lecturer name: Dr Nerys Dosseh</w:t>
      </w:r>
    </w:p>
    <w:p w14:paraId="5B826C3B" w14:textId="77777777" w:rsidR="00571EDF" w:rsidRDefault="00571EDF">
      <w:pPr>
        <w:rPr>
          <w:rFonts w:ascii="Times New Roman" w:hAnsi="Times New Roman" w:cs="Times New Roman"/>
          <w:sz w:val="28"/>
          <w:szCs w:val="28"/>
        </w:rPr>
      </w:pPr>
    </w:p>
    <w:p w14:paraId="658EB7FE" w14:textId="77777777" w:rsidR="00571EDF" w:rsidRDefault="00571EDF">
      <w:pPr>
        <w:rPr>
          <w:rFonts w:ascii="Times New Roman" w:hAnsi="Times New Roman" w:cs="Times New Roman"/>
          <w:sz w:val="28"/>
          <w:szCs w:val="28"/>
        </w:rPr>
      </w:pPr>
    </w:p>
    <w:p w14:paraId="2E9D1966" w14:textId="77777777" w:rsidR="00571EDF" w:rsidRDefault="00571EDF">
      <w:pPr>
        <w:rPr>
          <w:rFonts w:ascii="Times New Roman" w:hAnsi="Times New Roman" w:cs="Times New Roman"/>
          <w:sz w:val="28"/>
          <w:szCs w:val="28"/>
        </w:rPr>
      </w:pPr>
    </w:p>
    <w:p w14:paraId="5A4A4001" w14:textId="77777777" w:rsidR="00571EDF" w:rsidRDefault="00571EDF">
      <w:pPr>
        <w:rPr>
          <w:rFonts w:ascii="Times New Roman" w:hAnsi="Times New Roman" w:cs="Times New Roman"/>
          <w:sz w:val="28"/>
          <w:szCs w:val="28"/>
        </w:rPr>
      </w:pPr>
    </w:p>
    <w:p w14:paraId="5459858B" w14:textId="77777777" w:rsidR="00571EDF" w:rsidRDefault="00571EDF">
      <w:pPr>
        <w:rPr>
          <w:rFonts w:ascii="Times New Roman" w:hAnsi="Times New Roman" w:cs="Times New Roman"/>
          <w:sz w:val="28"/>
          <w:szCs w:val="28"/>
        </w:rPr>
      </w:pPr>
    </w:p>
    <w:p w14:paraId="01E0E0B6" w14:textId="77777777" w:rsidR="00571EDF" w:rsidRDefault="00571EDF">
      <w:pPr>
        <w:rPr>
          <w:rFonts w:ascii="Times New Roman" w:hAnsi="Times New Roman" w:cs="Times New Roman"/>
          <w:sz w:val="28"/>
          <w:szCs w:val="28"/>
        </w:rPr>
      </w:pPr>
    </w:p>
    <w:p w14:paraId="0E3B2361" w14:textId="77777777" w:rsidR="00571EDF" w:rsidRDefault="00571EDF">
      <w:pPr>
        <w:rPr>
          <w:rFonts w:ascii="Times New Roman" w:hAnsi="Times New Roman" w:cs="Times New Roman"/>
          <w:sz w:val="28"/>
          <w:szCs w:val="28"/>
        </w:rPr>
      </w:pPr>
    </w:p>
    <w:p w14:paraId="2201F39C" w14:textId="77777777" w:rsidR="00A412D3" w:rsidRPr="00A412D3" w:rsidRDefault="00A412D3" w:rsidP="00A412D3">
      <w:pPr>
        <w:spacing w:line="360" w:lineRule="auto"/>
        <w:rPr>
          <w:rFonts w:ascii="Times New Roman" w:hAnsi="Times New Roman" w:cs="Times New Roman"/>
          <w:b/>
          <w:bCs/>
          <w:kern w:val="2"/>
          <w:sz w:val="24"/>
          <w:szCs w:val="24"/>
          <w14:ligatures w14:val="standardContextual"/>
        </w:rPr>
      </w:pPr>
      <w:r w:rsidRPr="00A412D3">
        <w:rPr>
          <w:rFonts w:ascii="Times New Roman" w:hAnsi="Times New Roman" w:cs="Times New Roman"/>
          <w:b/>
          <w:bCs/>
          <w:kern w:val="2"/>
          <w:sz w:val="24"/>
          <w:szCs w:val="24"/>
          <w14:ligatures w14:val="standardContextual"/>
        </w:rPr>
        <w:lastRenderedPageBreak/>
        <w:t>Executive Summary</w:t>
      </w:r>
    </w:p>
    <w:p w14:paraId="3FEB6EA1" w14:textId="3E86A1C3" w:rsidR="00A412D3" w:rsidRPr="00A412D3" w:rsidRDefault="00A412D3" w:rsidP="00A412D3">
      <w:pPr>
        <w:spacing w:line="360" w:lineRule="auto"/>
        <w:rPr>
          <w:rFonts w:ascii="Times New Roman" w:hAnsi="Times New Roman" w:cs="Times New Roman"/>
          <w:kern w:val="2"/>
          <w:sz w:val="24"/>
          <w:szCs w:val="24"/>
          <w14:ligatures w14:val="standardContextual"/>
        </w:rPr>
      </w:pPr>
      <w:r w:rsidRPr="00A412D3">
        <w:rPr>
          <w:rFonts w:ascii="Times New Roman" w:hAnsi="Times New Roman" w:cs="Times New Roman"/>
          <w:kern w:val="2"/>
          <w:sz w:val="24"/>
          <w:szCs w:val="24"/>
          <w14:ligatures w14:val="standardContextual"/>
        </w:rPr>
        <w:t>This report will analy</w:t>
      </w:r>
      <w:r>
        <w:rPr>
          <w:rFonts w:ascii="Times New Roman" w:hAnsi="Times New Roman" w:cs="Times New Roman"/>
          <w:kern w:val="2"/>
          <w:sz w:val="24"/>
          <w:szCs w:val="24"/>
          <w14:ligatures w14:val="standardContextual"/>
        </w:rPr>
        <w:t xml:space="preserve">se </w:t>
      </w:r>
      <w:r w:rsidRPr="00A412D3">
        <w:rPr>
          <w:rFonts w:ascii="Times New Roman" w:hAnsi="Times New Roman" w:cs="Times New Roman"/>
          <w:kern w:val="2"/>
          <w:sz w:val="24"/>
          <w:szCs w:val="24"/>
          <w14:ligatures w14:val="standardContextual"/>
        </w:rPr>
        <w:t>the strategic situation of Jaguar Land Rover (JLR) in UK's automotive market and discuss future approaches for sustainable growth. Strategic management in this industry matters because firms need to react to electrification, regulation, technological change and – on top of that – fierce global competition. The analysis indicates that JLR enjoys solid premium brands, engineering skill, a clear electrification strategy and strengthening financial performance. The company does have challenges that it needs to overcome, including high transition costs, supply chain risk as well as export dependence and fierce competition in the electric vehicle market. PEST analysis reveals opportunities and threats driven by environmental policy, consumer demand and industry change. JLR retains significant strengths in brand value and design expertise, according to internal analysis. JLR must bolster its premium electric vehicle strategy, enhance supply chain resilience and expand digital and service-based offering to protect long-term competitiveness, the report suggested.</w:t>
      </w:r>
    </w:p>
    <w:p w14:paraId="716B62F3" w14:textId="77777777" w:rsidR="00571EDF" w:rsidRDefault="00571EDF">
      <w:pPr>
        <w:rPr>
          <w:rFonts w:ascii="Times New Roman" w:hAnsi="Times New Roman" w:cs="Times New Roman"/>
          <w:sz w:val="28"/>
          <w:szCs w:val="28"/>
        </w:rPr>
      </w:pPr>
    </w:p>
    <w:p w14:paraId="3169BA30" w14:textId="77777777" w:rsidR="00A412D3" w:rsidRDefault="00A412D3">
      <w:pPr>
        <w:rPr>
          <w:rFonts w:ascii="Times New Roman" w:hAnsi="Times New Roman" w:cs="Times New Roman"/>
          <w:sz w:val="28"/>
          <w:szCs w:val="28"/>
        </w:rPr>
      </w:pPr>
    </w:p>
    <w:p w14:paraId="0B9B7B5D" w14:textId="77777777" w:rsidR="00A412D3" w:rsidRDefault="00A412D3">
      <w:pPr>
        <w:rPr>
          <w:rFonts w:ascii="Times New Roman" w:hAnsi="Times New Roman" w:cs="Times New Roman"/>
          <w:sz w:val="28"/>
          <w:szCs w:val="28"/>
        </w:rPr>
      </w:pPr>
    </w:p>
    <w:p w14:paraId="16344ADB" w14:textId="77777777" w:rsidR="00A412D3" w:rsidRDefault="00A412D3">
      <w:pPr>
        <w:rPr>
          <w:rFonts w:ascii="Times New Roman" w:hAnsi="Times New Roman" w:cs="Times New Roman"/>
          <w:sz w:val="28"/>
          <w:szCs w:val="28"/>
        </w:rPr>
      </w:pPr>
    </w:p>
    <w:p w14:paraId="7E7DF97C" w14:textId="77777777" w:rsidR="00A412D3" w:rsidRDefault="00A412D3">
      <w:pPr>
        <w:rPr>
          <w:rFonts w:ascii="Times New Roman" w:hAnsi="Times New Roman" w:cs="Times New Roman"/>
          <w:sz w:val="28"/>
          <w:szCs w:val="28"/>
        </w:rPr>
      </w:pPr>
    </w:p>
    <w:p w14:paraId="407BF333" w14:textId="77777777" w:rsidR="00A412D3" w:rsidRDefault="00A412D3">
      <w:pPr>
        <w:rPr>
          <w:rFonts w:ascii="Times New Roman" w:hAnsi="Times New Roman" w:cs="Times New Roman"/>
          <w:sz w:val="28"/>
          <w:szCs w:val="28"/>
        </w:rPr>
      </w:pPr>
    </w:p>
    <w:p w14:paraId="6F4C7E0C" w14:textId="77777777" w:rsidR="00A412D3" w:rsidRDefault="00A412D3">
      <w:pPr>
        <w:rPr>
          <w:rFonts w:ascii="Times New Roman" w:hAnsi="Times New Roman" w:cs="Times New Roman"/>
          <w:sz w:val="28"/>
          <w:szCs w:val="28"/>
        </w:rPr>
      </w:pPr>
    </w:p>
    <w:p w14:paraId="7E75405A" w14:textId="77777777" w:rsidR="00A412D3" w:rsidRDefault="00A412D3">
      <w:pPr>
        <w:rPr>
          <w:rFonts w:ascii="Times New Roman" w:hAnsi="Times New Roman" w:cs="Times New Roman"/>
          <w:sz w:val="28"/>
          <w:szCs w:val="28"/>
        </w:rPr>
      </w:pPr>
    </w:p>
    <w:p w14:paraId="7AD388C0" w14:textId="77777777" w:rsidR="00A412D3" w:rsidRDefault="00A412D3">
      <w:pPr>
        <w:rPr>
          <w:rFonts w:ascii="Times New Roman" w:hAnsi="Times New Roman" w:cs="Times New Roman"/>
          <w:sz w:val="28"/>
          <w:szCs w:val="28"/>
        </w:rPr>
      </w:pPr>
    </w:p>
    <w:p w14:paraId="41502D6C" w14:textId="77777777" w:rsidR="00A412D3" w:rsidRDefault="00A412D3">
      <w:pPr>
        <w:rPr>
          <w:rFonts w:ascii="Times New Roman" w:hAnsi="Times New Roman" w:cs="Times New Roman"/>
          <w:sz w:val="28"/>
          <w:szCs w:val="28"/>
        </w:rPr>
      </w:pPr>
    </w:p>
    <w:p w14:paraId="4DA30128" w14:textId="77777777" w:rsidR="00A412D3" w:rsidRDefault="00A412D3">
      <w:pPr>
        <w:rPr>
          <w:rFonts w:ascii="Times New Roman" w:hAnsi="Times New Roman" w:cs="Times New Roman"/>
          <w:sz w:val="28"/>
          <w:szCs w:val="28"/>
        </w:rPr>
      </w:pPr>
    </w:p>
    <w:p w14:paraId="472CC129" w14:textId="77777777" w:rsidR="00A412D3" w:rsidRDefault="00A412D3">
      <w:pPr>
        <w:rPr>
          <w:rFonts w:ascii="Times New Roman" w:hAnsi="Times New Roman" w:cs="Times New Roman"/>
          <w:sz w:val="28"/>
          <w:szCs w:val="28"/>
        </w:rPr>
      </w:pPr>
    </w:p>
    <w:p w14:paraId="2DEDFDBD" w14:textId="77777777" w:rsidR="00A412D3" w:rsidRDefault="00A412D3">
      <w:pPr>
        <w:rPr>
          <w:rFonts w:ascii="Times New Roman" w:hAnsi="Times New Roman" w:cs="Times New Roman"/>
          <w:sz w:val="28"/>
          <w:szCs w:val="28"/>
        </w:rPr>
      </w:pPr>
    </w:p>
    <w:p w14:paraId="1790173C" w14:textId="77777777" w:rsidR="00A412D3" w:rsidRDefault="00A412D3">
      <w:pPr>
        <w:rPr>
          <w:rFonts w:ascii="Times New Roman" w:hAnsi="Times New Roman" w:cs="Times New Roman"/>
          <w:sz w:val="28"/>
          <w:szCs w:val="28"/>
        </w:rPr>
      </w:pPr>
    </w:p>
    <w:p w14:paraId="3153283C" w14:textId="77777777" w:rsidR="00A412D3" w:rsidRDefault="00A412D3">
      <w:pPr>
        <w:rPr>
          <w:rFonts w:ascii="Times New Roman" w:hAnsi="Times New Roman" w:cs="Times New Roman"/>
          <w:sz w:val="28"/>
          <w:szCs w:val="28"/>
        </w:rPr>
      </w:pPr>
    </w:p>
    <w:sdt>
      <w:sdtPr>
        <w:rPr>
          <w:kern w:val="2"/>
          <w14:ligatures w14:val="standardContextual"/>
        </w:rPr>
        <w:id w:val="-911003953"/>
        <w:docPartObj>
          <w:docPartGallery w:val="Table of Contents"/>
          <w:docPartUnique/>
        </w:docPartObj>
      </w:sdtPr>
      <w:sdtEndPr>
        <w:rPr>
          <w:b/>
          <w:bCs/>
        </w:rPr>
      </w:sdtEndPr>
      <w:sdtContent>
        <w:p w14:paraId="3A9E042B" w14:textId="77777777" w:rsidR="00A412D3" w:rsidRPr="00A412D3" w:rsidRDefault="00A412D3" w:rsidP="00A412D3">
          <w:pPr>
            <w:keepNext/>
            <w:keepLines/>
            <w:spacing w:before="240" w:after="0"/>
            <w:rPr>
              <w:rFonts w:ascii="Times New Roman" w:eastAsiaTheme="majorEastAsia" w:hAnsi="Times New Roman" w:cs="Times New Roman"/>
              <w:b/>
              <w:bCs/>
              <w:color w:val="000000" w:themeColor="text1"/>
              <w:sz w:val="28"/>
              <w:szCs w:val="28"/>
              <w:lang w:eastAsia="en-GB"/>
            </w:rPr>
          </w:pPr>
          <w:r w:rsidRPr="00A412D3">
            <w:rPr>
              <w:rFonts w:ascii="Times New Roman" w:eastAsiaTheme="majorEastAsia" w:hAnsi="Times New Roman" w:cs="Times New Roman"/>
              <w:b/>
              <w:bCs/>
              <w:color w:val="000000" w:themeColor="text1"/>
              <w:sz w:val="28"/>
              <w:szCs w:val="28"/>
              <w:lang w:eastAsia="en-GB"/>
            </w:rPr>
            <w:t>Contents</w:t>
          </w:r>
        </w:p>
        <w:p w14:paraId="6F7780D3" w14:textId="7E0CB281" w:rsidR="005E41EB" w:rsidRDefault="00A412D3">
          <w:pPr>
            <w:pStyle w:val="TOC1"/>
            <w:tabs>
              <w:tab w:val="right" w:leader="dot" w:pos="9016"/>
            </w:tabs>
            <w:rPr>
              <w:rFonts w:eastAsiaTheme="minorEastAsia"/>
              <w:noProof/>
              <w:kern w:val="2"/>
              <w:sz w:val="24"/>
              <w:szCs w:val="24"/>
              <w:lang w:eastAsia="en-GB"/>
              <w14:ligatures w14:val="standardContextual"/>
            </w:rPr>
          </w:pPr>
          <w:r w:rsidRPr="00A412D3">
            <w:rPr>
              <w:color w:val="000000" w:themeColor="text1"/>
              <w:kern w:val="2"/>
              <w14:ligatures w14:val="standardContextual"/>
            </w:rPr>
            <w:fldChar w:fldCharType="begin"/>
          </w:r>
          <w:r w:rsidRPr="00A412D3">
            <w:rPr>
              <w:color w:val="000000" w:themeColor="text1"/>
              <w:kern w:val="2"/>
              <w14:ligatures w14:val="standardContextual"/>
            </w:rPr>
            <w:instrText xml:space="preserve"> TOC \o "1-3" \h \z \u </w:instrText>
          </w:r>
          <w:r w:rsidRPr="00A412D3">
            <w:rPr>
              <w:color w:val="000000" w:themeColor="text1"/>
              <w:kern w:val="2"/>
              <w14:ligatures w14:val="standardContextual"/>
            </w:rPr>
            <w:fldChar w:fldCharType="separate"/>
          </w:r>
          <w:hyperlink w:anchor="_Toc224589582" w:history="1">
            <w:r w:rsidR="005E41EB" w:rsidRPr="009F6174">
              <w:rPr>
                <w:rStyle w:val="Hyperlink"/>
                <w:rFonts w:ascii="Times New Roman" w:eastAsiaTheme="majorEastAsia" w:hAnsi="Times New Roman" w:cs="Times New Roman"/>
                <w:b/>
                <w:bCs/>
                <w:noProof/>
              </w:rPr>
              <w:t>1.0 Introduction</w:t>
            </w:r>
            <w:r w:rsidR="005E41EB">
              <w:rPr>
                <w:noProof/>
                <w:webHidden/>
              </w:rPr>
              <w:tab/>
            </w:r>
            <w:r w:rsidR="005E41EB">
              <w:rPr>
                <w:noProof/>
                <w:webHidden/>
              </w:rPr>
              <w:fldChar w:fldCharType="begin"/>
            </w:r>
            <w:r w:rsidR="005E41EB">
              <w:rPr>
                <w:noProof/>
                <w:webHidden/>
              </w:rPr>
              <w:instrText xml:space="preserve"> PAGEREF _Toc224589582 \h </w:instrText>
            </w:r>
            <w:r w:rsidR="005E41EB">
              <w:rPr>
                <w:noProof/>
                <w:webHidden/>
              </w:rPr>
            </w:r>
            <w:r w:rsidR="005E41EB">
              <w:rPr>
                <w:noProof/>
                <w:webHidden/>
              </w:rPr>
              <w:fldChar w:fldCharType="separate"/>
            </w:r>
            <w:r w:rsidR="005E41EB">
              <w:rPr>
                <w:noProof/>
                <w:webHidden/>
              </w:rPr>
              <w:t>4</w:t>
            </w:r>
            <w:r w:rsidR="005E41EB">
              <w:rPr>
                <w:noProof/>
                <w:webHidden/>
              </w:rPr>
              <w:fldChar w:fldCharType="end"/>
            </w:r>
          </w:hyperlink>
        </w:p>
        <w:p w14:paraId="5696024E" w14:textId="69BC6AAD" w:rsidR="005E41EB" w:rsidRDefault="005E41EB">
          <w:pPr>
            <w:pStyle w:val="TOC1"/>
            <w:tabs>
              <w:tab w:val="right" w:leader="dot" w:pos="9016"/>
            </w:tabs>
            <w:rPr>
              <w:rFonts w:eastAsiaTheme="minorEastAsia"/>
              <w:noProof/>
              <w:kern w:val="2"/>
              <w:sz w:val="24"/>
              <w:szCs w:val="24"/>
              <w:lang w:eastAsia="en-GB"/>
              <w14:ligatures w14:val="standardContextual"/>
            </w:rPr>
          </w:pPr>
          <w:hyperlink w:anchor="_Toc224589583" w:history="1">
            <w:r w:rsidRPr="009F6174">
              <w:rPr>
                <w:rStyle w:val="Hyperlink"/>
                <w:rFonts w:ascii="Times New Roman" w:eastAsia="Times New Roman" w:hAnsi="Times New Roman" w:cs="Times New Roman"/>
                <w:b/>
                <w:bCs/>
                <w:noProof/>
                <w:lang w:eastAsia="en-GB"/>
              </w:rPr>
              <w:t>2.0 Strategy Analysis</w:t>
            </w:r>
            <w:r>
              <w:rPr>
                <w:noProof/>
                <w:webHidden/>
              </w:rPr>
              <w:tab/>
            </w:r>
            <w:r>
              <w:rPr>
                <w:noProof/>
                <w:webHidden/>
              </w:rPr>
              <w:fldChar w:fldCharType="begin"/>
            </w:r>
            <w:r>
              <w:rPr>
                <w:noProof/>
                <w:webHidden/>
              </w:rPr>
              <w:instrText xml:space="preserve"> PAGEREF _Toc224589583 \h </w:instrText>
            </w:r>
            <w:r>
              <w:rPr>
                <w:noProof/>
                <w:webHidden/>
              </w:rPr>
            </w:r>
            <w:r>
              <w:rPr>
                <w:noProof/>
                <w:webHidden/>
              </w:rPr>
              <w:fldChar w:fldCharType="separate"/>
            </w:r>
            <w:r>
              <w:rPr>
                <w:noProof/>
                <w:webHidden/>
              </w:rPr>
              <w:t>5</w:t>
            </w:r>
            <w:r>
              <w:rPr>
                <w:noProof/>
                <w:webHidden/>
              </w:rPr>
              <w:fldChar w:fldCharType="end"/>
            </w:r>
          </w:hyperlink>
        </w:p>
        <w:p w14:paraId="53E35AA7" w14:textId="72CECBB2" w:rsidR="005E41EB" w:rsidRDefault="005E41EB">
          <w:pPr>
            <w:pStyle w:val="TOC1"/>
            <w:tabs>
              <w:tab w:val="right" w:leader="dot" w:pos="9016"/>
            </w:tabs>
            <w:rPr>
              <w:rFonts w:eastAsiaTheme="minorEastAsia"/>
              <w:noProof/>
              <w:kern w:val="2"/>
              <w:sz w:val="24"/>
              <w:szCs w:val="24"/>
              <w:lang w:eastAsia="en-GB"/>
              <w14:ligatures w14:val="standardContextual"/>
            </w:rPr>
          </w:pPr>
          <w:hyperlink w:anchor="_Toc224589584" w:history="1">
            <w:r w:rsidRPr="009F6174">
              <w:rPr>
                <w:rStyle w:val="Hyperlink"/>
                <w:rFonts w:ascii="Times New Roman" w:eastAsiaTheme="majorEastAsia" w:hAnsi="Times New Roman" w:cs="Times New Roman"/>
                <w:b/>
                <w:bCs/>
                <w:noProof/>
                <w:lang w:eastAsia="en-GB"/>
              </w:rPr>
              <w:t>2.1 External Analysis</w:t>
            </w:r>
            <w:r>
              <w:rPr>
                <w:noProof/>
                <w:webHidden/>
              </w:rPr>
              <w:tab/>
            </w:r>
            <w:r>
              <w:rPr>
                <w:noProof/>
                <w:webHidden/>
              </w:rPr>
              <w:fldChar w:fldCharType="begin"/>
            </w:r>
            <w:r>
              <w:rPr>
                <w:noProof/>
                <w:webHidden/>
              </w:rPr>
              <w:instrText xml:space="preserve"> PAGEREF _Toc224589584 \h </w:instrText>
            </w:r>
            <w:r>
              <w:rPr>
                <w:noProof/>
                <w:webHidden/>
              </w:rPr>
            </w:r>
            <w:r>
              <w:rPr>
                <w:noProof/>
                <w:webHidden/>
              </w:rPr>
              <w:fldChar w:fldCharType="separate"/>
            </w:r>
            <w:r>
              <w:rPr>
                <w:noProof/>
                <w:webHidden/>
              </w:rPr>
              <w:t>5</w:t>
            </w:r>
            <w:r>
              <w:rPr>
                <w:noProof/>
                <w:webHidden/>
              </w:rPr>
              <w:fldChar w:fldCharType="end"/>
            </w:r>
          </w:hyperlink>
        </w:p>
        <w:p w14:paraId="54199D39" w14:textId="20873EF8" w:rsidR="005E41EB" w:rsidRDefault="005E41EB">
          <w:pPr>
            <w:pStyle w:val="TOC2"/>
            <w:tabs>
              <w:tab w:val="right" w:leader="dot" w:pos="9016"/>
            </w:tabs>
            <w:rPr>
              <w:rFonts w:eastAsiaTheme="minorEastAsia"/>
              <w:noProof/>
              <w:kern w:val="2"/>
              <w:sz w:val="24"/>
              <w:szCs w:val="24"/>
              <w:lang w:eastAsia="en-GB"/>
              <w14:ligatures w14:val="standardContextual"/>
            </w:rPr>
          </w:pPr>
          <w:hyperlink w:anchor="_Toc224589585" w:history="1">
            <w:r w:rsidRPr="009F6174">
              <w:rPr>
                <w:rStyle w:val="Hyperlink"/>
                <w:rFonts w:ascii="Times New Roman" w:eastAsia="Times New Roman" w:hAnsi="Times New Roman" w:cs="Times New Roman"/>
                <w:b/>
                <w:bCs/>
                <w:noProof/>
                <w:lang w:eastAsia="en-GB"/>
              </w:rPr>
              <w:t>2.2 PESTLE Analysis</w:t>
            </w:r>
            <w:r>
              <w:rPr>
                <w:noProof/>
                <w:webHidden/>
              </w:rPr>
              <w:tab/>
            </w:r>
            <w:r>
              <w:rPr>
                <w:noProof/>
                <w:webHidden/>
              </w:rPr>
              <w:fldChar w:fldCharType="begin"/>
            </w:r>
            <w:r>
              <w:rPr>
                <w:noProof/>
                <w:webHidden/>
              </w:rPr>
              <w:instrText xml:space="preserve"> PAGEREF _Toc224589585 \h </w:instrText>
            </w:r>
            <w:r>
              <w:rPr>
                <w:noProof/>
                <w:webHidden/>
              </w:rPr>
            </w:r>
            <w:r>
              <w:rPr>
                <w:noProof/>
                <w:webHidden/>
              </w:rPr>
              <w:fldChar w:fldCharType="separate"/>
            </w:r>
            <w:r>
              <w:rPr>
                <w:noProof/>
                <w:webHidden/>
              </w:rPr>
              <w:t>5</w:t>
            </w:r>
            <w:r>
              <w:rPr>
                <w:noProof/>
                <w:webHidden/>
              </w:rPr>
              <w:fldChar w:fldCharType="end"/>
            </w:r>
          </w:hyperlink>
        </w:p>
        <w:p w14:paraId="75B16467" w14:textId="08B318D4" w:rsidR="005E41EB" w:rsidRDefault="005E41EB">
          <w:pPr>
            <w:pStyle w:val="TOC2"/>
            <w:tabs>
              <w:tab w:val="right" w:leader="dot" w:pos="9016"/>
            </w:tabs>
            <w:rPr>
              <w:rFonts w:eastAsiaTheme="minorEastAsia"/>
              <w:noProof/>
              <w:kern w:val="2"/>
              <w:sz w:val="24"/>
              <w:szCs w:val="24"/>
              <w:lang w:eastAsia="en-GB"/>
              <w14:ligatures w14:val="standardContextual"/>
            </w:rPr>
          </w:pPr>
          <w:hyperlink w:anchor="_Toc224589586" w:history="1">
            <w:r w:rsidRPr="009F6174">
              <w:rPr>
                <w:rStyle w:val="Hyperlink"/>
                <w:rFonts w:ascii="Times New Roman" w:eastAsia="Times New Roman" w:hAnsi="Times New Roman" w:cs="Times New Roman"/>
                <w:b/>
                <w:bCs/>
                <w:noProof/>
                <w:lang w:eastAsia="en-GB"/>
              </w:rPr>
              <w:t>2.3 Porter’s Five Forces</w:t>
            </w:r>
            <w:r>
              <w:rPr>
                <w:noProof/>
                <w:webHidden/>
              </w:rPr>
              <w:tab/>
            </w:r>
            <w:r>
              <w:rPr>
                <w:noProof/>
                <w:webHidden/>
              </w:rPr>
              <w:fldChar w:fldCharType="begin"/>
            </w:r>
            <w:r>
              <w:rPr>
                <w:noProof/>
                <w:webHidden/>
              </w:rPr>
              <w:instrText xml:space="preserve"> PAGEREF _Toc224589586 \h </w:instrText>
            </w:r>
            <w:r>
              <w:rPr>
                <w:noProof/>
                <w:webHidden/>
              </w:rPr>
            </w:r>
            <w:r>
              <w:rPr>
                <w:noProof/>
                <w:webHidden/>
              </w:rPr>
              <w:fldChar w:fldCharType="separate"/>
            </w:r>
            <w:r>
              <w:rPr>
                <w:noProof/>
                <w:webHidden/>
              </w:rPr>
              <w:t>6</w:t>
            </w:r>
            <w:r>
              <w:rPr>
                <w:noProof/>
                <w:webHidden/>
              </w:rPr>
              <w:fldChar w:fldCharType="end"/>
            </w:r>
          </w:hyperlink>
        </w:p>
        <w:p w14:paraId="3165B54F" w14:textId="0A981600" w:rsidR="005E41EB" w:rsidRDefault="005E41EB">
          <w:pPr>
            <w:pStyle w:val="TOC1"/>
            <w:tabs>
              <w:tab w:val="right" w:leader="dot" w:pos="9016"/>
            </w:tabs>
            <w:rPr>
              <w:rFonts w:eastAsiaTheme="minorEastAsia"/>
              <w:noProof/>
              <w:kern w:val="2"/>
              <w:sz w:val="24"/>
              <w:szCs w:val="24"/>
              <w:lang w:eastAsia="en-GB"/>
              <w14:ligatures w14:val="standardContextual"/>
            </w:rPr>
          </w:pPr>
          <w:hyperlink w:anchor="_Toc224589587" w:history="1">
            <w:r w:rsidRPr="009F6174">
              <w:rPr>
                <w:rStyle w:val="Hyperlink"/>
                <w:rFonts w:ascii="Times New Roman" w:eastAsia="Times New Roman" w:hAnsi="Times New Roman" w:cs="Times New Roman"/>
                <w:b/>
                <w:bCs/>
                <w:noProof/>
                <w:lang w:eastAsia="en-GB"/>
              </w:rPr>
              <w:t>3.0 Internal Environment Audit</w:t>
            </w:r>
            <w:r>
              <w:rPr>
                <w:noProof/>
                <w:webHidden/>
              </w:rPr>
              <w:tab/>
            </w:r>
            <w:r>
              <w:rPr>
                <w:noProof/>
                <w:webHidden/>
              </w:rPr>
              <w:fldChar w:fldCharType="begin"/>
            </w:r>
            <w:r>
              <w:rPr>
                <w:noProof/>
                <w:webHidden/>
              </w:rPr>
              <w:instrText xml:space="preserve"> PAGEREF _Toc224589587 \h </w:instrText>
            </w:r>
            <w:r>
              <w:rPr>
                <w:noProof/>
                <w:webHidden/>
              </w:rPr>
            </w:r>
            <w:r>
              <w:rPr>
                <w:noProof/>
                <w:webHidden/>
              </w:rPr>
              <w:fldChar w:fldCharType="separate"/>
            </w:r>
            <w:r>
              <w:rPr>
                <w:noProof/>
                <w:webHidden/>
              </w:rPr>
              <w:t>8</w:t>
            </w:r>
            <w:r>
              <w:rPr>
                <w:noProof/>
                <w:webHidden/>
              </w:rPr>
              <w:fldChar w:fldCharType="end"/>
            </w:r>
          </w:hyperlink>
        </w:p>
        <w:p w14:paraId="25E97523" w14:textId="53E73326" w:rsidR="005E41EB" w:rsidRDefault="005E41EB">
          <w:pPr>
            <w:pStyle w:val="TOC2"/>
            <w:tabs>
              <w:tab w:val="right" w:leader="dot" w:pos="9016"/>
            </w:tabs>
            <w:rPr>
              <w:rFonts w:eastAsiaTheme="minorEastAsia"/>
              <w:noProof/>
              <w:kern w:val="2"/>
              <w:sz w:val="24"/>
              <w:szCs w:val="24"/>
              <w:lang w:eastAsia="en-GB"/>
              <w14:ligatures w14:val="standardContextual"/>
            </w:rPr>
          </w:pPr>
          <w:hyperlink w:anchor="_Toc224589588" w:history="1">
            <w:r w:rsidRPr="009F6174">
              <w:rPr>
                <w:rStyle w:val="Hyperlink"/>
                <w:rFonts w:ascii="Times New Roman" w:eastAsia="Times New Roman" w:hAnsi="Times New Roman" w:cs="Times New Roman"/>
                <w:b/>
                <w:bCs/>
                <w:noProof/>
                <w:lang w:eastAsia="en-GB"/>
              </w:rPr>
              <w:t>3.1 Value Chain Analysis</w:t>
            </w:r>
            <w:r>
              <w:rPr>
                <w:noProof/>
                <w:webHidden/>
              </w:rPr>
              <w:tab/>
            </w:r>
            <w:r>
              <w:rPr>
                <w:noProof/>
                <w:webHidden/>
              </w:rPr>
              <w:fldChar w:fldCharType="begin"/>
            </w:r>
            <w:r>
              <w:rPr>
                <w:noProof/>
                <w:webHidden/>
              </w:rPr>
              <w:instrText xml:space="preserve"> PAGEREF _Toc224589588 \h </w:instrText>
            </w:r>
            <w:r>
              <w:rPr>
                <w:noProof/>
                <w:webHidden/>
              </w:rPr>
            </w:r>
            <w:r>
              <w:rPr>
                <w:noProof/>
                <w:webHidden/>
              </w:rPr>
              <w:fldChar w:fldCharType="separate"/>
            </w:r>
            <w:r>
              <w:rPr>
                <w:noProof/>
                <w:webHidden/>
              </w:rPr>
              <w:t>8</w:t>
            </w:r>
            <w:r>
              <w:rPr>
                <w:noProof/>
                <w:webHidden/>
              </w:rPr>
              <w:fldChar w:fldCharType="end"/>
            </w:r>
          </w:hyperlink>
        </w:p>
        <w:p w14:paraId="083F869A" w14:textId="50308FEC" w:rsidR="005E41EB" w:rsidRDefault="005E41EB">
          <w:pPr>
            <w:pStyle w:val="TOC2"/>
            <w:tabs>
              <w:tab w:val="right" w:leader="dot" w:pos="9016"/>
            </w:tabs>
            <w:rPr>
              <w:rFonts w:eastAsiaTheme="minorEastAsia"/>
              <w:noProof/>
              <w:kern w:val="2"/>
              <w:sz w:val="24"/>
              <w:szCs w:val="24"/>
              <w:lang w:eastAsia="en-GB"/>
              <w14:ligatures w14:val="standardContextual"/>
            </w:rPr>
          </w:pPr>
          <w:hyperlink w:anchor="_Toc224589589" w:history="1">
            <w:r w:rsidRPr="009F6174">
              <w:rPr>
                <w:rStyle w:val="Hyperlink"/>
                <w:rFonts w:ascii="Times New Roman" w:eastAsia="Times New Roman" w:hAnsi="Times New Roman" w:cs="Times New Roman"/>
                <w:b/>
                <w:bCs/>
                <w:noProof/>
                <w:lang w:eastAsia="en-GB"/>
              </w:rPr>
              <w:t>3.2 Resource-Based View</w:t>
            </w:r>
            <w:r>
              <w:rPr>
                <w:noProof/>
                <w:webHidden/>
              </w:rPr>
              <w:tab/>
            </w:r>
            <w:r>
              <w:rPr>
                <w:noProof/>
                <w:webHidden/>
              </w:rPr>
              <w:fldChar w:fldCharType="begin"/>
            </w:r>
            <w:r>
              <w:rPr>
                <w:noProof/>
                <w:webHidden/>
              </w:rPr>
              <w:instrText xml:space="preserve"> PAGEREF _Toc224589589 \h </w:instrText>
            </w:r>
            <w:r>
              <w:rPr>
                <w:noProof/>
                <w:webHidden/>
              </w:rPr>
            </w:r>
            <w:r>
              <w:rPr>
                <w:noProof/>
                <w:webHidden/>
              </w:rPr>
              <w:fldChar w:fldCharType="separate"/>
            </w:r>
            <w:r>
              <w:rPr>
                <w:noProof/>
                <w:webHidden/>
              </w:rPr>
              <w:t>9</w:t>
            </w:r>
            <w:r>
              <w:rPr>
                <w:noProof/>
                <w:webHidden/>
              </w:rPr>
              <w:fldChar w:fldCharType="end"/>
            </w:r>
          </w:hyperlink>
        </w:p>
        <w:p w14:paraId="081B6EFB" w14:textId="260549BF" w:rsidR="005E41EB" w:rsidRDefault="005E41EB">
          <w:pPr>
            <w:pStyle w:val="TOC2"/>
            <w:tabs>
              <w:tab w:val="right" w:leader="dot" w:pos="9016"/>
            </w:tabs>
            <w:rPr>
              <w:rFonts w:eastAsiaTheme="minorEastAsia"/>
              <w:noProof/>
              <w:kern w:val="2"/>
              <w:sz w:val="24"/>
              <w:szCs w:val="24"/>
              <w:lang w:eastAsia="en-GB"/>
              <w14:ligatures w14:val="standardContextual"/>
            </w:rPr>
          </w:pPr>
          <w:hyperlink w:anchor="_Toc224589590" w:history="1">
            <w:r w:rsidRPr="009F6174">
              <w:rPr>
                <w:rStyle w:val="Hyperlink"/>
                <w:rFonts w:ascii="Times New Roman" w:eastAsia="Times New Roman" w:hAnsi="Times New Roman" w:cs="Times New Roman"/>
                <w:b/>
                <w:bCs/>
                <w:noProof/>
                <w:lang w:eastAsia="en-GB"/>
              </w:rPr>
              <w:t>3.3 SWOT Analysis</w:t>
            </w:r>
            <w:r>
              <w:rPr>
                <w:noProof/>
                <w:webHidden/>
              </w:rPr>
              <w:tab/>
            </w:r>
            <w:r>
              <w:rPr>
                <w:noProof/>
                <w:webHidden/>
              </w:rPr>
              <w:fldChar w:fldCharType="begin"/>
            </w:r>
            <w:r>
              <w:rPr>
                <w:noProof/>
                <w:webHidden/>
              </w:rPr>
              <w:instrText xml:space="preserve"> PAGEREF _Toc224589590 \h </w:instrText>
            </w:r>
            <w:r>
              <w:rPr>
                <w:noProof/>
                <w:webHidden/>
              </w:rPr>
            </w:r>
            <w:r>
              <w:rPr>
                <w:noProof/>
                <w:webHidden/>
              </w:rPr>
              <w:fldChar w:fldCharType="separate"/>
            </w:r>
            <w:r>
              <w:rPr>
                <w:noProof/>
                <w:webHidden/>
              </w:rPr>
              <w:t>10</w:t>
            </w:r>
            <w:r>
              <w:rPr>
                <w:noProof/>
                <w:webHidden/>
              </w:rPr>
              <w:fldChar w:fldCharType="end"/>
            </w:r>
          </w:hyperlink>
        </w:p>
        <w:p w14:paraId="1F7D4D08" w14:textId="56D1E3A4" w:rsidR="005E41EB" w:rsidRDefault="005E41EB">
          <w:pPr>
            <w:pStyle w:val="TOC1"/>
            <w:tabs>
              <w:tab w:val="right" w:leader="dot" w:pos="9016"/>
            </w:tabs>
            <w:rPr>
              <w:rFonts w:eastAsiaTheme="minorEastAsia"/>
              <w:noProof/>
              <w:kern w:val="2"/>
              <w:sz w:val="24"/>
              <w:szCs w:val="24"/>
              <w:lang w:eastAsia="en-GB"/>
              <w14:ligatures w14:val="standardContextual"/>
            </w:rPr>
          </w:pPr>
          <w:hyperlink w:anchor="_Toc224589591" w:history="1">
            <w:r w:rsidRPr="009F6174">
              <w:rPr>
                <w:rStyle w:val="Hyperlink"/>
                <w:rFonts w:ascii="Times New Roman" w:eastAsia="Times New Roman" w:hAnsi="Times New Roman" w:cs="Times New Roman"/>
                <w:b/>
                <w:bCs/>
                <w:noProof/>
                <w:lang w:eastAsia="en-GB"/>
              </w:rPr>
              <w:t>4.0 Strategy Formulation</w:t>
            </w:r>
            <w:r>
              <w:rPr>
                <w:noProof/>
                <w:webHidden/>
              </w:rPr>
              <w:tab/>
            </w:r>
            <w:r>
              <w:rPr>
                <w:noProof/>
                <w:webHidden/>
              </w:rPr>
              <w:fldChar w:fldCharType="begin"/>
            </w:r>
            <w:r>
              <w:rPr>
                <w:noProof/>
                <w:webHidden/>
              </w:rPr>
              <w:instrText xml:space="preserve"> PAGEREF _Toc224589591 \h </w:instrText>
            </w:r>
            <w:r>
              <w:rPr>
                <w:noProof/>
                <w:webHidden/>
              </w:rPr>
            </w:r>
            <w:r>
              <w:rPr>
                <w:noProof/>
                <w:webHidden/>
              </w:rPr>
              <w:fldChar w:fldCharType="separate"/>
            </w:r>
            <w:r>
              <w:rPr>
                <w:noProof/>
                <w:webHidden/>
              </w:rPr>
              <w:t>12</w:t>
            </w:r>
            <w:r>
              <w:rPr>
                <w:noProof/>
                <w:webHidden/>
              </w:rPr>
              <w:fldChar w:fldCharType="end"/>
            </w:r>
          </w:hyperlink>
        </w:p>
        <w:p w14:paraId="2500E813" w14:textId="042E5890" w:rsidR="005E41EB" w:rsidRDefault="005E41EB">
          <w:pPr>
            <w:pStyle w:val="TOC1"/>
            <w:tabs>
              <w:tab w:val="right" w:leader="dot" w:pos="9016"/>
            </w:tabs>
            <w:rPr>
              <w:rFonts w:eastAsiaTheme="minorEastAsia"/>
              <w:noProof/>
              <w:kern w:val="2"/>
              <w:sz w:val="24"/>
              <w:szCs w:val="24"/>
              <w:lang w:eastAsia="en-GB"/>
              <w14:ligatures w14:val="standardContextual"/>
            </w:rPr>
          </w:pPr>
          <w:hyperlink w:anchor="_Toc224589592" w:history="1">
            <w:r w:rsidRPr="009F6174">
              <w:rPr>
                <w:rStyle w:val="Hyperlink"/>
                <w:rFonts w:ascii="Times New Roman" w:eastAsia="Times New Roman" w:hAnsi="Times New Roman" w:cs="Times New Roman"/>
                <w:b/>
                <w:bCs/>
                <w:noProof/>
                <w:lang w:eastAsia="en-GB"/>
              </w:rPr>
              <w:t>5.0 Conclusion and Recommendations</w:t>
            </w:r>
            <w:r>
              <w:rPr>
                <w:noProof/>
                <w:webHidden/>
              </w:rPr>
              <w:tab/>
            </w:r>
            <w:r>
              <w:rPr>
                <w:noProof/>
                <w:webHidden/>
              </w:rPr>
              <w:fldChar w:fldCharType="begin"/>
            </w:r>
            <w:r>
              <w:rPr>
                <w:noProof/>
                <w:webHidden/>
              </w:rPr>
              <w:instrText xml:space="preserve"> PAGEREF _Toc224589592 \h </w:instrText>
            </w:r>
            <w:r>
              <w:rPr>
                <w:noProof/>
                <w:webHidden/>
              </w:rPr>
            </w:r>
            <w:r>
              <w:rPr>
                <w:noProof/>
                <w:webHidden/>
              </w:rPr>
              <w:fldChar w:fldCharType="separate"/>
            </w:r>
            <w:r>
              <w:rPr>
                <w:noProof/>
                <w:webHidden/>
              </w:rPr>
              <w:t>13</w:t>
            </w:r>
            <w:r>
              <w:rPr>
                <w:noProof/>
                <w:webHidden/>
              </w:rPr>
              <w:fldChar w:fldCharType="end"/>
            </w:r>
          </w:hyperlink>
        </w:p>
        <w:p w14:paraId="2ED3F546" w14:textId="32F18C29" w:rsidR="005E41EB" w:rsidRDefault="005E41EB">
          <w:pPr>
            <w:pStyle w:val="TOC1"/>
            <w:tabs>
              <w:tab w:val="right" w:leader="dot" w:pos="9016"/>
            </w:tabs>
            <w:rPr>
              <w:rFonts w:eastAsiaTheme="minorEastAsia"/>
              <w:noProof/>
              <w:kern w:val="2"/>
              <w:sz w:val="24"/>
              <w:szCs w:val="24"/>
              <w:lang w:eastAsia="en-GB"/>
              <w14:ligatures w14:val="standardContextual"/>
            </w:rPr>
          </w:pPr>
          <w:hyperlink w:anchor="_Toc224589593" w:history="1">
            <w:r w:rsidRPr="009F6174">
              <w:rPr>
                <w:rStyle w:val="Hyperlink"/>
                <w:rFonts w:ascii="Times New Roman" w:eastAsia="Times New Roman" w:hAnsi="Times New Roman" w:cs="Times New Roman"/>
                <w:b/>
                <w:bCs/>
                <w:noProof/>
                <w:lang w:eastAsia="en-GB"/>
              </w:rPr>
              <w:t>References</w:t>
            </w:r>
            <w:r>
              <w:rPr>
                <w:noProof/>
                <w:webHidden/>
              </w:rPr>
              <w:tab/>
            </w:r>
            <w:r>
              <w:rPr>
                <w:noProof/>
                <w:webHidden/>
              </w:rPr>
              <w:fldChar w:fldCharType="begin"/>
            </w:r>
            <w:r>
              <w:rPr>
                <w:noProof/>
                <w:webHidden/>
              </w:rPr>
              <w:instrText xml:space="preserve"> PAGEREF _Toc224589593 \h </w:instrText>
            </w:r>
            <w:r>
              <w:rPr>
                <w:noProof/>
                <w:webHidden/>
              </w:rPr>
            </w:r>
            <w:r>
              <w:rPr>
                <w:noProof/>
                <w:webHidden/>
              </w:rPr>
              <w:fldChar w:fldCharType="separate"/>
            </w:r>
            <w:r>
              <w:rPr>
                <w:noProof/>
                <w:webHidden/>
              </w:rPr>
              <w:t>14</w:t>
            </w:r>
            <w:r>
              <w:rPr>
                <w:noProof/>
                <w:webHidden/>
              </w:rPr>
              <w:fldChar w:fldCharType="end"/>
            </w:r>
          </w:hyperlink>
        </w:p>
        <w:p w14:paraId="393931EE" w14:textId="14754624" w:rsidR="00A412D3" w:rsidRPr="00A412D3" w:rsidRDefault="00A412D3" w:rsidP="00A412D3">
          <w:pPr>
            <w:rPr>
              <w:b/>
              <w:bCs/>
              <w:kern w:val="2"/>
              <w14:ligatures w14:val="standardContextual"/>
            </w:rPr>
          </w:pPr>
          <w:r w:rsidRPr="00A412D3">
            <w:rPr>
              <w:b/>
              <w:bCs/>
              <w:color w:val="000000" w:themeColor="text1"/>
              <w:kern w:val="2"/>
              <w14:ligatures w14:val="standardContextual"/>
            </w:rPr>
            <w:fldChar w:fldCharType="end"/>
          </w:r>
        </w:p>
      </w:sdtContent>
    </w:sdt>
    <w:p w14:paraId="240DA1B4" w14:textId="77777777" w:rsidR="00A412D3" w:rsidRDefault="00A412D3">
      <w:pPr>
        <w:rPr>
          <w:rFonts w:ascii="Times New Roman" w:hAnsi="Times New Roman" w:cs="Times New Roman"/>
          <w:sz w:val="28"/>
          <w:szCs w:val="28"/>
        </w:rPr>
      </w:pPr>
    </w:p>
    <w:p w14:paraId="3CC8408B" w14:textId="77777777" w:rsidR="00A412D3" w:rsidRDefault="00A412D3">
      <w:pPr>
        <w:rPr>
          <w:rFonts w:ascii="Times New Roman" w:hAnsi="Times New Roman" w:cs="Times New Roman"/>
          <w:sz w:val="28"/>
          <w:szCs w:val="28"/>
        </w:rPr>
      </w:pPr>
    </w:p>
    <w:p w14:paraId="4878B5D5" w14:textId="77777777" w:rsidR="00A412D3" w:rsidRDefault="00A412D3">
      <w:pPr>
        <w:rPr>
          <w:rFonts w:ascii="Times New Roman" w:hAnsi="Times New Roman" w:cs="Times New Roman"/>
          <w:sz w:val="28"/>
          <w:szCs w:val="28"/>
        </w:rPr>
      </w:pPr>
    </w:p>
    <w:p w14:paraId="31BE2455" w14:textId="77777777" w:rsidR="00A412D3" w:rsidRDefault="00A412D3">
      <w:pPr>
        <w:rPr>
          <w:rFonts w:ascii="Times New Roman" w:hAnsi="Times New Roman" w:cs="Times New Roman"/>
          <w:sz w:val="28"/>
          <w:szCs w:val="28"/>
        </w:rPr>
      </w:pPr>
    </w:p>
    <w:p w14:paraId="08B05C60" w14:textId="77777777" w:rsidR="00A412D3" w:rsidRDefault="00A412D3">
      <w:pPr>
        <w:rPr>
          <w:rFonts w:ascii="Times New Roman" w:hAnsi="Times New Roman" w:cs="Times New Roman"/>
          <w:sz w:val="28"/>
          <w:szCs w:val="28"/>
        </w:rPr>
      </w:pPr>
    </w:p>
    <w:p w14:paraId="246B5EEE" w14:textId="77777777" w:rsidR="00A412D3" w:rsidRDefault="00A412D3">
      <w:pPr>
        <w:rPr>
          <w:rFonts w:ascii="Times New Roman" w:hAnsi="Times New Roman" w:cs="Times New Roman"/>
          <w:sz w:val="28"/>
          <w:szCs w:val="28"/>
        </w:rPr>
      </w:pPr>
    </w:p>
    <w:p w14:paraId="291DD608" w14:textId="77777777" w:rsidR="00A412D3" w:rsidRDefault="00A412D3">
      <w:pPr>
        <w:rPr>
          <w:rFonts w:ascii="Times New Roman" w:hAnsi="Times New Roman" w:cs="Times New Roman"/>
          <w:sz w:val="28"/>
          <w:szCs w:val="28"/>
        </w:rPr>
      </w:pPr>
    </w:p>
    <w:p w14:paraId="7D741EB2" w14:textId="77777777" w:rsidR="00A412D3" w:rsidRDefault="00A412D3">
      <w:pPr>
        <w:rPr>
          <w:rFonts w:ascii="Times New Roman" w:hAnsi="Times New Roman" w:cs="Times New Roman"/>
          <w:sz w:val="28"/>
          <w:szCs w:val="28"/>
        </w:rPr>
      </w:pPr>
    </w:p>
    <w:p w14:paraId="76773727" w14:textId="77777777" w:rsidR="00A412D3" w:rsidRDefault="00A412D3">
      <w:pPr>
        <w:rPr>
          <w:rFonts w:ascii="Times New Roman" w:hAnsi="Times New Roman" w:cs="Times New Roman"/>
          <w:sz w:val="28"/>
          <w:szCs w:val="28"/>
        </w:rPr>
      </w:pPr>
    </w:p>
    <w:p w14:paraId="4DABB016" w14:textId="77777777" w:rsidR="00A412D3" w:rsidRDefault="00A412D3">
      <w:pPr>
        <w:rPr>
          <w:rFonts w:ascii="Times New Roman" w:hAnsi="Times New Roman" w:cs="Times New Roman"/>
          <w:sz w:val="28"/>
          <w:szCs w:val="28"/>
        </w:rPr>
      </w:pPr>
    </w:p>
    <w:p w14:paraId="618A8675" w14:textId="77777777" w:rsidR="00A412D3" w:rsidRDefault="00A412D3">
      <w:pPr>
        <w:rPr>
          <w:rFonts w:ascii="Times New Roman" w:hAnsi="Times New Roman" w:cs="Times New Roman"/>
          <w:sz w:val="28"/>
          <w:szCs w:val="28"/>
        </w:rPr>
      </w:pPr>
    </w:p>
    <w:p w14:paraId="4C35B394" w14:textId="77777777" w:rsidR="00A412D3" w:rsidRDefault="00A412D3">
      <w:pPr>
        <w:rPr>
          <w:rFonts w:ascii="Times New Roman" w:hAnsi="Times New Roman" w:cs="Times New Roman"/>
          <w:sz w:val="28"/>
          <w:szCs w:val="28"/>
        </w:rPr>
      </w:pPr>
    </w:p>
    <w:p w14:paraId="35AA9A47" w14:textId="77777777" w:rsidR="00A412D3" w:rsidRDefault="00A412D3">
      <w:pPr>
        <w:rPr>
          <w:rFonts w:ascii="Times New Roman" w:hAnsi="Times New Roman" w:cs="Times New Roman"/>
          <w:sz w:val="28"/>
          <w:szCs w:val="28"/>
        </w:rPr>
      </w:pPr>
    </w:p>
    <w:p w14:paraId="6BEECAE0" w14:textId="77777777" w:rsidR="00A412D3" w:rsidRDefault="00A412D3">
      <w:pPr>
        <w:rPr>
          <w:rFonts w:ascii="Times New Roman" w:hAnsi="Times New Roman" w:cs="Times New Roman"/>
          <w:sz w:val="28"/>
          <w:szCs w:val="28"/>
        </w:rPr>
      </w:pPr>
    </w:p>
    <w:p w14:paraId="210D6ABA" w14:textId="77777777" w:rsidR="00A412D3" w:rsidRDefault="00A412D3">
      <w:pPr>
        <w:rPr>
          <w:rFonts w:ascii="Times New Roman" w:hAnsi="Times New Roman" w:cs="Times New Roman"/>
          <w:sz w:val="28"/>
          <w:szCs w:val="28"/>
        </w:rPr>
      </w:pPr>
    </w:p>
    <w:p w14:paraId="70D54E9B" w14:textId="77777777" w:rsidR="00A412D3" w:rsidRDefault="00A412D3">
      <w:pPr>
        <w:rPr>
          <w:rFonts w:ascii="Times New Roman" w:hAnsi="Times New Roman" w:cs="Times New Roman"/>
          <w:sz w:val="28"/>
          <w:szCs w:val="28"/>
        </w:rPr>
      </w:pPr>
    </w:p>
    <w:p w14:paraId="0B3E147D" w14:textId="77777777" w:rsidR="00A412D3" w:rsidRPr="00A412D3" w:rsidRDefault="00A412D3" w:rsidP="00A412D3">
      <w:pPr>
        <w:keepNext/>
        <w:keepLines/>
        <w:spacing w:before="360" w:after="80" w:line="360" w:lineRule="auto"/>
        <w:outlineLvl w:val="0"/>
        <w:rPr>
          <w:rFonts w:ascii="Times New Roman" w:eastAsiaTheme="majorEastAsia" w:hAnsi="Times New Roman" w:cs="Times New Roman"/>
          <w:b/>
          <w:bCs/>
          <w:color w:val="000000" w:themeColor="text1"/>
          <w:kern w:val="2"/>
          <w:sz w:val="24"/>
          <w:szCs w:val="24"/>
          <w14:ligatures w14:val="standardContextual"/>
        </w:rPr>
      </w:pPr>
      <w:bookmarkStart w:id="0" w:name="_Toc224589582"/>
      <w:r w:rsidRPr="00A412D3">
        <w:rPr>
          <w:rFonts w:ascii="Times New Roman" w:eastAsiaTheme="majorEastAsia" w:hAnsi="Times New Roman" w:cs="Times New Roman"/>
          <w:b/>
          <w:bCs/>
          <w:color w:val="000000" w:themeColor="text1"/>
          <w:kern w:val="2"/>
          <w:sz w:val="24"/>
          <w:szCs w:val="24"/>
          <w14:ligatures w14:val="standardContextual"/>
        </w:rPr>
        <w:lastRenderedPageBreak/>
        <w:t>1.0 Introduction</w:t>
      </w:r>
      <w:bookmarkEnd w:id="0"/>
    </w:p>
    <w:p w14:paraId="67A4C95D" w14:textId="77777777" w:rsidR="00A412D3" w:rsidRPr="00A412D3" w:rsidRDefault="00A412D3" w:rsidP="00A412D3">
      <w:pPr>
        <w:spacing w:line="360" w:lineRule="auto"/>
        <w:rPr>
          <w:rFonts w:ascii="Times New Roman" w:hAnsi="Times New Roman" w:cs="Times New Roman"/>
          <w:kern w:val="2"/>
          <w:sz w:val="24"/>
          <w:szCs w:val="24"/>
          <w14:ligatures w14:val="standardContextual"/>
        </w:rPr>
      </w:pPr>
      <w:r w:rsidRPr="00A412D3">
        <w:rPr>
          <w:rFonts w:ascii="Times New Roman" w:hAnsi="Times New Roman" w:cs="Times New Roman"/>
          <w:kern w:val="2"/>
          <w:sz w:val="24"/>
          <w:szCs w:val="24"/>
          <w14:ligatures w14:val="standardContextual"/>
        </w:rPr>
        <w:t>The automobile industry is one of the most competitive and ever-evolving industries in the world, with many of the manufacturers that have traditionally been influenced by regulatory, technological, trade and consumer industry forces indicating the best practice in their industry is to utilize strategic management. Many of the automotive manufacturers employ strategic management to analyse their industry, competitors, markets, and to make long term business and operational decisions that will allow them to remain competitive in an evolving industry (Grant, 2022). Furthermore, strategic management is becoming even more essential for the automobile manufacturers within the United Kingdom. The major automobile manufacturers within the U.K. are experiencing a transformation of their existing manufacturing facilities towards the development of electric vehicles (EVs) to meet the demands of the growing number of consumers who desire EVs that have minimal environmental impact (SMMT, 2026a). Overall, then, it is evident that the companies that are successful in balancing the demands of the present with those of the future will be the most successful within the U.K.’s automobile industry.</w:t>
      </w:r>
    </w:p>
    <w:p w14:paraId="37CDD957" w14:textId="77777777" w:rsidR="00A412D3" w:rsidRPr="00A412D3" w:rsidRDefault="00A412D3" w:rsidP="00A412D3">
      <w:pPr>
        <w:spacing w:line="360" w:lineRule="auto"/>
        <w:rPr>
          <w:rFonts w:ascii="Times New Roman" w:hAnsi="Times New Roman" w:cs="Times New Roman"/>
          <w:kern w:val="2"/>
          <w:sz w:val="24"/>
          <w:szCs w:val="24"/>
          <w14:ligatures w14:val="standardContextual"/>
        </w:rPr>
      </w:pPr>
      <w:r w:rsidRPr="00A412D3">
        <w:rPr>
          <w:rFonts w:ascii="Times New Roman" w:hAnsi="Times New Roman" w:cs="Times New Roman"/>
          <w:kern w:val="2"/>
          <w:sz w:val="24"/>
          <w:szCs w:val="24"/>
          <w14:ligatures w14:val="standardContextual"/>
        </w:rPr>
        <w:t xml:space="preserve">One of the major companies within the automobile industry and the nation of the United Kingdom is Jaguar Land Rover. Jaguar Land Rover manufactures a variety of luxury brands, including brands like Range Rover, Defender, Discovery, and Jaguar (JLR, </w:t>
      </w:r>
      <w:proofErr w:type="spellStart"/>
      <w:r w:rsidRPr="00A412D3">
        <w:rPr>
          <w:rFonts w:ascii="Times New Roman" w:hAnsi="Times New Roman" w:cs="Times New Roman"/>
          <w:kern w:val="2"/>
          <w:sz w:val="24"/>
          <w:szCs w:val="24"/>
          <w14:ligatures w14:val="standardContextual"/>
        </w:rPr>
        <w:t>n.d.a</w:t>
      </w:r>
      <w:proofErr w:type="spellEnd"/>
      <w:r w:rsidRPr="00A412D3">
        <w:rPr>
          <w:rFonts w:ascii="Times New Roman" w:hAnsi="Times New Roman" w:cs="Times New Roman"/>
          <w:kern w:val="2"/>
          <w:sz w:val="24"/>
          <w:szCs w:val="24"/>
          <w14:ligatures w14:val="standardContextual"/>
        </w:rPr>
        <w:t xml:space="preserve">). In the modern automobile industry, luxury is only one of the selling points that must be provided by companies like Jaguar Land Rover to encourage consumers to purchase their brands, but electrification and sustainability is another of the major selling points of the brand (JLR, </w:t>
      </w:r>
      <w:proofErr w:type="spellStart"/>
      <w:r w:rsidRPr="00A412D3">
        <w:rPr>
          <w:rFonts w:ascii="Times New Roman" w:hAnsi="Times New Roman" w:cs="Times New Roman"/>
          <w:kern w:val="2"/>
          <w:sz w:val="24"/>
          <w:szCs w:val="24"/>
          <w14:ligatures w14:val="standardContextual"/>
        </w:rPr>
        <w:t>n.d.a</w:t>
      </w:r>
      <w:proofErr w:type="spellEnd"/>
      <w:r w:rsidRPr="00A412D3">
        <w:rPr>
          <w:rFonts w:ascii="Times New Roman" w:hAnsi="Times New Roman" w:cs="Times New Roman"/>
          <w:kern w:val="2"/>
          <w:sz w:val="24"/>
          <w:szCs w:val="24"/>
          <w14:ligatures w14:val="standardContextual"/>
        </w:rPr>
        <w:t>). According to the company’s vision statement, Jaguar Land Rover aims to be “proud creators of the most desirable brands, for the most discerning of clients” (JLR 2025a). Furthermore, the company’s Reimagine strategy for Jaguar Land Rover indicates their goal to create a model that is both more profitable for the company and that is developed as an electric vehicle and sustainability-led model for the future (JLR 2025a). Consequently, a report will be prepared regarding the strategic position of Jaguar Land Rover as well as the strategies that the company should use in the future to remain successful.</w:t>
      </w:r>
    </w:p>
    <w:p w14:paraId="6F17AF4D" w14:textId="77777777" w:rsidR="00A412D3" w:rsidRPr="00A412D3" w:rsidRDefault="00A412D3" w:rsidP="00A412D3">
      <w:pPr>
        <w:spacing w:line="360" w:lineRule="auto"/>
        <w:rPr>
          <w:rFonts w:ascii="Times New Roman" w:hAnsi="Times New Roman" w:cs="Times New Roman"/>
          <w:kern w:val="2"/>
          <w:sz w:val="24"/>
          <w:szCs w:val="24"/>
          <w14:ligatures w14:val="standardContextual"/>
        </w:rPr>
      </w:pPr>
    </w:p>
    <w:p w14:paraId="7AAD0EDC" w14:textId="77777777" w:rsidR="00A412D3" w:rsidRPr="00A412D3" w:rsidRDefault="00A412D3" w:rsidP="00A412D3">
      <w:pPr>
        <w:spacing w:line="360" w:lineRule="auto"/>
        <w:rPr>
          <w:rFonts w:ascii="Times New Roman" w:hAnsi="Times New Roman" w:cs="Times New Roman"/>
          <w:kern w:val="2"/>
          <w:sz w:val="24"/>
          <w:szCs w:val="24"/>
          <w14:ligatures w14:val="standardContextual"/>
        </w:rPr>
      </w:pPr>
    </w:p>
    <w:p w14:paraId="5C2011B8" w14:textId="77777777" w:rsidR="00A412D3" w:rsidRPr="00A412D3" w:rsidRDefault="00A412D3" w:rsidP="00A412D3">
      <w:pPr>
        <w:spacing w:line="360" w:lineRule="auto"/>
        <w:rPr>
          <w:rFonts w:ascii="Times New Roman" w:hAnsi="Times New Roman" w:cs="Times New Roman"/>
          <w:kern w:val="2"/>
          <w:sz w:val="24"/>
          <w:szCs w:val="24"/>
          <w14:ligatures w14:val="standardContextual"/>
        </w:rPr>
      </w:pPr>
    </w:p>
    <w:p w14:paraId="5554AD2A" w14:textId="77777777" w:rsidR="00A412D3" w:rsidRPr="00A412D3" w:rsidRDefault="00A412D3" w:rsidP="00A412D3">
      <w:pPr>
        <w:keepNext/>
        <w:keepLines/>
        <w:spacing w:before="360" w:after="80" w:line="360" w:lineRule="auto"/>
        <w:outlineLvl w:val="0"/>
        <w:rPr>
          <w:rFonts w:ascii="Times New Roman" w:eastAsia="Times New Roman" w:hAnsi="Times New Roman" w:cs="Times New Roman"/>
          <w:b/>
          <w:bCs/>
          <w:color w:val="000000" w:themeColor="text1"/>
          <w:kern w:val="2"/>
          <w:sz w:val="24"/>
          <w:szCs w:val="24"/>
          <w:lang w:eastAsia="en-GB"/>
          <w14:ligatures w14:val="standardContextual"/>
        </w:rPr>
      </w:pPr>
      <w:bookmarkStart w:id="1" w:name="_Toc224589583"/>
      <w:r w:rsidRPr="00A412D3">
        <w:rPr>
          <w:rFonts w:ascii="Times New Roman" w:eastAsia="Times New Roman" w:hAnsi="Times New Roman" w:cs="Times New Roman"/>
          <w:b/>
          <w:bCs/>
          <w:color w:val="000000" w:themeColor="text1"/>
          <w:kern w:val="2"/>
          <w:sz w:val="24"/>
          <w:szCs w:val="24"/>
          <w:lang w:eastAsia="en-GB"/>
          <w14:ligatures w14:val="standardContextual"/>
        </w:rPr>
        <w:lastRenderedPageBreak/>
        <w:t>2.0 Strategy Analysis</w:t>
      </w:r>
      <w:bookmarkEnd w:id="1"/>
    </w:p>
    <w:p w14:paraId="2C83FE9F" w14:textId="77777777" w:rsidR="00A412D3" w:rsidRPr="00A412D3" w:rsidRDefault="00A412D3" w:rsidP="00A412D3">
      <w:pPr>
        <w:keepNext/>
        <w:keepLines/>
        <w:spacing w:before="360" w:after="80"/>
        <w:outlineLvl w:val="0"/>
        <w:rPr>
          <w:rFonts w:ascii="Times New Roman" w:eastAsiaTheme="majorEastAsia" w:hAnsi="Times New Roman" w:cs="Times New Roman"/>
          <w:b/>
          <w:bCs/>
          <w:color w:val="000000" w:themeColor="text1"/>
          <w:kern w:val="2"/>
          <w:sz w:val="24"/>
          <w:szCs w:val="24"/>
          <w:lang w:eastAsia="en-GB"/>
          <w14:ligatures w14:val="standardContextual"/>
        </w:rPr>
      </w:pPr>
      <w:bookmarkStart w:id="2" w:name="_Toc224589584"/>
      <w:r w:rsidRPr="00A412D3">
        <w:rPr>
          <w:rFonts w:ascii="Times New Roman" w:eastAsiaTheme="majorEastAsia" w:hAnsi="Times New Roman" w:cs="Times New Roman"/>
          <w:b/>
          <w:bCs/>
          <w:color w:val="000000" w:themeColor="text1"/>
          <w:kern w:val="2"/>
          <w:sz w:val="24"/>
          <w:szCs w:val="24"/>
          <w:lang w:eastAsia="en-GB"/>
          <w14:ligatures w14:val="standardContextual"/>
        </w:rPr>
        <w:t>2.1 External Analysis</w:t>
      </w:r>
      <w:bookmarkEnd w:id="2"/>
    </w:p>
    <w:p w14:paraId="5ECBF5D9"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The external analysis looks at the factors that influence the company outside of the organization. These factors include the macro-environmental analysis using the PESTLE framework and the competitive analysis of the industry using Porter’s Five Forces analysis. These will allow the company to understand the opportunities, threats and overall market forces that impact the future of the company within the automotive industry in the UK.</w:t>
      </w:r>
    </w:p>
    <w:p w14:paraId="51A368BD" w14:textId="77777777" w:rsidR="00A412D3" w:rsidRPr="00A412D3" w:rsidRDefault="00A412D3" w:rsidP="00A412D3">
      <w:pPr>
        <w:rPr>
          <w:kern w:val="2"/>
          <w:lang w:eastAsia="en-GB"/>
          <w14:ligatures w14:val="standardContextual"/>
        </w:rPr>
      </w:pPr>
    </w:p>
    <w:p w14:paraId="04F5EB83" w14:textId="77777777" w:rsidR="00A412D3" w:rsidRPr="00A412D3" w:rsidRDefault="00A412D3" w:rsidP="00A412D3">
      <w:pPr>
        <w:keepNext/>
        <w:keepLines/>
        <w:spacing w:before="160" w:after="80" w:line="360" w:lineRule="auto"/>
        <w:outlineLvl w:val="1"/>
        <w:rPr>
          <w:rFonts w:ascii="Times New Roman" w:eastAsia="Times New Roman" w:hAnsi="Times New Roman" w:cs="Times New Roman"/>
          <w:b/>
          <w:bCs/>
          <w:color w:val="000000" w:themeColor="text1"/>
          <w:kern w:val="2"/>
          <w:sz w:val="24"/>
          <w:szCs w:val="24"/>
          <w:lang w:eastAsia="en-GB"/>
          <w14:ligatures w14:val="standardContextual"/>
        </w:rPr>
      </w:pPr>
      <w:bookmarkStart w:id="3" w:name="_Toc224589585"/>
      <w:r w:rsidRPr="00A412D3">
        <w:rPr>
          <w:rFonts w:ascii="Times New Roman" w:eastAsia="Times New Roman" w:hAnsi="Times New Roman" w:cs="Times New Roman"/>
          <w:b/>
          <w:bCs/>
          <w:color w:val="000000" w:themeColor="text1"/>
          <w:kern w:val="2"/>
          <w:sz w:val="24"/>
          <w:szCs w:val="24"/>
          <w:lang w:eastAsia="en-GB"/>
          <w14:ligatures w14:val="standardContextual"/>
        </w:rPr>
        <w:t>2.2 PESTLE Analysis</w:t>
      </w:r>
      <w:bookmarkEnd w:id="3"/>
    </w:p>
    <w:p w14:paraId="6958B3B0"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The PESTLE analysis brings out the macro dynamics influencing the strategic decision of JLR. There is a decarbonisation trend in the UK government. </w:t>
      </w:r>
    </w:p>
    <w:p w14:paraId="0AF2627F"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hAnsi="Times New Roman" w:cs="Times New Roman"/>
          <w:noProof/>
          <w:kern w:val="2"/>
          <w:sz w:val="24"/>
          <w:szCs w:val="24"/>
          <w14:ligatures w14:val="standardContextual"/>
        </w:rPr>
        <w:drawing>
          <wp:inline distT="0" distB="0" distL="0" distR="0" wp14:anchorId="50BD122A" wp14:editId="006EC701">
            <wp:extent cx="4257675" cy="2832100"/>
            <wp:effectExtent l="0" t="0" r="9525" b="6350"/>
            <wp:docPr id="1769101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01607" name=""/>
                    <pic:cNvPicPr/>
                  </pic:nvPicPr>
                  <pic:blipFill>
                    <a:blip r:embed="rId6"/>
                    <a:stretch>
                      <a:fillRect/>
                    </a:stretch>
                  </pic:blipFill>
                  <pic:spPr>
                    <a:xfrm>
                      <a:off x="0" y="0"/>
                      <a:ext cx="4257675" cy="2832100"/>
                    </a:xfrm>
                    <a:prstGeom prst="rect">
                      <a:avLst/>
                    </a:prstGeom>
                  </pic:spPr>
                </pic:pic>
              </a:graphicData>
            </a:graphic>
          </wp:inline>
        </w:drawing>
      </w:r>
    </w:p>
    <w:p w14:paraId="0FB969C5"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571B76EB"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The UK government has brought certainty to the automotive industry by stating that all new cars and vans from 2030 will have to be of a hybrid or zero-emission model, and from 2035, all new cars and vans will have to be of a zero-emission model. This will bring significant changes to JLR, as the company will have to invest significantly to produce electric car models. However, there will also be opportunities for the company to gain an advantage over other car brands in their target markets (UK Government, 2024).</w:t>
      </w:r>
    </w:p>
    <w:p w14:paraId="53ADF2BB"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lastRenderedPageBreak/>
        <w:t>The automotive industry contributes significantly to the trade value of the UK. In 2024, the automotive industry contributed to the trade value of the UK to the extent of £115 billion (SMMT, 2025b). However, the trade value of the UK automotive industry has been challenging, with the number of vehicles produced in the UK falling by 15.5% in 2025 to 764,715 units (SMMT, 2026a). This is due to the restructuring of the UK automotive industry and their transition to the production of electric vehicles. However, this will have significant implications for JLR as well.</w:t>
      </w:r>
    </w:p>
    <w:p w14:paraId="5345D636"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The automotive industry has changed with the social trends of the consumers. Today’s consumers care a lot about sustainability in the products that they purchase. While digital connectivity of vehicles is of increasing interest to the consumers, it is still not an area of significant interest for the consumers as compared to other features in vehicles. However, the number of electric vehicle purchases is rising as the interest in these products increases (SMMT, 2026b). However, there are still challenges for electric vehicles as they remain relatively expensive, and the range that they can travel on a charge is also a challenge for many of the consumers.</w:t>
      </w:r>
    </w:p>
    <w:p w14:paraId="3937AD22"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Technological change within the automotive industry is the most significant change brought about by the current trends. The shift from combustion to electric vehicles has completely changed the basis on which automotive competitors outperform one another. The Reimagine initiative by JLR recognises the importance of this trend in the automotive industry and seeks to take advantage of it through strategic partnerships and initiatives to transform the brand’s operations.</w:t>
      </w:r>
    </w:p>
    <w:p w14:paraId="27F9D130" w14:textId="77777777" w:rsidR="00A412D3" w:rsidRPr="00A412D3" w:rsidRDefault="00A412D3" w:rsidP="00A412D3">
      <w:pPr>
        <w:keepNext/>
        <w:keepLines/>
        <w:spacing w:before="160" w:after="80" w:line="360" w:lineRule="auto"/>
        <w:outlineLvl w:val="1"/>
        <w:rPr>
          <w:rFonts w:ascii="Times New Roman" w:eastAsia="Times New Roman" w:hAnsi="Times New Roman" w:cs="Times New Roman"/>
          <w:b/>
          <w:bCs/>
          <w:color w:val="000000" w:themeColor="text1"/>
          <w:kern w:val="2"/>
          <w:sz w:val="24"/>
          <w:szCs w:val="24"/>
          <w:lang w:eastAsia="en-GB"/>
          <w14:ligatures w14:val="standardContextual"/>
        </w:rPr>
      </w:pPr>
      <w:bookmarkStart w:id="4" w:name="_Toc224589586"/>
      <w:r w:rsidRPr="00A412D3">
        <w:rPr>
          <w:rFonts w:ascii="Times New Roman" w:eastAsia="Times New Roman" w:hAnsi="Times New Roman" w:cs="Times New Roman"/>
          <w:b/>
          <w:bCs/>
          <w:color w:val="000000" w:themeColor="text1"/>
          <w:kern w:val="2"/>
          <w:sz w:val="24"/>
          <w:szCs w:val="24"/>
          <w:lang w:eastAsia="en-GB"/>
          <w14:ligatures w14:val="standardContextual"/>
        </w:rPr>
        <w:t>2.3 Porter’s Five Forces</w:t>
      </w:r>
      <w:bookmarkEnd w:id="4"/>
    </w:p>
    <w:p w14:paraId="35DADE21"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There is fierce competition in the automotive industry between the various brands and among the Chinese manufacturers who dominate the electric vehicle market due to their commitment to innovation and low prices (Porter, 2008; AECO, 2025b). Additionally, the brand partnerships and supply of components to the car manufacturers provide companies with significant power over the automotive manufacturers. </w:t>
      </w:r>
    </w:p>
    <w:p w14:paraId="28885A9A" w14:textId="77777777" w:rsidR="00A412D3" w:rsidRPr="00A412D3" w:rsidRDefault="00A412D3" w:rsidP="00A412D3">
      <w:pPr>
        <w:spacing w:before="100" w:beforeAutospacing="1" w:after="100" w:afterAutospacing="1" w:line="360" w:lineRule="auto"/>
        <w:jc w:val="center"/>
        <w:rPr>
          <w:rFonts w:ascii="Times New Roman" w:eastAsia="Times New Roman" w:hAnsi="Times New Roman" w:cs="Times New Roman"/>
          <w:sz w:val="24"/>
          <w:szCs w:val="24"/>
          <w:lang w:eastAsia="en-GB"/>
        </w:rPr>
      </w:pPr>
      <w:r w:rsidRPr="00A412D3">
        <w:rPr>
          <w:rFonts w:ascii="Times New Roman" w:eastAsia="Times New Roman" w:hAnsi="Times New Roman" w:cs="Times New Roman"/>
          <w:noProof/>
          <w:sz w:val="24"/>
          <w:szCs w:val="24"/>
          <w:lang w:eastAsia="en-GB"/>
        </w:rPr>
        <w:lastRenderedPageBreak/>
        <w:drawing>
          <wp:inline distT="0" distB="0" distL="0" distR="0" wp14:anchorId="34D51A80" wp14:editId="6E666F9F">
            <wp:extent cx="4470217" cy="2419350"/>
            <wp:effectExtent l="0" t="0" r="0" b="0"/>
            <wp:docPr id="21019668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478102" cy="2423617"/>
                    </a:xfrm>
                    <a:prstGeom prst="rect">
                      <a:avLst/>
                    </a:prstGeom>
                    <a:noFill/>
                  </pic:spPr>
                </pic:pic>
              </a:graphicData>
            </a:graphic>
          </wp:inline>
        </w:drawing>
      </w:r>
    </w:p>
    <w:p w14:paraId="12088BC8"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The power of the customer in the automotive industry is moderately high because there are numerous choices in the car industry. Consumers have a lot of information on the features and specifications of the cars available in the market. The threat of substitutes for the products manufactured by the industry is moderate due to the number of alternative products available in the automotive industry. </w:t>
      </w:r>
    </w:p>
    <w:p w14:paraId="6CE73638"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However, the threat of new entrants into the automotive industry is relatively low, as there are high barriers to entry for new companies into the automotive industry (Porter 2008; Hill Schilling and Jones 2021). Despite the challenges faced by the automotive industry, it is still possible for companies with differentiated products and manufacturing capabilities to create high returns on investment in the industry.</w:t>
      </w:r>
    </w:p>
    <w:p w14:paraId="7D17F5E1"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1B40BC8A"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1D8DC118"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623569B8"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362593EE"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5AA8F45D"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1EB38B00"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68E83219" w14:textId="77777777" w:rsidR="00A412D3" w:rsidRPr="00A412D3" w:rsidRDefault="00A412D3" w:rsidP="00A412D3">
      <w:pPr>
        <w:keepNext/>
        <w:keepLines/>
        <w:spacing w:before="360" w:after="80" w:line="360" w:lineRule="auto"/>
        <w:outlineLvl w:val="0"/>
        <w:rPr>
          <w:rFonts w:ascii="Times New Roman" w:eastAsia="Times New Roman" w:hAnsi="Times New Roman" w:cs="Times New Roman"/>
          <w:b/>
          <w:bCs/>
          <w:color w:val="000000" w:themeColor="text1"/>
          <w:kern w:val="2"/>
          <w:sz w:val="24"/>
          <w:szCs w:val="24"/>
          <w:lang w:eastAsia="en-GB"/>
          <w14:ligatures w14:val="standardContextual"/>
        </w:rPr>
      </w:pPr>
      <w:bookmarkStart w:id="5" w:name="_Toc224589587"/>
      <w:r w:rsidRPr="00A412D3">
        <w:rPr>
          <w:rFonts w:ascii="Times New Roman" w:eastAsia="Times New Roman" w:hAnsi="Times New Roman" w:cs="Times New Roman"/>
          <w:b/>
          <w:bCs/>
          <w:color w:val="000000" w:themeColor="text1"/>
          <w:kern w:val="2"/>
          <w:sz w:val="24"/>
          <w:szCs w:val="24"/>
          <w:lang w:eastAsia="en-GB"/>
          <w14:ligatures w14:val="standardContextual"/>
        </w:rPr>
        <w:lastRenderedPageBreak/>
        <w:t>3.0 Internal Environment Audit</w:t>
      </w:r>
      <w:bookmarkEnd w:id="5"/>
    </w:p>
    <w:p w14:paraId="2ED6E4A4" w14:textId="77777777" w:rsidR="00A412D3" w:rsidRPr="00A412D3" w:rsidRDefault="00A412D3" w:rsidP="00A412D3">
      <w:pPr>
        <w:keepNext/>
        <w:keepLines/>
        <w:spacing w:before="160" w:after="80" w:line="360" w:lineRule="auto"/>
        <w:outlineLvl w:val="1"/>
        <w:rPr>
          <w:rFonts w:ascii="Times New Roman" w:eastAsia="Times New Roman" w:hAnsi="Times New Roman" w:cs="Times New Roman"/>
          <w:b/>
          <w:bCs/>
          <w:color w:val="000000" w:themeColor="text1"/>
          <w:kern w:val="2"/>
          <w:sz w:val="24"/>
          <w:szCs w:val="24"/>
          <w:lang w:eastAsia="en-GB"/>
          <w14:ligatures w14:val="standardContextual"/>
        </w:rPr>
      </w:pPr>
      <w:bookmarkStart w:id="6" w:name="_Toc224589588"/>
      <w:r w:rsidRPr="00A412D3">
        <w:rPr>
          <w:rFonts w:ascii="Times New Roman" w:eastAsia="Times New Roman" w:hAnsi="Times New Roman" w:cs="Times New Roman"/>
          <w:b/>
          <w:bCs/>
          <w:color w:val="000000" w:themeColor="text1"/>
          <w:kern w:val="2"/>
          <w:sz w:val="24"/>
          <w:szCs w:val="24"/>
          <w:lang w:eastAsia="en-GB"/>
          <w14:ligatures w14:val="standardContextual"/>
        </w:rPr>
        <w:t>3.1 Value Chain Analysis</w:t>
      </w:r>
      <w:bookmarkEnd w:id="6"/>
    </w:p>
    <w:p w14:paraId="050E2F37"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The application of the Value Chain Analysis to JLR reveals that the company </w:t>
      </w:r>
      <w:proofErr w:type="gramStart"/>
      <w:r w:rsidRPr="00A412D3">
        <w:rPr>
          <w:rFonts w:ascii="Times New Roman" w:eastAsia="Times New Roman" w:hAnsi="Times New Roman" w:cs="Times New Roman"/>
          <w:sz w:val="24"/>
          <w:szCs w:val="24"/>
          <w:lang w:eastAsia="en-GB"/>
        </w:rPr>
        <w:t>is able to</w:t>
      </w:r>
      <w:proofErr w:type="gramEnd"/>
      <w:r w:rsidRPr="00A412D3">
        <w:rPr>
          <w:rFonts w:ascii="Times New Roman" w:eastAsia="Times New Roman" w:hAnsi="Times New Roman" w:cs="Times New Roman"/>
          <w:sz w:val="24"/>
          <w:szCs w:val="24"/>
          <w:lang w:eastAsia="en-GB"/>
        </w:rPr>
        <w:t xml:space="preserve"> present to the market a level of competition due to its efficiency in coordinating the various elements of the company from design to production of the vehicles and onwards to service (Porter, 1985). </w:t>
      </w:r>
    </w:p>
    <w:p w14:paraId="0C35F6F9"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hAnsi="Times New Roman" w:cs="Times New Roman"/>
          <w:noProof/>
          <w:kern w:val="2"/>
          <w:sz w:val="24"/>
          <w:szCs w:val="24"/>
          <w14:ligatures w14:val="standardContextual"/>
        </w:rPr>
        <w:drawing>
          <wp:inline distT="0" distB="0" distL="0" distR="0" wp14:anchorId="6AD52B45" wp14:editId="0EE9EC15">
            <wp:extent cx="5731510" cy="2959845"/>
            <wp:effectExtent l="0" t="0" r="2540" b="0"/>
            <wp:docPr id="2" name="Picture 1"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lue Chain Analysis EXPLAINED with EXAMPLES | B2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59845"/>
                    </a:xfrm>
                    <a:prstGeom prst="rect">
                      <a:avLst/>
                    </a:prstGeom>
                    <a:noFill/>
                    <a:ln>
                      <a:noFill/>
                    </a:ln>
                  </pic:spPr>
                </pic:pic>
              </a:graphicData>
            </a:graphic>
          </wp:inline>
        </w:drawing>
      </w:r>
    </w:p>
    <w:p w14:paraId="0D506575"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In the area of inbound logistics, however, the company does experience some volatility from the components that are required to be sourced from different locations around the globe. In the area of operations, though, JLR does exhibit some strengths. For example, the brand has established manufacturing facilities within the UK and has committed to the electrification of its manufacturing facilities. Furthermore, the company has committed to the construction of electric vehicle capabilities within Halewood, Solihull, and Wolverhampton, all of which indicate a reconfiguration of JLR’s operations to accommodate for its future vehicles (JLR 2023; JLR 2024).</w:t>
      </w:r>
    </w:p>
    <w:p w14:paraId="6050F96B"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The biggest strength that JLR possesses within the area of marketing and sales is its brand. The company’s Balen division, for instance, has made it so that brands like Ranger Over, Defender, Discovery, and Jaguar are separated and able to compete within the market for luxury status and design, rather than for low-price vehicles. </w:t>
      </w:r>
    </w:p>
    <w:p w14:paraId="1D7D5564" w14:textId="77777777" w:rsidR="00A412D3" w:rsidRPr="00A412D3" w:rsidRDefault="00A412D3" w:rsidP="00A412D3">
      <w:pPr>
        <w:keepNext/>
        <w:keepLines/>
        <w:spacing w:before="160" w:after="80" w:line="360" w:lineRule="auto"/>
        <w:outlineLvl w:val="1"/>
        <w:rPr>
          <w:rFonts w:ascii="Times New Roman" w:eastAsia="Times New Roman" w:hAnsi="Times New Roman" w:cs="Times New Roman"/>
          <w:b/>
          <w:bCs/>
          <w:color w:val="000000" w:themeColor="text1"/>
          <w:kern w:val="2"/>
          <w:sz w:val="24"/>
          <w:szCs w:val="24"/>
          <w:lang w:eastAsia="en-GB"/>
          <w14:ligatures w14:val="standardContextual"/>
        </w:rPr>
      </w:pPr>
      <w:bookmarkStart w:id="7" w:name="_Toc224589589"/>
      <w:r w:rsidRPr="00A412D3">
        <w:rPr>
          <w:rFonts w:ascii="Times New Roman" w:eastAsia="Times New Roman" w:hAnsi="Times New Roman" w:cs="Times New Roman"/>
          <w:b/>
          <w:bCs/>
          <w:color w:val="000000" w:themeColor="text1"/>
          <w:kern w:val="2"/>
          <w:sz w:val="24"/>
          <w:szCs w:val="24"/>
          <w:lang w:eastAsia="en-GB"/>
          <w14:ligatures w14:val="standardContextual"/>
        </w:rPr>
        <w:lastRenderedPageBreak/>
        <w:t>3.2 Resource-Based View</w:t>
      </w:r>
      <w:bookmarkEnd w:id="7"/>
    </w:p>
    <w:p w14:paraId="6C4196CC" w14:textId="77777777" w:rsidR="00A412D3" w:rsidRPr="00A412D3" w:rsidRDefault="00A412D3" w:rsidP="00A412D3">
      <w:pPr>
        <w:spacing w:before="100" w:beforeAutospacing="1" w:after="100" w:afterAutospacing="1" w:line="360" w:lineRule="auto"/>
        <w:rPr>
          <w:rFonts w:ascii="Times New Roman" w:hAnsi="Times New Roman" w:cs="Times New Roman"/>
          <w:noProof/>
          <w:kern w:val="2"/>
          <w:sz w:val="24"/>
          <w:szCs w:val="24"/>
          <w14:ligatures w14:val="standardContextual"/>
        </w:rPr>
      </w:pPr>
      <w:r w:rsidRPr="00A412D3">
        <w:rPr>
          <w:rFonts w:ascii="Times New Roman" w:eastAsia="Times New Roman" w:hAnsi="Times New Roman" w:cs="Times New Roman"/>
          <w:sz w:val="24"/>
          <w:szCs w:val="24"/>
          <w:lang w:eastAsia="en-GB"/>
        </w:rPr>
        <w:t>According to the Resource-Based View of JLR, the company’s competitive advantage is based upon the valuable, rare, difficult-to-imitate, and well organised resources that it possesses (Barney, 1991; Barney and Hesterly, 2021). The company, for instance, has a collection of valuable resources. Its brands are valuable and rare, as it is one of the few companies in the world to produce SUV brands that include off-road capabilities and have a heritage within the luxury car market. These brands are difficult to replicate due to their lengthy heritage and brand identity. Finally, the company appears to be well-prepared to take advantage of these brands through initiatives like the Reimagine initiative, the House of Brands model, and the new commitment to capital to accomplish these goals (JLR, 2023; JLR, 2025a).</w:t>
      </w:r>
      <w:r w:rsidRPr="00A412D3">
        <w:rPr>
          <w:rFonts w:ascii="Times New Roman" w:hAnsi="Times New Roman" w:cs="Times New Roman"/>
          <w:noProof/>
          <w:kern w:val="2"/>
          <w:sz w:val="24"/>
          <w:szCs w:val="24"/>
          <w14:ligatures w14:val="standardContextual"/>
        </w:rPr>
        <w:t xml:space="preserve"> </w:t>
      </w:r>
    </w:p>
    <w:p w14:paraId="2B42F62A"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hAnsi="Times New Roman" w:cs="Times New Roman"/>
          <w:noProof/>
          <w:kern w:val="2"/>
          <w:sz w:val="24"/>
          <w:szCs w:val="24"/>
          <w14:ligatures w14:val="standardContextual"/>
        </w:rPr>
        <w:drawing>
          <wp:inline distT="0" distB="0" distL="0" distR="0" wp14:anchorId="3F129867" wp14:editId="476D78CA">
            <wp:extent cx="5730240" cy="2203271"/>
            <wp:effectExtent l="0" t="0" r="3810" b="6985"/>
            <wp:docPr id="3" name="Picture 2" descr="What is Resource Based View (RBV)? | Full Guide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Resource Based View (RBV)? | Full Guide with Examp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7992" cy="2206252"/>
                    </a:xfrm>
                    <a:prstGeom prst="rect">
                      <a:avLst/>
                    </a:prstGeom>
                    <a:noFill/>
                    <a:ln>
                      <a:noFill/>
                    </a:ln>
                  </pic:spPr>
                </pic:pic>
              </a:graphicData>
            </a:graphic>
          </wp:inline>
        </w:drawing>
      </w:r>
    </w:p>
    <w:p w14:paraId="42EA6C05"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Another of the resources that the company counts upon is its ability to engineer new products. Furthermore, the company is understood to have a level of expertise in engineering the products that it manufactures; JLR has sold a significant number of vehicles over time, and reports that its 2024 and 2025 financial reports include some of the best financial results that the company has seen in a decade (JLR, 2025a). </w:t>
      </w:r>
    </w:p>
    <w:p w14:paraId="363ECF96"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However, as with any analysis of VRIO, there are some drawbacks to these capabilities. For instance, if the company is slow to embrace electrification of its vehicles, these manufacturing and brand resources will not provide much of a benefit to the organization. Furthermore, the same resources that have been valuable in the past based upon the use of internal combustion engines will have to be reconfigured for use in the digital and electric </w:t>
      </w:r>
      <w:r w:rsidRPr="00A412D3">
        <w:rPr>
          <w:rFonts w:ascii="Times New Roman" w:eastAsia="Times New Roman" w:hAnsi="Times New Roman" w:cs="Times New Roman"/>
          <w:sz w:val="24"/>
          <w:szCs w:val="24"/>
          <w:lang w:eastAsia="en-GB"/>
        </w:rPr>
        <w:lastRenderedPageBreak/>
        <w:t>future of the automaker. Thus, JLR’s internal task is not just to maintain its current strengths, but to also reinvigorate those strengths.</w:t>
      </w:r>
    </w:p>
    <w:tbl>
      <w:tblPr>
        <w:tblStyle w:val="GridTable1Light"/>
        <w:tblW w:w="0" w:type="auto"/>
        <w:tblLook w:val="04A0" w:firstRow="1" w:lastRow="0" w:firstColumn="1" w:lastColumn="0" w:noHBand="0" w:noVBand="1"/>
      </w:tblPr>
      <w:tblGrid>
        <w:gridCol w:w="2380"/>
        <w:gridCol w:w="1235"/>
        <w:gridCol w:w="839"/>
        <w:gridCol w:w="1252"/>
        <w:gridCol w:w="1489"/>
        <w:gridCol w:w="1821"/>
      </w:tblGrid>
      <w:tr w:rsidR="00A412D3" w:rsidRPr="00A412D3" w14:paraId="2D10D56B" w14:textId="77777777" w:rsidTr="00DB16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AE8A2E" w14:textId="77777777" w:rsidR="00A412D3" w:rsidRPr="00A412D3" w:rsidRDefault="00A412D3" w:rsidP="00A412D3">
            <w:pPr>
              <w:spacing w:line="360" w:lineRule="auto"/>
              <w:jc w:val="center"/>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Resource / Capability</w:t>
            </w:r>
          </w:p>
        </w:tc>
        <w:tc>
          <w:tcPr>
            <w:tcW w:w="0" w:type="auto"/>
            <w:hideMark/>
          </w:tcPr>
          <w:p w14:paraId="1CF7D4A4" w14:textId="77777777" w:rsidR="00A412D3" w:rsidRPr="00A412D3" w:rsidRDefault="00A412D3" w:rsidP="00A412D3">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Valuable?</w:t>
            </w:r>
          </w:p>
        </w:tc>
        <w:tc>
          <w:tcPr>
            <w:tcW w:w="0" w:type="auto"/>
            <w:hideMark/>
          </w:tcPr>
          <w:p w14:paraId="6AA54774" w14:textId="77777777" w:rsidR="00A412D3" w:rsidRPr="00A412D3" w:rsidRDefault="00A412D3" w:rsidP="00A412D3">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Rare?</w:t>
            </w:r>
          </w:p>
        </w:tc>
        <w:tc>
          <w:tcPr>
            <w:tcW w:w="0" w:type="auto"/>
            <w:hideMark/>
          </w:tcPr>
          <w:p w14:paraId="61B32FF7" w14:textId="77777777" w:rsidR="00A412D3" w:rsidRPr="00A412D3" w:rsidRDefault="00A412D3" w:rsidP="00A412D3">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Costly to Imitate?</w:t>
            </w:r>
          </w:p>
        </w:tc>
        <w:tc>
          <w:tcPr>
            <w:tcW w:w="0" w:type="auto"/>
            <w:hideMark/>
          </w:tcPr>
          <w:p w14:paraId="3243F61E" w14:textId="77777777" w:rsidR="00A412D3" w:rsidRPr="00A412D3" w:rsidRDefault="00A412D3" w:rsidP="00A412D3">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Organised to Exploit?</w:t>
            </w:r>
          </w:p>
        </w:tc>
        <w:tc>
          <w:tcPr>
            <w:tcW w:w="0" w:type="auto"/>
            <w:hideMark/>
          </w:tcPr>
          <w:p w14:paraId="74459923" w14:textId="77777777" w:rsidR="00A412D3" w:rsidRPr="00A412D3" w:rsidRDefault="00A412D3" w:rsidP="00A412D3">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Competitive Implication</w:t>
            </w:r>
          </w:p>
        </w:tc>
      </w:tr>
      <w:tr w:rsidR="00A412D3" w:rsidRPr="00A412D3" w14:paraId="3F13563E" w14:textId="77777777" w:rsidTr="00DB165B">
        <w:tc>
          <w:tcPr>
            <w:cnfStyle w:val="001000000000" w:firstRow="0" w:lastRow="0" w:firstColumn="1" w:lastColumn="0" w:oddVBand="0" w:evenVBand="0" w:oddHBand="0" w:evenHBand="0" w:firstRowFirstColumn="0" w:firstRowLastColumn="0" w:lastRowFirstColumn="0" w:lastRowLastColumn="0"/>
            <w:tcW w:w="0" w:type="auto"/>
            <w:hideMark/>
          </w:tcPr>
          <w:p w14:paraId="79D82D87" w14:textId="77777777" w:rsidR="00A412D3" w:rsidRPr="00A412D3" w:rsidRDefault="00A412D3" w:rsidP="00A412D3">
            <w:pPr>
              <w:spacing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Premium brands (Range Rover, Defender, Jaguar)</w:t>
            </w:r>
          </w:p>
        </w:tc>
        <w:tc>
          <w:tcPr>
            <w:tcW w:w="0" w:type="auto"/>
            <w:hideMark/>
          </w:tcPr>
          <w:p w14:paraId="75579511"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Yes</w:t>
            </w:r>
          </w:p>
        </w:tc>
        <w:tc>
          <w:tcPr>
            <w:tcW w:w="0" w:type="auto"/>
            <w:hideMark/>
          </w:tcPr>
          <w:p w14:paraId="3BFEA549"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Yes</w:t>
            </w:r>
          </w:p>
        </w:tc>
        <w:tc>
          <w:tcPr>
            <w:tcW w:w="0" w:type="auto"/>
            <w:hideMark/>
          </w:tcPr>
          <w:p w14:paraId="3317C1F4"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Yes</w:t>
            </w:r>
          </w:p>
        </w:tc>
        <w:tc>
          <w:tcPr>
            <w:tcW w:w="0" w:type="auto"/>
            <w:hideMark/>
          </w:tcPr>
          <w:p w14:paraId="31787EB7"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Yes</w:t>
            </w:r>
          </w:p>
        </w:tc>
        <w:tc>
          <w:tcPr>
            <w:tcW w:w="0" w:type="auto"/>
            <w:hideMark/>
          </w:tcPr>
          <w:p w14:paraId="76A1FA7C"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Sustained competitive advantage</w:t>
            </w:r>
          </w:p>
        </w:tc>
      </w:tr>
      <w:tr w:rsidR="00A412D3" w:rsidRPr="00A412D3" w14:paraId="547E101C" w14:textId="77777777" w:rsidTr="00DB165B">
        <w:tc>
          <w:tcPr>
            <w:cnfStyle w:val="001000000000" w:firstRow="0" w:lastRow="0" w:firstColumn="1" w:lastColumn="0" w:oddVBand="0" w:evenVBand="0" w:oddHBand="0" w:evenHBand="0" w:firstRowFirstColumn="0" w:firstRowLastColumn="0" w:lastRowFirstColumn="0" w:lastRowLastColumn="0"/>
            <w:tcW w:w="0" w:type="auto"/>
            <w:hideMark/>
          </w:tcPr>
          <w:p w14:paraId="63E05147" w14:textId="77777777" w:rsidR="00A412D3" w:rsidRPr="00A412D3" w:rsidRDefault="00A412D3" w:rsidP="00A412D3">
            <w:pPr>
              <w:spacing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Engineering and design expertise</w:t>
            </w:r>
          </w:p>
        </w:tc>
        <w:tc>
          <w:tcPr>
            <w:tcW w:w="0" w:type="auto"/>
            <w:hideMark/>
          </w:tcPr>
          <w:p w14:paraId="2F9AF8F2"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Yes</w:t>
            </w:r>
          </w:p>
        </w:tc>
        <w:tc>
          <w:tcPr>
            <w:tcW w:w="0" w:type="auto"/>
            <w:hideMark/>
          </w:tcPr>
          <w:p w14:paraId="674D21D2"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Yes</w:t>
            </w:r>
          </w:p>
        </w:tc>
        <w:tc>
          <w:tcPr>
            <w:tcW w:w="0" w:type="auto"/>
            <w:hideMark/>
          </w:tcPr>
          <w:p w14:paraId="15176130"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Yes</w:t>
            </w:r>
          </w:p>
        </w:tc>
        <w:tc>
          <w:tcPr>
            <w:tcW w:w="0" w:type="auto"/>
            <w:hideMark/>
          </w:tcPr>
          <w:p w14:paraId="3CF8377E"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Yes</w:t>
            </w:r>
          </w:p>
        </w:tc>
        <w:tc>
          <w:tcPr>
            <w:tcW w:w="0" w:type="auto"/>
            <w:hideMark/>
          </w:tcPr>
          <w:p w14:paraId="1975BA70"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Sustained competitive advantage</w:t>
            </w:r>
          </w:p>
        </w:tc>
      </w:tr>
      <w:tr w:rsidR="00A412D3" w:rsidRPr="00A412D3" w14:paraId="11C20B1B" w14:textId="77777777" w:rsidTr="00DB165B">
        <w:tc>
          <w:tcPr>
            <w:cnfStyle w:val="001000000000" w:firstRow="0" w:lastRow="0" w:firstColumn="1" w:lastColumn="0" w:oddVBand="0" w:evenVBand="0" w:oddHBand="0" w:evenHBand="0" w:firstRowFirstColumn="0" w:firstRowLastColumn="0" w:lastRowFirstColumn="0" w:lastRowLastColumn="0"/>
            <w:tcW w:w="0" w:type="auto"/>
            <w:hideMark/>
          </w:tcPr>
          <w:p w14:paraId="033CEF92" w14:textId="77777777" w:rsidR="00A412D3" w:rsidRPr="00A412D3" w:rsidRDefault="00A412D3" w:rsidP="00A412D3">
            <w:pPr>
              <w:spacing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UK manufacturing base</w:t>
            </w:r>
          </w:p>
        </w:tc>
        <w:tc>
          <w:tcPr>
            <w:tcW w:w="0" w:type="auto"/>
            <w:hideMark/>
          </w:tcPr>
          <w:p w14:paraId="53BF6F02"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Yes</w:t>
            </w:r>
          </w:p>
        </w:tc>
        <w:tc>
          <w:tcPr>
            <w:tcW w:w="0" w:type="auto"/>
            <w:hideMark/>
          </w:tcPr>
          <w:p w14:paraId="721277B1"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No</w:t>
            </w:r>
          </w:p>
        </w:tc>
        <w:tc>
          <w:tcPr>
            <w:tcW w:w="0" w:type="auto"/>
            <w:hideMark/>
          </w:tcPr>
          <w:p w14:paraId="4986BB95"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No</w:t>
            </w:r>
          </w:p>
        </w:tc>
        <w:tc>
          <w:tcPr>
            <w:tcW w:w="0" w:type="auto"/>
            <w:hideMark/>
          </w:tcPr>
          <w:p w14:paraId="50D72DC0"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Yes</w:t>
            </w:r>
          </w:p>
        </w:tc>
        <w:tc>
          <w:tcPr>
            <w:tcW w:w="0" w:type="auto"/>
            <w:hideMark/>
          </w:tcPr>
          <w:p w14:paraId="6A030ACB"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Competitive parity</w:t>
            </w:r>
          </w:p>
        </w:tc>
      </w:tr>
      <w:tr w:rsidR="00A412D3" w:rsidRPr="00A412D3" w14:paraId="7155A442" w14:textId="77777777" w:rsidTr="00DB165B">
        <w:tc>
          <w:tcPr>
            <w:cnfStyle w:val="001000000000" w:firstRow="0" w:lastRow="0" w:firstColumn="1" w:lastColumn="0" w:oddVBand="0" w:evenVBand="0" w:oddHBand="0" w:evenHBand="0" w:firstRowFirstColumn="0" w:firstRowLastColumn="0" w:lastRowFirstColumn="0" w:lastRowLastColumn="0"/>
            <w:tcW w:w="0" w:type="auto"/>
            <w:hideMark/>
          </w:tcPr>
          <w:p w14:paraId="5C30B9DD" w14:textId="77777777" w:rsidR="00A412D3" w:rsidRPr="00A412D3" w:rsidRDefault="00A412D3" w:rsidP="00A412D3">
            <w:pPr>
              <w:spacing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Electrification investment and EV capability</w:t>
            </w:r>
          </w:p>
        </w:tc>
        <w:tc>
          <w:tcPr>
            <w:tcW w:w="0" w:type="auto"/>
            <w:hideMark/>
          </w:tcPr>
          <w:p w14:paraId="54572FD2"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Yes</w:t>
            </w:r>
          </w:p>
        </w:tc>
        <w:tc>
          <w:tcPr>
            <w:tcW w:w="0" w:type="auto"/>
            <w:hideMark/>
          </w:tcPr>
          <w:p w14:paraId="2FD271A4"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No</w:t>
            </w:r>
          </w:p>
        </w:tc>
        <w:tc>
          <w:tcPr>
            <w:tcW w:w="0" w:type="auto"/>
            <w:hideMark/>
          </w:tcPr>
          <w:p w14:paraId="375E7F10"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No</w:t>
            </w:r>
          </w:p>
        </w:tc>
        <w:tc>
          <w:tcPr>
            <w:tcW w:w="0" w:type="auto"/>
            <w:hideMark/>
          </w:tcPr>
          <w:p w14:paraId="3F3D6486"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Yes</w:t>
            </w:r>
          </w:p>
        </w:tc>
        <w:tc>
          <w:tcPr>
            <w:tcW w:w="0" w:type="auto"/>
            <w:hideMark/>
          </w:tcPr>
          <w:p w14:paraId="31464F1C"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Temporary competitive advantage</w:t>
            </w:r>
          </w:p>
        </w:tc>
      </w:tr>
      <w:tr w:rsidR="00A412D3" w:rsidRPr="00A412D3" w14:paraId="3A95C5D8" w14:textId="77777777" w:rsidTr="00DB165B">
        <w:tc>
          <w:tcPr>
            <w:cnfStyle w:val="001000000000" w:firstRow="0" w:lastRow="0" w:firstColumn="1" w:lastColumn="0" w:oddVBand="0" w:evenVBand="0" w:oddHBand="0" w:evenHBand="0" w:firstRowFirstColumn="0" w:firstRowLastColumn="0" w:lastRowFirstColumn="0" w:lastRowLastColumn="0"/>
            <w:tcW w:w="0" w:type="auto"/>
            <w:hideMark/>
          </w:tcPr>
          <w:p w14:paraId="7D8B75ED" w14:textId="77777777" w:rsidR="00A412D3" w:rsidRPr="00A412D3" w:rsidRDefault="00A412D3" w:rsidP="00A412D3">
            <w:pPr>
              <w:spacing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Global distribution and dealer network</w:t>
            </w:r>
          </w:p>
        </w:tc>
        <w:tc>
          <w:tcPr>
            <w:tcW w:w="0" w:type="auto"/>
            <w:hideMark/>
          </w:tcPr>
          <w:p w14:paraId="6A381256"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Yes</w:t>
            </w:r>
          </w:p>
        </w:tc>
        <w:tc>
          <w:tcPr>
            <w:tcW w:w="0" w:type="auto"/>
            <w:hideMark/>
          </w:tcPr>
          <w:p w14:paraId="04245638"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No</w:t>
            </w:r>
          </w:p>
        </w:tc>
        <w:tc>
          <w:tcPr>
            <w:tcW w:w="0" w:type="auto"/>
            <w:hideMark/>
          </w:tcPr>
          <w:p w14:paraId="010C682E"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No</w:t>
            </w:r>
          </w:p>
        </w:tc>
        <w:tc>
          <w:tcPr>
            <w:tcW w:w="0" w:type="auto"/>
            <w:hideMark/>
          </w:tcPr>
          <w:p w14:paraId="54056B46"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Yes</w:t>
            </w:r>
          </w:p>
        </w:tc>
        <w:tc>
          <w:tcPr>
            <w:tcW w:w="0" w:type="auto"/>
            <w:hideMark/>
          </w:tcPr>
          <w:p w14:paraId="6EF14FF8"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Competitive parity</w:t>
            </w:r>
          </w:p>
        </w:tc>
      </w:tr>
      <w:tr w:rsidR="00A412D3" w:rsidRPr="00A412D3" w14:paraId="6984DC04" w14:textId="77777777" w:rsidTr="00DB165B">
        <w:tc>
          <w:tcPr>
            <w:cnfStyle w:val="001000000000" w:firstRow="0" w:lastRow="0" w:firstColumn="1" w:lastColumn="0" w:oddVBand="0" w:evenVBand="0" w:oddHBand="0" w:evenHBand="0" w:firstRowFirstColumn="0" w:firstRowLastColumn="0" w:lastRowFirstColumn="0" w:lastRowLastColumn="0"/>
            <w:tcW w:w="0" w:type="auto"/>
            <w:hideMark/>
          </w:tcPr>
          <w:p w14:paraId="1ED3C6EA" w14:textId="77777777" w:rsidR="00A412D3" w:rsidRPr="00A412D3" w:rsidRDefault="00A412D3" w:rsidP="00A412D3">
            <w:pPr>
              <w:spacing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Strong recent financial performance</w:t>
            </w:r>
          </w:p>
        </w:tc>
        <w:tc>
          <w:tcPr>
            <w:tcW w:w="0" w:type="auto"/>
            <w:hideMark/>
          </w:tcPr>
          <w:p w14:paraId="3D82B183"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Yes</w:t>
            </w:r>
          </w:p>
        </w:tc>
        <w:tc>
          <w:tcPr>
            <w:tcW w:w="0" w:type="auto"/>
            <w:hideMark/>
          </w:tcPr>
          <w:p w14:paraId="59E0B266"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No</w:t>
            </w:r>
          </w:p>
        </w:tc>
        <w:tc>
          <w:tcPr>
            <w:tcW w:w="0" w:type="auto"/>
            <w:hideMark/>
          </w:tcPr>
          <w:p w14:paraId="1C28DBA8"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No</w:t>
            </w:r>
          </w:p>
        </w:tc>
        <w:tc>
          <w:tcPr>
            <w:tcW w:w="0" w:type="auto"/>
            <w:hideMark/>
          </w:tcPr>
          <w:p w14:paraId="667F8562"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Yes</w:t>
            </w:r>
          </w:p>
        </w:tc>
        <w:tc>
          <w:tcPr>
            <w:tcW w:w="0" w:type="auto"/>
            <w:hideMark/>
          </w:tcPr>
          <w:p w14:paraId="452CFA23" w14:textId="77777777" w:rsidR="00A412D3" w:rsidRPr="00A412D3" w:rsidRDefault="00A412D3" w:rsidP="00A412D3">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Temporary competitive advantage</w:t>
            </w:r>
          </w:p>
        </w:tc>
      </w:tr>
    </w:tbl>
    <w:p w14:paraId="28F97459"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04F14D95" w14:textId="77777777" w:rsidR="00A412D3" w:rsidRPr="00A412D3" w:rsidRDefault="00A412D3" w:rsidP="00A412D3">
      <w:pPr>
        <w:keepNext/>
        <w:keepLines/>
        <w:spacing w:before="160" w:after="80" w:line="360" w:lineRule="auto"/>
        <w:outlineLvl w:val="1"/>
        <w:rPr>
          <w:rFonts w:ascii="Times New Roman" w:eastAsia="Times New Roman" w:hAnsi="Times New Roman" w:cs="Times New Roman"/>
          <w:b/>
          <w:bCs/>
          <w:color w:val="000000" w:themeColor="text1"/>
          <w:kern w:val="2"/>
          <w:sz w:val="24"/>
          <w:szCs w:val="24"/>
          <w:lang w:eastAsia="en-GB"/>
          <w14:ligatures w14:val="standardContextual"/>
        </w:rPr>
      </w:pPr>
      <w:bookmarkStart w:id="8" w:name="_Toc224589590"/>
      <w:r w:rsidRPr="00A412D3">
        <w:rPr>
          <w:rFonts w:ascii="Times New Roman" w:eastAsia="Times New Roman" w:hAnsi="Times New Roman" w:cs="Times New Roman"/>
          <w:b/>
          <w:bCs/>
          <w:color w:val="000000" w:themeColor="text1"/>
          <w:kern w:val="2"/>
          <w:sz w:val="24"/>
          <w:szCs w:val="24"/>
          <w:lang w:eastAsia="en-GB"/>
          <w14:ligatures w14:val="standardContextual"/>
        </w:rPr>
        <w:t>3.3 SWOT Analysis</w:t>
      </w:r>
      <w:bookmarkEnd w:id="8"/>
    </w:p>
    <w:p w14:paraId="3839F90A"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The external and internal discoveries come together in the SWOT analysis. The primary areas of mastery for JLR include their established brands, the design and engineering of their vehicles, their strong and recent financial performance and the direction that they have shown with Reimagine (JLR, 2025a). The threats to JLR include the capital needed to produce electric vehicles, their reliance upon global markets, supply chain and trade issues, and the intricate nature of overhauling their existing manufacturing plants for electric vehicle production (SMMT, 2025b; SMMT, 2026a). Finally, the opportunities for JLR include the potential growth of their electric vehicle brands and lines, their software enabled services, </w:t>
      </w:r>
      <w:r w:rsidRPr="00A412D3">
        <w:rPr>
          <w:rFonts w:ascii="Times New Roman" w:eastAsia="Times New Roman" w:hAnsi="Times New Roman" w:cs="Times New Roman"/>
          <w:sz w:val="24"/>
          <w:szCs w:val="24"/>
          <w:lang w:eastAsia="en-GB"/>
        </w:rPr>
        <w:lastRenderedPageBreak/>
        <w:t>their sustainability and environmental initiatives, and their growing integration of manufacturing and digital manufacturing capabilities (ACEA 2025a).</w:t>
      </w:r>
    </w:p>
    <w:tbl>
      <w:tblPr>
        <w:tblStyle w:val="PlainTable1"/>
        <w:tblW w:w="0" w:type="auto"/>
        <w:tblLook w:val="04A0" w:firstRow="1" w:lastRow="0" w:firstColumn="1" w:lastColumn="0" w:noHBand="0" w:noVBand="1"/>
      </w:tblPr>
      <w:tblGrid>
        <w:gridCol w:w="4534"/>
        <w:gridCol w:w="4482"/>
      </w:tblGrid>
      <w:tr w:rsidR="00A412D3" w:rsidRPr="00A412D3" w14:paraId="366DB226" w14:textId="77777777" w:rsidTr="00DB16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13B90B"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Strengths</w:t>
            </w:r>
          </w:p>
        </w:tc>
        <w:tc>
          <w:tcPr>
            <w:tcW w:w="0" w:type="auto"/>
            <w:hideMark/>
          </w:tcPr>
          <w:p w14:paraId="46AEAE9E" w14:textId="77777777" w:rsidR="00A412D3" w:rsidRPr="00A412D3" w:rsidRDefault="00A412D3" w:rsidP="00A412D3">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Weaknesses</w:t>
            </w:r>
          </w:p>
        </w:tc>
      </w:tr>
      <w:tr w:rsidR="00A412D3" w:rsidRPr="00A412D3" w14:paraId="19444454" w14:textId="77777777" w:rsidTr="00DB16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5831F9"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b w:val="0"/>
                <w:bCs w:val="0"/>
                <w:sz w:val="24"/>
                <w:szCs w:val="24"/>
                <w:lang w:eastAsia="en-GB"/>
              </w:rPr>
            </w:pPr>
            <w:r w:rsidRPr="00A412D3">
              <w:rPr>
                <w:rFonts w:ascii="Times New Roman" w:eastAsia="Times New Roman" w:hAnsi="Times New Roman" w:cs="Times New Roman"/>
                <w:sz w:val="24"/>
                <w:szCs w:val="24"/>
                <w:lang w:eastAsia="en-GB"/>
              </w:rPr>
              <w:t xml:space="preserve">• </w:t>
            </w:r>
            <w:r w:rsidRPr="00A412D3">
              <w:rPr>
                <w:rFonts w:ascii="Times New Roman" w:eastAsia="Times New Roman" w:hAnsi="Times New Roman" w:cs="Times New Roman"/>
                <w:b w:val="0"/>
                <w:bCs w:val="0"/>
                <w:sz w:val="24"/>
                <w:szCs w:val="24"/>
                <w:lang w:eastAsia="en-GB"/>
              </w:rPr>
              <w:t xml:space="preserve">Strong premium brands with global recognition. </w:t>
            </w:r>
          </w:p>
          <w:p w14:paraId="3781F2F3"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b w:val="0"/>
                <w:bCs w:val="0"/>
                <w:sz w:val="24"/>
                <w:szCs w:val="24"/>
                <w:lang w:eastAsia="en-GB"/>
              </w:rPr>
              <w:t>• Clear electrification strategy supported by recent investment.</w:t>
            </w:r>
          </w:p>
        </w:tc>
        <w:tc>
          <w:tcPr>
            <w:tcW w:w="0" w:type="auto"/>
            <w:hideMark/>
          </w:tcPr>
          <w:p w14:paraId="0F5237C9" w14:textId="77777777" w:rsidR="00A412D3" w:rsidRPr="00A412D3" w:rsidRDefault="00A412D3" w:rsidP="00A412D3">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 High costs linked to EV transition and production. </w:t>
            </w:r>
          </w:p>
          <w:p w14:paraId="6032D5E3" w14:textId="77777777" w:rsidR="00A412D3" w:rsidRPr="00A412D3" w:rsidRDefault="00A412D3" w:rsidP="00A412D3">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Dependence on exports and complex global supply chains.</w:t>
            </w:r>
          </w:p>
        </w:tc>
      </w:tr>
      <w:tr w:rsidR="00A412D3" w:rsidRPr="00A412D3" w14:paraId="583A65B5" w14:textId="77777777" w:rsidTr="00DB165B">
        <w:tc>
          <w:tcPr>
            <w:cnfStyle w:val="001000000000" w:firstRow="0" w:lastRow="0" w:firstColumn="1" w:lastColumn="0" w:oddVBand="0" w:evenVBand="0" w:oddHBand="0" w:evenHBand="0" w:firstRowFirstColumn="0" w:firstRowLastColumn="0" w:lastRowFirstColumn="0" w:lastRowLastColumn="0"/>
            <w:tcW w:w="0" w:type="auto"/>
            <w:hideMark/>
          </w:tcPr>
          <w:p w14:paraId="6AFDFC57"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Opportunities</w:t>
            </w:r>
          </w:p>
        </w:tc>
        <w:tc>
          <w:tcPr>
            <w:tcW w:w="0" w:type="auto"/>
            <w:hideMark/>
          </w:tcPr>
          <w:p w14:paraId="2CC68DCB" w14:textId="77777777" w:rsidR="00A412D3" w:rsidRPr="00A412D3" w:rsidRDefault="00A412D3" w:rsidP="00A412D3">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eastAsia="en-GB"/>
              </w:rPr>
            </w:pPr>
            <w:r w:rsidRPr="00A412D3">
              <w:rPr>
                <w:rFonts w:ascii="Times New Roman" w:eastAsia="Times New Roman" w:hAnsi="Times New Roman" w:cs="Times New Roman"/>
                <w:b/>
                <w:bCs/>
                <w:sz w:val="24"/>
                <w:szCs w:val="24"/>
                <w:lang w:eastAsia="en-GB"/>
              </w:rPr>
              <w:t>Threats</w:t>
            </w:r>
          </w:p>
        </w:tc>
      </w:tr>
      <w:tr w:rsidR="00A412D3" w:rsidRPr="00A412D3" w14:paraId="3BCE88EF" w14:textId="77777777" w:rsidTr="00DB16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5CBD19"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b w:val="0"/>
                <w:bCs w:val="0"/>
                <w:sz w:val="24"/>
                <w:szCs w:val="24"/>
                <w:lang w:eastAsia="en-GB"/>
              </w:rPr>
            </w:pPr>
            <w:r w:rsidRPr="00A412D3">
              <w:rPr>
                <w:rFonts w:ascii="Times New Roman" w:eastAsia="Times New Roman" w:hAnsi="Times New Roman" w:cs="Times New Roman"/>
                <w:b w:val="0"/>
                <w:bCs w:val="0"/>
                <w:sz w:val="24"/>
                <w:szCs w:val="24"/>
                <w:lang w:eastAsia="en-GB"/>
              </w:rPr>
              <w:t xml:space="preserve">• Rising demand for premium electric vehicles and digital services. </w:t>
            </w:r>
          </w:p>
          <w:p w14:paraId="27CF5AF3"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b w:val="0"/>
                <w:bCs w:val="0"/>
                <w:sz w:val="24"/>
                <w:szCs w:val="24"/>
                <w:lang w:eastAsia="en-GB"/>
              </w:rPr>
            </w:pPr>
            <w:r w:rsidRPr="00A412D3">
              <w:rPr>
                <w:rFonts w:ascii="Times New Roman" w:eastAsia="Times New Roman" w:hAnsi="Times New Roman" w:cs="Times New Roman"/>
                <w:b w:val="0"/>
                <w:bCs w:val="0"/>
                <w:sz w:val="24"/>
                <w:szCs w:val="24"/>
                <w:lang w:eastAsia="en-GB"/>
              </w:rPr>
              <w:t>• Greater scope for sustainable innovation and brand differentiation.</w:t>
            </w:r>
          </w:p>
        </w:tc>
        <w:tc>
          <w:tcPr>
            <w:tcW w:w="0" w:type="auto"/>
            <w:hideMark/>
          </w:tcPr>
          <w:p w14:paraId="58E0E136" w14:textId="77777777" w:rsidR="00A412D3" w:rsidRPr="00A412D3" w:rsidRDefault="00A412D3" w:rsidP="00A412D3">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 Intense global competition from established and new EV firms. </w:t>
            </w:r>
          </w:p>
          <w:p w14:paraId="462CB2A7" w14:textId="77777777" w:rsidR="00A412D3" w:rsidRPr="00A412D3" w:rsidRDefault="00A412D3" w:rsidP="00A412D3">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Regulatory pressure, trade uncertainty and supply-chain disruption.</w:t>
            </w:r>
          </w:p>
        </w:tc>
      </w:tr>
    </w:tbl>
    <w:p w14:paraId="7D68119C"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1C78973E"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594EEBE1"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43BC0615"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1F422A53"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485E6BB2"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695678AF"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3560B66E"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5A43602B"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65CD3307"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0C2B727B"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79D3917A" w14:textId="77777777" w:rsidR="00A412D3" w:rsidRPr="00A412D3" w:rsidRDefault="00A412D3" w:rsidP="00A412D3">
      <w:pPr>
        <w:keepNext/>
        <w:keepLines/>
        <w:spacing w:before="360" w:after="80" w:line="360" w:lineRule="auto"/>
        <w:outlineLvl w:val="0"/>
        <w:rPr>
          <w:rFonts w:ascii="Times New Roman" w:eastAsia="Times New Roman" w:hAnsi="Times New Roman" w:cs="Times New Roman"/>
          <w:b/>
          <w:bCs/>
          <w:color w:val="000000" w:themeColor="text1"/>
          <w:kern w:val="2"/>
          <w:sz w:val="24"/>
          <w:szCs w:val="24"/>
          <w:lang w:eastAsia="en-GB"/>
          <w14:ligatures w14:val="standardContextual"/>
        </w:rPr>
      </w:pPr>
      <w:bookmarkStart w:id="9" w:name="_Toc224589591"/>
      <w:r w:rsidRPr="00A412D3">
        <w:rPr>
          <w:rFonts w:ascii="Times New Roman" w:eastAsia="Times New Roman" w:hAnsi="Times New Roman" w:cs="Times New Roman"/>
          <w:b/>
          <w:bCs/>
          <w:color w:val="000000" w:themeColor="text1"/>
          <w:kern w:val="2"/>
          <w:sz w:val="24"/>
          <w:szCs w:val="24"/>
          <w:lang w:eastAsia="en-GB"/>
          <w14:ligatures w14:val="standardContextual"/>
        </w:rPr>
        <w:lastRenderedPageBreak/>
        <w:t>4.0 Strategy Formulation</w:t>
      </w:r>
      <w:bookmarkEnd w:id="9"/>
    </w:p>
    <w:p w14:paraId="4480E962"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For JLR, focused differentiation is the best strategy. Michael Porter, who developed the theory of value chain analysis, stated that in order to gain an advantage over their competitors, companies must make trade-offs in their areas of competition and focus on specific activities rather than trying to be the best in every area in which they compete (Porter, 1985; Porter, 2008). </w:t>
      </w:r>
    </w:p>
    <w:p w14:paraId="20863C61"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hAnsi="Times New Roman" w:cs="Times New Roman"/>
          <w:noProof/>
          <w:kern w:val="2"/>
          <w:sz w:val="24"/>
          <w:szCs w:val="24"/>
          <w14:ligatures w14:val="standardContextual"/>
        </w:rPr>
        <w:drawing>
          <wp:inline distT="0" distB="0" distL="0" distR="0" wp14:anchorId="4DBFC143" wp14:editId="5066060C">
            <wp:extent cx="5730240" cy="2084478"/>
            <wp:effectExtent l="0" t="0" r="3810" b="0"/>
            <wp:docPr id="4" name="Picture 3" descr="Porter's (Three) Generic Strategies Explained - 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orter's (Three) Generic Strategies Explained - SM Insigh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9696" cy="2087918"/>
                    </a:xfrm>
                    <a:prstGeom prst="rect">
                      <a:avLst/>
                    </a:prstGeom>
                    <a:noFill/>
                    <a:ln>
                      <a:noFill/>
                    </a:ln>
                  </pic:spPr>
                </pic:pic>
              </a:graphicData>
            </a:graphic>
          </wp:inline>
        </w:drawing>
      </w:r>
    </w:p>
    <w:p w14:paraId="58C71EAB"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69F06042"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JLR competes in the premium segment of the automotive industry and relies upon its brand, its design and the customer experience which are not intuitively a component of cost leadership in the automobile industry. Instead, the company can gain a long-term competitive advantage if it remains one of the first and highest volume manufacturers of desirable premium electric vehicles with sustainability and digitality as key features of their vehicles.</w:t>
      </w:r>
    </w:p>
    <w:p w14:paraId="45A9B186"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The first strategy that JLR can use is to further commit to the production of electric vehicles and leadership in the premium electric vehicle segment of the market without diluting their brand identity. For brands like Range Rover, Defender and Jaguar, this would mean concentrating their efforts on producing electric vehicles for the specific market segments in which they can command high prices and gain customer loyalty (JLR, 2023; UK Government, 2024).</w:t>
      </w:r>
    </w:p>
    <w:p w14:paraId="1A0C2A96"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Second, JLR can work to increase the resilience of their supply chain and localise some of their supply chain components. Currently, many of the vehicles that are manufactured by the JLR company are produced in the United Kingdom. As such, they are exposed to the risks of </w:t>
      </w:r>
      <w:r w:rsidRPr="00A412D3">
        <w:rPr>
          <w:rFonts w:ascii="Times New Roman" w:eastAsia="Times New Roman" w:hAnsi="Times New Roman" w:cs="Times New Roman"/>
          <w:sz w:val="24"/>
          <w:szCs w:val="24"/>
          <w:lang w:eastAsia="en-GB"/>
        </w:rPr>
        <w:lastRenderedPageBreak/>
        <w:t>geopolitical tensions and trade regulations that may impact their supply chain (SMMT, 2025b; SMMT, 2026a). By localising components of their supply chain, JLR could increase its resilience to these challenges and meet its trade content requirements for the future.</w:t>
      </w:r>
    </w:p>
    <w:p w14:paraId="5FCA8C37"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Third, JLR could work to develop its software and service-based revenues. Currently, most automakers mostly rely upon the sale of the vehicles that they manufacture. However, the industry is changing towards the development of software and service-based companies that can continue to provide value to the owners of these cars and increase the differentiation of their brands in the automotive industry (ACEA, 2025a; JLR, </w:t>
      </w:r>
      <w:proofErr w:type="spellStart"/>
      <w:r w:rsidRPr="00A412D3">
        <w:rPr>
          <w:rFonts w:ascii="Times New Roman" w:eastAsia="Times New Roman" w:hAnsi="Times New Roman" w:cs="Times New Roman"/>
          <w:sz w:val="24"/>
          <w:szCs w:val="24"/>
          <w:lang w:eastAsia="en-GB"/>
        </w:rPr>
        <w:t>n.d.a</w:t>
      </w:r>
      <w:proofErr w:type="spellEnd"/>
      <w:r w:rsidRPr="00A412D3">
        <w:rPr>
          <w:rFonts w:ascii="Times New Roman" w:eastAsia="Times New Roman" w:hAnsi="Times New Roman" w:cs="Times New Roman"/>
          <w:sz w:val="24"/>
          <w:szCs w:val="24"/>
          <w:lang w:eastAsia="en-GB"/>
        </w:rPr>
        <w:t>).</w:t>
      </w:r>
    </w:p>
    <w:p w14:paraId="7871FE02" w14:textId="77777777" w:rsidR="00A412D3" w:rsidRPr="00A412D3" w:rsidRDefault="00A412D3" w:rsidP="00A412D3">
      <w:pPr>
        <w:keepNext/>
        <w:keepLines/>
        <w:spacing w:before="360" w:after="80" w:line="360" w:lineRule="auto"/>
        <w:outlineLvl w:val="0"/>
        <w:rPr>
          <w:rFonts w:ascii="Times New Roman" w:eastAsia="Times New Roman" w:hAnsi="Times New Roman" w:cs="Times New Roman"/>
          <w:b/>
          <w:bCs/>
          <w:color w:val="000000" w:themeColor="text1"/>
          <w:kern w:val="2"/>
          <w:sz w:val="24"/>
          <w:szCs w:val="24"/>
          <w:lang w:eastAsia="en-GB"/>
          <w14:ligatures w14:val="standardContextual"/>
        </w:rPr>
      </w:pPr>
      <w:bookmarkStart w:id="10" w:name="_Toc224589592"/>
      <w:r w:rsidRPr="00A412D3">
        <w:rPr>
          <w:rFonts w:ascii="Times New Roman" w:eastAsia="Times New Roman" w:hAnsi="Times New Roman" w:cs="Times New Roman"/>
          <w:b/>
          <w:bCs/>
          <w:color w:val="000000" w:themeColor="text1"/>
          <w:kern w:val="2"/>
          <w:sz w:val="24"/>
          <w:szCs w:val="24"/>
          <w:lang w:eastAsia="en-GB"/>
          <w14:ligatures w14:val="standardContextual"/>
        </w:rPr>
        <w:t>5.0 Conclusion and Recommendations</w:t>
      </w:r>
      <w:bookmarkEnd w:id="10"/>
    </w:p>
    <w:p w14:paraId="482A7F5F"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The importance of strategic management within the automotive industry in the UK is evident through the revolution that is taking place within the industry. While the company does have some strengths relative to the market and its competitors, the company is also exposed to a variety of threats to its existing business and future. Overall, then, the company should focus upon the development and production of luxury electric vehicles and those that integrate with the digital networks of the company and its customers. These strategies will enable the company to take advantage of its existing strengths while countering the various threats that may arise within the future industry. Through the implementation of these suggestions, the company will be able to handle the various threats to its future and ensure that it maintains a competitive presence within the ever-accelerating world of automotive manufacturing and competition.</w:t>
      </w:r>
    </w:p>
    <w:p w14:paraId="2165480A"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45896A05"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43B5191C"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1591121A"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79703B7F"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61A75EFC"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6CF3E075" w14:textId="77777777" w:rsidR="00A412D3" w:rsidRPr="00A412D3" w:rsidRDefault="00A412D3" w:rsidP="00A412D3">
      <w:pPr>
        <w:spacing w:before="100" w:beforeAutospacing="1" w:after="100" w:afterAutospacing="1" w:line="360" w:lineRule="auto"/>
        <w:rPr>
          <w:rFonts w:ascii="Times New Roman" w:eastAsia="Times New Roman" w:hAnsi="Times New Roman" w:cs="Times New Roman"/>
          <w:sz w:val="24"/>
          <w:szCs w:val="24"/>
          <w:lang w:eastAsia="en-GB"/>
        </w:rPr>
      </w:pPr>
    </w:p>
    <w:p w14:paraId="62F6CC75" w14:textId="77777777" w:rsidR="00A412D3" w:rsidRPr="00A412D3" w:rsidRDefault="00A412D3" w:rsidP="00A412D3">
      <w:pPr>
        <w:keepNext/>
        <w:keepLines/>
        <w:spacing w:before="360" w:after="80" w:line="360" w:lineRule="auto"/>
        <w:outlineLvl w:val="0"/>
        <w:rPr>
          <w:rFonts w:ascii="Times New Roman" w:eastAsia="Times New Roman" w:hAnsi="Times New Roman" w:cs="Times New Roman"/>
          <w:b/>
          <w:bCs/>
          <w:color w:val="000000" w:themeColor="text1"/>
          <w:kern w:val="2"/>
          <w:sz w:val="24"/>
          <w:szCs w:val="24"/>
          <w:lang w:eastAsia="en-GB"/>
          <w14:ligatures w14:val="standardContextual"/>
        </w:rPr>
      </w:pPr>
      <w:bookmarkStart w:id="11" w:name="_Toc224589593"/>
      <w:r w:rsidRPr="00A412D3">
        <w:rPr>
          <w:rFonts w:ascii="Times New Roman" w:eastAsia="Times New Roman" w:hAnsi="Times New Roman" w:cs="Times New Roman"/>
          <w:b/>
          <w:bCs/>
          <w:color w:val="000000" w:themeColor="text1"/>
          <w:kern w:val="2"/>
          <w:sz w:val="24"/>
          <w:szCs w:val="24"/>
          <w:lang w:eastAsia="en-GB"/>
          <w14:ligatures w14:val="standardContextual"/>
        </w:rPr>
        <w:lastRenderedPageBreak/>
        <w:t>References</w:t>
      </w:r>
      <w:bookmarkEnd w:id="11"/>
    </w:p>
    <w:p w14:paraId="310E8A55"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ACEA (2025a) </w:t>
      </w:r>
      <w:r w:rsidRPr="00A412D3">
        <w:rPr>
          <w:rFonts w:ascii="Times New Roman" w:eastAsia="Times New Roman" w:hAnsi="Times New Roman" w:cs="Times New Roman"/>
          <w:i/>
          <w:iCs/>
          <w:sz w:val="24"/>
          <w:szCs w:val="24"/>
          <w:lang w:eastAsia="en-GB"/>
        </w:rPr>
        <w:t>The Automobile Industry Pocket Guide 2025/2026</w:t>
      </w:r>
      <w:r w:rsidRPr="00A412D3">
        <w:rPr>
          <w:rFonts w:ascii="Times New Roman" w:eastAsia="Times New Roman" w:hAnsi="Times New Roman" w:cs="Times New Roman"/>
          <w:sz w:val="24"/>
          <w:szCs w:val="24"/>
          <w:lang w:eastAsia="en-GB"/>
        </w:rPr>
        <w:t>. Brussels: European Automobile Manufacturers’ Association.</w:t>
      </w:r>
    </w:p>
    <w:p w14:paraId="15DDB2F4"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ACEA (2025b) </w:t>
      </w:r>
      <w:r w:rsidRPr="00A412D3">
        <w:rPr>
          <w:rFonts w:ascii="Times New Roman" w:eastAsia="Times New Roman" w:hAnsi="Times New Roman" w:cs="Times New Roman"/>
          <w:i/>
          <w:iCs/>
          <w:sz w:val="24"/>
          <w:szCs w:val="24"/>
          <w:lang w:eastAsia="en-GB"/>
        </w:rPr>
        <w:t>Economic and Market Report: Global and EU Auto Industry, First Half of 2025</w:t>
      </w:r>
      <w:r w:rsidRPr="00A412D3">
        <w:rPr>
          <w:rFonts w:ascii="Times New Roman" w:eastAsia="Times New Roman" w:hAnsi="Times New Roman" w:cs="Times New Roman"/>
          <w:sz w:val="24"/>
          <w:szCs w:val="24"/>
          <w:lang w:eastAsia="en-GB"/>
        </w:rPr>
        <w:t>. Brussels: European Automobile Manufacturers’ Association.</w:t>
      </w:r>
    </w:p>
    <w:p w14:paraId="7526E679"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Barney, J.B. (1991) ‘Firm resources and sustained competitive advantage’, </w:t>
      </w:r>
      <w:r w:rsidRPr="00A412D3">
        <w:rPr>
          <w:rFonts w:ascii="Times New Roman" w:eastAsia="Times New Roman" w:hAnsi="Times New Roman" w:cs="Times New Roman"/>
          <w:i/>
          <w:iCs/>
          <w:sz w:val="24"/>
          <w:szCs w:val="24"/>
          <w:lang w:eastAsia="en-GB"/>
        </w:rPr>
        <w:t>Journal of Management</w:t>
      </w:r>
      <w:r w:rsidRPr="00A412D3">
        <w:rPr>
          <w:rFonts w:ascii="Times New Roman" w:eastAsia="Times New Roman" w:hAnsi="Times New Roman" w:cs="Times New Roman"/>
          <w:sz w:val="24"/>
          <w:szCs w:val="24"/>
          <w:lang w:eastAsia="en-GB"/>
        </w:rPr>
        <w:t>, 17(1), pp. 99–120.</w:t>
      </w:r>
    </w:p>
    <w:p w14:paraId="706493C2"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Barney, J.B. and Hesterly, W.S. (2021) </w:t>
      </w:r>
      <w:r w:rsidRPr="00A412D3">
        <w:rPr>
          <w:rFonts w:ascii="Times New Roman" w:eastAsia="Times New Roman" w:hAnsi="Times New Roman" w:cs="Times New Roman"/>
          <w:i/>
          <w:iCs/>
          <w:sz w:val="24"/>
          <w:szCs w:val="24"/>
          <w:lang w:eastAsia="en-GB"/>
        </w:rPr>
        <w:t>Strategic Management and Competitive Advantage: Concepts and Cases</w:t>
      </w:r>
      <w:r w:rsidRPr="00A412D3">
        <w:rPr>
          <w:rFonts w:ascii="Times New Roman" w:eastAsia="Times New Roman" w:hAnsi="Times New Roman" w:cs="Times New Roman"/>
          <w:sz w:val="24"/>
          <w:szCs w:val="24"/>
          <w:lang w:eastAsia="en-GB"/>
        </w:rPr>
        <w:t xml:space="preserve">. 7th </w:t>
      </w:r>
      <w:proofErr w:type="spellStart"/>
      <w:r w:rsidRPr="00A412D3">
        <w:rPr>
          <w:rFonts w:ascii="Times New Roman" w:eastAsia="Times New Roman" w:hAnsi="Times New Roman" w:cs="Times New Roman"/>
          <w:sz w:val="24"/>
          <w:szCs w:val="24"/>
          <w:lang w:eastAsia="en-GB"/>
        </w:rPr>
        <w:t>edn</w:t>
      </w:r>
      <w:proofErr w:type="spellEnd"/>
      <w:r w:rsidRPr="00A412D3">
        <w:rPr>
          <w:rFonts w:ascii="Times New Roman" w:eastAsia="Times New Roman" w:hAnsi="Times New Roman" w:cs="Times New Roman"/>
          <w:sz w:val="24"/>
          <w:szCs w:val="24"/>
          <w:lang w:eastAsia="en-GB"/>
        </w:rPr>
        <w:t>. Harlow: Pearson.</w:t>
      </w:r>
    </w:p>
    <w:p w14:paraId="5D857794"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Grant, R.M. (2022) </w:t>
      </w:r>
      <w:r w:rsidRPr="00A412D3">
        <w:rPr>
          <w:rFonts w:ascii="Times New Roman" w:eastAsia="Times New Roman" w:hAnsi="Times New Roman" w:cs="Times New Roman"/>
          <w:i/>
          <w:iCs/>
          <w:sz w:val="24"/>
          <w:szCs w:val="24"/>
          <w:lang w:eastAsia="en-GB"/>
        </w:rPr>
        <w:t>Contemporary Strategy Analysis</w:t>
      </w:r>
      <w:r w:rsidRPr="00A412D3">
        <w:rPr>
          <w:rFonts w:ascii="Times New Roman" w:eastAsia="Times New Roman" w:hAnsi="Times New Roman" w:cs="Times New Roman"/>
          <w:sz w:val="24"/>
          <w:szCs w:val="24"/>
          <w:lang w:eastAsia="en-GB"/>
        </w:rPr>
        <w:t xml:space="preserve">. 11th </w:t>
      </w:r>
      <w:proofErr w:type="spellStart"/>
      <w:r w:rsidRPr="00A412D3">
        <w:rPr>
          <w:rFonts w:ascii="Times New Roman" w:eastAsia="Times New Roman" w:hAnsi="Times New Roman" w:cs="Times New Roman"/>
          <w:sz w:val="24"/>
          <w:szCs w:val="24"/>
          <w:lang w:eastAsia="en-GB"/>
        </w:rPr>
        <w:t>edn</w:t>
      </w:r>
      <w:proofErr w:type="spellEnd"/>
      <w:r w:rsidRPr="00A412D3">
        <w:rPr>
          <w:rFonts w:ascii="Times New Roman" w:eastAsia="Times New Roman" w:hAnsi="Times New Roman" w:cs="Times New Roman"/>
          <w:sz w:val="24"/>
          <w:szCs w:val="24"/>
          <w:lang w:eastAsia="en-GB"/>
        </w:rPr>
        <w:t>. Hoboken: Wiley.</w:t>
      </w:r>
    </w:p>
    <w:p w14:paraId="64495D94"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Hill, C.W.L., Schilling, M.A. and Jones, G.R. (2021) </w:t>
      </w:r>
      <w:r w:rsidRPr="00A412D3">
        <w:rPr>
          <w:rFonts w:ascii="Times New Roman" w:eastAsia="Times New Roman" w:hAnsi="Times New Roman" w:cs="Times New Roman"/>
          <w:i/>
          <w:iCs/>
          <w:sz w:val="24"/>
          <w:szCs w:val="24"/>
          <w:lang w:eastAsia="en-GB"/>
        </w:rPr>
        <w:t>Strategic Management: Theory and Cases: An Integrated Approach</w:t>
      </w:r>
      <w:r w:rsidRPr="00A412D3">
        <w:rPr>
          <w:rFonts w:ascii="Times New Roman" w:eastAsia="Times New Roman" w:hAnsi="Times New Roman" w:cs="Times New Roman"/>
          <w:sz w:val="24"/>
          <w:szCs w:val="24"/>
          <w:lang w:eastAsia="en-GB"/>
        </w:rPr>
        <w:t xml:space="preserve">. 13th </w:t>
      </w:r>
      <w:proofErr w:type="spellStart"/>
      <w:r w:rsidRPr="00A412D3">
        <w:rPr>
          <w:rFonts w:ascii="Times New Roman" w:eastAsia="Times New Roman" w:hAnsi="Times New Roman" w:cs="Times New Roman"/>
          <w:sz w:val="24"/>
          <w:szCs w:val="24"/>
          <w:lang w:eastAsia="en-GB"/>
        </w:rPr>
        <w:t>edn</w:t>
      </w:r>
      <w:proofErr w:type="spellEnd"/>
      <w:r w:rsidRPr="00A412D3">
        <w:rPr>
          <w:rFonts w:ascii="Times New Roman" w:eastAsia="Times New Roman" w:hAnsi="Times New Roman" w:cs="Times New Roman"/>
          <w:sz w:val="24"/>
          <w:szCs w:val="24"/>
          <w:lang w:eastAsia="en-GB"/>
        </w:rPr>
        <w:t>. Boston: Cengage.</w:t>
      </w:r>
    </w:p>
    <w:p w14:paraId="6D97D76C"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JLR (2023) ‘JLR to invest £15 billion over next five years in its modern luxury electric-first future’. Available at: JLR corporate news page.</w:t>
      </w:r>
    </w:p>
    <w:p w14:paraId="75303035"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JLR (2024) ‘JLR invests £500 million creating EV factory of the future in Merseyside’. Available at: JLR media newsroom.</w:t>
      </w:r>
    </w:p>
    <w:p w14:paraId="54B669B3"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JLR (2025a) </w:t>
      </w:r>
      <w:r w:rsidRPr="00A412D3">
        <w:rPr>
          <w:rFonts w:ascii="Times New Roman" w:eastAsia="Times New Roman" w:hAnsi="Times New Roman" w:cs="Times New Roman"/>
          <w:i/>
          <w:iCs/>
          <w:sz w:val="24"/>
          <w:szCs w:val="24"/>
          <w:lang w:eastAsia="en-GB"/>
        </w:rPr>
        <w:t>Annual Report 2025</w:t>
      </w:r>
      <w:r w:rsidRPr="00A412D3">
        <w:rPr>
          <w:rFonts w:ascii="Times New Roman" w:eastAsia="Times New Roman" w:hAnsi="Times New Roman" w:cs="Times New Roman"/>
          <w:sz w:val="24"/>
          <w:szCs w:val="24"/>
          <w:lang w:eastAsia="en-GB"/>
        </w:rPr>
        <w:t>. Coventry: Jaguar Land Rover Automotive plc.</w:t>
      </w:r>
    </w:p>
    <w:p w14:paraId="7501C906"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JLR (</w:t>
      </w:r>
      <w:proofErr w:type="spellStart"/>
      <w:r w:rsidRPr="00A412D3">
        <w:rPr>
          <w:rFonts w:ascii="Times New Roman" w:eastAsia="Times New Roman" w:hAnsi="Times New Roman" w:cs="Times New Roman"/>
          <w:sz w:val="24"/>
          <w:szCs w:val="24"/>
          <w:lang w:eastAsia="en-GB"/>
        </w:rPr>
        <w:t>n.d.a</w:t>
      </w:r>
      <w:proofErr w:type="spellEnd"/>
      <w:r w:rsidRPr="00A412D3">
        <w:rPr>
          <w:rFonts w:ascii="Times New Roman" w:eastAsia="Times New Roman" w:hAnsi="Times New Roman" w:cs="Times New Roman"/>
          <w:sz w:val="24"/>
          <w:szCs w:val="24"/>
          <w:lang w:eastAsia="en-GB"/>
        </w:rPr>
        <w:t xml:space="preserve">) </w:t>
      </w:r>
      <w:r w:rsidRPr="00A412D3">
        <w:rPr>
          <w:rFonts w:ascii="Times New Roman" w:eastAsia="Times New Roman" w:hAnsi="Times New Roman" w:cs="Times New Roman"/>
          <w:i/>
          <w:iCs/>
          <w:sz w:val="24"/>
          <w:szCs w:val="24"/>
          <w:lang w:eastAsia="en-GB"/>
        </w:rPr>
        <w:t>Reimagine</w:t>
      </w:r>
      <w:r w:rsidRPr="00A412D3">
        <w:rPr>
          <w:rFonts w:ascii="Times New Roman" w:eastAsia="Times New Roman" w:hAnsi="Times New Roman" w:cs="Times New Roman"/>
          <w:sz w:val="24"/>
          <w:szCs w:val="24"/>
          <w:lang w:eastAsia="en-GB"/>
        </w:rPr>
        <w:t>. Available at: JLR corporate website.</w:t>
      </w:r>
    </w:p>
    <w:p w14:paraId="6089D294"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JLR (</w:t>
      </w:r>
      <w:proofErr w:type="spellStart"/>
      <w:r w:rsidRPr="00A412D3">
        <w:rPr>
          <w:rFonts w:ascii="Times New Roman" w:eastAsia="Times New Roman" w:hAnsi="Times New Roman" w:cs="Times New Roman"/>
          <w:sz w:val="24"/>
          <w:szCs w:val="24"/>
          <w:lang w:eastAsia="en-GB"/>
        </w:rPr>
        <w:t>n.d.b</w:t>
      </w:r>
      <w:proofErr w:type="spellEnd"/>
      <w:r w:rsidRPr="00A412D3">
        <w:rPr>
          <w:rFonts w:ascii="Times New Roman" w:eastAsia="Times New Roman" w:hAnsi="Times New Roman" w:cs="Times New Roman"/>
          <w:sz w:val="24"/>
          <w:szCs w:val="24"/>
          <w:lang w:eastAsia="en-GB"/>
        </w:rPr>
        <w:t xml:space="preserve">) </w:t>
      </w:r>
      <w:r w:rsidRPr="00A412D3">
        <w:rPr>
          <w:rFonts w:ascii="Times New Roman" w:eastAsia="Times New Roman" w:hAnsi="Times New Roman" w:cs="Times New Roman"/>
          <w:i/>
          <w:iCs/>
          <w:sz w:val="24"/>
          <w:szCs w:val="24"/>
          <w:lang w:eastAsia="en-GB"/>
        </w:rPr>
        <w:t>Sustainability</w:t>
      </w:r>
      <w:r w:rsidRPr="00A412D3">
        <w:rPr>
          <w:rFonts w:ascii="Times New Roman" w:eastAsia="Times New Roman" w:hAnsi="Times New Roman" w:cs="Times New Roman"/>
          <w:sz w:val="24"/>
          <w:szCs w:val="24"/>
          <w:lang w:eastAsia="en-GB"/>
        </w:rPr>
        <w:t>. Available at: JLR corporate website.</w:t>
      </w:r>
    </w:p>
    <w:p w14:paraId="22606B15"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Johnson, G., Whittington, R., Scholes, K., Angwin, D. and </w:t>
      </w:r>
      <w:proofErr w:type="spellStart"/>
      <w:r w:rsidRPr="00A412D3">
        <w:rPr>
          <w:rFonts w:ascii="Times New Roman" w:eastAsia="Times New Roman" w:hAnsi="Times New Roman" w:cs="Times New Roman"/>
          <w:sz w:val="24"/>
          <w:szCs w:val="24"/>
          <w:lang w:eastAsia="en-GB"/>
        </w:rPr>
        <w:t>Regnér</w:t>
      </w:r>
      <w:proofErr w:type="spellEnd"/>
      <w:r w:rsidRPr="00A412D3">
        <w:rPr>
          <w:rFonts w:ascii="Times New Roman" w:eastAsia="Times New Roman" w:hAnsi="Times New Roman" w:cs="Times New Roman"/>
          <w:sz w:val="24"/>
          <w:szCs w:val="24"/>
          <w:lang w:eastAsia="en-GB"/>
        </w:rPr>
        <w:t xml:space="preserve">, P. (2017) </w:t>
      </w:r>
      <w:r w:rsidRPr="00A412D3">
        <w:rPr>
          <w:rFonts w:ascii="Times New Roman" w:eastAsia="Times New Roman" w:hAnsi="Times New Roman" w:cs="Times New Roman"/>
          <w:i/>
          <w:iCs/>
          <w:sz w:val="24"/>
          <w:szCs w:val="24"/>
          <w:lang w:eastAsia="en-GB"/>
        </w:rPr>
        <w:t>Exploring Strategy</w:t>
      </w:r>
      <w:r w:rsidRPr="00A412D3">
        <w:rPr>
          <w:rFonts w:ascii="Times New Roman" w:eastAsia="Times New Roman" w:hAnsi="Times New Roman" w:cs="Times New Roman"/>
          <w:sz w:val="24"/>
          <w:szCs w:val="24"/>
          <w:lang w:eastAsia="en-GB"/>
        </w:rPr>
        <w:t xml:space="preserve">. 11th </w:t>
      </w:r>
      <w:proofErr w:type="spellStart"/>
      <w:r w:rsidRPr="00A412D3">
        <w:rPr>
          <w:rFonts w:ascii="Times New Roman" w:eastAsia="Times New Roman" w:hAnsi="Times New Roman" w:cs="Times New Roman"/>
          <w:sz w:val="24"/>
          <w:szCs w:val="24"/>
          <w:lang w:eastAsia="en-GB"/>
        </w:rPr>
        <w:t>edn</w:t>
      </w:r>
      <w:proofErr w:type="spellEnd"/>
      <w:r w:rsidRPr="00A412D3">
        <w:rPr>
          <w:rFonts w:ascii="Times New Roman" w:eastAsia="Times New Roman" w:hAnsi="Times New Roman" w:cs="Times New Roman"/>
          <w:sz w:val="24"/>
          <w:szCs w:val="24"/>
          <w:lang w:eastAsia="en-GB"/>
        </w:rPr>
        <w:t>. Harlow: Pearson.</w:t>
      </w:r>
    </w:p>
    <w:p w14:paraId="67F8CD02"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Porter, M.E. (1985) </w:t>
      </w:r>
      <w:r w:rsidRPr="00A412D3">
        <w:rPr>
          <w:rFonts w:ascii="Times New Roman" w:eastAsia="Times New Roman" w:hAnsi="Times New Roman" w:cs="Times New Roman"/>
          <w:i/>
          <w:iCs/>
          <w:sz w:val="24"/>
          <w:szCs w:val="24"/>
          <w:lang w:eastAsia="en-GB"/>
        </w:rPr>
        <w:t>Competitive Advantage: Creating and Sustaining Superior Performance</w:t>
      </w:r>
      <w:r w:rsidRPr="00A412D3">
        <w:rPr>
          <w:rFonts w:ascii="Times New Roman" w:eastAsia="Times New Roman" w:hAnsi="Times New Roman" w:cs="Times New Roman"/>
          <w:sz w:val="24"/>
          <w:szCs w:val="24"/>
          <w:lang w:eastAsia="en-GB"/>
        </w:rPr>
        <w:t>. New York: Free Press.</w:t>
      </w:r>
    </w:p>
    <w:p w14:paraId="4EDDB166"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lastRenderedPageBreak/>
        <w:t xml:space="preserve">Porter, M.E. (2008) ‘The five competitive forces that shape strategy’, </w:t>
      </w:r>
      <w:r w:rsidRPr="00A412D3">
        <w:rPr>
          <w:rFonts w:ascii="Times New Roman" w:eastAsia="Times New Roman" w:hAnsi="Times New Roman" w:cs="Times New Roman"/>
          <w:i/>
          <w:iCs/>
          <w:sz w:val="24"/>
          <w:szCs w:val="24"/>
          <w:lang w:eastAsia="en-GB"/>
        </w:rPr>
        <w:t>Harvard Business Review</w:t>
      </w:r>
      <w:r w:rsidRPr="00A412D3">
        <w:rPr>
          <w:rFonts w:ascii="Times New Roman" w:eastAsia="Times New Roman" w:hAnsi="Times New Roman" w:cs="Times New Roman"/>
          <w:sz w:val="24"/>
          <w:szCs w:val="24"/>
          <w:lang w:eastAsia="en-GB"/>
        </w:rPr>
        <w:t>, 86(1), pp. 78–93.</w:t>
      </w:r>
    </w:p>
    <w:p w14:paraId="29EB7092"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SMMT (2025a) </w:t>
      </w:r>
      <w:r w:rsidRPr="00A412D3">
        <w:rPr>
          <w:rFonts w:ascii="Times New Roman" w:eastAsia="Times New Roman" w:hAnsi="Times New Roman" w:cs="Times New Roman"/>
          <w:i/>
          <w:iCs/>
          <w:sz w:val="24"/>
          <w:szCs w:val="24"/>
          <w:lang w:eastAsia="en-GB"/>
        </w:rPr>
        <w:t>Motor Industry Facts 2025</w:t>
      </w:r>
      <w:r w:rsidRPr="00A412D3">
        <w:rPr>
          <w:rFonts w:ascii="Times New Roman" w:eastAsia="Times New Roman" w:hAnsi="Times New Roman" w:cs="Times New Roman"/>
          <w:sz w:val="24"/>
          <w:szCs w:val="24"/>
          <w:lang w:eastAsia="en-GB"/>
        </w:rPr>
        <w:t>. London: Society of Motor Manufacturers and Traders.</w:t>
      </w:r>
    </w:p>
    <w:p w14:paraId="484A54B3"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SMMT (2025b) </w:t>
      </w:r>
      <w:r w:rsidRPr="00A412D3">
        <w:rPr>
          <w:rFonts w:ascii="Times New Roman" w:eastAsia="Times New Roman" w:hAnsi="Times New Roman" w:cs="Times New Roman"/>
          <w:i/>
          <w:iCs/>
          <w:sz w:val="24"/>
          <w:szCs w:val="24"/>
          <w:lang w:eastAsia="en-GB"/>
        </w:rPr>
        <w:t>SMMT Trade Report 2025</w:t>
      </w:r>
      <w:r w:rsidRPr="00A412D3">
        <w:rPr>
          <w:rFonts w:ascii="Times New Roman" w:eastAsia="Times New Roman" w:hAnsi="Times New Roman" w:cs="Times New Roman"/>
          <w:sz w:val="24"/>
          <w:szCs w:val="24"/>
          <w:lang w:eastAsia="en-GB"/>
        </w:rPr>
        <w:t>. London: Society of Motor Manufacturers and Traders.</w:t>
      </w:r>
    </w:p>
    <w:p w14:paraId="66A031B0"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SMMT (2026a) ‘Tough year for auto but new models and industrial strategy can deliver growth’. London: Society of Motor Manufacturers and Traders, 29 January.</w:t>
      </w:r>
    </w:p>
    <w:p w14:paraId="2A9F24E6"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SMMT (2026b) ‘UK new car market breaches two million as almost one in four buyers go electric’. London: Society of Motor Manufacturers and Traders, 6 January.</w:t>
      </w:r>
    </w:p>
    <w:p w14:paraId="36575DFA" w14:textId="77777777" w:rsidR="00A412D3" w:rsidRPr="00A412D3" w:rsidRDefault="00A412D3" w:rsidP="005E41EB">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12D3">
        <w:rPr>
          <w:rFonts w:ascii="Times New Roman" w:eastAsia="Times New Roman" w:hAnsi="Times New Roman" w:cs="Times New Roman"/>
          <w:sz w:val="24"/>
          <w:szCs w:val="24"/>
          <w:lang w:eastAsia="en-GB"/>
        </w:rPr>
        <w:t xml:space="preserve">UK Government (2024) </w:t>
      </w:r>
      <w:r w:rsidRPr="00A412D3">
        <w:rPr>
          <w:rFonts w:ascii="Times New Roman" w:eastAsia="Times New Roman" w:hAnsi="Times New Roman" w:cs="Times New Roman"/>
          <w:i/>
          <w:iCs/>
          <w:sz w:val="24"/>
          <w:szCs w:val="24"/>
          <w:lang w:eastAsia="en-GB"/>
        </w:rPr>
        <w:t>Phasing out Sales of New Petrol and Diesel Cars from 2030 and Supporting the ZEV Transition: Summary of Responses and Joint Government Response</w:t>
      </w:r>
      <w:r w:rsidRPr="00A412D3">
        <w:rPr>
          <w:rFonts w:ascii="Times New Roman" w:eastAsia="Times New Roman" w:hAnsi="Times New Roman" w:cs="Times New Roman"/>
          <w:sz w:val="24"/>
          <w:szCs w:val="24"/>
          <w:lang w:eastAsia="en-GB"/>
        </w:rPr>
        <w:t>. London: Department for Transport.</w:t>
      </w:r>
    </w:p>
    <w:p w14:paraId="1832CE97" w14:textId="77777777" w:rsidR="00A412D3" w:rsidRPr="00571EDF" w:rsidRDefault="00A412D3" w:rsidP="005E41EB">
      <w:pPr>
        <w:jc w:val="both"/>
        <w:rPr>
          <w:rFonts w:ascii="Times New Roman" w:hAnsi="Times New Roman" w:cs="Times New Roman"/>
          <w:sz w:val="28"/>
          <w:szCs w:val="28"/>
        </w:rPr>
      </w:pPr>
    </w:p>
    <w:sectPr w:rsidR="00A412D3" w:rsidRPr="00571EDF" w:rsidSect="00E87727">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9B4B00" w14:textId="77777777" w:rsidR="007F52EC" w:rsidRDefault="007F52EC" w:rsidP="00E87727">
      <w:pPr>
        <w:spacing w:after="0" w:line="240" w:lineRule="auto"/>
      </w:pPr>
      <w:r>
        <w:separator/>
      </w:r>
    </w:p>
  </w:endnote>
  <w:endnote w:type="continuationSeparator" w:id="0">
    <w:p w14:paraId="60D2775C" w14:textId="77777777" w:rsidR="007F52EC" w:rsidRDefault="007F52EC" w:rsidP="00E87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3245360"/>
      <w:docPartObj>
        <w:docPartGallery w:val="Page Numbers (Bottom of Page)"/>
        <w:docPartUnique/>
      </w:docPartObj>
    </w:sdtPr>
    <w:sdtContent>
      <w:p w14:paraId="3E88572D" w14:textId="0362D19D" w:rsidR="00E87727" w:rsidRDefault="00E87727">
        <w:pPr>
          <w:pStyle w:val="Footer"/>
          <w:jc w:val="right"/>
        </w:pPr>
        <w:r>
          <w:fldChar w:fldCharType="begin"/>
        </w:r>
        <w:r>
          <w:instrText>PAGE   \* MERGEFORMAT</w:instrText>
        </w:r>
        <w:r>
          <w:fldChar w:fldCharType="separate"/>
        </w:r>
        <w:r>
          <w:t>2</w:t>
        </w:r>
        <w:r>
          <w:fldChar w:fldCharType="end"/>
        </w:r>
      </w:p>
    </w:sdtContent>
  </w:sdt>
  <w:p w14:paraId="19F54FAC" w14:textId="77777777" w:rsidR="00E87727" w:rsidRDefault="00E877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D29441" w14:textId="77777777" w:rsidR="007F52EC" w:rsidRDefault="007F52EC" w:rsidP="00E87727">
      <w:pPr>
        <w:spacing w:after="0" w:line="240" w:lineRule="auto"/>
      </w:pPr>
      <w:r>
        <w:separator/>
      </w:r>
    </w:p>
  </w:footnote>
  <w:footnote w:type="continuationSeparator" w:id="0">
    <w:p w14:paraId="3856C049" w14:textId="77777777" w:rsidR="007F52EC" w:rsidRDefault="007F52EC" w:rsidP="00E877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EDF"/>
    <w:rsid w:val="00014E13"/>
    <w:rsid w:val="00160E45"/>
    <w:rsid w:val="001968BF"/>
    <w:rsid w:val="001E4E20"/>
    <w:rsid w:val="00571EDF"/>
    <w:rsid w:val="005E41EB"/>
    <w:rsid w:val="007F52EC"/>
    <w:rsid w:val="008015B8"/>
    <w:rsid w:val="00A412D3"/>
    <w:rsid w:val="00E813A9"/>
    <w:rsid w:val="00E87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BB97E"/>
  <w15:chartTrackingRefBased/>
  <w15:docId w15:val="{F8B58AF7-03CC-4694-9F00-F62F2FFB9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E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1E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1E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1E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1E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1E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1E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1E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1E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E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1E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1E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1E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1E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1E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1E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1E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1EDF"/>
    <w:rPr>
      <w:rFonts w:eastAsiaTheme="majorEastAsia" w:cstheme="majorBidi"/>
      <w:color w:val="272727" w:themeColor="text1" w:themeTint="D8"/>
    </w:rPr>
  </w:style>
  <w:style w:type="paragraph" w:styleId="Title">
    <w:name w:val="Title"/>
    <w:basedOn w:val="Normal"/>
    <w:next w:val="Normal"/>
    <w:link w:val="TitleChar"/>
    <w:uiPriority w:val="10"/>
    <w:qFormat/>
    <w:rsid w:val="00571E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E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1E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E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1EDF"/>
    <w:pPr>
      <w:spacing w:before="160"/>
      <w:jc w:val="center"/>
    </w:pPr>
    <w:rPr>
      <w:i/>
      <w:iCs/>
      <w:color w:val="404040" w:themeColor="text1" w:themeTint="BF"/>
    </w:rPr>
  </w:style>
  <w:style w:type="character" w:customStyle="1" w:styleId="QuoteChar">
    <w:name w:val="Quote Char"/>
    <w:basedOn w:val="DefaultParagraphFont"/>
    <w:link w:val="Quote"/>
    <w:uiPriority w:val="29"/>
    <w:rsid w:val="00571EDF"/>
    <w:rPr>
      <w:i/>
      <w:iCs/>
      <w:color w:val="404040" w:themeColor="text1" w:themeTint="BF"/>
    </w:rPr>
  </w:style>
  <w:style w:type="paragraph" w:styleId="ListParagraph">
    <w:name w:val="List Paragraph"/>
    <w:basedOn w:val="Normal"/>
    <w:uiPriority w:val="34"/>
    <w:qFormat/>
    <w:rsid w:val="00571EDF"/>
    <w:pPr>
      <w:ind w:left="720"/>
      <w:contextualSpacing/>
    </w:pPr>
  </w:style>
  <w:style w:type="character" w:styleId="IntenseEmphasis">
    <w:name w:val="Intense Emphasis"/>
    <w:basedOn w:val="DefaultParagraphFont"/>
    <w:uiPriority w:val="21"/>
    <w:qFormat/>
    <w:rsid w:val="00571EDF"/>
    <w:rPr>
      <w:i/>
      <w:iCs/>
      <w:color w:val="0F4761" w:themeColor="accent1" w:themeShade="BF"/>
    </w:rPr>
  </w:style>
  <w:style w:type="paragraph" w:styleId="IntenseQuote">
    <w:name w:val="Intense Quote"/>
    <w:basedOn w:val="Normal"/>
    <w:next w:val="Normal"/>
    <w:link w:val="IntenseQuoteChar"/>
    <w:uiPriority w:val="30"/>
    <w:qFormat/>
    <w:rsid w:val="00571E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1EDF"/>
    <w:rPr>
      <w:i/>
      <w:iCs/>
      <w:color w:val="0F4761" w:themeColor="accent1" w:themeShade="BF"/>
    </w:rPr>
  </w:style>
  <w:style w:type="character" w:styleId="IntenseReference">
    <w:name w:val="Intense Reference"/>
    <w:basedOn w:val="DefaultParagraphFont"/>
    <w:uiPriority w:val="32"/>
    <w:qFormat/>
    <w:rsid w:val="00571EDF"/>
    <w:rPr>
      <w:b/>
      <w:bCs/>
      <w:smallCaps/>
      <w:color w:val="0F4761" w:themeColor="accent1" w:themeShade="BF"/>
      <w:spacing w:val="5"/>
    </w:rPr>
  </w:style>
  <w:style w:type="table" w:styleId="GridTable1Light">
    <w:name w:val="Grid Table 1 Light"/>
    <w:basedOn w:val="TableNormal"/>
    <w:uiPriority w:val="46"/>
    <w:rsid w:val="00A412D3"/>
    <w:pPr>
      <w:spacing w:after="0" w:line="240" w:lineRule="auto"/>
    </w:pPr>
    <w:rPr>
      <w:kern w:val="2"/>
      <w14:ligatures w14:val="standardContextual"/>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A412D3"/>
    <w:pPr>
      <w:spacing w:after="0" w:line="240" w:lineRule="auto"/>
    </w:pPr>
    <w:rPr>
      <w:kern w:val="2"/>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E877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727"/>
  </w:style>
  <w:style w:type="paragraph" w:styleId="Footer">
    <w:name w:val="footer"/>
    <w:basedOn w:val="Normal"/>
    <w:link w:val="FooterChar"/>
    <w:uiPriority w:val="99"/>
    <w:unhideWhenUsed/>
    <w:rsid w:val="00E877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727"/>
  </w:style>
  <w:style w:type="paragraph" w:styleId="TOC1">
    <w:name w:val="toc 1"/>
    <w:basedOn w:val="Normal"/>
    <w:next w:val="Normal"/>
    <w:autoRedefine/>
    <w:uiPriority w:val="39"/>
    <w:unhideWhenUsed/>
    <w:rsid w:val="00E87727"/>
    <w:pPr>
      <w:spacing w:after="100"/>
    </w:pPr>
  </w:style>
  <w:style w:type="paragraph" w:styleId="TOC2">
    <w:name w:val="toc 2"/>
    <w:basedOn w:val="Normal"/>
    <w:next w:val="Normal"/>
    <w:autoRedefine/>
    <w:uiPriority w:val="39"/>
    <w:unhideWhenUsed/>
    <w:rsid w:val="00E87727"/>
    <w:pPr>
      <w:spacing w:after="100"/>
      <w:ind w:left="220"/>
    </w:pPr>
  </w:style>
  <w:style w:type="character" w:styleId="Hyperlink">
    <w:name w:val="Hyperlink"/>
    <w:basedOn w:val="DefaultParagraphFont"/>
    <w:uiPriority w:val="99"/>
    <w:unhideWhenUsed/>
    <w:rsid w:val="00E8772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15</Pages>
  <Words>2960</Words>
  <Characters>16873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Stancheva</dc:creator>
  <cp:keywords/>
  <dc:description/>
  <cp:lastModifiedBy>Silviya Stancheva</cp:lastModifiedBy>
  <cp:revision>1</cp:revision>
  <dcterms:created xsi:type="dcterms:W3CDTF">2026-03-16T20:56:00Z</dcterms:created>
  <dcterms:modified xsi:type="dcterms:W3CDTF">2026-03-16T21:49:00Z</dcterms:modified>
</cp:coreProperties>
</file>