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BDB1039" w14:textId="39542BF6" w:rsidR="006A3CEB" w:rsidRDefault="00115BF0" w:rsidP="006A3CEB">
      <w:pPr>
        <w:jc w:val="center"/>
        <w:rPr>
          <w:sz w:val="34"/>
          <w:szCs w:val="34"/>
        </w:rPr>
      </w:pPr>
      <w:r>
        <w:rPr>
          <w:noProof/>
        </w:rPr>
        <w:drawing>
          <wp:inline distT="0" distB="0" distL="0" distR="0" wp14:anchorId="2F414687" wp14:editId="3640ED95">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5E674813" w14:textId="386F483B" w:rsidR="006A3CEB" w:rsidRPr="009C063A" w:rsidRDefault="009C063A" w:rsidP="009D6F1A">
      <w:pPr>
        <w:spacing w:line="240" w:lineRule="auto"/>
        <w:jc w:val="center"/>
        <w:rPr>
          <w:sz w:val="38"/>
          <w:szCs w:val="38"/>
        </w:rPr>
      </w:pPr>
      <w:r w:rsidRPr="009C063A">
        <w:rPr>
          <w:sz w:val="38"/>
          <w:szCs w:val="38"/>
        </w:rPr>
        <w:t>Master of Business Administration</w:t>
      </w:r>
    </w:p>
    <w:p w14:paraId="6BDC1828" w14:textId="3AE02452" w:rsidR="009D6F1A" w:rsidRPr="009C063A" w:rsidRDefault="009C063A" w:rsidP="009D6F1A">
      <w:pPr>
        <w:spacing w:line="240" w:lineRule="auto"/>
        <w:jc w:val="center"/>
        <w:rPr>
          <w:sz w:val="32"/>
          <w:szCs w:val="32"/>
        </w:rPr>
      </w:pPr>
      <w:r w:rsidRPr="009C063A">
        <w:rPr>
          <w:sz w:val="32"/>
          <w:szCs w:val="32"/>
        </w:rPr>
        <w:t>International Business pathway</w:t>
      </w:r>
    </w:p>
    <w:p w14:paraId="0B9564E3" w14:textId="77777777" w:rsidR="00043B72" w:rsidRDefault="00043B72" w:rsidP="00043B72">
      <w:pPr>
        <w:jc w:val="center"/>
        <w:rPr>
          <w:sz w:val="28"/>
          <w:szCs w:val="28"/>
        </w:rPr>
      </w:pPr>
    </w:p>
    <w:p w14:paraId="7014428D" w14:textId="7ED2FCD5" w:rsidR="002D4596" w:rsidRDefault="00B901A0" w:rsidP="00D62C51">
      <w:pPr>
        <w:jc w:val="center"/>
        <w:rPr>
          <w:sz w:val="28"/>
          <w:szCs w:val="28"/>
        </w:rPr>
      </w:pPr>
      <w:r>
        <w:rPr>
          <w:noProof/>
          <w:sz w:val="28"/>
          <w:szCs w:val="28"/>
        </w:rPr>
        <w:drawing>
          <wp:inline distT="0" distB="0" distL="0" distR="0" wp14:anchorId="2176B1AA" wp14:editId="56C254F3">
            <wp:extent cx="2257425" cy="2257425"/>
            <wp:effectExtent l="0" t="0" r="9525" b="9525"/>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7425" cy="2257425"/>
                    </a:xfrm>
                    <a:prstGeom prst="rect">
                      <a:avLst/>
                    </a:prstGeom>
                    <a:noFill/>
                    <a:ln>
                      <a:noFill/>
                    </a:ln>
                  </pic:spPr>
                </pic:pic>
              </a:graphicData>
            </a:graphic>
          </wp:inline>
        </w:drawing>
      </w:r>
    </w:p>
    <w:p w14:paraId="0A41E62F" w14:textId="5ECB7E24" w:rsidR="00F17846" w:rsidRPr="00E80B98" w:rsidRDefault="000D7BCC" w:rsidP="006A3CEB">
      <w:pPr>
        <w:jc w:val="center"/>
        <w:rPr>
          <w:color w:val="EE0000"/>
          <w:sz w:val="32"/>
          <w:szCs w:val="32"/>
        </w:rPr>
      </w:pPr>
      <w:r>
        <w:rPr>
          <w:b/>
          <w:bCs/>
          <w:color w:val="EE0000"/>
          <w:sz w:val="48"/>
          <w:szCs w:val="48"/>
        </w:rPr>
        <w:t>Contemporary e</w:t>
      </w:r>
      <w:r w:rsidR="00DA2E85">
        <w:rPr>
          <w:b/>
          <w:bCs/>
          <w:color w:val="EE0000"/>
          <w:sz w:val="48"/>
          <w:szCs w:val="48"/>
        </w:rPr>
        <w:t xml:space="preserve">mployability </w:t>
      </w:r>
      <w:r>
        <w:rPr>
          <w:b/>
          <w:bCs/>
          <w:color w:val="EE0000"/>
          <w:sz w:val="48"/>
          <w:szCs w:val="48"/>
        </w:rPr>
        <w:t>skills</w:t>
      </w:r>
    </w:p>
    <w:p w14:paraId="12D2BA15" w14:textId="15E41F6A" w:rsidR="006A3CEB" w:rsidRPr="00043B72" w:rsidRDefault="00A10686" w:rsidP="00A10686">
      <w:pPr>
        <w:rPr>
          <w:sz w:val="28"/>
          <w:szCs w:val="28"/>
        </w:rPr>
      </w:pPr>
      <w:r>
        <w:rPr>
          <w:sz w:val="28"/>
          <w:szCs w:val="28"/>
        </w:rPr>
        <w:t xml:space="preserve">                                         </w:t>
      </w:r>
      <w:r w:rsidR="006A3CEB" w:rsidRPr="00D07D25">
        <w:rPr>
          <w:sz w:val="28"/>
          <w:szCs w:val="28"/>
        </w:rPr>
        <w:t xml:space="preserve">Assessment </w:t>
      </w:r>
      <w:r w:rsidR="006A3CEB" w:rsidRPr="00E80B98">
        <w:rPr>
          <w:color w:val="EE0000"/>
          <w:sz w:val="28"/>
          <w:szCs w:val="28"/>
        </w:rPr>
        <w:t>1: Individual report</w:t>
      </w:r>
      <w:r w:rsidR="006A3CEB" w:rsidRPr="00043B72">
        <w:rPr>
          <w:sz w:val="28"/>
          <w:szCs w:val="28"/>
        </w:rPr>
        <w:t>.</w:t>
      </w:r>
    </w:p>
    <w:p w14:paraId="30903C42" w14:textId="18104EF8" w:rsidR="002D4596" w:rsidRPr="0041349F" w:rsidRDefault="002D4596" w:rsidP="002D4596">
      <w:pPr>
        <w:rPr>
          <w:sz w:val="28"/>
          <w:szCs w:val="28"/>
        </w:rPr>
      </w:pPr>
      <w:r w:rsidRPr="00043B72">
        <w:rPr>
          <w:b/>
          <w:bCs/>
          <w:sz w:val="28"/>
          <w:szCs w:val="28"/>
        </w:rPr>
        <w:t>Module name</w:t>
      </w:r>
      <w:r w:rsidRPr="0041349F">
        <w:t>:</w:t>
      </w:r>
      <w:r w:rsidR="00D812B2" w:rsidRPr="0041349F">
        <w:t xml:space="preserve"> </w:t>
      </w:r>
      <w:r w:rsidR="00665276" w:rsidRPr="0041349F">
        <w:rPr>
          <w:sz w:val="28"/>
          <w:szCs w:val="28"/>
        </w:rPr>
        <w:t>Financial Management</w:t>
      </w:r>
    </w:p>
    <w:p w14:paraId="20EB9B74" w14:textId="51B9B360" w:rsidR="006A3CEB" w:rsidRPr="00043B72" w:rsidRDefault="002D4596">
      <w:pPr>
        <w:rPr>
          <w:sz w:val="28"/>
          <w:szCs w:val="28"/>
        </w:rPr>
      </w:pPr>
      <w:r w:rsidRPr="00043B72">
        <w:rPr>
          <w:b/>
          <w:bCs/>
          <w:sz w:val="28"/>
          <w:szCs w:val="28"/>
        </w:rPr>
        <w:t>Module code</w:t>
      </w:r>
      <w:r w:rsidRPr="00043B72">
        <w:rPr>
          <w:sz w:val="28"/>
          <w:szCs w:val="28"/>
        </w:rPr>
        <w:t>:</w:t>
      </w:r>
      <w:r w:rsidR="00665276">
        <w:rPr>
          <w:sz w:val="28"/>
          <w:szCs w:val="28"/>
        </w:rPr>
        <w:t xml:space="preserve"> </w:t>
      </w:r>
      <w:r w:rsidR="0041349F">
        <w:rPr>
          <w:sz w:val="28"/>
          <w:szCs w:val="28"/>
        </w:rPr>
        <w:t>LCMB7002</w:t>
      </w:r>
    </w:p>
    <w:p w14:paraId="7F526F09" w14:textId="420A7B66" w:rsidR="00DB439F" w:rsidRPr="00043B72" w:rsidRDefault="00DB439F">
      <w:pPr>
        <w:rPr>
          <w:sz w:val="28"/>
          <w:szCs w:val="28"/>
        </w:rPr>
      </w:pPr>
      <w:r w:rsidRPr="00043B72">
        <w:rPr>
          <w:b/>
          <w:bCs/>
          <w:sz w:val="28"/>
          <w:szCs w:val="28"/>
        </w:rPr>
        <w:t>Lecturer name</w:t>
      </w:r>
      <w:r w:rsidRPr="00043B72">
        <w:rPr>
          <w:sz w:val="28"/>
          <w:szCs w:val="28"/>
        </w:rPr>
        <w:t>:</w:t>
      </w:r>
      <w:r w:rsidR="00550511" w:rsidRPr="00043B72">
        <w:rPr>
          <w:sz w:val="28"/>
          <w:szCs w:val="28"/>
        </w:rPr>
        <w:t xml:space="preserve"> </w:t>
      </w:r>
      <w:proofErr w:type="spellStart"/>
      <w:r w:rsidR="0079230D">
        <w:rPr>
          <w:sz w:val="28"/>
          <w:szCs w:val="28"/>
        </w:rPr>
        <w:t>Shengfeng</w:t>
      </w:r>
      <w:proofErr w:type="spellEnd"/>
      <w:r w:rsidR="0079230D">
        <w:rPr>
          <w:sz w:val="28"/>
          <w:szCs w:val="28"/>
        </w:rPr>
        <w:t xml:space="preserve"> Mei</w:t>
      </w:r>
    </w:p>
    <w:p w14:paraId="56B962A2" w14:textId="77777777" w:rsidR="005723F9" w:rsidRPr="00043B72" w:rsidRDefault="005723F9">
      <w:pPr>
        <w:rPr>
          <w:sz w:val="28"/>
          <w:szCs w:val="28"/>
        </w:rPr>
      </w:pPr>
    </w:p>
    <w:p w14:paraId="16ADC80D" w14:textId="1754E2B5" w:rsidR="00DB439F" w:rsidRPr="00043B72" w:rsidRDefault="00DB439F">
      <w:pPr>
        <w:rPr>
          <w:sz w:val="28"/>
          <w:szCs w:val="28"/>
        </w:rPr>
      </w:pPr>
      <w:r w:rsidRPr="00043B72">
        <w:rPr>
          <w:b/>
          <w:bCs/>
          <w:sz w:val="28"/>
          <w:szCs w:val="28"/>
        </w:rPr>
        <w:t>Student name</w:t>
      </w:r>
      <w:r w:rsidRPr="00043B72">
        <w:rPr>
          <w:sz w:val="28"/>
          <w:szCs w:val="28"/>
        </w:rPr>
        <w:t>:</w:t>
      </w:r>
      <w:r w:rsidR="00A10686">
        <w:rPr>
          <w:sz w:val="28"/>
          <w:szCs w:val="28"/>
        </w:rPr>
        <w:t xml:space="preserve"> Vishal Singh</w:t>
      </w:r>
    </w:p>
    <w:p w14:paraId="582D5529" w14:textId="7E779943" w:rsidR="00DB439F" w:rsidRPr="00043B72" w:rsidRDefault="00DB439F">
      <w:pPr>
        <w:rPr>
          <w:sz w:val="28"/>
          <w:szCs w:val="28"/>
        </w:rPr>
      </w:pPr>
      <w:r w:rsidRPr="00043B72">
        <w:rPr>
          <w:b/>
          <w:bCs/>
          <w:sz w:val="28"/>
          <w:szCs w:val="28"/>
        </w:rPr>
        <w:t>Student ID</w:t>
      </w:r>
      <w:r w:rsidRPr="00043B72">
        <w:rPr>
          <w:sz w:val="28"/>
          <w:szCs w:val="28"/>
        </w:rPr>
        <w:t>:</w:t>
      </w:r>
      <w:r w:rsidR="00D812B2">
        <w:rPr>
          <w:sz w:val="28"/>
          <w:szCs w:val="28"/>
        </w:rPr>
        <w:t xml:space="preserve"> 2543470</w:t>
      </w:r>
    </w:p>
    <w:p w14:paraId="0E881BC0" w14:textId="77777777" w:rsidR="005723F9" w:rsidRPr="00043B72" w:rsidRDefault="005723F9">
      <w:pPr>
        <w:rPr>
          <w:sz w:val="28"/>
          <w:szCs w:val="28"/>
        </w:rPr>
      </w:pPr>
    </w:p>
    <w:p w14:paraId="2DB6CFEA" w14:textId="223A0530" w:rsidR="00DB439F" w:rsidRPr="00043B72" w:rsidRDefault="00DB439F">
      <w:pPr>
        <w:rPr>
          <w:sz w:val="28"/>
          <w:szCs w:val="28"/>
        </w:rPr>
      </w:pPr>
      <w:r w:rsidRPr="00043B72">
        <w:rPr>
          <w:b/>
          <w:bCs/>
          <w:sz w:val="28"/>
          <w:szCs w:val="28"/>
        </w:rPr>
        <w:t>Word count</w:t>
      </w:r>
      <w:r w:rsidRPr="00043B72">
        <w:rPr>
          <w:sz w:val="28"/>
          <w:szCs w:val="28"/>
        </w:rPr>
        <w:t>:</w:t>
      </w:r>
      <w:r w:rsidR="00A10686">
        <w:rPr>
          <w:sz w:val="28"/>
          <w:szCs w:val="28"/>
        </w:rPr>
        <w:t xml:space="preserve"> </w:t>
      </w:r>
      <w:r w:rsidR="00D51235">
        <w:rPr>
          <w:sz w:val="28"/>
          <w:szCs w:val="28"/>
        </w:rPr>
        <w:t>5000</w:t>
      </w:r>
    </w:p>
    <w:p w14:paraId="12DEB06D" w14:textId="3BF2A40C" w:rsidR="00DB439F" w:rsidRPr="00043B72" w:rsidRDefault="00DB439F">
      <w:pPr>
        <w:rPr>
          <w:sz w:val="28"/>
          <w:szCs w:val="28"/>
        </w:rPr>
      </w:pPr>
      <w:r w:rsidRPr="00043B72">
        <w:rPr>
          <w:b/>
          <w:bCs/>
          <w:sz w:val="28"/>
          <w:szCs w:val="28"/>
        </w:rPr>
        <w:t>Submission date</w:t>
      </w:r>
      <w:r w:rsidRPr="00043B72">
        <w:rPr>
          <w:sz w:val="28"/>
          <w:szCs w:val="28"/>
        </w:rPr>
        <w:t>:</w:t>
      </w:r>
      <w:r w:rsidR="00CE39C9">
        <w:rPr>
          <w:sz w:val="28"/>
          <w:szCs w:val="28"/>
        </w:rPr>
        <w:t xml:space="preserve"> </w:t>
      </w:r>
      <w:r w:rsidR="00D51235">
        <w:rPr>
          <w:sz w:val="28"/>
          <w:szCs w:val="28"/>
        </w:rPr>
        <w:t>1</w:t>
      </w:r>
      <w:r w:rsidR="00B8287A">
        <w:rPr>
          <w:sz w:val="28"/>
          <w:szCs w:val="28"/>
        </w:rPr>
        <w:t>3</w:t>
      </w:r>
      <w:r w:rsidR="00D51235">
        <w:rPr>
          <w:sz w:val="28"/>
          <w:szCs w:val="28"/>
        </w:rPr>
        <w:t xml:space="preserve"> August </w:t>
      </w:r>
      <w:r w:rsidR="00CE39C9">
        <w:rPr>
          <w:sz w:val="28"/>
          <w:szCs w:val="28"/>
        </w:rPr>
        <w:t>2026</w:t>
      </w:r>
    </w:p>
    <w:p w14:paraId="42EA5275" w14:textId="5695C10B" w:rsidR="00740C4A" w:rsidRDefault="00740C4A" w:rsidP="006A3CEB">
      <w:pPr>
        <w:pStyle w:val="Heading1"/>
      </w:pPr>
      <w:r>
        <w:lastRenderedPageBreak/>
        <w:t xml:space="preserve">AI use </w:t>
      </w:r>
      <w:r w:rsidR="005723F9">
        <w:t>acknowledg</w:t>
      </w:r>
      <w:r w:rsidR="00F17846">
        <w:t>ement</w:t>
      </w:r>
    </w:p>
    <w:p w14:paraId="557AFC49" w14:textId="5C1A2E72" w:rsidR="00F17846" w:rsidRPr="00D354B2" w:rsidRDefault="00D354B2" w:rsidP="00F17846">
      <w:pPr>
        <w:rPr>
          <w:b/>
          <w:bCs/>
          <w:u w:val="single"/>
        </w:rPr>
      </w:pPr>
      <w:r>
        <w:rPr>
          <w:b/>
          <w:bCs/>
          <w:u w:val="single"/>
        </w:rPr>
        <w:t xml:space="preserve">Note: </w:t>
      </w:r>
      <w:r w:rsidRPr="00D354B2">
        <w:rPr>
          <w:b/>
          <w:bCs/>
          <w:u w:val="single"/>
        </w:rPr>
        <w:t>O</w:t>
      </w:r>
      <w:r w:rsidR="00AC58C4" w:rsidRPr="00D354B2">
        <w:rPr>
          <w:b/>
          <w:bCs/>
          <w:u w:val="single"/>
        </w:rPr>
        <w:t xml:space="preserve">ne acknowledgement is needed for each </w:t>
      </w:r>
      <w:r w:rsidR="0018285E">
        <w:rPr>
          <w:b/>
          <w:bCs/>
          <w:u w:val="single"/>
        </w:rPr>
        <w:t xml:space="preserve">used </w:t>
      </w:r>
      <w:r w:rsidR="00AC58C4" w:rsidRPr="00D354B2">
        <w:rPr>
          <w:b/>
          <w:bCs/>
          <w:u w:val="single"/>
        </w:rPr>
        <w:t>AI tool.</w:t>
      </w:r>
    </w:p>
    <w:p w14:paraId="165DCAA4" w14:textId="77777777" w:rsidR="00D354B2" w:rsidRDefault="00D354B2" w:rsidP="00AC58C4"/>
    <w:p w14:paraId="4AF21429" w14:textId="12081DE7" w:rsidR="00AC58C4" w:rsidRPr="00AC58C4" w:rsidRDefault="00AC58C4" w:rsidP="00AC58C4">
      <w:r w:rsidRPr="00AC58C4">
        <w:t>I acknowledge the use of [</w:t>
      </w:r>
      <w:r w:rsidR="00773FC3">
        <w:t xml:space="preserve">ChatGPT </w:t>
      </w:r>
      <w:r w:rsidRPr="00AC58C4">
        <w:t>Tool] [(</w:t>
      </w:r>
      <w:r w:rsidR="00773FC3">
        <w:t>http</w:t>
      </w:r>
      <w:r w:rsidR="00704AA3">
        <w:t>:</w:t>
      </w:r>
      <w:r w:rsidR="00773FC3">
        <w:t>//</w:t>
      </w:r>
      <w:r w:rsidR="00B57131">
        <w:t>www.c</w:t>
      </w:r>
      <w:r w:rsidR="00773FC3">
        <w:t>hatgpt.com</w:t>
      </w:r>
      <w:r w:rsidR="00C400AE">
        <w:t>/</w:t>
      </w:r>
      <w:r w:rsidRPr="00AC58C4">
        <w:t>)] on</w:t>
      </w:r>
      <w:r w:rsidR="001C310E">
        <w:t xml:space="preserve"> </w:t>
      </w:r>
      <w:r w:rsidR="00B8287A">
        <w:t>10</w:t>
      </w:r>
      <w:r w:rsidR="001C310E">
        <w:t xml:space="preserve"> Aug 2026</w:t>
      </w:r>
      <w:r w:rsidRPr="00AC58C4">
        <w:t xml:space="preserve"> </w:t>
      </w:r>
      <w:r w:rsidR="00BD2BEF">
        <w:t xml:space="preserve">as a </w:t>
      </w:r>
      <w:r w:rsidR="000F0D5A">
        <w:t xml:space="preserve">supporting research and verification tool during the </w:t>
      </w:r>
      <w:r w:rsidR="00703213">
        <w:t>preparation</w:t>
      </w:r>
      <w:r w:rsidR="000F0D5A">
        <w:t xml:space="preserve"> </w:t>
      </w:r>
      <w:r w:rsidR="00582644">
        <w:t>of this report</w:t>
      </w:r>
      <w:r w:rsidRPr="00AC58C4">
        <w:t>. I used the prompt(s):</w:t>
      </w:r>
    </w:p>
    <w:p w14:paraId="2D09DA5E" w14:textId="5DC74CCC" w:rsidR="00AC58C4" w:rsidRDefault="009B37C4" w:rsidP="001C310E">
      <w:pPr>
        <w:pStyle w:val="ListParagraph"/>
        <w:numPr>
          <w:ilvl w:val="0"/>
          <w:numId w:val="7"/>
        </w:numPr>
      </w:pPr>
      <w:r>
        <w:t xml:space="preserve">Extract and organise relevant financial </w:t>
      </w:r>
      <w:r w:rsidR="00DE4007">
        <w:t xml:space="preserve">data from Marriott International </w:t>
      </w:r>
      <w:r w:rsidR="000F3BC7">
        <w:t xml:space="preserve">annual reports </w:t>
      </w:r>
      <w:r w:rsidR="004C1A0A">
        <w:t>for analysis.</w:t>
      </w:r>
    </w:p>
    <w:p w14:paraId="3D3A0DEF" w14:textId="46B38258" w:rsidR="001C310E" w:rsidRDefault="009C2F08" w:rsidP="001C310E">
      <w:pPr>
        <w:pStyle w:val="ListParagraph"/>
        <w:numPr>
          <w:ilvl w:val="0"/>
          <w:numId w:val="7"/>
        </w:numPr>
      </w:pPr>
      <w:r>
        <w:t xml:space="preserve">Check the calculations </w:t>
      </w:r>
      <w:r w:rsidR="00D8355A">
        <w:t xml:space="preserve">and interpretation </w:t>
      </w:r>
      <w:r w:rsidR="0061083F">
        <w:t xml:space="preserve">of the financial and </w:t>
      </w:r>
      <w:r w:rsidR="009C4636">
        <w:t xml:space="preserve">investment appraisal </w:t>
      </w:r>
      <w:r w:rsidR="00371D08">
        <w:t>results.</w:t>
      </w:r>
    </w:p>
    <w:p w14:paraId="5B0FD4C8" w14:textId="29399F39" w:rsidR="00371D08" w:rsidRPr="00AC58C4" w:rsidRDefault="00453A70" w:rsidP="001C310E">
      <w:pPr>
        <w:pStyle w:val="ListParagraph"/>
        <w:numPr>
          <w:ilvl w:val="0"/>
          <w:numId w:val="7"/>
        </w:numPr>
      </w:pPr>
      <w:r>
        <w:t xml:space="preserve">Create a graph </w:t>
      </w:r>
      <w:r w:rsidR="00592034">
        <w:t xml:space="preserve">based on the financial data </w:t>
      </w:r>
      <w:r w:rsidR="00685C5B">
        <w:t>provided.</w:t>
      </w:r>
    </w:p>
    <w:p w14:paraId="6AB55DCE" w14:textId="6E0B0E94" w:rsidR="00F17846" w:rsidRDefault="00AC58C4" w:rsidP="00AC58C4">
      <w:r w:rsidRPr="00AC58C4">
        <w:t>I confirm that I have not presented any AI generated text as my own work. I confirm I have copies of my drafts, notes, and other resources I used before, and after the use of AI tools which I may be asked to provide in evidence.</w:t>
      </w:r>
    </w:p>
    <w:p w14:paraId="5385E954" w14:textId="77777777" w:rsidR="00AC58C4" w:rsidRPr="00F17846" w:rsidRDefault="00AC58C4" w:rsidP="00AC58C4"/>
    <w:p w14:paraId="058B0B77" w14:textId="77777777" w:rsidR="005723F9" w:rsidRPr="005723F9" w:rsidRDefault="005723F9" w:rsidP="005723F9"/>
    <w:p w14:paraId="7D492EAD" w14:textId="19699FCF" w:rsidR="00C42FEF" w:rsidRDefault="00C42FEF" w:rsidP="008D3C7B">
      <w:pPr>
        <w:rPr>
          <w:b/>
          <w:bCs/>
          <w:color w:val="EE0000"/>
        </w:rPr>
      </w:pPr>
    </w:p>
    <w:p w14:paraId="62D971D2" w14:textId="77777777" w:rsidR="00F03B5F" w:rsidRDefault="00F03B5F" w:rsidP="008D3C7B">
      <w:pPr>
        <w:rPr>
          <w:b/>
          <w:bCs/>
          <w:color w:val="EE0000"/>
        </w:rPr>
      </w:pPr>
    </w:p>
    <w:p w14:paraId="02E5C202" w14:textId="77777777" w:rsidR="00F03B5F" w:rsidRDefault="00F03B5F" w:rsidP="008D3C7B">
      <w:pPr>
        <w:rPr>
          <w:b/>
          <w:bCs/>
          <w:color w:val="EE0000"/>
        </w:rPr>
      </w:pPr>
    </w:p>
    <w:p w14:paraId="021F268D" w14:textId="77777777" w:rsidR="00F03B5F" w:rsidRDefault="00F03B5F" w:rsidP="008D3C7B">
      <w:pPr>
        <w:rPr>
          <w:b/>
          <w:bCs/>
          <w:color w:val="EE0000"/>
        </w:rPr>
      </w:pPr>
    </w:p>
    <w:p w14:paraId="7F02237C" w14:textId="77777777" w:rsidR="00F03B5F" w:rsidRDefault="00F03B5F" w:rsidP="008D3C7B">
      <w:pPr>
        <w:rPr>
          <w:b/>
          <w:bCs/>
          <w:color w:val="EE0000"/>
        </w:rPr>
      </w:pPr>
    </w:p>
    <w:p w14:paraId="0CADEAAC" w14:textId="77777777" w:rsidR="00F03B5F" w:rsidRDefault="00F03B5F" w:rsidP="008D3C7B">
      <w:pPr>
        <w:rPr>
          <w:b/>
          <w:bCs/>
          <w:color w:val="EE0000"/>
        </w:rPr>
      </w:pPr>
    </w:p>
    <w:p w14:paraId="1F7BB204" w14:textId="77777777" w:rsidR="00F03B5F" w:rsidRDefault="00F03B5F" w:rsidP="008D3C7B">
      <w:pPr>
        <w:rPr>
          <w:b/>
          <w:bCs/>
          <w:color w:val="EE0000"/>
        </w:rPr>
      </w:pPr>
    </w:p>
    <w:p w14:paraId="40D2FA43" w14:textId="77777777" w:rsidR="00F03B5F" w:rsidRDefault="00F03B5F" w:rsidP="008D3C7B">
      <w:pPr>
        <w:rPr>
          <w:b/>
          <w:bCs/>
          <w:color w:val="EE0000"/>
        </w:rPr>
      </w:pPr>
    </w:p>
    <w:p w14:paraId="0701AE0D" w14:textId="77777777" w:rsidR="00F03B5F" w:rsidRDefault="00F03B5F" w:rsidP="008D3C7B">
      <w:pPr>
        <w:rPr>
          <w:b/>
          <w:bCs/>
          <w:color w:val="EE0000"/>
        </w:rPr>
      </w:pPr>
    </w:p>
    <w:p w14:paraId="7A9CEEDF" w14:textId="77777777" w:rsidR="00F03B5F" w:rsidRDefault="00F03B5F" w:rsidP="008D3C7B">
      <w:pPr>
        <w:rPr>
          <w:b/>
          <w:bCs/>
          <w:color w:val="EE0000"/>
        </w:rPr>
      </w:pPr>
    </w:p>
    <w:p w14:paraId="73C59853" w14:textId="77777777" w:rsidR="00F03B5F" w:rsidRPr="005D4001" w:rsidRDefault="00F03B5F" w:rsidP="00F03B5F">
      <w:pPr>
        <w:pStyle w:val="Heading1"/>
      </w:pPr>
      <w:r w:rsidRPr="005D4001">
        <w:lastRenderedPageBreak/>
        <w:t>Table of Contents</w:t>
      </w:r>
      <w:r>
        <w:t>…….</w:t>
      </w:r>
    </w:p>
    <w:p w14:paraId="7E71A428" w14:textId="77777777" w:rsidR="00F03B5F" w:rsidRDefault="00F03B5F" w:rsidP="00F03B5F">
      <w:pPr>
        <w:pStyle w:val="Heading2"/>
        <w:rPr>
          <w:b/>
          <w:bCs/>
        </w:rPr>
      </w:pPr>
    </w:p>
    <w:p w14:paraId="68B3840C" w14:textId="77777777" w:rsidR="00F03B5F" w:rsidRDefault="00F03B5F" w:rsidP="00F03B5F">
      <w:pPr>
        <w:pStyle w:val="Heading2"/>
        <w:rPr>
          <w:b/>
          <w:bCs/>
        </w:rPr>
      </w:pPr>
      <w:r w:rsidRPr="005D4001">
        <w:rPr>
          <w:b/>
          <w:bCs/>
        </w:rPr>
        <w:t xml:space="preserve">1. Introduction </w:t>
      </w:r>
    </w:p>
    <w:p w14:paraId="49DDA164" w14:textId="77777777" w:rsidR="00F03B5F" w:rsidRPr="005D4001" w:rsidRDefault="00F03B5F" w:rsidP="00F03B5F">
      <w:pPr>
        <w:pStyle w:val="Heading2"/>
        <w:rPr>
          <w:b/>
          <w:bCs/>
        </w:rPr>
      </w:pPr>
      <w:r w:rsidRPr="005D4001">
        <w:rPr>
          <w:b/>
          <w:bCs/>
        </w:rPr>
        <w:t xml:space="preserve">2. Financial Statement Analysis </w:t>
      </w:r>
    </w:p>
    <w:p w14:paraId="56855BC8" w14:textId="77777777" w:rsidR="00F03B5F" w:rsidRPr="005D4001" w:rsidRDefault="00F03B5F" w:rsidP="00F03B5F">
      <w:pPr>
        <w:pStyle w:val="Heading2"/>
        <w:rPr>
          <w:b/>
          <w:bCs/>
        </w:rPr>
      </w:pPr>
      <w:r w:rsidRPr="005D4001">
        <w:rPr>
          <w:b/>
          <w:bCs/>
        </w:rPr>
        <w:t xml:space="preserve">     2.1 Five-Year Financial Statement Analysis (2021–2025) </w:t>
      </w:r>
    </w:p>
    <w:p w14:paraId="551EFB6B" w14:textId="77777777" w:rsidR="00F03B5F" w:rsidRPr="005D4001" w:rsidRDefault="00F03B5F" w:rsidP="00F03B5F">
      <w:pPr>
        <w:pStyle w:val="Heading2"/>
        <w:rPr>
          <w:b/>
          <w:bCs/>
        </w:rPr>
      </w:pPr>
      <w:r w:rsidRPr="005D4001">
        <w:rPr>
          <w:b/>
          <w:bCs/>
        </w:rPr>
        <w:t xml:space="preserve">     2.2 Comprehensive Ratio Analysis </w:t>
      </w:r>
    </w:p>
    <w:p w14:paraId="20A02A10" w14:textId="77777777" w:rsidR="00F03B5F" w:rsidRPr="005D4001" w:rsidRDefault="00F03B5F" w:rsidP="00F03B5F">
      <w:pPr>
        <w:pStyle w:val="Heading2"/>
        <w:rPr>
          <w:b/>
          <w:bCs/>
        </w:rPr>
      </w:pPr>
      <w:r w:rsidRPr="005D4001">
        <w:rPr>
          <w:b/>
          <w:bCs/>
        </w:rPr>
        <w:t xml:space="preserve">     2.3 Trends, Strengths and Potential Threats </w:t>
      </w:r>
    </w:p>
    <w:p w14:paraId="3B7A7AC2" w14:textId="77777777" w:rsidR="00F03B5F" w:rsidRDefault="00F03B5F" w:rsidP="00F03B5F">
      <w:pPr>
        <w:pStyle w:val="Heading2"/>
        <w:rPr>
          <w:b/>
          <w:bCs/>
        </w:rPr>
      </w:pPr>
      <w:r w:rsidRPr="005D4001">
        <w:rPr>
          <w:b/>
          <w:bCs/>
        </w:rPr>
        <w:t xml:space="preserve">     2.4 Liquidity Ratio Comparison with Industry Benchmarks </w:t>
      </w:r>
    </w:p>
    <w:p w14:paraId="64C4413C" w14:textId="77777777" w:rsidR="00F03B5F" w:rsidRPr="005D4001" w:rsidRDefault="00F03B5F" w:rsidP="00F03B5F">
      <w:pPr>
        <w:pStyle w:val="Heading2"/>
        <w:rPr>
          <w:b/>
          <w:bCs/>
        </w:rPr>
      </w:pPr>
      <w:r w:rsidRPr="005D4001">
        <w:rPr>
          <w:b/>
          <w:bCs/>
        </w:rPr>
        <w:t xml:space="preserve">3. Working Capital Management Analysis </w:t>
      </w:r>
    </w:p>
    <w:p w14:paraId="5807960E" w14:textId="77777777" w:rsidR="00F03B5F" w:rsidRPr="005D4001" w:rsidRDefault="00F03B5F" w:rsidP="00F03B5F">
      <w:pPr>
        <w:pStyle w:val="Heading2"/>
        <w:rPr>
          <w:b/>
          <w:bCs/>
        </w:rPr>
      </w:pPr>
      <w:r w:rsidRPr="005D4001">
        <w:rPr>
          <w:b/>
          <w:bCs/>
        </w:rPr>
        <w:t xml:space="preserve">     3.1 Assessment of the Cash Operating Cycle </w:t>
      </w:r>
    </w:p>
    <w:p w14:paraId="36146935" w14:textId="77777777" w:rsidR="00F03B5F" w:rsidRPr="005D4001" w:rsidRDefault="00F03B5F" w:rsidP="00F03B5F">
      <w:pPr>
        <w:pStyle w:val="Heading2"/>
        <w:rPr>
          <w:b/>
          <w:bCs/>
        </w:rPr>
      </w:pPr>
      <w:r w:rsidRPr="005D4001">
        <w:rPr>
          <w:b/>
          <w:bCs/>
        </w:rPr>
        <w:t xml:space="preserve">     3.2 Strategies to Improve Liquidity Through Working Capital Reforms </w:t>
      </w:r>
    </w:p>
    <w:p w14:paraId="4814F317" w14:textId="77777777" w:rsidR="00F03B5F" w:rsidRPr="005D4001" w:rsidRDefault="00F03B5F" w:rsidP="00F03B5F">
      <w:pPr>
        <w:pStyle w:val="Heading2"/>
        <w:rPr>
          <w:b/>
          <w:bCs/>
        </w:rPr>
      </w:pPr>
      <w:r w:rsidRPr="005D4001">
        <w:rPr>
          <w:b/>
          <w:bCs/>
        </w:rPr>
        <w:t xml:space="preserve"> </w:t>
      </w:r>
      <w:r>
        <w:rPr>
          <w:b/>
          <w:bCs/>
        </w:rPr>
        <w:t xml:space="preserve">     </w:t>
      </w:r>
      <w:r w:rsidRPr="005D4001">
        <w:rPr>
          <w:b/>
          <w:bCs/>
        </w:rPr>
        <w:t xml:space="preserve"> 3.3 Comparison of Short-Term and Long-Term Financing Options </w:t>
      </w:r>
    </w:p>
    <w:p w14:paraId="66BE9537" w14:textId="77777777" w:rsidR="00F03B5F" w:rsidRPr="005D4001" w:rsidRDefault="00F03B5F" w:rsidP="00F03B5F">
      <w:pPr>
        <w:pStyle w:val="Heading2"/>
        <w:rPr>
          <w:b/>
          <w:bCs/>
        </w:rPr>
      </w:pPr>
      <w:r w:rsidRPr="005D4001">
        <w:rPr>
          <w:b/>
          <w:bCs/>
        </w:rPr>
        <w:t xml:space="preserve">4. Strategic Financial Restructuring Plan </w:t>
      </w:r>
    </w:p>
    <w:p w14:paraId="386F5358" w14:textId="77777777" w:rsidR="00F03B5F" w:rsidRPr="005D4001" w:rsidRDefault="00F03B5F" w:rsidP="00F03B5F">
      <w:pPr>
        <w:pStyle w:val="Heading2"/>
        <w:rPr>
          <w:b/>
          <w:bCs/>
        </w:rPr>
      </w:pPr>
      <w:r w:rsidRPr="005D4001">
        <w:rPr>
          <w:b/>
          <w:bCs/>
        </w:rPr>
        <w:t xml:space="preserve">     4.1 Recommended Financial Restructuring Options </w:t>
      </w:r>
    </w:p>
    <w:p w14:paraId="21DD342F" w14:textId="77777777" w:rsidR="00F03B5F" w:rsidRPr="005D4001" w:rsidRDefault="00F03B5F" w:rsidP="00F03B5F">
      <w:pPr>
        <w:pStyle w:val="Heading2"/>
        <w:rPr>
          <w:b/>
          <w:bCs/>
        </w:rPr>
      </w:pPr>
      <w:r w:rsidRPr="005D4001">
        <w:rPr>
          <w:b/>
          <w:bCs/>
        </w:rPr>
        <w:t xml:space="preserve">     4.2 Impact on Shareholder Value, Debt Structure and Operational Flexibility </w:t>
      </w:r>
    </w:p>
    <w:p w14:paraId="1E8E32AA" w14:textId="77777777" w:rsidR="003F77F7" w:rsidRDefault="00F03B5F" w:rsidP="00262220">
      <w:pPr>
        <w:pStyle w:val="Heading2"/>
        <w:numPr>
          <w:ilvl w:val="1"/>
          <w:numId w:val="11"/>
        </w:numPr>
        <w:rPr>
          <w:b/>
          <w:bCs/>
        </w:rPr>
      </w:pPr>
      <w:r w:rsidRPr="005D4001">
        <w:rPr>
          <w:b/>
          <w:bCs/>
        </w:rPr>
        <w:t>International and Ethical Considerations (Taxation, Currency Risk, Inflation, CSR and ESG)</w:t>
      </w:r>
    </w:p>
    <w:p w14:paraId="0B5B42CA" w14:textId="12093D3A" w:rsidR="00BB589F" w:rsidRDefault="00BB589F" w:rsidP="00BB589F">
      <w:pPr>
        <w:pStyle w:val="Heading2"/>
        <w:rPr>
          <w:b/>
          <w:bCs/>
        </w:rPr>
      </w:pPr>
      <w:r w:rsidRPr="00B94C92">
        <w:rPr>
          <w:b/>
          <w:bCs/>
        </w:rPr>
        <w:t>5.</w:t>
      </w:r>
      <w:r>
        <w:rPr>
          <w:b/>
          <w:bCs/>
        </w:rPr>
        <w:t xml:space="preserve">  Investment Appraisal and Capital Budgeting</w:t>
      </w:r>
    </w:p>
    <w:p w14:paraId="1896E21A" w14:textId="74E60C90" w:rsidR="00F701D1" w:rsidRDefault="00B94C92" w:rsidP="00B94C92">
      <w:pPr>
        <w:pStyle w:val="Heading2"/>
        <w:rPr>
          <w:b/>
          <w:bCs/>
        </w:rPr>
      </w:pPr>
      <w:r>
        <w:t xml:space="preserve">       </w:t>
      </w:r>
      <w:r>
        <w:rPr>
          <w:b/>
          <w:bCs/>
        </w:rPr>
        <w:t xml:space="preserve">5.1 </w:t>
      </w:r>
      <w:r w:rsidR="00B11CCC">
        <w:rPr>
          <w:b/>
          <w:bCs/>
        </w:rPr>
        <w:t>Introduction to Investment Appraisal</w:t>
      </w:r>
    </w:p>
    <w:p w14:paraId="2592A01C" w14:textId="2444825F" w:rsidR="006F4AD4" w:rsidRPr="00E506AC" w:rsidRDefault="006F4AD4" w:rsidP="006F4AD4">
      <w:pPr>
        <w:pStyle w:val="Heading2"/>
        <w:rPr>
          <w:b/>
          <w:bCs/>
        </w:rPr>
      </w:pPr>
      <w:r w:rsidRPr="00E506AC">
        <w:rPr>
          <w:b/>
          <w:bCs/>
        </w:rPr>
        <w:t xml:space="preserve">       </w:t>
      </w:r>
      <w:r w:rsidR="00B50F68" w:rsidRPr="00E506AC">
        <w:rPr>
          <w:b/>
          <w:bCs/>
        </w:rPr>
        <w:t>5.2 Investment Project Cash Flows and Assumptions</w:t>
      </w:r>
    </w:p>
    <w:p w14:paraId="5F506F7D" w14:textId="11755FE5" w:rsidR="00BB443B" w:rsidRPr="00E506AC" w:rsidRDefault="00BB443B" w:rsidP="00BB443B">
      <w:pPr>
        <w:pStyle w:val="Heading2"/>
        <w:rPr>
          <w:b/>
          <w:bCs/>
        </w:rPr>
      </w:pPr>
      <w:r w:rsidRPr="00E506AC">
        <w:rPr>
          <w:b/>
          <w:bCs/>
        </w:rPr>
        <w:t xml:space="preserve">       5.3 Payback period analysis</w:t>
      </w:r>
      <w:r w:rsidR="00384886" w:rsidRPr="00E506AC">
        <w:rPr>
          <w:b/>
          <w:bCs/>
        </w:rPr>
        <w:t xml:space="preserve"> </w:t>
      </w:r>
    </w:p>
    <w:p w14:paraId="3522E584" w14:textId="27DB84DA" w:rsidR="00384886" w:rsidRPr="00E506AC" w:rsidRDefault="00384886" w:rsidP="00384886">
      <w:pPr>
        <w:pStyle w:val="Heading2"/>
        <w:rPr>
          <w:b/>
          <w:bCs/>
        </w:rPr>
      </w:pPr>
      <w:r>
        <w:lastRenderedPageBreak/>
        <w:t xml:space="preserve">         </w:t>
      </w:r>
      <w:r w:rsidRPr="00E506AC">
        <w:rPr>
          <w:b/>
          <w:bCs/>
        </w:rPr>
        <w:t xml:space="preserve">5.4 Accounting rate </w:t>
      </w:r>
      <w:r w:rsidR="008B7337" w:rsidRPr="00E506AC">
        <w:rPr>
          <w:b/>
          <w:bCs/>
        </w:rPr>
        <w:t xml:space="preserve">of return analysis </w:t>
      </w:r>
    </w:p>
    <w:p w14:paraId="0F8C74D7" w14:textId="1D50C569" w:rsidR="008B7337" w:rsidRPr="00E506AC" w:rsidRDefault="008B7337" w:rsidP="008B7337">
      <w:pPr>
        <w:pStyle w:val="Heading2"/>
        <w:rPr>
          <w:b/>
          <w:bCs/>
        </w:rPr>
      </w:pPr>
      <w:r w:rsidRPr="00E506AC">
        <w:rPr>
          <w:b/>
          <w:bCs/>
        </w:rPr>
        <w:t xml:space="preserve">         5.5</w:t>
      </w:r>
      <w:r w:rsidR="00F679BA" w:rsidRPr="00E506AC">
        <w:rPr>
          <w:b/>
          <w:bCs/>
        </w:rPr>
        <w:t xml:space="preserve"> Net Present Value Analysis</w:t>
      </w:r>
    </w:p>
    <w:p w14:paraId="10C5F4CB" w14:textId="7D1A7804" w:rsidR="00F2520B" w:rsidRPr="00E506AC" w:rsidRDefault="00F2520B" w:rsidP="00F2520B">
      <w:pPr>
        <w:pStyle w:val="Heading2"/>
        <w:rPr>
          <w:b/>
          <w:bCs/>
        </w:rPr>
      </w:pPr>
      <w:r w:rsidRPr="00E506AC">
        <w:rPr>
          <w:b/>
          <w:bCs/>
        </w:rPr>
        <w:t xml:space="preserve">         5.6 </w:t>
      </w:r>
      <w:r w:rsidR="00FA7D89" w:rsidRPr="00E506AC">
        <w:rPr>
          <w:b/>
          <w:bCs/>
        </w:rPr>
        <w:t xml:space="preserve">Profitability Index </w:t>
      </w:r>
      <w:r w:rsidR="000D0CE2" w:rsidRPr="00E506AC">
        <w:rPr>
          <w:b/>
          <w:bCs/>
        </w:rPr>
        <w:t>Analysis</w:t>
      </w:r>
    </w:p>
    <w:p w14:paraId="4230D284" w14:textId="1312CFCF" w:rsidR="00FA7D89" w:rsidRPr="00E506AC" w:rsidRDefault="00FA7D89" w:rsidP="00FA7D89">
      <w:pPr>
        <w:pStyle w:val="Heading2"/>
        <w:rPr>
          <w:b/>
          <w:bCs/>
        </w:rPr>
      </w:pPr>
      <w:r w:rsidRPr="00E506AC">
        <w:rPr>
          <w:b/>
          <w:bCs/>
        </w:rPr>
        <w:t xml:space="preserve">         </w:t>
      </w:r>
      <w:r w:rsidR="000D0CE2" w:rsidRPr="00E506AC">
        <w:rPr>
          <w:b/>
          <w:bCs/>
        </w:rPr>
        <w:t xml:space="preserve">5.7 Internal Rate </w:t>
      </w:r>
      <w:r w:rsidR="00D438D8" w:rsidRPr="00E506AC">
        <w:rPr>
          <w:b/>
          <w:bCs/>
        </w:rPr>
        <w:t>of Return Analysis</w:t>
      </w:r>
    </w:p>
    <w:p w14:paraId="4814F94F" w14:textId="78204D12" w:rsidR="00D438D8" w:rsidRPr="00E506AC" w:rsidRDefault="00D438D8" w:rsidP="00D438D8">
      <w:pPr>
        <w:pStyle w:val="Heading2"/>
        <w:rPr>
          <w:b/>
          <w:bCs/>
        </w:rPr>
      </w:pPr>
      <w:r w:rsidRPr="00E506AC">
        <w:rPr>
          <w:b/>
          <w:bCs/>
        </w:rPr>
        <w:t xml:space="preserve">         5.8 </w:t>
      </w:r>
      <w:r w:rsidR="0027417B" w:rsidRPr="00E506AC">
        <w:rPr>
          <w:b/>
          <w:bCs/>
        </w:rPr>
        <w:t>Comparative Evaluation of Projects A, B and C.</w:t>
      </w:r>
    </w:p>
    <w:p w14:paraId="273B5CCE" w14:textId="6B46DF7E" w:rsidR="00262220" w:rsidRPr="00B42293" w:rsidRDefault="002B714F" w:rsidP="002B714F">
      <w:pPr>
        <w:pStyle w:val="Heading2"/>
        <w:rPr>
          <w:b/>
          <w:bCs/>
        </w:rPr>
      </w:pPr>
      <w:r w:rsidRPr="00B42293">
        <w:rPr>
          <w:b/>
          <w:bCs/>
        </w:rPr>
        <w:t xml:space="preserve">6. </w:t>
      </w:r>
      <w:r w:rsidR="00F03B5F" w:rsidRPr="00B42293">
        <w:rPr>
          <w:b/>
          <w:bCs/>
        </w:rPr>
        <w:t xml:space="preserve"> </w:t>
      </w:r>
      <w:r w:rsidR="00177841" w:rsidRPr="00B42293">
        <w:rPr>
          <w:b/>
          <w:bCs/>
        </w:rPr>
        <w:t>Critical Reflection on AI Usage</w:t>
      </w:r>
    </w:p>
    <w:p w14:paraId="1E138C67" w14:textId="19C10851" w:rsidR="00177841" w:rsidRPr="00B42293" w:rsidRDefault="00177841" w:rsidP="00177841">
      <w:pPr>
        <w:pStyle w:val="Heading2"/>
        <w:rPr>
          <w:b/>
          <w:bCs/>
        </w:rPr>
      </w:pPr>
      <w:r w:rsidRPr="00B42293">
        <w:rPr>
          <w:b/>
          <w:bCs/>
        </w:rPr>
        <w:t xml:space="preserve">          6</w:t>
      </w:r>
      <w:r w:rsidR="00D059FF" w:rsidRPr="00B42293">
        <w:rPr>
          <w:b/>
          <w:bCs/>
        </w:rPr>
        <w:t xml:space="preserve">.1 </w:t>
      </w:r>
      <w:r w:rsidR="003258E2" w:rsidRPr="00B42293">
        <w:rPr>
          <w:b/>
          <w:bCs/>
        </w:rPr>
        <w:t xml:space="preserve">AI Tools </w:t>
      </w:r>
      <w:r w:rsidR="000B5256" w:rsidRPr="00B42293">
        <w:rPr>
          <w:b/>
          <w:bCs/>
        </w:rPr>
        <w:t>Used and Their Purpose</w:t>
      </w:r>
    </w:p>
    <w:p w14:paraId="5A9525DE" w14:textId="2F47C5B2" w:rsidR="000B5256" w:rsidRPr="00B42293" w:rsidRDefault="000B5256" w:rsidP="000B5256">
      <w:pPr>
        <w:pStyle w:val="Heading2"/>
        <w:rPr>
          <w:b/>
          <w:bCs/>
        </w:rPr>
      </w:pPr>
      <w:r w:rsidRPr="00B42293">
        <w:rPr>
          <w:b/>
          <w:bCs/>
        </w:rPr>
        <w:t xml:space="preserve">          6.2 </w:t>
      </w:r>
      <w:r w:rsidR="005E6726" w:rsidRPr="00B42293">
        <w:rPr>
          <w:b/>
          <w:bCs/>
        </w:rPr>
        <w:t>Verification and Critical Evaluation of AI generated</w:t>
      </w:r>
      <w:r w:rsidR="004D5160" w:rsidRPr="00B42293">
        <w:rPr>
          <w:b/>
          <w:bCs/>
        </w:rPr>
        <w:t xml:space="preserve"> </w:t>
      </w:r>
      <w:r w:rsidR="00494135">
        <w:rPr>
          <w:b/>
          <w:bCs/>
        </w:rPr>
        <w:t xml:space="preserve">       </w:t>
      </w:r>
      <w:r w:rsidR="004D5160" w:rsidRPr="00B42293">
        <w:rPr>
          <w:b/>
          <w:bCs/>
        </w:rPr>
        <w:t>Outputs</w:t>
      </w:r>
      <w:r w:rsidR="00494135">
        <w:rPr>
          <w:b/>
          <w:bCs/>
        </w:rPr>
        <w:t>.</w:t>
      </w:r>
    </w:p>
    <w:p w14:paraId="6F9F5D5E" w14:textId="6F7814F4" w:rsidR="004D5160" w:rsidRPr="00B42293" w:rsidRDefault="004D5160" w:rsidP="004D5160">
      <w:pPr>
        <w:pStyle w:val="Heading2"/>
        <w:rPr>
          <w:b/>
          <w:bCs/>
        </w:rPr>
      </w:pPr>
      <w:r w:rsidRPr="00B42293">
        <w:rPr>
          <w:b/>
          <w:bCs/>
        </w:rPr>
        <w:t xml:space="preserve">          6.3 </w:t>
      </w:r>
      <w:r w:rsidR="008A6744" w:rsidRPr="00B42293">
        <w:rPr>
          <w:b/>
          <w:bCs/>
        </w:rPr>
        <w:t xml:space="preserve">Identification and Correction of AI Errors </w:t>
      </w:r>
      <w:r w:rsidR="00E3323B" w:rsidRPr="00B42293">
        <w:rPr>
          <w:b/>
          <w:bCs/>
        </w:rPr>
        <w:t>and Hallucinations</w:t>
      </w:r>
      <w:r w:rsidR="00494135">
        <w:rPr>
          <w:b/>
          <w:bCs/>
        </w:rPr>
        <w:t>.</w:t>
      </w:r>
    </w:p>
    <w:p w14:paraId="5F6B2154" w14:textId="03367EB4" w:rsidR="00E3323B" w:rsidRPr="00B42293" w:rsidRDefault="00E3323B" w:rsidP="00E3323B">
      <w:pPr>
        <w:pStyle w:val="Heading2"/>
        <w:rPr>
          <w:b/>
          <w:bCs/>
        </w:rPr>
      </w:pPr>
      <w:r w:rsidRPr="00B42293">
        <w:rPr>
          <w:b/>
          <w:bCs/>
        </w:rPr>
        <w:t xml:space="preserve">          6.4 </w:t>
      </w:r>
      <w:r w:rsidR="00C26235" w:rsidRPr="00B42293">
        <w:rPr>
          <w:b/>
          <w:bCs/>
        </w:rPr>
        <w:t xml:space="preserve">Distinction Between AI Contribution </w:t>
      </w:r>
      <w:r w:rsidR="00B42293" w:rsidRPr="00B42293">
        <w:rPr>
          <w:b/>
          <w:bCs/>
        </w:rPr>
        <w:t>and Original Analysis.</w:t>
      </w:r>
    </w:p>
    <w:p w14:paraId="115A4F7C" w14:textId="6B94482D" w:rsidR="00F03B5F" w:rsidRPr="005D4001" w:rsidRDefault="002B714F" w:rsidP="00F03B5F">
      <w:pPr>
        <w:pStyle w:val="Heading2"/>
        <w:rPr>
          <w:b/>
          <w:bCs/>
        </w:rPr>
      </w:pPr>
      <w:r>
        <w:rPr>
          <w:b/>
          <w:bCs/>
        </w:rPr>
        <w:t>7</w:t>
      </w:r>
      <w:r w:rsidR="00F03B5F" w:rsidRPr="005D4001">
        <w:rPr>
          <w:b/>
          <w:bCs/>
        </w:rPr>
        <w:t xml:space="preserve">. Conclusion </w:t>
      </w:r>
    </w:p>
    <w:p w14:paraId="50A800C4" w14:textId="066194A1" w:rsidR="00F03B5F" w:rsidRPr="005D4001" w:rsidRDefault="002B714F" w:rsidP="00F03B5F">
      <w:pPr>
        <w:pStyle w:val="Heading2"/>
        <w:rPr>
          <w:b/>
          <w:bCs/>
        </w:rPr>
      </w:pPr>
      <w:r>
        <w:rPr>
          <w:b/>
          <w:bCs/>
        </w:rPr>
        <w:t>8</w:t>
      </w:r>
      <w:r w:rsidR="00F03B5F" w:rsidRPr="005D4001">
        <w:rPr>
          <w:b/>
          <w:bCs/>
        </w:rPr>
        <w:t xml:space="preserve">. References </w:t>
      </w:r>
    </w:p>
    <w:p w14:paraId="58324C4C" w14:textId="6AA2AF6C" w:rsidR="00F03B5F" w:rsidRDefault="002B714F" w:rsidP="00F03B5F">
      <w:pPr>
        <w:pStyle w:val="Heading2"/>
        <w:rPr>
          <w:b/>
          <w:bCs/>
        </w:rPr>
      </w:pPr>
      <w:r>
        <w:rPr>
          <w:b/>
          <w:bCs/>
        </w:rPr>
        <w:t>9</w:t>
      </w:r>
      <w:r w:rsidR="00F03B5F" w:rsidRPr="005D4001">
        <w:rPr>
          <w:b/>
          <w:bCs/>
        </w:rPr>
        <w:t>. Appendices</w:t>
      </w:r>
    </w:p>
    <w:p w14:paraId="1E3EA01C" w14:textId="77777777" w:rsidR="007D2D76" w:rsidRDefault="007D2D76" w:rsidP="007D2D76"/>
    <w:p w14:paraId="5078219C" w14:textId="77777777" w:rsidR="007D2D76" w:rsidRDefault="007D2D76" w:rsidP="007D2D76"/>
    <w:p w14:paraId="5726DC28" w14:textId="77777777" w:rsidR="007D2D76" w:rsidRDefault="007D2D76" w:rsidP="007D2D76"/>
    <w:p w14:paraId="7EA7858B" w14:textId="77777777" w:rsidR="007D2D76" w:rsidRDefault="007D2D76" w:rsidP="007D2D76"/>
    <w:p w14:paraId="54602442" w14:textId="77777777" w:rsidR="007D2D76" w:rsidRDefault="007D2D76" w:rsidP="007D2D76"/>
    <w:p w14:paraId="69B80325" w14:textId="77777777" w:rsidR="007D2D76" w:rsidRDefault="007D2D76" w:rsidP="007D2D76"/>
    <w:p w14:paraId="492731C5" w14:textId="77777777" w:rsidR="007D2D76" w:rsidRDefault="007D2D76" w:rsidP="007D2D76"/>
    <w:p w14:paraId="320BDDC4" w14:textId="77777777" w:rsidR="007D2D76" w:rsidRDefault="007D2D76" w:rsidP="007D2D76"/>
    <w:p w14:paraId="2A1BE24C" w14:textId="77777777" w:rsidR="007D2D76" w:rsidRPr="007D2D76" w:rsidRDefault="007D2D76" w:rsidP="007D2D76"/>
    <w:p w14:paraId="1CA5EB6F" w14:textId="77777777" w:rsidR="00F03B5F" w:rsidRPr="005D4001" w:rsidRDefault="00F03B5F" w:rsidP="00F03B5F">
      <w:pPr>
        <w:pStyle w:val="Heading1"/>
        <w:rPr>
          <w:b/>
          <w:bCs/>
        </w:rPr>
      </w:pPr>
      <w:r w:rsidRPr="005D4001">
        <w:rPr>
          <w:b/>
          <w:bCs/>
        </w:rPr>
        <w:lastRenderedPageBreak/>
        <w:t>Introduction</w:t>
      </w:r>
    </w:p>
    <w:p w14:paraId="2445C36A" w14:textId="77777777" w:rsidR="00F03B5F" w:rsidRDefault="00F03B5F" w:rsidP="00F03B5F"/>
    <w:p w14:paraId="236674EE" w14:textId="77777777" w:rsidR="00F03B5F" w:rsidRDefault="00F03B5F" w:rsidP="00F03B5F">
      <w:r>
        <w:t xml:space="preserve">This report assesses the financial performance of Marriott International throughout the five-year period spanning 2021 to 2025, drawing on data from the company's annual reports and other reliable sources. By analysing key financial statements and metrics—specifically profitability, liquidity, efficiency, gearing, investment and cash flow—the study evaluates the company's overall financial health and operational success. Additionally, the report explores working capital management, financing alternatives and strategic restructuring, while </w:t>
      </w:r>
      <w:proofErr w:type="gramStart"/>
      <w:r>
        <w:t>taking into account</w:t>
      </w:r>
      <w:proofErr w:type="gramEnd"/>
      <w:r>
        <w:t xml:space="preserve"> global and ethical considerations such as taxation, currency volatility, inflation, and ESG commitments. Ultimately, the report offers practical recommendations aimed at improving Marriott's financial resilience, operational efficiency and long-term value for shareholders.</w:t>
      </w:r>
    </w:p>
    <w:p w14:paraId="2CA08383" w14:textId="77777777" w:rsidR="00F03B5F" w:rsidRPr="005D4001" w:rsidRDefault="00F03B5F" w:rsidP="00F03B5F"/>
    <w:p w14:paraId="24E20325" w14:textId="77777777" w:rsidR="00F03B5F" w:rsidRDefault="00F03B5F" w:rsidP="00F03B5F">
      <w:pPr>
        <w:pStyle w:val="Heading2"/>
        <w:rPr>
          <w:b/>
          <w:bCs/>
        </w:rPr>
      </w:pPr>
      <w:r w:rsidRPr="00A666C2">
        <w:rPr>
          <w:b/>
          <w:bCs/>
        </w:rPr>
        <w:t>Financial Health Check</w:t>
      </w:r>
    </w:p>
    <w:p w14:paraId="0D9F7205" w14:textId="4891A838" w:rsidR="00F03B5F" w:rsidRDefault="00F03B5F" w:rsidP="00F03B5F">
      <w:pPr>
        <w:pStyle w:val="ListParagraph"/>
        <w:numPr>
          <w:ilvl w:val="0"/>
          <w:numId w:val="3"/>
        </w:numPr>
      </w:pPr>
      <w:r>
        <w:t>Marriott International's financial performance from 2021 to 2025 highlights a robust recovery and steady growth in the wake of the COVID-19 pandemic. Over this five-year stretch, revenue climbed consistently, fuelled by rising hotel occupancy, higher room rates and a growing stream of management and franchise fees. By leaning into its asset-light business model Marriott was able to scale its global footprint without needing to commit massive amounts of capital to physical properties.</w:t>
      </w:r>
    </w:p>
    <w:p w14:paraId="38E5D98C" w14:textId="16EF4EE1" w:rsidR="00F03B5F" w:rsidRDefault="00F03B5F" w:rsidP="00F03B5F">
      <w:pPr>
        <w:pStyle w:val="ListParagraph"/>
      </w:pPr>
      <w:r>
        <w:t>Profitability saw a significant boost during this period as travel demand surged. While climbing operating costs and interest expenses created some headwinds in certain years Marriott managed to protect its profit margins through smart cost controls and improved operational efficiency.</w:t>
      </w:r>
    </w:p>
    <w:p w14:paraId="64D79E62" w14:textId="75B1BBBE" w:rsidR="00F03B5F" w:rsidRDefault="00F03B5F" w:rsidP="00F03B5F">
      <w:pPr>
        <w:pStyle w:val="ListParagraph"/>
      </w:pPr>
      <w:r>
        <w:t>Looking at the balance sheet, the company carries a relatively high level of long-term debt, largely stemming from financing activities and programs designed to return value to shareholders. Nevertheless, Marriott’s strong operating cash flows have allowed it to stay on top of its financial commitments, fund technological upgrades, develop its brands and continue its dividend payments and share buybacks. While current ratios appeared somewhat low, liquidity remained stable, which is more a reflection of Marriott's franchise-driven model than any actual financial instability.</w:t>
      </w:r>
    </w:p>
    <w:p w14:paraId="3EE3FD3A" w14:textId="77777777" w:rsidR="00F03B5F" w:rsidRDefault="00F03B5F" w:rsidP="00F03B5F">
      <w:pPr>
        <w:pStyle w:val="ListParagraph"/>
      </w:pPr>
      <w:r>
        <w:t>A deep dive into cash flow reveals consistently positive figures from core operations, proving the company’s ability to generate real cash. This healthy free cash flow provides a safety net that supports strategic investments and future expansion while keeping overall financial risk in check.</w:t>
      </w:r>
    </w:p>
    <w:p w14:paraId="4B767BED" w14:textId="77777777" w:rsidR="00F03B5F" w:rsidRDefault="00F03B5F" w:rsidP="00F03B5F">
      <w:r>
        <w:lastRenderedPageBreak/>
        <w:t>In summary, Marriott International maintained a very healthy financial standing throughout the 2021–2025 period. The combination of rising revenue, improving profits, and strong cash generation points to a resilient business. Even with high leverage and a volatile economic landscape, Marriott’s iconic global brands and asset-light approach leave the company well-positioned for long-term growth and continued value for its shareholders.</w:t>
      </w:r>
    </w:p>
    <w:p w14:paraId="1B7D157B" w14:textId="77777777" w:rsidR="00F03B5F" w:rsidRDefault="00F03B5F" w:rsidP="00F03B5F"/>
    <w:p w14:paraId="28ADD61E" w14:textId="77777777" w:rsidR="00F03B5F" w:rsidRDefault="00F03B5F" w:rsidP="00F03B5F">
      <w:r>
        <w:t xml:space="preserve">                                </w:t>
      </w:r>
      <w:r w:rsidRPr="00467C9D">
        <w:rPr>
          <w:noProof/>
        </w:rPr>
        <w:drawing>
          <wp:inline distT="0" distB="0" distL="0" distR="0" wp14:anchorId="257DD427" wp14:editId="674097F5">
            <wp:extent cx="3595527" cy="1470660"/>
            <wp:effectExtent l="0" t="0" r="5080" b="0"/>
            <wp:docPr id="984269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977450" name=""/>
                    <pic:cNvPicPr/>
                  </pic:nvPicPr>
                  <pic:blipFill>
                    <a:blip r:embed="rId10"/>
                    <a:stretch>
                      <a:fillRect/>
                    </a:stretch>
                  </pic:blipFill>
                  <pic:spPr>
                    <a:xfrm>
                      <a:off x="0" y="0"/>
                      <a:ext cx="3624739" cy="1482609"/>
                    </a:xfrm>
                    <a:prstGeom prst="rect">
                      <a:avLst/>
                    </a:prstGeom>
                  </pic:spPr>
                </pic:pic>
              </a:graphicData>
            </a:graphic>
          </wp:inline>
        </w:drawing>
      </w:r>
    </w:p>
    <w:p w14:paraId="2FFC0CD9" w14:textId="179A2C7A" w:rsidR="00F03B5F" w:rsidRDefault="009D72A4" w:rsidP="00F03B5F">
      <w:r>
        <w:t xml:space="preserve">                                                       </w:t>
      </w:r>
      <w:r w:rsidR="007D7255">
        <w:t xml:space="preserve">                  </w:t>
      </w:r>
      <w:r>
        <w:t xml:space="preserve">  Table</w:t>
      </w:r>
      <w:r w:rsidR="007D7255">
        <w:t xml:space="preserve"> -</w:t>
      </w:r>
      <w:r>
        <w:t xml:space="preserve"> 1.1</w:t>
      </w:r>
    </w:p>
    <w:p w14:paraId="7385B366" w14:textId="77777777" w:rsidR="00F03B5F" w:rsidRDefault="00F03B5F" w:rsidP="00F03B5F">
      <w:r>
        <w:t xml:space="preserve">                              </w:t>
      </w:r>
      <w:r w:rsidRPr="001271A0">
        <w:rPr>
          <w:noProof/>
        </w:rPr>
        <w:drawing>
          <wp:inline distT="0" distB="0" distL="0" distR="0" wp14:anchorId="34129042" wp14:editId="4735104A">
            <wp:extent cx="3711262" cy="1044030"/>
            <wp:effectExtent l="0" t="0" r="3810" b="3810"/>
            <wp:docPr id="1490069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069522" name=""/>
                    <pic:cNvPicPr/>
                  </pic:nvPicPr>
                  <pic:blipFill>
                    <a:blip r:embed="rId11"/>
                    <a:stretch>
                      <a:fillRect/>
                    </a:stretch>
                  </pic:blipFill>
                  <pic:spPr>
                    <a:xfrm>
                      <a:off x="0" y="0"/>
                      <a:ext cx="3711262" cy="1044030"/>
                    </a:xfrm>
                    <a:prstGeom prst="rect">
                      <a:avLst/>
                    </a:prstGeom>
                  </pic:spPr>
                </pic:pic>
              </a:graphicData>
            </a:graphic>
          </wp:inline>
        </w:drawing>
      </w:r>
    </w:p>
    <w:p w14:paraId="6B4056B3" w14:textId="1B9D0360" w:rsidR="00F03B5F" w:rsidRPr="001271A0" w:rsidRDefault="007D7255" w:rsidP="00F03B5F">
      <w:r>
        <w:t xml:space="preserve">                                                                            Table –</w:t>
      </w:r>
      <w:r w:rsidR="00291E62">
        <w:t xml:space="preserve"> </w:t>
      </w:r>
      <w:r>
        <w:t>1.2</w:t>
      </w:r>
    </w:p>
    <w:p w14:paraId="1E4AFA9B" w14:textId="77777777" w:rsidR="00F03B5F" w:rsidRDefault="00F03B5F" w:rsidP="00F03B5F">
      <w:r>
        <w:t xml:space="preserve">                          </w:t>
      </w:r>
      <w:r w:rsidRPr="00C32B96">
        <w:rPr>
          <w:noProof/>
        </w:rPr>
        <w:drawing>
          <wp:inline distT="0" distB="0" distL="0" distR="0" wp14:anchorId="59BEB854" wp14:editId="04B2595E">
            <wp:extent cx="3970364" cy="1219306"/>
            <wp:effectExtent l="0" t="0" r="0" b="0"/>
            <wp:docPr id="981794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794399" name=""/>
                    <pic:cNvPicPr/>
                  </pic:nvPicPr>
                  <pic:blipFill>
                    <a:blip r:embed="rId12"/>
                    <a:stretch>
                      <a:fillRect/>
                    </a:stretch>
                  </pic:blipFill>
                  <pic:spPr>
                    <a:xfrm>
                      <a:off x="0" y="0"/>
                      <a:ext cx="3970364" cy="1219306"/>
                    </a:xfrm>
                    <a:prstGeom prst="rect">
                      <a:avLst/>
                    </a:prstGeom>
                  </pic:spPr>
                </pic:pic>
              </a:graphicData>
            </a:graphic>
          </wp:inline>
        </w:drawing>
      </w:r>
    </w:p>
    <w:p w14:paraId="3D7CBD3D" w14:textId="30E75B26" w:rsidR="00F03B5F" w:rsidRDefault="00F03B5F" w:rsidP="00F03B5F">
      <w:r>
        <w:t xml:space="preserve">          </w:t>
      </w:r>
      <w:r w:rsidR="00291E62">
        <w:t xml:space="preserve">                                                                   Table </w:t>
      </w:r>
      <w:r w:rsidR="004B6D2B">
        <w:t>– 1.3</w:t>
      </w:r>
      <w:r>
        <w:t xml:space="preserve">                                 </w:t>
      </w:r>
    </w:p>
    <w:p w14:paraId="75749816" w14:textId="77777777" w:rsidR="00F03B5F" w:rsidRDefault="00F03B5F" w:rsidP="00F03B5F">
      <w:r>
        <w:t>b.     An analysis of Marriott International's ratios from 2021 to 2025 points toward a   robust financial turnaround and strengthening operational performance. Profitability metrics—specifically Net Profit Margin, Return on Assets (ROA), and Return on Equity (ROE)—showed steady improvement over this period. This upward trend was largely driven by a rebound in travel demand and the ability to pull higher earnings from their asset-light business model, proving that the company is making efficient use of both its assets and shareholder capital.</w:t>
      </w:r>
    </w:p>
    <w:p w14:paraId="14FB7669" w14:textId="540314B4" w:rsidR="00F03B5F" w:rsidRDefault="00F03B5F" w:rsidP="00F03B5F">
      <w:r>
        <w:t xml:space="preserve">   While liquidity ratios like the Current and Quick Ratios stayed relatively low compared to other sectors, this is standard for Marriott. Because their business model focuses on </w:t>
      </w:r>
      <w:r>
        <w:lastRenderedPageBreak/>
        <w:t xml:space="preserve">management and franchise agreements rather than heavy property ownership these lower levels are expected. Even so, the company </w:t>
      </w:r>
      <w:r w:rsidR="0023707F">
        <w:t>steadily</w:t>
      </w:r>
      <w:r>
        <w:t xml:space="preserve"> maintained enough cash flow to cover its short-term liabilities.</w:t>
      </w:r>
    </w:p>
    <w:p w14:paraId="0DFA5BB6" w14:textId="77777777" w:rsidR="00F03B5F" w:rsidRDefault="00F03B5F" w:rsidP="00F03B5F">
      <w:r>
        <w:t>On the efficiency front, Marriott utilized its assets effectively, with Asset Turnover remaining strong as revenues climbed. Their Receivables Turnover also indicated disciplined credit management and a steady ability to collect payments on time.</w:t>
      </w:r>
    </w:p>
    <w:p w14:paraId="589D061E" w14:textId="77777777" w:rsidR="00F03B5F" w:rsidRDefault="00F03B5F" w:rsidP="00F03B5F">
      <w:r>
        <w:t>In terms of gearing, Marriott continued to operate with a significant amount of financial leverage. Although the Debt-to-Equity Ratio stayed on the higher side, the company’s healthy operating cash flows and strong earnings allowed it to service its debt without issue, effectively keeping overall financial risk in check.</w:t>
      </w:r>
    </w:p>
    <w:p w14:paraId="1B00A529" w14:textId="77777777" w:rsidR="00F03B5F" w:rsidRDefault="00F03B5F" w:rsidP="00F03B5F">
      <w:r>
        <w:t>Investment metrics, such as Earnings per Share (EPS), saw growth over the five-year stretch, signalling higher profitability and better value for shareholders. Cash flow ratios also stayed in the black, with solid operating inflows supporting everything from capital expenditures to dividend payments and share buybacks.</w:t>
      </w:r>
    </w:p>
    <w:p w14:paraId="02CCDDD4" w14:textId="27B087CD" w:rsidR="00F03B5F" w:rsidRDefault="00F03B5F" w:rsidP="00F03B5F">
      <w:r>
        <w:t xml:space="preserve">Taken as a whole, the ratio analysis reveals that Marriott has maintained a stable financial footing. Despite carrying a relatively high level of leverage, the company has achieved improving profitability, streamlined operations and reliable cash generation, all of which point toward sustainable long-term growth.   </w:t>
      </w:r>
    </w:p>
    <w:p w14:paraId="0866CFE2" w14:textId="77777777" w:rsidR="00F03B5F" w:rsidRDefault="00F03B5F" w:rsidP="00F03B5F"/>
    <w:p w14:paraId="6B41B79D" w14:textId="77777777" w:rsidR="00F03B5F" w:rsidRDefault="00F03B5F" w:rsidP="00F03B5F">
      <w:r>
        <w:t xml:space="preserve">                             </w:t>
      </w:r>
      <w:r w:rsidRPr="00467C9D">
        <w:rPr>
          <w:noProof/>
        </w:rPr>
        <w:drawing>
          <wp:inline distT="0" distB="0" distL="0" distR="0" wp14:anchorId="491B1F60" wp14:editId="308F7081">
            <wp:extent cx="3186894" cy="1600200"/>
            <wp:effectExtent l="0" t="0" r="0" b="0"/>
            <wp:docPr id="1789979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979072" name=""/>
                    <pic:cNvPicPr/>
                  </pic:nvPicPr>
                  <pic:blipFill>
                    <a:blip r:embed="rId13"/>
                    <a:stretch>
                      <a:fillRect/>
                    </a:stretch>
                  </pic:blipFill>
                  <pic:spPr>
                    <a:xfrm>
                      <a:off x="0" y="0"/>
                      <a:ext cx="3219492" cy="1616568"/>
                    </a:xfrm>
                    <a:prstGeom prst="rect">
                      <a:avLst/>
                    </a:prstGeom>
                  </pic:spPr>
                </pic:pic>
              </a:graphicData>
            </a:graphic>
          </wp:inline>
        </w:drawing>
      </w:r>
    </w:p>
    <w:p w14:paraId="532E00CE" w14:textId="7BC276BD" w:rsidR="00F03B5F" w:rsidRDefault="004B6D2B" w:rsidP="00F03B5F">
      <w:r>
        <w:t xml:space="preserve">                                                                Table – 1.4</w:t>
      </w:r>
    </w:p>
    <w:p w14:paraId="26E1B66E" w14:textId="77777777" w:rsidR="00F03B5F" w:rsidRDefault="00F03B5F" w:rsidP="00F03B5F"/>
    <w:p w14:paraId="3C205A66" w14:textId="77777777" w:rsidR="00F03B5F" w:rsidRDefault="00F03B5F" w:rsidP="00F03B5F"/>
    <w:p w14:paraId="4038DCFC" w14:textId="77777777" w:rsidR="00F03B5F" w:rsidRDefault="00F03B5F" w:rsidP="00F03B5F">
      <w:r>
        <w:t xml:space="preserve"> </w:t>
      </w:r>
    </w:p>
    <w:p w14:paraId="608298E5" w14:textId="77777777" w:rsidR="00F03B5F" w:rsidRDefault="00F03B5F" w:rsidP="00F03B5F">
      <w:pPr>
        <w:pStyle w:val="ListParagraph"/>
        <w:numPr>
          <w:ilvl w:val="0"/>
          <w:numId w:val="4"/>
        </w:numPr>
      </w:pPr>
      <w:r w:rsidRPr="007516D5">
        <w:t>Between 2021 and 2025, Marriott International demonstrated a robust financial turnaround, marked by consistent gains in revenue, profit</w:t>
      </w:r>
      <w:r>
        <w:t xml:space="preserve"> </w:t>
      </w:r>
      <w:r w:rsidRPr="007516D5">
        <w:t xml:space="preserve">and operating cash flow. This recovery was largely fuelled by a surge in travel demand alongside increased income from franchise and management fees. The company’s asset-light strategy, coupled with its powerhouse global brands and a highly successful </w:t>
      </w:r>
      <w:r w:rsidRPr="007516D5">
        <w:lastRenderedPageBreak/>
        <w:t>loyalty program has significantly bolstered its profitability and market position. Nevertheless, challenges remain</w:t>
      </w:r>
      <w:r>
        <w:t>:</w:t>
      </w:r>
      <w:r w:rsidRPr="007516D5">
        <w:t xml:space="preserve"> Marriott must navigate high long-term debt, fluctuating interest rates, economic instability and inflation</w:t>
      </w:r>
      <w:r>
        <w:t>.</w:t>
      </w:r>
      <w:r w:rsidRPr="007516D5">
        <w:t xml:space="preserve"> </w:t>
      </w:r>
      <w:r>
        <w:t>A</w:t>
      </w:r>
      <w:r w:rsidRPr="007516D5">
        <w:t>ll while managing geopolitical tensions and fierce competition from both traditional hotel chains and platforms like Airbnb. Ultimately, while Marriott has proven its financial resilience, its ability to maintain long-term growth will hinge on smart debt management, disciplined cost controls, constant innovatio</w:t>
      </w:r>
      <w:r>
        <w:t>n</w:t>
      </w:r>
      <w:r w:rsidRPr="007516D5">
        <w:t xml:space="preserve"> and its capacity to adapt to an evolving marke</w:t>
      </w:r>
      <w:r>
        <w:t>t.</w:t>
      </w:r>
    </w:p>
    <w:p w14:paraId="0D3071DF" w14:textId="77777777" w:rsidR="00F03B5F" w:rsidRDefault="00F03B5F" w:rsidP="00F03B5F"/>
    <w:p w14:paraId="168D21F9" w14:textId="77777777" w:rsidR="00F03B5F" w:rsidRDefault="00F03B5F" w:rsidP="00F03B5F"/>
    <w:p w14:paraId="3F5D1C82" w14:textId="77777777" w:rsidR="00F03B5F" w:rsidRDefault="00F03B5F" w:rsidP="00F03B5F">
      <w:r>
        <w:t xml:space="preserve">         d.    </w:t>
      </w:r>
      <w:r w:rsidRPr="00F50F12">
        <w:t xml:space="preserve">Between 2021 and 2025, Marriott International's liquidity ratios consistently </w:t>
      </w:r>
      <w:r>
        <w:t xml:space="preserve">      </w:t>
      </w:r>
      <w:r w:rsidRPr="00F50F12">
        <w:t xml:space="preserve">stayed below the standard 1.0–1.5 benchmark, suggesting that its current assets are somewhat low compared to its short-term liabilities. However, this is </w:t>
      </w:r>
      <w:proofErr w:type="gramStart"/>
      <w:r w:rsidRPr="00F50F12">
        <w:t>actually quite</w:t>
      </w:r>
      <w:proofErr w:type="gramEnd"/>
      <w:r w:rsidRPr="00F50F12">
        <w:t xml:space="preserve"> normal for companies in the hospitality industry that follow an asset-light model. When looking at competitors like Hilton Worldwide and Hyatt Hotels Corporation, Marriott’s liquidity levels align perfectly with industry norms</w:t>
      </w:r>
      <w:r>
        <w:t>.</w:t>
      </w:r>
      <w:r w:rsidRPr="00F50F12">
        <w:t xml:space="preserve"> </w:t>
      </w:r>
      <w:r>
        <w:t>T</w:t>
      </w:r>
      <w:r w:rsidRPr="00F50F12">
        <w:t xml:space="preserve">hese firms all rely heavily on franchise and management contracts, which significantly reduces the need for large amounts of working capital. Even with lower Current and Quick Ratios, Marriott has maintained robust operating cash flows. This steady inflow of cash has allowed the company to cover its short-term debts, </w:t>
      </w:r>
    </w:p>
    <w:p w14:paraId="721B72E7" w14:textId="77777777" w:rsidR="00F03B5F" w:rsidRDefault="00F03B5F" w:rsidP="00F03B5F">
      <w:r w:rsidRPr="00F50F12">
        <w:t>service its obligations, reinvest in growth, and continue rewarding shareholders through dividends and buybacks. Ultimately, Marriott's liquidity position is solid when viewed through the lens of the hospitality sector. Its ability to generate strong cash flow, combined with efficient working capital management and an asset-light strategy, helps mitigate short-term financial risks and bolsters its long-term stability.</w:t>
      </w:r>
    </w:p>
    <w:p w14:paraId="2213F34B" w14:textId="58CFEDDD" w:rsidR="00F03B5F" w:rsidRDefault="00F03B5F" w:rsidP="00F03B5F">
      <w:r>
        <w:t xml:space="preserve">                                         </w:t>
      </w:r>
      <w:r>
        <w:rPr>
          <w:noProof/>
        </w:rPr>
        <w:drawing>
          <wp:inline distT="0" distB="0" distL="0" distR="0" wp14:anchorId="09DBDB69" wp14:editId="4CFA0541">
            <wp:extent cx="2804160" cy="2762529"/>
            <wp:effectExtent l="0" t="0" r="0" b="0"/>
            <wp:docPr id="16934754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17237" cy="2775412"/>
                    </a:xfrm>
                    <a:prstGeom prst="rect">
                      <a:avLst/>
                    </a:prstGeom>
                    <a:noFill/>
                    <a:ln>
                      <a:noFill/>
                    </a:ln>
                  </pic:spPr>
                </pic:pic>
              </a:graphicData>
            </a:graphic>
          </wp:inline>
        </w:drawing>
      </w:r>
      <w:r>
        <w:t xml:space="preserve">                   </w:t>
      </w:r>
    </w:p>
    <w:p w14:paraId="726942F5" w14:textId="77777777" w:rsidR="00F03B5F" w:rsidRDefault="00F03B5F" w:rsidP="00F03B5F">
      <w:pPr>
        <w:ind w:left="360"/>
      </w:pPr>
    </w:p>
    <w:p w14:paraId="4B3AB27B" w14:textId="77777777" w:rsidR="00F03B5F" w:rsidRDefault="00F03B5F" w:rsidP="00F03B5F">
      <w:pPr>
        <w:pStyle w:val="Heading1"/>
      </w:pPr>
      <w:r>
        <w:t>Working Capital Management Analysis</w:t>
      </w:r>
    </w:p>
    <w:p w14:paraId="25DDEDBB" w14:textId="77777777" w:rsidR="00F03B5F" w:rsidRDefault="00F03B5F" w:rsidP="00F03B5F">
      <w:pPr>
        <w:pStyle w:val="ListParagraph"/>
        <w:numPr>
          <w:ilvl w:val="0"/>
          <w:numId w:val="5"/>
        </w:numPr>
      </w:pPr>
      <w:r>
        <w:t>From 2021 to 2025, Marriott International's cash conversion cycle (CCC) highlighted a highly efficient approach to working capital, largely driven by its asset-light business model. Because the company focuses primarily on hotel management and franchise operations rather than manufacturing, it carries very little inventory. This means that inventory turnover plays a relatively minor role in how quickly Marriott converts its operations into cash.</w:t>
      </w:r>
    </w:p>
    <w:p w14:paraId="4DF5D8A1" w14:textId="5BBECF95" w:rsidR="00F03B5F" w:rsidRDefault="00F03B5F" w:rsidP="00F03B5F">
      <w:pPr>
        <w:pStyle w:val="ListParagraph"/>
        <w:ind w:left="600"/>
      </w:pPr>
      <w:r>
        <w:t>Instead, the company’s efficiency stems from its ability to manage receivables and payables effectively. Marriott stays on top of collections, ensuring prompt payments from customers, franchisees and partners. Simultaneously, it leverages favourable terms with its own suppliers, allowing it to stretch out cash outflows while bringing revenue in quickly. This balance has kept the cash operating cycle short over the five-year period, boosting liquidity and minimizing the need to tie up extra capital in day-to-day operations.</w:t>
      </w:r>
    </w:p>
    <w:p w14:paraId="6B846D14" w14:textId="06705006" w:rsidR="00F03B5F" w:rsidRDefault="00F03B5F" w:rsidP="00F03B5F">
      <w:pPr>
        <w:ind w:left="240"/>
      </w:pPr>
      <w:r>
        <w:t>Maintaining a short cash cycle gives Marriott significant financial breathing room. By maximizing operating cash flow, the company can fund its own growth, invest in new technology, pay down debt and return value to shareholders through dividends and buybacks—all without having to lean heavily on outside financing. This kind of streamlined cash management also provides a much-needed buffer during unpredictable economic shifts.</w:t>
      </w:r>
    </w:p>
    <w:p w14:paraId="52599B3D" w14:textId="77777777" w:rsidR="00F03B5F" w:rsidRDefault="00F03B5F" w:rsidP="00F03B5F">
      <w:pPr>
        <w:ind w:left="240"/>
      </w:pPr>
      <w:r>
        <w:t>Ultimately, Marriott’s working capital strategy is incredibly effective. By quickly turning sales into liquid cash through smart collection and payment management, the company maintains the strong liquidity and operational efficiency necessary for long-term financial stability.</w:t>
      </w:r>
    </w:p>
    <w:p w14:paraId="52A5607B" w14:textId="77777777" w:rsidR="00F03B5F" w:rsidRDefault="00F03B5F" w:rsidP="00F03B5F">
      <w:pPr>
        <w:ind w:left="240"/>
      </w:pPr>
      <w:r>
        <w:t xml:space="preserve">          </w:t>
      </w:r>
      <w:r w:rsidRPr="0016744F">
        <w:rPr>
          <w:noProof/>
        </w:rPr>
        <w:drawing>
          <wp:inline distT="0" distB="0" distL="0" distR="0" wp14:anchorId="1F131904" wp14:editId="3AB36C32">
            <wp:extent cx="4724809" cy="662997"/>
            <wp:effectExtent l="0" t="0" r="0" b="3810"/>
            <wp:docPr id="385971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971567" name=""/>
                    <pic:cNvPicPr/>
                  </pic:nvPicPr>
                  <pic:blipFill>
                    <a:blip r:embed="rId15"/>
                    <a:stretch>
                      <a:fillRect/>
                    </a:stretch>
                  </pic:blipFill>
                  <pic:spPr>
                    <a:xfrm>
                      <a:off x="0" y="0"/>
                      <a:ext cx="4724809" cy="662997"/>
                    </a:xfrm>
                    <a:prstGeom prst="rect">
                      <a:avLst/>
                    </a:prstGeom>
                  </pic:spPr>
                </pic:pic>
              </a:graphicData>
            </a:graphic>
          </wp:inline>
        </w:drawing>
      </w:r>
    </w:p>
    <w:p w14:paraId="2D73290C" w14:textId="4C6FDF00" w:rsidR="00F03B5F" w:rsidRDefault="00906CE6" w:rsidP="00F03B5F">
      <w:pPr>
        <w:ind w:left="240"/>
      </w:pPr>
      <w:r>
        <w:t xml:space="preserve">                                                                       Table – 2.1</w:t>
      </w:r>
    </w:p>
    <w:p w14:paraId="35FA8D72" w14:textId="77777777" w:rsidR="00F03B5F" w:rsidRDefault="00F03B5F" w:rsidP="00F03B5F">
      <w:pPr>
        <w:pStyle w:val="ListParagraph"/>
        <w:numPr>
          <w:ilvl w:val="0"/>
          <w:numId w:val="5"/>
        </w:numPr>
      </w:pPr>
      <w:r>
        <w:t>Marriott International could bolster its liquidity by taking a more proactive approach to working capital management. One key move would be to speed up receivables collection by streamlining the invoicing process, adopting digital payment platforms, and tightening credit controls for both franchisees and corporate clients. At the same time, the company could look to optimize payment terms with its suppliers—finding that sweet spot where cash is preserved without straining vital business relationships.</w:t>
      </w:r>
    </w:p>
    <w:p w14:paraId="68113151" w14:textId="77777777" w:rsidR="00F03B5F" w:rsidRDefault="00F03B5F" w:rsidP="00F03B5F">
      <w:pPr>
        <w:pStyle w:val="ListParagraph"/>
        <w:ind w:left="600"/>
      </w:pPr>
      <w:r>
        <w:lastRenderedPageBreak/>
        <w:t>To stay ahead of any potential shortfalls, Marriott should lean heavily on real-time financial monitoring and precise cash flow forecasting to manage short-term funding more effectively. Beyond just managing cash inflows and outflows, there is an opportunity to boost cash generation by trimming unnecessary operating costs and driving greater efficiency throughout its hotel operations. Integrating digital tools, like AI-driven demand forecasting and automated financial systems, would also go a long way in smoothing out working capital cycles and cutting down on administrative overhead. Finally, keeping a healthy cash reserve and maintaining diverse credit lines will provide much-needed breathing room during economic shifts. Ultimately, these refinements to working capital would not only stabilize liquidity but also provide the financial backbone needed to support long-term growth and pursue new strategic investments.</w:t>
      </w:r>
    </w:p>
    <w:p w14:paraId="769DE7A2" w14:textId="77777777" w:rsidR="00F03B5F" w:rsidRDefault="00F03B5F" w:rsidP="00F03B5F">
      <w:pPr>
        <w:pStyle w:val="ListParagraph"/>
        <w:ind w:left="600"/>
      </w:pPr>
    </w:p>
    <w:p w14:paraId="22CC31AE" w14:textId="77777777" w:rsidR="00F03B5F" w:rsidRDefault="00F03B5F" w:rsidP="00F03B5F">
      <w:pPr>
        <w:pStyle w:val="ListParagraph"/>
        <w:ind w:left="600"/>
      </w:pPr>
      <w:r>
        <w:t xml:space="preserve">           </w:t>
      </w:r>
      <w:r w:rsidRPr="0016744F">
        <w:rPr>
          <w:noProof/>
        </w:rPr>
        <w:drawing>
          <wp:inline distT="0" distB="0" distL="0" distR="0" wp14:anchorId="104A876B" wp14:editId="1639D1C4">
            <wp:extent cx="4397121" cy="1348857"/>
            <wp:effectExtent l="0" t="0" r="3810" b="3810"/>
            <wp:docPr id="1256564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564818" name=""/>
                    <pic:cNvPicPr/>
                  </pic:nvPicPr>
                  <pic:blipFill>
                    <a:blip r:embed="rId16"/>
                    <a:stretch>
                      <a:fillRect/>
                    </a:stretch>
                  </pic:blipFill>
                  <pic:spPr>
                    <a:xfrm>
                      <a:off x="0" y="0"/>
                      <a:ext cx="4397121" cy="1348857"/>
                    </a:xfrm>
                    <a:prstGeom prst="rect">
                      <a:avLst/>
                    </a:prstGeom>
                  </pic:spPr>
                </pic:pic>
              </a:graphicData>
            </a:graphic>
          </wp:inline>
        </w:drawing>
      </w:r>
    </w:p>
    <w:p w14:paraId="0E9AB58F" w14:textId="2D208265" w:rsidR="00F03B5F" w:rsidRDefault="00906CE6" w:rsidP="00F03B5F">
      <w:pPr>
        <w:pStyle w:val="ListParagraph"/>
        <w:ind w:left="600"/>
      </w:pPr>
      <w:r>
        <w:t xml:space="preserve">                                                                    Table – 2.2</w:t>
      </w:r>
    </w:p>
    <w:p w14:paraId="6033DE27" w14:textId="77777777" w:rsidR="00F03B5F" w:rsidRDefault="00F03B5F" w:rsidP="00F03B5F">
      <w:pPr>
        <w:pStyle w:val="ListParagraph"/>
        <w:numPr>
          <w:ilvl w:val="0"/>
          <w:numId w:val="5"/>
        </w:numPr>
      </w:pPr>
      <w:r w:rsidRPr="0016744F">
        <w:t>Short-term financing offers quick access to cash to cover immediate working capital needs, such as trade credit, bank overdrafts and small loans. While this type of funding is typically less expensive, it demands frequent repayments and leaves businesses vulnerable to refinancing risks. On the other hand, long-term financing—which includes bonds, long-term loans and equity—is designed to support strategic moves like major capital projects and business expansion. Although these long-term options often come with higher total costs, they provide much better financial stability and more predictable repayment timelines. For a company like Marriott International, short-term financing is ideal for handling day-to-day operational costs, whereas long-term financing is better suited for fuelling expansion, upgrading technology and driving long-term growth.</w:t>
      </w:r>
      <w:r>
        <w:t xml:space="preserve">    </w:t>
      </w:r>
    </w:p>
    <w:p w14:paraId="40DE68A4" w14:textId="77777777" w:rsidR="00F03B5F" w:rsidRDefault="00F03B5F" w:rsidP="00F03B5F">
      <w:r>
        <w:t xml:space="preserve">      </w:t>
      </w:r>
    </w:p>
    <w:p w14:paraId="2F6139B0" w14:textId="7D1AA593" w:rsidR="00F03B5F" w:rsidRDefault="00F03B5F" w:rsidP="00F03B5F">
      <w:pPr>
        <w:ind w:left="240"/>
      </w:pPr>
      <w:r>
        <w:t xml:space="preserve">                                   </w:t>
      </w:r>
      <w:r w:rsidR="00141406">
        <w:t xml:space="preserve">    </w:t>
      </w:r>
      <w:r w:rsidRPr="0000011C">
        <w:rPr>
          <w:noProof/>
        </w:rPr>
        <w:drawing>
          <wp:inline distT="0" distB="0" distL="0" distR="0" wp14:anchorId="43310107" wp14:editId="4A01458E">
            <wp:extent cx="2987299" cy="1082134"/>
            <wp:effectExtent l="0" t="0" r="3810" b="3810"/>
            <wp:docPr id="1579804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804177" name=""/>
                    <pic:cNvPicPr/>
                  </pic:nvPicPr>
                  <pic:blipFill>
                    <a:blip r:embed="rId17"/>
                    <a:stretch>
                      <a:fillRect/>
                    </a:stretch>
                  </pic:blipFill>
                  <pic:spPr>
                    <a:xfrm>
                      <a:off x="0" y="0"/>
                      <a:ext cx="2987299" cy="1082134"/>
                    </a:xfrm>
                    <a:prstGeom prst="rect">
                      <a:avLst/>
                    </a:prstGeom>
                  </pic:spPr>
                </pic:pic>
              </a:graphicData>
            </a:graphic>
          </wp:inline>
        </w:drawing>
      </w:r>
    </w:p>
    <w:p w14:paraId="3FEEF42C" w14:textId="6DC471F3" w:rsidR="00F03B5F" w:rsidRDefault="00906CE6" w:rsidP="00F03B5F">
      <w:r>
        <w:t xml:space="preserve">                                                                                Table – 2.3</w:t>
      </w:r>
    </w:p>
    <w:p w14:paraId="4D1A10A7" w14:textId="77777777" w:rsidR="00F03B5F" w:rsidRDefault="00F03B5F" w:rsidP="00F03B5F">
      <w:pPr>
        <w:pStyle w:val="Heading1"/>
      </w:pPr>
      <w:r>
        <w:lastRenderedPageBreak/>
        <w:t>Strategic Financial Restructuring Plan</w:t>
      </w:r>
    </w:p>
    <w:p w14:paraId="7BFDBA3F" w14:textId="32DAE0DF" w:rsidR="00F03B5F" w:rsidRDefault="00F03B5F" w:rsidP="00F03B5F">
      <w:pPr>
        <w:pStyle w:val="ListParagraph"/>
        <w:numPr>
          <w:ilvl w:val="0"/>
          <w:numId w:val="6"/>
        </w:numPr>
      </w:pPr>
      <w:r w:rsidRPr="00990121">
        <w:t xml:space="preserve">Marriott International has several paths available to bolster its long-term financial health through strategic restructuring. To start, the company could </w:t>
      </w:r>
      <w:proofErr w:type="gramStart"/>
      <w:r w:rsidRPr="00990121">
        <w:t>look into</w:t>
      </w:r>
      <w:proofErr w:type="gramEnd"/>
      <w:r w:rsidRPr="00990121">
        <w:t xml:space="preserve"> divesting non-core assets or underperforming business units, which would help free up liquidity and bring down overall debt. Beyond trimming the fat, Marriott could pursue strategic mergers, acquisitions, or new partnerships to broaden its global footprint, capture more market share, and drive operational synergies. Another option is to </w:t>
      </w:r>
      <w:r w:rsidR="00BE343A">
        <w:t>increase</w:t>
      </w:r>
      <w:r w:rsidRPr="00990121">
        <w:t xml:space="preserve"> capital via an equity injection, which would fortify the balance sheet and decrease the company's dependence on debt. Furthermore, refinancing current long-term debt at more favourable interest rates could significantly lower financing costs and boost the bottom line. Alongside these financial moves, it is vital to keep investing in digital innovation and sustainable operations to drive efficiency and long-term growth. Taken together, these strategies would increase financial flexibility, strengthen liquidity, lower risk, and ultimately drive more value for shareholders. By maintaining a well-balanced capital structure, Marriott can stay competitive and remain agile enough to fund future expansion and navigate shifting market trends.</w:t>
      </w:r>
    </w:p>
    <w:p w14:paraId="4FDEEC16" w14:textId="77777777" w:rsidR="00F03B5F" w:rsidRDefault="00F03B5F" w:rsidP="00F03B5F"/>
    <w:p w14:paraId="3613E2BB" w14:textId="6BEBBEA0" w:rsidR="00F03B5F" w:rsidRDefault="00F03B5F" w:rsidP="00F03B5F">
      <w:pPr>
        <w:pStyle w:val="ListParagraph"/>
        <w:numPr>
          <w:ilvl w:val="0"/>
          <w:numId w:val="6"/>
        </w:numPr>
      </w:pPr>
      <w:r w:rsidRPr="00990121">
        <w:t>A strategic financial restructuring could significantly boost Marriott International's shareholder value, optimize its debt profile and enhance overall operational flexibility. By refinancing long-term debt or pursuing selective asset divestitures, the company could lower interest costs and improve its leverage, ultimately strengthening its financial standing. While Marriott's long-term debt rose from $13.1 billion in 2024 to $15.0 billion in 2025, its expanding asset base offers a solid foundation for future growth. Boosting liquidity through better cash management and targeted equity financing would also build financial resilience and decrease the heavy reliance on borrowed capital. These steps would likely bolster investor confidence and drive long-term value for shareholders. Furthermore, improved operational flexibility would provide more cash to fund essential technology upgrades, sustainability goals, and strategic expansions. Ultimately, a well-executed restructuring plan would create a more balanced capital structure, mitigate financial risks and ensure Marriott remains competitive and positioned for sustainable growth within the global hospitality market</w:t>
      </w:r>
      <w:r w:rsidR="008D40FC">
        <w:t>.</w:t>
      </w:r>
    </w:p>
    <w:p w14:paraId="2C2AE910" w14:textId="77777777" w:rsidR="008D40FC" w:rsidRDefault="008D40FC" w:rsidP="008D40FC">
      <w:pPr>
        <w:pStyle w:val="ListParagraph"/>
        <w:ind w:left="552"/>
      </w:pPr>
    </w:p>
    <w:p w14:paraId="33EDF880" w14:textId="77777777" w:rsidR="00F03B5F" w:rsidRDefault="00F03B5F" w:rsidP="00F03B5F">
      <w:pPr>
        <w:pStyle w:val="ListParagraph"/>
        <w:ind w:left="552"/>
      </w:pPr>
    </w:p>
    <w:p w14:paraId="4B6314CD" w14:textId="77777777" w:rsidR="00F03B5F" w:rsidRDefault="00F03B5F" w:rsidP="00F03B5F">
      <w:pPr>
        <w:pStyle w:val="ListParagraph"/>
        <w:ind w:left="552"/>
      </w:pPr>
      <w:r w:rsidRPr="00990121">
        <w:rPr>
          <w:noProof/>
        </w:rPr>
        <w:lastRenderedPageBreak/>
        <w:drawing>
          <wp:inline distT="0" distB="0" distL="0" distR="0" wp14:anchorId="2DD63486" wp14:editId="0DA9CDA7">
            <wp:extent cx="5006774" cy="1082134"/>
            <wp:effectExtent l="0" t="0" r="3810" b="3810"/>
            <wp:docPr id="1836787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787639" name=""/>
                    <pic:cNvPicPr/>
                  </pic:nvPicPr>
                  <pic:blipFill>
                    <a:blip r:embed="rId18"/>
                    <a:stretch>
                      <a:fillRect/>
                    </a:stretch>
                  </pic:blipFill>
                  <pic:spPr>
                    <a:xfrm>
                      <a:off x="0" y="0"/>
                      <a:ext cx="5006774" cy="1082134"/>
                    </a:xfrm>
                    <a:prstGeom prst="rect">
                      <a:avLst/>
                    </a:prstGeom>
                  </pic:spPr>
                </pic:pic>
              </a:graphicData>
            </a:graphic>
          </wp:inline>
        </w:drawing>
      </w:r>
    </w:p>
    <w:p w14:paraId="619D3E74" w14:textId="26FE3CF5" w:rsidR="008D40FC" w:rsidRDefault="008D40FC" w:rsidP="00F03B5F">
      <w:pPr>
        <w:pStyle w:val="ListParagraph"/>
        <w:ind w:left="552"/>
      </w:pPr>
      <w:r>
        <w:t xml:space="preserve">                                                           Table </w:t>
      </w:r>
      <w:r w:rsidR="00B53050">
        <w:t>–</w:t>
      </w:r>
      <w:r>
        <w:t xml:space="preserve"> </w:t>
      </w:r>
      <w:r w:rsidR="00906CE6">
        <w:t>3.1</w:t>
      </w:r>
    </w:p>
    <w:p w14:paraId="2B0BB654" w14:textId="77777777" w:rsidR="00141406" w:rsidRDefault="00141406" w:rsidP="00F03B5F">
      <w:pPr>
        <w:pStyle w:val="ListParagraph"/>
        <w:ind w:left="552"/>
      </w:pPr>
    </w:p>
    <w:p w14:paraId="3321CF32" w14:textId="1D156706" w:rsidR="00F03B5F" w:rsidRDefault="00F03B5F" w:rsidP="00F03B5F">
      <w:pPr>
        <w:pStyle w:val="ListParagraph"/>
        <w:numPr>
          <w:ilvl w:val="0"/>
          <w:numId w:val="6"/>
        </w:numPr>
      </w:pPr>
      <w:r w:rsidRPr="00990121">
        <w:t>With a presence in over 140 countries, Marriott International faces significant exposure to international financial risks, ranging from currency fluctuations and varying tax laws to rising inflation. Shifts in exchange rates can directly impact revenues and profits earned outside the U.S., while the complexity of different tax jurisdictions plays a major role in the company's overall effective tax rate. Meanwhile, inflation drives up the cost of labour, energy and general operations, forcing Marriott to constantly refine its pricing and operational efficiency. To navigate these pressures, the company leans on its asset-light business model, global diversification, and a disciplined approach to financial management. Beyond the balance sheet, Marriott is also deeply committed to Environmental, Social, and Governance (ESG) principles, focusing on initiatives like cutting carbon emissions, responsible sourcing, promoting diversity and engaging with local communities. These sustainability efforts do more than just help the planet; they protect the brand's reputation, build stakeholder trust, and drive long-term value. Ultimately, by effectively managing global financial risks and investing in ESG, Marriott strengthens its resilience and sets the stage for steady, sustainable growth in the global hospitality market.</w:t>
      </w:r>
    </w:p>
    <w:p w14:paraId="33167905" w14:textId="5EAD302C" w:rsidR="00F03B5F" w:rsidRDefault="00B53050" w:rsidP="00F03B5F">
      <w:pPr>
        <w:pStyle w:val="ListParagraph"/>
        <w:ind w:left="552"/>
      </w:pPr>
      <w:r>
        <w:t xml:space="preserve">                               </w:t>
      </w:r>
      <w:r>
        <w:rPr>
          <w:noProof/>
        </w:rPr>
        <w:drawing>
          <wp:inline distT="0" distB="0" distL="0" distR="0" wp14:anchorId="7FE8BADE" wp14:editId="5C6FED93">
            <wp:extent cx="2857500" cy="3568551"/>
            <wp:effectExtent l="0" t="0" r="0" b="0"/>
            <wp:docPr id="6063356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77617" cy="3593673"/>
                    </a:xfrm>
                    <a:prstGeom prst="rect">
                      <a:avLst/>
                    </a:prstGeom>
                    <a:noFill/>
                    <a:ln>
                      <a:noFill/>
                    </a:ln>
                  </pic:spPr>
                </pic:pic>
              </a:graphicData>
            </a:graphic>
          </wp:inline>
        </w:drawing>
      </w:r>
    </w:p>
    <w:p w14:paraId="676DC3C7" w14:textId="478F71AD" w:rsidR="00592258" w:rsidRPr="00906CE6" w:rsidRDefault="00685152" w:rsidP="00906CE6">
      <w:pPr>
        <w:pStyle w:val="Heading1"/>
      </w:pPr>
      <w:r>
        <w:lastRenderedPageBreak/>
        <w:t>Investment App</w:t>
      </w:r>
      <w:r w:rsidR="007C0BB9">
        <w:t>raisal and Capital Budgeting</w:t>
      </w:r>
    </w:p>
    <w:p w14:paraId="7EFB7FEA" w14:textId="26366832" w:rsidR="00D219D4" w:rsidRPr="002A7CD1" w:rsidRDefault="00D219D4" w:rsidP="002A7CD1">
      <w:pPr>
        <w:pStyle w:val="ListParagraph"/>
        <w:numPr>
          <w:ilvl w:val="0"/>
          <w:numId w:val="8"/>
        </w:numPr>
        <w:rPr>
          <w:lang w:val="en-IN"/>
        </w:rPr>
      </w:pPr>
      <w:r w:rsidRPr="002A7CD1">
        <w:rPr>
          <w:lang w:val="en-IN"/>
        </w:rPr>
        <w:t>To determine which option offers the best financial return, various investment appraisal techniques were used to compare Projects A, B, and C.</w:t>
      </w:r>
    </w:p>
    <w:p w14:paraId="42B49EA1" w14:textId="77777777" w:rsidR="002A7CD1" w:rsidRDefault="002A7CD1" w:rsidP="002A7CD1">
      <w:pPr>
        <w:pStyle w:val="ListParagraph"/>
        <w:rPr>
          <w:lang w:val="en-IN"/>
        </w:rPr>
      </w:pPr>
    </w:p>
    <w:p w14:paraId="5CC80D37" w14:textId="6F6324F0" w:rsidR="008D0367" w:rsidRPr="00937B3D" w:rsidRDefault="008D0367" w:rsidP="002A7CD1">
      <w:pPr>
        <w:pStyle w:val="ListParagraph"/>
        <w:rPr>
          <w:b/>
          <w:bCs/>
          <w:sz w:val="28"/>
          <w:szCs w:val="28"/>
          <w:lang w:val="en-IN"/>
        </w:rPr>
      </w:pPr>
      <w:r w:rsidRPr="00937B3D">
        <w:rPr>
          <w:b/>
          <w:bCs/>
          <w:sz w:val="28"/>
          <w:szCs w:val="28"/>
          <w:lang w:val="en-IN"/>
        </w:rPr>
        <w:t xml:space="preserve">Appraisal method       Project A          Project B        </w:t>
      </w:r>
      <w:r w:rsidR="00403889" w:rsidRPr="00937B3D">
        <w:rPr>
          <w:b/>
          <w:bCs/>
          <w:sz w:val="28"/>
          <w:szCs w:val="28"/>
          <w:lang w:val="en-IN"/>
        </w:rPr>
        <w:t xml:space="preserve"> Project C</w:t>
      </w:r>
    </w:p>
    <w:p w14:paraId="411AC299" w14:textId="74A94EE6" w:rsidR="00403889" w:rsidRDefault="00403889" w:rsidP="002A7CD1">
      <w:pPr>
        <w:pStyle w:val="ListParagraph"/>
        <w:rPr>
          <w:lang w:val="en-IN"/>
        </w:rPr>
      </w:pPr>
      <w:r w:rsidRPr="00937B3D">
        <w:rPr>
          <w:lang w:val="en-IN"/>
        </w:rPr>
        <w:t>Payback Period</w:t>
      </w:r>
      <w:r>
        <w:rPr>
          <w:lang w:val="en-IN"/>
        </w:rPr>
        <w:t xml:space="preserve">    </w:t>
      </w:r>
      <w:r w:rsidR="00271838">
        <w:rPr>
          <w:lang w:val="en-IN"/>
        </w:rPr>
        <w:t xml:space="preserve">     </w:t>
      </w:r>
      <w:r w:rsidR="00937B3D">
        <w:rPr>
          <w:lang w:val="en-IN"/>
        </w:rPr>
        <w:t xml:space="preserve">             </w:t>
      </w:r>
      <w:r w:rsidR="00271838">
        <w:rPr>
          <w:lang w:val="en-IN"/>
        </w:rPr>
        <w:t xml:space="preserve">  4.50 years     </w:t>
      </w:r>
      <w:r w:rsidR="00937B3D">
        <w:rPr>
          <w:lang w:val="en-IN"/>
        </w:rPr>
        <w:t xml:space="preserve">       </w:t>
      </w:r>
      <w:r w:rsidR="00271838">
        <w:rPr>
          <w:lang w:val="en-IN"/>
        </w:rPr>
        <w:t xml:space="preserve"> 4.55 years     </w:t>
      </w:r>
      <w:r w:rsidR="00270EBC">
        <w:rPr>
          <w:lang w:val="en-IN"/>
        </w:rPr>
        <w:t xml:space="preserve"> </w:t>
      </w:r>
      <w:r w:rsidR="00937B3D">
        <w:rPr>
          <w:lang w:val="en-IN"/>
        </w:rPr>
        <w:t xml:space="preserve">    </w:t>
      </w:r>
      <w:r w:rsidR="00270EBC">
        <w:rPr>
          <w:lang w:val="en-IN"/>
        </w:rPr>
        <w:t>3.60 years</w:t>
      </w:r>
    </w:p>
    <w:p w14:paraId="2C46DD5D" w14:textId="5DBCFC43" w:rsidR="00270EBC" w:rsidRDefault="00581DC9" w:rsidP="002A7CD1">
      <w:pPr>
        <w:pStyle w:val="ListParagraph"/>
        <w:rPr>
          <w:lang w:val="en-IN"/>
        </w:rPr>
      </w:pPr>
      <w:r>
        <w:rPr>
          <w:lang w:val="en-IN"/>
        </w:rPr>
        <w:t xml:space="preserve">ARR                                   </w:t>
      </w:r>
      <w:r w:rsidR="00937B3D">
        <w:rPr>
          <w:lang w:val="en-IN"/>
        </w:rPr>
        <w:t xml:space="preserve">           </w:t>
      </w:r>
      <w:r>
        <w:rPr>
          <w:lang w:val="en-IN"/>
        </w:rPr>
        <w:t xml:space="preserve"> </w:t>
      </w:r>
      <w:r w:rsidR="00C76E99">
        <w:rPr>
          <w:lang w:val="en-IN"/>
        </w:rPr>
        <w:t xml:space="preserve">1.60%               </w:t>
      </w:r>
      <w:r w:rsidR="00937B3D">
        <w:rPr>
          <w:lang w:val="en-IN"/>
        </w:rPr>
        <w:t xml:space="preserve">      </w:t>
      </w:r>
      <w:r w:rsidR="00C76E99">
        <w:rPr>
          <w:lang w:val="en-IN"/>
        </w:rPr>
        <w:t xml:space="preserve"> 2.00%              </w:t>
      </w:r>
      <w:r w:rsidR="00937B3D">
        <w:rPr>
          <w:lang w:val="en-IN"/>
        </w:rPr>
        <w:t xml:space="preserve">   </w:t>
      </w:r>
      <w:r w:rsidR="00C76E99">
        <w:rPr>
          <w:lang w:val="en-IN"/>
        </w:rPr>
        <w:t xml:space="preserve"> 6.00%</w:t>
      </w:r>
    </w:p>
    <w:p w14:paraId="4EC8B0C4" w14:textId="4DA5AF8D" w:rsidR="00581DC9" w:rsidRPr="003B4373" w:rsidRDefault="00581DC9" w:rsidP="00937B3D">
      <w:pPr>
        <w:pStyle w:val="ListParagraph"/>
        <w:rPr>
          <w:lang w:val="en-IN"/>
        </w:rPr>
      </w:pPr>
      <w:r>
        <w:rPr>
          <w:lang w:val="en-IN"/>
        </w:rPr>
        <w:t>NPV 8%</w:t>
      </w:r>
      <w:r w:rsidR="00C818DD">
        <w:rPr>
          <w:lang w:val="en-IN"/>
        </w:rPr>
        <w:t xml:space="preserve">                          </w:t>
      </w:r>
      <w:r w:rsidR="00937B3D">
        <w:rPr>
          <w:lang w:val="en-IN"/>
        </w:rPr>
        <w:t xml:space="preserve">          </w:t>
      </w:r>
      <w:r w:rsidR="00C818DD">
        <w:rPr>
          <w:lang w:val="en-IN"/>
        </w:rPr>
        <w:t xml:space="preserve">  </w:t>
      </w:r>
      <w:r w:rsidR="003B4373" w:rsidRPr="003B4373">
        <w:rPr>
          <w:lang w:val="en-IN"/>
        </w:rPr>
        <w:t>-£6.54m</w:t>
      </w:r>
      <w:r w:rsidR="003B4373">
        <w:rPr>
          <w:lang w:val="en-IN"/>
        </w:rPr>
        <w:t xml:space="preserve">          </w:t>
      </w:r>
      <w:r w:rsidR="00937B3D">
        <w:rPr>
          <w:lang w:val="en-IN"/>
        </w:rPr>
        <w:t xml:space="preserve">       </w:t>
      </w:r>
      <w:r w:rsidR="003B4373" w:rsidRPr="003B4373">
        <w:rPr>
          <w:lang w:val="en-IN"/>
        </w:rPr>
        <w:t>-£6.54m</w:t>
      </w:r>
      <w:r w:rsidR="003B4373">
        <w:rPr>
          <w:lang w:val="en-IN"/>
        </w:rPr>
        <w:t xml:space="preserve">          </w:t>
      </w:r>
      <w:r w:rsidR="00937B3D">
        <w:rPr>
          <w:lang w:val="en-IN"/>
        </w:rPr>
        <w:t xml:space="preserve">   </w:t>
      </w:r>
      <w:r w:rsidR="003B4373">
        <w:rPr>
          <w:lang w:val="en-IN"/>
        </w:rPr>
        <w:t xml:space="preserve"> </w:t>
      </w:r>
      <w:r w:rsidR="003B4373" w:rsidRPr="003B4373">
        <w:rPr>
          <w:lang w:val="en-IN"/>
        </w:rPr>
        <w:t>-£6.54m</w:t>
      </w:r>
      <w:r w:rsidR="00937B3D">
        <w:rPr>
          <w:lang w:val="en-IN"/>
        </w:rPr>
        <w:t xml:space="preserve">  </w:t>
      </w:r>
    </w:p>
    <w:p w14:paraId="68A55F12" w14:textId="3E64B7D4" w:rsidR="00581DC9" w:rsidRDefault="00581DC9" w:rsidP="002A7CD1">
      <w:pPr>
        <w:pStyle w:val="ListParagraph"/>
        <w:rPr>
          <w:lang w:val="en-IN"/>
        </w:rPr>
      </w:pPr>
      <w:r>
        <w:rPr>
          <w:lang w:val="en-IN"/>
        </w:rPr>
        <w:t>PI</w:t>
      </w:r>
      <w:r w:rsidR="00743751">
        <w:rPr>
          <w:lang w:val="en-IN"/>
        </w:rPr>
        <w:t xml:space="preserve">                                      </w:t>
      </w:r>
      <w:r w:rsidR="00937B3D">
        <w:rPr>
          <w:lang w:val="en-IN"/>
        </w:rPr>
        <w:t xml:space="preserve">            </w:t>
      </w:r>
      <w:r w:rsidR="00743751">
        <w:rPr>
          <w:lang w:val="en-IN"/>
        </w:rPr>
        <w:t xml:space="preserve">  0.869              </w:t>
      </w:r>
      <w:r w:rsidR="00175399">
        <w:rPr>
          <w:lang w:val="en-IN"/>
        </w:rPr>
        <w:t xml:space="preserve">      </w:t>
      </w:r>
      <w:r w:rsidR="00743751">
        <w:rPr>
          <w:lang w:val="en-IN"/>
        </w:rPr>
        <w:t xml:space="preserve">  0.878                 </w:t>
      </w:r>
      <w:r w:rsidR="00175399">
        <w:rPr>
          <w:lang w:val="en-IN"/>
        </w:rPr>
        <w:t xml:space="preserve">   </w:t>
      </w:r>
      <w:r w:rsidR="00F9427D">
        <w:rPr>
          <w:lang w:val="en-IN"/>
        </w:rPr>
        <w:t>1.017</w:t>
      </w:r>
    </w:p>
    <w:p w14:paraId="53B06A86" w14:textId="40BBFC1C" w:rsidR="00581DC9" w:rsidRPr="002A7CD1" w:rsidRDefault="00581DC9" w:rsidP="002A7CD1">
      <w:pPr>
        <w:pStyle w:val="ListParagraph"/>
        <w:rPr>
          <w:lang w:val="en-IN"/>
        </w:rPr>
      </w:pPr>
      <w:r>
        <w:rPr>
          <w:lang w:val="en-IN"/>
        </w:rPr>
        <w:t>IRR</w:t>
      </w:r>
      <w:r w:rsidR="00F9427D">
        <w:rPr>
          <w:lang w:val="en-IN"/>
        </w:rPr>
        <w:t xml:space="preserve">                                   </w:t>
      </w:r>
      <w:r w:rsidR="00175399">
        <w:rPr>
          <w:lang w:val="en-IN"/>
        </w:rPr>
        <w:t xml:space="preserve">           </w:t>
      </w:r>
      <w:r w:rsidR="00F9427D">
        <w:rPr>
          <w:lang w:val="en-IN"/>
        </w:rPr>
        <w:t xml:space="preserve">   </w:t>
      </w:r>
      <w:r w:rsidR="00961050">
        <w:rPr>
          <w:lang w:val="en-IN"/>
        </w:rPr>
        <w:t xml:space="preserve">2.72%              </w:t>
      </w:r>
      <w:r w:rsidR="00175399">
        <w:rPr>
          <w:lang w:val="en-IN"/>
        </w:rPr>
        <w:t xml:space="preserve">      </w:t>
      </w:r>
      <w:r w:rsidR="00961050">
        <w:rPr>
          <w:lang w:val="en-IN"/>
        </w:rPr>
        <w:t xml:space="preserve"> 3.26%             </w:t>
      </w:r>
      <w:r w:rsidR="00175399">
        <w:rPr>
          <w:lang w:val="en-IN"/>
        </w:rPr>
        <w:t xml:space="preserve">   </w:t>
      </w:r>
      <w:r w:rsidR="00961050">
        <w:rPr>
          <w:lang w:val="en-IN"/>
        </w:rPr>
        <w:t xml:space="preserve">  8.59%</w:t>
      </w:r>
    </w:p>
    <w:p w14:paraId="11672142" w14:textId="2EEB025A" w:rsidR="00D219D4" w:rsidRPr="00D219D4" w:rsidRDefault="00D219D4" w:rsidP="00D219D4">
      <w:pPr>
        <w:rPr>
          <w:lang w:val="en-IN"/>
        </w:rPr>
      </w:pPr>
      <w:r w:rsidRPr="00C1250C">
        <w:rPr>
          <w:b/>
          <w:bCs/>
          <w:lang w:val="en-IN"/>
        </w:rPr>
        <w:t>Payback Period (PBP):</w:t>
      </w:r>
      <w:r w:rsidRPr="00D219D4">
        <w:rPr>
          <w:lang w:val="en-IN"/>
        </w:rPr>
        <w:t xml:space="preserve"> Project A recovers its £50 million investment in 4.50 years, closely followed by Project B at 4.55 years. Project C has the quickest turnaround with a payback period of just 3.60 years, making it the strongest option regarding liquidity and recovery speed.</w:t>
      </w:r>
    </w:p>
    <w:p w14:paraId="3C738E29" w14:textId="77777777" w:rsidR="00D219D4" w:rsidRPr="00D219D4" w:rsidRDefault="00D219D4" w:rsidP="00D219D4">
      <w:pPr>
        <w:rPr>
          <w:lang w:val="en-IN"/>
        </w:rPr>
      </w:pPr>
      <w:r w:rsidRPr="00C1250C">
        <w:rPr>
          <w:b/>
          <w:bCs/>
          <w:lang w:val="en-IN"/>
        </w:rPr>
        <w:t>Accounting Rate of Return (ARR):</w:t>
      </w:r>
      <w:r w:rsidRPr="00D219D4">
        <w:rPr>
          <w:lang w:val="en-IN"/>
        </w:rPr>
        <w:t xml:space="preserve"> Using a straight-line depreciation of £10 million per year (£50m ÷ 5), the projects show varying levels of profitability. Project A yields an ARR of 1.60% and Project B returns 2.00%, while Project C significantly outperforms them both with an ARR of 6.00%.</w:t>
      </w:r>
    </w:p>
    <w:p w14:paraId="382182AD" w14:textId="77777777" w:rsidR="00D219D4" w:rsidRPr="00D219D4" w:rsidRDefault="00D219D4" w:rsidP="00D219D4">
      <w:pPr>
        <w:rPr>
          <w:lang w:val="en-IN"/>
        </w:rPr>
      </w:pPr>
      <w:r w:rsidRPr="00C1250C">
        <w:rPr>
          <w:b/>
          <w:bCs/>
          <w:lang w:val="en-IN"/>
        </w:rPr>
        <w:t>Net Present Value (NPV):</w:t>
      </w:r>
      <w:r w:rsidRPr="00D219D4">
        <w:rPr>
          <w:lang w:val="en-IN"/>
        </w:rPr>
        <w:t xml:space="preserve"> When applying an 8% discount rate, Projects A and B result in negative NPVs of -£6.54 million and -£6.08 million, respectively, meaning neither adds value to the firm. In contrast, Project C produces a positive NPV of £0.86 million, proving it can generate returns above the required 8% threshold.</w:t>
      </w:r>
    </w:p>
    <w:p w14:paraId="789F0122" w14:textId="77777777" w:rsidR="00D219D4" w:rsidRPr="00D219D4" w:rsidRDefault="00D219D4" w:rsidP="00D219D4">
      <w:pPr>
        <w:rPr>
          <w:lang w:val="en-IN"/>
        </w:rPr>
      </w:pPr>
      <w:r w:rsidRPr="00C1250C">
        <w:rPr>
          <w:b/>
          <w:bCs/>
          <w:lang w:val="en-IN"/>
        </w:rPr>
        <w:t>Profitability Index (PI):</w:t>
      </w:r>
      <w:r w:rsidRPr="00D219D4">
        <w:rPr>
          <w:lang w:val="en-IN"/>
        </w:rPr>
        <w:t xml:space="preserve"> Projects A (0.869) and B (0.878) both fall below the necessary benchmark of 1. Project C, however, achieves a PI of 1.017, confirming that the present value of its future cash flows is greater than its initial outlay.</w:t>
      </w:r>
    </w:p>
    <w:p w14:paraId="06FB70D6" w14:textId="77777777" w:rsidR="00D219D4" w:rsidRPr="00D219D4" w:rsidRDefault="00D219D4" w:rsidP="00D219D4">
      <w:pPr>
        <w:rPr>
          <w:lang w:val="en-IN"/>
        </w:rPr>
      </w:pPr>
      <w:r w:rsidRPr="00C1250C">
        <w:rPr>
          <w:b/>
          <w:bCs/>
          <w:lang w:val="en-IN"/>
        </w:rPr>
        <w:t>Internal Rate of Return (IRR):</w:t>
      </w:r>
      <w:r w:rsidRPr="00D219D4">
        <w:rPr>
          <w:lang w:val="en-IN"/>
        </w:rPr>
        <w:t xml:space="preserve"> The IRR for Project A is 2.72% and Project B is 3.26%, both of which fail to meet the 8% hurdle rate. Project C reaches an IRR of 8.59%, which successfully exceeds the required return.</w:t>
      </w:r>
    </w:p>
    <w:p w14:paraId="5D6366F5" w14:textId="154FE5D0" w:rsidR="000F5E1E" w:rsidRDefault="00D219D4" w:rsidP="00A074C4">
      <w:pPr>
        <w:rPr>
          <w:lang w:val="en-IN"/>
        </w:rPr>
      </w:pPr>
      <w:r w:rsidRPr="00D219D4">
        <w:rPr>
          <w:lang w:val="en-IN"/>
        </w:rPr>
        <w:t xml:space="preserve">Ultimately, Project C is the clear winner, ranking first overall because it is the only project to perform well across all </w:t>
      </w:r>
      <w:r w:rsidR="00C1250C" w:rsidRPr="00D219D4">
        <w:rPr>
          <w:lang w:val="en-IN"/>
        </w:rPr>
        <w:t>five-appraisal</w:t>
      </w:r>
      <w:r w:rsidRPr="00D219D4">
        <w:rPr>
          <w:lang w:val="en-IN"/>
        </w:rPr>
        <w:t xml:space="preserve"> metrics.</w:t>
      </w:r>
    </w:p>
    <w:p w14:paraId="4DDB1425" w14:textId="4470C811" w:rsidR="00FD1F69" w:rsidRDefault="004D09B7" w:rsidP="00A074C4">
      <w:pPr>
        <w:rPr>
          <w:lang w:val="en-IN"/>
        </w:rPr>
      </w:pPr>
      <w:r>
        <w:rPr>
          <w:lang w:val="en-IN"/>
        </w:rPr>
        <w:t xml:space="preserve">                                 </w:t>
      </w:r>
    </w:p>
    <w:p w14:paraId="776B36BD" w14:textId="77777777" w:rsidR="00FD1F69" w:rsidRDefault="00FD1F69" w:rsidP="00A074C4">
      <w:pPr>
        <w:rPr>
          <w:lang w:val="en-IN"/>
        </w:rPr>
      </w:pPr>
    </w:p>
    <w:p w14:paraId="4D2939E6" w14:textId="77777777" w:rsidR="00FD1F69" w:rsidRDefault="00FD1F69" w:rsidP="00A074C4">
      <w:pPr>
        <w:rPr>
          <w:lang w:val="en-IN"/>
        </w:rPr>
      </w:pPr>
    </w:p>
    <w:p w14:paraId="0AC85942" w14:textId="77777777" w:rsidR="00FD1F69" w:rsidRDefault="00FD1F69" w:rsidP="00A074C4">
      <w:pPr>
        <w:rPr>
          <w:lang w:val="en-IN"/>
        </w:rPr>
      </w:pPr>
    </w:p>
    <w:p w14:paraId="11B00C9E" w14:textId="77777777" w:rsidR="00A074C4" w:rsidRDefault="00A074C4" w:rsidP="00A074C4">
      <w:pPr>
        <w:rPr>
          <w:lang w:val="en-IN"/>
        </w:rPr>
      </w:pPr>
    </w:p>
    <w:p w14:paraId="51A95A6A" w14:textId="77777777" w:rsidR="00A074C4" w:rsidRPr="00A074C4" w:rsidRDefault="00A074C4" w:rsidP="00A074C4">
      <w:pPr>
        <w:pStyle w:val="ListParagraph"/>
        <w:numPr>
          <w:ilvl w:val="0"/>
          <w:numId w:val="8"/>
        </w:numPr>
        <w:rPr>
          <w:lang w:val="en-IN"/>
        </w:rPr>
      </w:pPr>
      <w:r w:rsidRPr="00A074C4">
        <w:rPr>
          <w:lang w:val="en-IN"/>
        </w:rPr>
        <w:lastRenderedPageBreak/>
        <w:t>Each of the three projects demands an upfront investment of £50 million, with cash inflows spread across a five-year period.</w:t>
      </w:r>
    </w:p>
    <w:p w14:paraId="68FE7922" w14:textId="1254E670" w:rsidR="00A074C4" w:rsidRDefault="001E0373" w:rsidP="00760338">
      <w:pPr>
        <w:pStyle w:val="ListParagraph"/>
        <w:rPr>
          <w:lang w:val="en-IN"/>
        </w:rPr>
      </w:pPr>
      <w:r w:rsidRPr="00B061D1">
        <w:rPr>
          <w:b/>
          <w:bCs/>
          <w:lang w:val="en-IN"/>
        </w:rPr>
        <w:t>*</w:t>
      </w:r>
      <w:r w:rsidR="00A074C4" w:rsidRPr="00B061D1">
        <w:rPr>
          <w:b/>
          <w:bCs/>
          <w:lang w:val="en-IN"/>
        </w:rPr>
        <w:t>Project A</w:t>
      </w:r>
      <w:r w:rsidR="00A074C4" w:rsidRPr="00A074C4">
        <w:rPr>
          <w:lang w:val="en-IN"/>
        </w:rPr>
        <w:t xml:space="preserve"> yields £10m, £12m, £14m, £10m and £8m in Years 1–5 respectively</w:t>
      </w:r>
      <w:r w:rsidR="00752E17">
        <w:rPr>
          <w:lang w:val="en-IN"/>
        </w:rPr>
        <w:t>.</w:t>
      </w:r>
    </w:p>
    <w:p w14:paraId="1BDD1CE4" w14:textId="4B81625F" w:rsidR="00752E17" w:rsidRDefault="00752E17" w:rsidP="00760338">
      <w:pPr>
        <w:pStyle w:val="ListParagraph"/>
        <w:rPr>
          <w:lang w:val="en-IN"/>
        </w:rPr>
      </w:pPr>
      <w:r>
        <w:rPr>
          <w:lang w:val="en-IN"/>
        </w:rPr>
        <w:t xml:space="preserve">                      </w:t>
      </w:r>
      <w:r w:rsidRPr="004D09B7">
        <w:rPr>
          <w:noProof/>
          <w:lang w:val="en-IN"/>
        </w:rPr>
        <w:drawing>
          <wp:inline distT="0" distB="0" distL="0" distR="0" wp14:anchorId="727402D7" wp14:editId="679DF321">
            <wp:extent cx="3292125" cy="1272650"/>
            <wp:effectExtent l="0" t="0" r="3810" b="3810"/>
            <wp:docPr id="2118743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743025" name=""/>
                    <pic:cNvPicPr/>
                  </pic:nvPicPr>
                  <pic:blipFill>
                    <a:blip r:embed="rId20"/>
                    <a:stretch>
                      <a:fillRect/>
                    </a:stretch>
                  </pic:blipFill>
                  <pic:spPr>
                    <a:xfrm>
                      <a:off x="0" y="0"/>
                      <a:ext cx="3292125" cy="1272650"/>
                    </a:xfrm>
                    <a:prstGeom prst="rect">
                      <a:avLst/>
                    </a:prstGeom>
                  </pic:spPr>
                </pic:pic>
              </a:graphicData>
            </a:graphic>
          </wp:inline>
        </w:drawing>
      </w:r>
    </w:p>
    <w:p w14:paraId="1BA28C7E" w14:textId="7A5CB927" w:rsidR="00B061D1" w:rsidRPr="00A074C4" w:rsidRDefault="00906CE6" w:rsidP="00760338">
      <w:pPr>
        <w:pStyle w:val="ListParagraph"/>
        <w:rPr>
          <w:lang w:val="en-IN"/>
        </w:rPr>
      </w:pPr>
      <w:r>
        <w:rPr>
          <w:lang w:val="en-IN"/>
        </w:rPr>
        <w:t xml:space="preserve">                                                        Table – 4.1</w:t>
      </w:r>
    </w:p>
    <w:p w14:paraId="057A0B63" w14:textId="66A09858" w:rsidR="00A074C4" w:rsidRDefault="00B061D1" w:rsidP="00760338">
      <w:pPr>
        <w:pStyle w:val="ListParagraph"/>
        <w:rPr>
          <w:lang w:val="en-IN"/>
        </w:rPr>
      </w:pPr>
      <w:r w:rsidRPr="00B061D1">
        <w:rPr>
          <w:b/>
          <w:bCs/>
          <w:lang w:val="en-IN"/>
        </w:rPr>
        <w:t>*</w:t>
      </w:r>
      <w:r w:rsidR="00A074C4" w:rsidRPr="00B061D1">
        <w:rPr>
          <w:b/>
          <w:bCs/>
          <w:lang w:val="en-IN"/>
        </w:rPr>
        <w:t>Project B</w:t>
      </w:r>
      <w:r w:rsidR="00A074C4" w:rsidRPr="00A074C4">
        <w:rPr>
          <w:lang w:val="en-IN"/>
        </w:rPr>
        <w:t xml:space="preserve"> provides a steady £11m every year for five years.</w:t>
      </w:r>
    </w:p>
    <w:p w14:paraId="315F3BA3" w14:textId="3072DF1C" w:rsidR="004839A3" w:rsidRDefault="00752E17" w:rsidP="00760338">
      <w:pPr>
        <w:pStyle w:val="ListParagraph"/>
        <w:rPr>
          <w:lang w:val="en-IN"/>
        </w:rPr>
      </w:pPr>
      <w:r>
        <w:rPr>
          <w:lang w:val="en-IN"/>
        </w:rPr>
        <w:t xml:space="preserve">                      </w:t>
      </w:r>
      <w:r w:rsidR="004839A3" w:rsidRPr="004839A3">
        <w:rPr>
          <w:noProof/>
          <w:lang w:val="en-IN"/>
        </w:rPr>
        <w:drawing>
          <wp:inline distT="0" distB="0" distL="0" distR="0" wp14:anchorId="5FC2C2F1" wp14:editId="4DBD6FAA">
            <wp:extent cx="3292125" cy="1310754"/>
            <wp:effectExtent l="0" t="0" r="3810" b="3810"/>
            <wp:docPr id="1673208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208585" name=""/>
                    <pic:cNvPicPr/>
                  </pic:nvPicPr>
                  <pic:blipFill>
                    <a:blip r:embed="rId21"/>
                    <a:stretch>
                      <a:fillRect/>
                    </a:stretch>
                  </pic:blipFill>
                  <pic:spPr>
                    <a:xfrm>
                      <a:off x="0" y="0"/>
                      <a:ext cx="3292125" cy="1310754"/>
                    </a:xfrm>
                    <a:prstGeom prst="rect">
                      <a:avLst/>
                    </a:prstGeom>
                  </pic:spPr>
                </pic:pic>
              </a:graphicData>
            </a:graphic>
          </wp:inline>
        </w:drawing>
      </w:r>
    </w:p>
    <w:p w14:paraId="51528BC3" w14:textId="742CD026" w:rsidR="00B061D1" w:rsidRPr="00A074C4" w:rsidRDefault="00906CE6" w:rsidP="00760338">
      <w:pPr>
        <w:pStyle w:val="ListParagraph"/>
        <w:rPr>
          <w:lang w:val="en-IN"/>
        </w:rPr>
      </w:pPr>
      <w:r>
        <w:rPr>
          <w:lang w:val="en-IN"/>
        </w:rPr>
        <w:t xml:space="preserve">                                                         Table – 4.2</w:t>
      </w:r>
    </w:p>
    <w:p w14:paraId="36137602" w14:textId="6F89BE42" w:rsidR="00A074C4" w:rsidRDefault="00B061D1" w:rsidP="00760338">
      <w:pPr>
        <w:pStyle w:val="ListParagraph"/>
        <w:rPr>
          <w:lang w:val="en-IN"/>
        </w:rPr>
      </w:pPr>
      <w:r w:rsidRPr="00B061D1">
        <w:rPr>
          <w:b/>
          <w:bCs/>
          <w:lang w:val="en-IN"/>
        </w:rPr>
        <w:t>*</w:t>
      </w:r>
      <w:r w:rsidR="00A074C4" w:rsidRPr="00B061D1">
        <w:rPr>
          <w:b/>
          <w:bCs/>
          <w:lang w:val="en-IN"/>
        </w:rPr>
        <w:t xml:space="preserve">Project C </w:t>
      </w:r>
      <w:r w:rsidR="00A074C4" w:rsidRPr="00A074C4">
        <w:rPr>
          <w:lang w:val="en-IN"/>
        </w:rPr>
        <w:t>produces £5m, £10m, £20m, £25m and £5m over the same five-year</w:t>
      </w:r>
      <w:r w:rsidR="00760338">
        <w:rPr>
          <w:lang w:val="en-IN"/>
        </w:rPr>
        <w:t xml:space="preserve"> </w:t>
      </w:r>
      <w:r w:rsidR="00A074C4" w:rsidRPr="00A074C4">
        <w:rPr>
          <w:lang w:val="en-IN"/>
        </w:rPr>
        <w:t>span.</w:t>
      </w:r>
    </w:p>
    <w:p w14:paraId="7FEF5CDB" w14:textId="013EDDF3" w:rsidR="007D6A55" w:rsidRDefault="007D6A55" w:rsidP="00760338">
      <w:pPr>
        <w:pStyle w:val="ListParagraph"/>
        <w:rPr>
          <w:lang w:val="en-IN"/>
        </w:rPr>
      </w:pPr>
      <w:r>
        <w:rPr>
          <w:lang w:val="en-IN"/>
        </w:rPr>
        <w:t xml:space="preserve">                      </w:t>
      </w:r>
      <w:r w:rsidRPr="007D6A55">
        <w:rPr>
          <w:noProof/>
          <w:lang w:val="en-IN"/>
        </w:rPr>
        <w:drawing>
          <wp:inline distT="0" distB="0" distL="0" distR="0" wp14:anchorId="49160C91" wp14:editId="6DECF36F">
            <wp:extent cx="3322608" cy="1310754"/>
            <wp:effectExtent l="0" t="0" r="0" b="3810"/>
            <wp:docPr id="1007435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435074" name=""/>
                    <pic:cNvPicPr/>
                  </pic:nvPicPr>
                  <pic:blipFill>
                    <a:blip r:embed="rId22"/>
                    <a:stretch>
                      <a:fillRect/>
                    </a:stretch>
                  </pic:blipFill>
                  <pic:spPr>
                    <a:xfrm>
                      <a:off x="0" y="0"/>
                      <a:ext cx="3322608" cy="1310754"/>
                    </a:xfrm>
                    <a:prstGeom prst="rect">
                      <a:avLst/>
                    </a:prstGeom>
                  </pic:spPr>
                </pic:pic>
              </a:graphicData>
            </a:graphic>
          </wp:inline>
        </w:drawing>
      </w:r>
    </w:p>
    <w:p w14:paraId="375B93F4" w14:textId="119FCCC5" w:rsidR="00B061D1" w:rsidRPr="00A074C4" w:rsidRDefault="00906CE6" w:rsidP="00760338">
      <w:pPr>
        <w:pStyle w:val="ListParagraph"/>
        <w:rPr>
          <w:lang w:val="en-IN"/>
        </w:rPr>
      </w:pPr>
      <w:r>
        <w:rPr>
          <w:lang w:val="en-IN"/>
        </w:rPr>
        <w:t xml:space="preserve">                                                            </w:t>
      </w:r>
      <w:r w:rsidR="009E7B4C">
        <w:rPr>
          <w:lang w:val="en-IN"/>
        </w:rPr>
        <w:t>Table – 4.3</w:t>
      </w:r>
    </w:p>
    <w:p w14:paraId="2C957C3D" w14:textId="23A3088A" w:rsidR="00A074C4" w:rsidRPr="00A074C4" w:rsidRDefault="00A074C4" w:rsidP="00760338">
      <w:pPr>
        <w:pStyle w:val="ListParagraph"/>
        <w:rPr>
          <w:lang w:val="en-IN"/>
        </w:rPr>
      </w:pPr>
      <w:r w:rsidRPr="00A074C4">
        <w:rPr>
          <w:lang w:val="en-IN"/>
        </w:rPr>
        <w:t>Project C brings in the highest total cash inflow at £65 million, outperforming Project A’s £54 million and Project B’s £55 million. Because its cash flows are heavily concentrated in Years 3 and 4, it benefits from a faster payback period and a positive NPV.</w:t>
      </w:r>
    </w:p>
    <w:p w14:paraId="3F03E0A9" w14:textId="77777777" w:rsidR="00592258" w:rsidRDefault="00592258" w:rsidP="00F03B5F">
      <w:pPr>
        <w:pStyle w:val="ListParagraph"/>
        <w:ind w:left="600"/>
      </w:pPr>
    </w:p>
    <w:p w14:paraId="1A26BBCC" w14:textId="0D173B2D" w:rsidR="00592258" w:rsidRDefault="007D4657" w:rsidP="00BA52BF">
      <w:pPr>
        <w:pStyle w:val="ListParagraph"/>
        <w:numPr>
          <w:ilvl w:val="0"/>
          <w:numId w:val="8"/>
        </w:numPr>
      </w:pPr>
      <w:r w:rsidRPr="007D4657">
        <w:t xml:space="preserve">An 8% discount rate is used for the investment appraisal, serving as the required rate of return to discount future cash flows. Depreciation is calculated using the straight-line method over a five-year period, assuming a residual value of zero. This results in an annual depreciation expense of £10m (£50m divided by 5). This figure is factored into the ARR calculation, as ARR relies on accounting profit rather than pure cash flow. For the NPV calculation, each year's cash inflow is discounted at 8%, and the initial £50 million investment is then subtracted. </w:t>
      </w:r>
      <w:r w:rsidRPr="007D4657">
        <w:lastRenderedPageBreak/>
        <w:t>Projects that yield a positive NPV are considered financially viable, as they produce returns that exceed the required rate.</w:t>
      </w:r>
    </w:p>
    <w:p w14:paraId="58CCC743" w14:textId="6291D66D" w:rsidR="007D4657" w:rsidRPr="00BB00A6" w:rsidRDefault="007D4657" w:rsidP="007D4657">
      <w:pPr>
        <w:pStyle w:val="ListParagraph"/>
        <w:rPr>
          <w:b/>
          <w:bCs/>
        </w:rPr>
      </w:pPr>
      <w:r w:rsidRPr="00BB00A6">
        <w:rPr>
          <w:b/>
          <w:bCs/>
        </w:rPr>
        <w:t xml:space="preserve">               </w:t>
      </w:r>
      <w:r w:rsidR="00BB00A6" w:rsidRPr="00BB00A6">
        <w:rPr>
          <w:b/>
          <w:bCs/>
        </w:rPr>
        <w:t xml:space="preserve">              </w:t>
      </w:r>
      <w:r w:rsidRPr="00BB00A6">
        <w:rPr>
          <w:b/>
          <w:bCs/>
        </w:rPr>
        <w:t xml:space="preserve">  Annual Declaration </w:t>
      </w:r>
      <w:r w:rsidR="003A6D92" w:rsidRPr="00BB00A6">
        <w:rPr>
          <w:b/>
          <w:bCs/>
        </w:rPr>
        <w:t xml:space="preserve">= </w:t>
      </w:r>
      <w:r w:rsidR="00BB00A6" w:rsidRPr="00BB00A6">
        <w:rPr>
          <w:b/>
          <w:bCs/>
        </w:rPr>
        <w:t>£50m ÷ 5 = £10m</w:t>
      </w:r>
    </w:p>
    <w:p w14:paraId="0E3791A6" w14:textId="77777777" w:rsidR="00592258" w:rsidRDefault="00592258" w:rsidP="00F03B5F">
      <w:pPr>
        <w:pStyle w:val="ListParagraph"/>
        <w:ind w:left="600"/>
      </w:pPr>
    </w:p>
    <w:p w14:paraId="222842E9" w14:textId="77777777" w:rsidR="004E5170" w:rsidRDefault="004E5170" w:rsidP="004E5170">
      <w:pPr>
        <w:pStyle w:val="ListParagraph"/>
        <w:numPr>
          <w:ilvl w:val="0"/>
          <w:numId w:val="8"/>
        </w:numPr>
      </w:pPr>
      <w:r>
        <w:t>Project C is the best choice. It offers the quickest turnaround with a payback period of 3.60 years, the strongest ARR at 6%, a positive NPV of £0.86 million, a PI of 1.017, and an IRR of 8.59%. On the other hand, Projects A and B should likely be passed over, as their negative NPVs and IRRs falling below the 8% required return make them unviable.</w:t>
      </w:r>
    </w:p>
    <w:p w14:paraId="4AB25E27" w14:textId="77777777" w:rsidR="00EB33B3" w:rsidRDefault="00EB33B3" w:rsidP="00EB33B3">
      <w:pPr>
        <w:pStyle w:val="ListParagraph"/>
      </w:pPr>
    </w:p>
    <w:p w14:paraId="7D9BB0EB" w14:textId="77777777" w:rsidR="004E5170" w:rsidRDefault="004E5170" w:rsidP="004E5170">
      <w:pPr>
        <w:pStyle w:val="ListParagraph"/>
      </w:pPr>
      <w:r>
        <w:t>Beyond the numbers, we need to keep an eye on the company’s overall profitability and liquidity. Committing £50 million is a significant move that shouldn't strain our available cash reserves. The fact that Project C has a shorter payback period is a plus, as recovering the initial investment faster helps protect our liquidity. That said, we must ensure enough working capital remains to cover day-to-day operations and any unforeseen costs.</w:t>
      </w:r>
    </w:p>
    <w:p w14:paraId="6D3CE268" w14:textId="4F9CBE26" w:rsidR="00F41583" w:rsidRDefault="00F41583" w:rsidP="004E5170">
      <w:pPr>
        <w:pStyle w:val="ListParagraph"/>
      </w:pPr>
    </w:p>
    <w:p w14:paraId="6337C2E2" w14:textId="3E22A453" w:rsidR="002576A6" w:rsidRDefault="00F41583" w:rsidP="004E5170">
      <w:pPr>
        <w:pStyle w:val="ListParagraph"/>
      </w:pPr>
      <w:r>
        <w:t xml:space="preserve">                                              </w:t>
      </w:r>
      <w:r>
        <w:rPr>
          <w:noProof/>
        </w:rPr>
        <w:drawing>
          <wp:inline distT="0" distB="0" distL="0" distR="0" wp14:anchorId="6ADA01F8" wp14:editId="53C6AC16">
            <wp:extent cx="1973558" cy="2080260"/>
            <wp:effectExtent l="0" t="0" r="8255" b="0"/>
            <wp:docPr id="7693597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984840" cy="2092151"/>
                    </a:xfrm>
                    <a:prstGeom prst="rect">
                      <a:avLst/>
                    </a:prstGeom>
                    <a:noFill/>
                    <a:ln>
                      <a:noFill/>
                    </a:ln>
                  </pic:spPr>
                </pic:pic>
              </a:graphicData>
            </a:graphic>
          </wp:inline>
        </w:drawing>
      </w:r>
    </w:p>
    <w:p w14:paraId="2F454FEF" w14:textId="77777777" w:rsidR="00EB33B3" w:rsidRDefault="00EB33B3" w:rsidP="00EB33B3"/>
    <w:p w14:paraId="58DF2420" w14:textId="6B246D80" w:rsidR="004E5170" w:rsidRDefault="004E5170" w:rsidP="004E5170">
      <w:pPr>
        <w:pStyle w:val="ListParagraph"/>
      </w:pPr>
      <w:r>
        <w:t>We also can't ignore the non-financial risks. Shifts in politics or regulations could impact our taxes, operating expenses, and ability to access certain markets. If we're dealing internationally, currency fluctuations could easily swing our revenues and costs. Customer loyalty is another factor; if preferences shift or competition ramps up, our expected cash inflows could take a hit. Ultimately, technological shifts, broader economic trends and the moves of our competitors could all influence how the project performs.</w:t>
      </w:r>
    </w:p>
    <w:p w14:paraId="187779CB" w14:textId="647A8AC0" w:rsidR="00592258" w:rsidRDefault="004E5170" w:rsidP="004E5170">
      <w:pPr>
        <w:pStyle w:val="ListParagraph"/>
      </w:pPr>
      <w:r>
        <w:t>Because of these variables</w:t>
      </w:r>
      <w:r w:rsidR="00E251C7">
        <w:t xml:space="preserve"> </w:t>
      </w:r>
      <w:r w:rsidR="00575BE3">
        <w:t>the</w:t>
      </w:r>
      <w:r>
        <w:t xml:space="preserve"> management should run a sensitivity analysis and closely monitor these risks before giving the final green light to the investment.</w:t>
      </w:r>
    </w:p>
    <w:p w14:paraId="158D3191" w14:textId="77777777" w:rsidR="00592258" w:rsidRDefault="00592258" w:rsidP="00F03B5F">
      <w:pPr>
        <w:pStyle w:val="ListParagraph"/>
        <w:ind w:left="600"/>
      </w:pPr>
    </w:p>
    <w:p w14:paraId="22BC4283" w14:textId="77777777" w:rsidR="00FF7A85" w:rsidRDefault="004B443E" w:rsidP="004B443E">
      <w:pPr>
        <w:pStyle w:val="ListParagraph"/>
        <w:numPr>
          <w:ilvl w:val="0"/>
          <w:numId w:val="8"/>
        </w:numPr>
      </w:pPr>
      <w:r w:rsidRPr="004B443E">
        <w:lastRenderedPageBreak/>
        <w:t>Capital rationing happens when a firm faces budget constraints that prevent it from pursuing every profitable opportunity. In this case, since each project costs £50 million and the total budget is capped at £100 million, the company is limited to just two investments.</w:t>
      </w:r>
    </w:p>
    <w:p w14:paraId="46A2068F" w14:textId="77777777" w:rsidR="00FF7A85" w:rsidRDefault="00FF7A85" w:rsidP="00FF7A85">
      <w:pPr>
        <w:pStyle w:val="ListParagraph"/>
      </w:pPr>
    </w:p>
    <w:p w14:paraId="1A01813D" w14:textId="4B992581" w:rsidR="00FF7A85" w:rsidRPr="00E23164" w:rsidRDefault="00D21B4C" w:rsidP="00FF7A85">
      <w:pPr>
        <w:pStyle w:val="ListParagraph"/>
        <w:rPr>
          <w:b/>
          <w:bCs/>
        </w:rPr>
      </w:pPr>
      <w:r w:rsidRPr="00E23164">
        <w:rPr>
          <w:b/>
          <w:bCs/>
        </w:rPr>
        <w:t xml:space="preserve">Project Combination       </w:t>
      </w:r>
      <w:r w:rsidR="00793520" w:rsidRPr="00E23164">
        <w:rPr>
          <w:b/>
          <w:bCs/>
        </w:rPr>
        <w:t xml:space="preserve"> Total Investment      Combined NPV</w:t>
      </w:r>
    </w:p>
    <w:p w14:paraId="52B9CFB8" w14:textId="494F43DA" w:rsidR="00E23164" w:rsidRDefault="00E23164" w:rsidP="00E23164">
      <w:pPr>
        <w:pStyle w:val="ListParagraph"/>
      </w:pPr>
      <w:r>
        <w:t xml:space="preserve">A+B                                               </w:t>
      </w:r>
      <w:r w:rsidR="009037C9" w:rsidRPr="009037C9">
        <w:t>£</w:t>
      </w:r>
      <w:r w:rsidR="009037C9">
        <w:t>100m                            -</w:t>
      </w:r>
      <w:r w:rsidR="009037C9" w:rsidRPr="009037C9">
        <w:t>£</w:t>
      </w:r>
      <w:r w:rsidR="009037C9">
        <w:t>12.62m</w:t>
      </w:r>
    </w:p>
    <w:p w14:paraId="5272CAA8" w14:textId="77777777" w:rsidR="00FF7A85" w:rsidRDefault="00FF7A85" w:rsidP="00FF7A85">
      <w:pPr>
        <w:pStyle w:val="ListParagraph"/>
      </w:pPr>
    </w:p>
    <w:p w14:paraId="09C42AA2" w14:textId="4013EEAD" w:rsidR="00E23164" w:rsidRDefault="00E23164" w:rsidP="00FF7A85">
      <w:pPr>
        <w:pStyle w:val="ListParagraph"/>
      </w:pPr>
      <w:r>
        <w:t>A+C</w:t>
      </w:r>
      <w:r w:rsidR="009037C9">
        <w:t xml:space="preserve">                                              </w:t>
      </w:r>
      <w:r w:rsidR="009037C9" w:rsidRPr="009037C9">
        <w:t>£</w:t>
      </w:r>
      <w:r w:rsidR="009037C9">
        <w:t xml:space="preserve">100m                             </w:t>
      </w:r>
      <w:r w:rsidR="006811C8">
        <w:t>-</w:t>
      </w:r>
      <w:r w:rsidR="006811C8" w:rsidRPr="006811C8">
        <w:t>£</w:t>
      </w:r>
      <w:r w:rsidR="006811C8">
        <w:t>5.68</w:t>
      </w:r>
    </w:p>
    <w:p w14:paraId="4C87174E" w14:textId="77777777" w:rsidR="00FF7A85" w:rsidRDefault="00FF7A85" w:rsidP="00FF7A85">
      <w:pPr>
        <w:pStyle w:val="ListParagraph"/>
      </w:pPr>
    </w:p>
    <w:p w14:paraId="152662C3" w14:textId="52674C3A" w:rsidR="00FF7A85" w:rsidRDefault="00E23164" w:rsidP="00FF7A85">
      <w:pPr>
        <w:pStyle w:val="ListParagraph"/>
      </w:pPr>
      <w:r>
        <w:t>B+C</w:t>
      </w:r>
      <w:r w:rsidR="006811C8">
        <w:t xml:space="preserve">                                              </w:t>
      </w:r>
      <w:r w:rsidR="006811C8" w:rsidRPr="006811C8">
        <w:t>£</w:t>
      </w:r>
      <w:r w:rsidR="006811C8">
        <w:t>100m                             -</w:t>
      </w:r>
      <w:r w:rsidR="00FD1F69" w:rsidRPr="00FD1F69">
        <w:t>£</w:t>
      </w:r>
      <w:r w:rsidR="00FD1F69">
        <w:t>5.22m</w:t>
      </w:r>
    </w:p>
    <w:p w14:paraId="40FE2CED" w14:textId="77777777" w:rsidR="00FF7A85" w:rsidRDefault="00FF7A85" w:rsidP="00FF7A85">
      <w:pPr>
        <w:pStyle w:val="ListParagraph"/>
      </w:pPr>
    </w:p>
    <w:p w14:paraId="2C831384" w14:textId="77777777" w:rsidR="00FF7A85" w:rsidRDefault="00FF7A85" w:rsidP="00FF7A85">
      <w:pPr>
        <w:pStyle w:val="ListParagraph"/>
      </w:pPr>
    </w:p>
    <w:p w14:paraId="10912DC2" w14:textId="77777777" w:rsidR="00FF7A85" w:rsidRDefault="00FF7A85" w:rsidP="00FF7A85">
      <w:pPr>
        <w:pStyle w:val="ListParagraph"/>
      </w:pPr>
    </w:p>
    <w:p w14:paraId="41F7E7A7" w14:textId="75BA8BC6" w:rsidR="004B443E" w:rsidRDefault="004B443E" w:rsidP="00FF7A85">
      <w:pPr>
        <w:pStyle w:val="ListParagraph"/>
      </w:pPr>
      <w:r w:rsidRPr="004B443E">
        <w:t xml:space="preserve"> If the firm is obligated to spend the entire £100 million on exactly two projects, the best option is to go with Projects B and C, as they offer the highest combined NPV at roughly -£5.22 million.</w:t>
      </w:r>
    </w:p>
    <w:p w14:paraId="70ABBE7B" w14:textId="77777777" w:rsidR="00FF7A85" w:rsidRPr="004B443E" w:rsidRDefault="00FF7A85" w:rsidP="00FF7A85">
      <w:pPr>
        <w:pStyle w:val="ListParagraph"/>
      </w:pPr>
    </w:p>
    <w:p w14:paraId="4B86921D" w14:textId="316512C5" w:rsidR="00592258" w:rsidRDefault="0009432B" w:rsidP="001E2A9F">
      <w:pPr>
        <w:pStyle w:val="ListParagraph"/>
      </w:pPr>
      <w:r>
        <w:t xml:space="preserve">So, </w:t>
      </w:r>
      <w:r w:rsidR="004B443E" w:rsidRPr="004B443E">
        <w:t xml:space="preserve">the combined NPV remains negative, the strategy changes if the company isn't forced to spend the full budget. In that scenario it would be wiser to invest only £50 million in Project C and keep the rest of the </w:t>
      </w:r>
      <w:proofErr w:type="gramStart"/>
      <w:r w:rsidR="004B443E" w:rsidRPr="004B443E">
        <w:t>cash, or</w:t>
      </w:r>
      <w:proofErr w:type="gramEnd"/>
      <w:r w:rsidR="004B443E" w:rsidRPr="004B443E">
        <w:t xml:space="preserve"> perhaps put it toward a different project that yields a positive NPV and a return higher than 8%. Ultimately, Project C should be the top priority, but whether a second project is worth the investment depends on whether management feels pressured to exhaust the full £100 million budget.</w:t>
      </w:r>
    </w:p>
    <w:p w14:paraId="148925E9" w14:textId="77777777" w:rsidR="00592258" w:rsidRDefault="00592258" w:rsidP="00F03B5F">
      <w:pPr>
        <w:pStyle w:val="ListParagraph"/>
        <w:ind w:left="600"/>
      </w:pPr>
    </w:p>
    <w:p w14:paraId="0701F340" w14:textId="77777777" w:rsidR="00592258" w:rsidRDefault="00592258" w:rsidP="00F03B5F">
      <w:pPr>
        <w:pStyle w:val="ListParagraph"/>
        <w:ind w:left="600"/>
      </w:pPr>
    </w:p>
    <w:p w14:paraId="34DEE998" w14:textId="6120B106" w:rsidR="00592258" w:rsidRDefault="00977BB0" w:rsidP="006020CF">
      <w:pPr>
        <w:pStyle w:val="ListParagraph"/>
        <w:ind w:left="600"/>
      </w:pPr>
      <w:r>
        <w:t xml:space="preserve">                                              </w:t>
      </w:r>
      <w:r>
        <w:rPr>
          <w:noProof/>
        </w:rPr>
        <w:drawing>
          <wp:inline distT="0" distB="0" distL="0" distR="0" wp14:anchorId="2FC79702" wp14:editId="53761CCF">
            <wp:extent cx="2094016" cy="2705100"/>
            <wp:effectExtent l="0" t="0" r="1905" b="0"/>
            <wp:docPr id="1842306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110129" cy="2725915"/>
                    </a:xfrm>
                    <a:prstGeom prst="rect">
                      <a:avLst/>
                    </a:prstGeom>
                    <a:noFill/>
                    <a:ln>
                      <a:noFill/>
                    </a:ln>
                  </pic:spPr>
                </pic:pic>
              </a:graphicData>
            </a:graphic>
          </wp:inline>
        </w:drawing>
      </w:r>
    </w:p>
    <w:p w14:paraId="03EFD482" w14:textId="77777777" w:rsidR="00CD1AAA" w:rsidRDefault="00CD1AAA" w:rsidP="006020CF">
      <w:pPr>
        <w:pStyle w:val="ListParagraph"/>
        <w:ind w:left="600"/>
      </w:pPr>
    </w:p>
    <w:p w14:paraId="0CF4524B" w14:textId="6A6B91B4" w:rsidR="00CD1AAA" w:rsidRDefault="007115A9" w:rsidP="007115A9">
      <w:pPr>
        <w:pStyle w:val="Heading1"/>
      </w:pPr>
      <w:r>
        <w:lastRenderedPageBreak/>
        <w:t>Critical Reflection on AI Usage</w:t>
      </w:r>
    </w:p>
    <w:p w14:paraId="56FDF72E" w14:textId="398F4EE7" w:rsidR="00CE33E4" w:rsidRPr="00CE33E4" w:rsidRDefault="00CE33E4" w:rsidP="00CE33E4">
      <w:pPr>
        <w:pStyle w:val="ListParagraph"/>
        <w:numPr>
          <w:ilvl w:val="0"/>
          <w:numId w:val="9"/>
        </w:numPr>
      </w:pPr>
      <w:r w:rsidRPr="00CE33E4">
        <w:t>Artificial Intelligence (AI) served as a supporting tool throughout the development of this report. Primarily, AI was used to help organize the financial analysis, explain various investment appraisal techniques and structure calculations for the Payback Period (PBP), Accounting Rate of Return (ARR), Net Present Value (NPV), Profitability Index (PI) and Internal Rate of Return (IRR). Additionally, it assisted in formatting information into tables and refining the clarity and flow of the written sections.</w:t>
      </w:r>
    </w:p>
    <w:p w14:paraId="0EB68BAE" w14:textId="68007580" w:rsidR="007115A9" w:rsidRDefault="00CE33E4" w:rsidP="00CE33E4">
      <w:pPr>
        <w:pStyle w:val="ListParagraph"/>
        <w:ind w:left="504"/>
      </w:pPr>
      <w:r w:rsidRPr="00CE33E4">
        <w:t>AI was utilized strictly as an aid rather than a substitute for independent judgment. Its use is acknowledged here in compliance with the institution's guidelines regarding AI. All final interpretations and conclusions presented in this report were carefully reviewed and verified before being included.</w:t>
      </w:r>
    </w:p>
    <w:p w14:paraId="351DD1DF" w14:textId="77777777" w:rsidR="00E26C73" w:rsidRDefault="00E26C73" w:rsidP="00CE33E4">
      <w:pPr>
        <w:pStyle w:val="ListParagraph"/>
        <w:ind w:left="504"/>
      </w:pPr>
    </w:p>
    <w:p w14:paraId="756DA38F" w14:textId="6598B58F" w:rsidR="00AC3618" w:rsidRPr="00AC3618" w:rsidRDefault="00AC3618" w:rsidP="00AC3618">
      <w:pPr>
        <w:pStyle w:val="ListParagraph"/>
        <w:numPr>
          <w:ilvl w:val="0"/>
          <w:numId w:val="9"/>
        </w:numPr>
      </w:pPr>
      <w:r w:rsidRPr="00AC3618">
        <w:t>A critical eye was applied when evaluating the AI-generated information, as AI models can often present plausible-sounding but fundamentally inaccurate financial interpretations. To ensure accuracy, all calculations were cross-referenced against the original project data and the specific assumptions laid out in the assessment. I paid close attention to the £50 million initial investment, the five-year cash flow projections, the 8% discount rate</w:t>
      </w:r>
      <w:r w:rsidR="0015050E">
        <w:t xml:space="preserve"> </w:t>
      </w:r>
      <w:r w:rsidRPr="00AC3618">
        <w:t>and the assumption of straight-line depreciation.</w:t>
      </w:r>
    </w:p>
    <w:p w14:paraId="2F7F7847" w14:textId="7B7F6B3F" w:rsidR="00AC3618" w:rsidRDefault="00AC3618" w:rsidP="00AC3618">
      <w:pPr>
        <w:pStyle w:val="ListParagraph"/>
        <w:ind w:left="504"/>
      </w:pPr>
      <w:r w:rsidRPr="00AC3618">
        <w:t xml:space="preserve">For instance, the ARR calculation needed </w:t>
      </w:r>
      <w:proofErr w:type="gramStart"/>
      <w:r w:rsidRPr="00AC3618">
        <w:t>careful scrutiny</w:t>
      </w:r>
      <w:proofErr w:type="gramEnd"/>
      <w:r w:rsidR="003D0E90">
        <w:t>:</w:t>
      </w:r>
      <w:r w:rsidRPr="00AC3618">
        <w:t xml:space="preserve"> ARR must be based on accounting profit after depreciation, rather than mistakenly treating average cash inflows as the return. I calculated the straight-line depreciation at £10 million per year (£50 million divided by five years) and then recalculated the ARR using the corrected accounting profit. Similarly, I verified the NPV, PI</w:t>
      </w:r>
      <w:r w:rsidR="00897F25">
        <w:t xml:space="preserve"> </w:t>
      </w:r>
      <w:r w:rsidRPr="00AC3618">
        <w:t>and IRR results against the underlying cash flows to ensure the final recommendations were logically sound.</w:t>
      </w:r>
    </w:p>
    <w:p w14:paraId="3EF8C233" w14:textId="0C6FF630" w:rsidR="00977C9B" w:rsidRDefault="00AC3618" w:rsidP="00402207">
      <w:pPr>
        <w:pStyle w:val="ListParagraph"/>
        <w:ind w:left="504"/>
      </w:pPr>
      <w:r w:rsidRPr="00AC3618">
        <w:t xml:space="preserve">I also reviewed the capital-rationing analysis instead of simply accepting the AI’s output at face value. While Project B and Project C represent the best two-project combination when working within a full £100 million </w:t>
      </w:r>
      <w:proofErr w:type="gramStart"/>
      <w:r w:rsidRPr="00AC3618">
        <w:t>budget</w:t>
      </w:r>
      <w:proofErr w:type="gramEnd"/>
      <w:r w:rsidR="00AC587B">
        <w:t xml:space="preserve"> but</w:t>
      </w:r>
      <w:r w:rsidRPr="00AC3618">
        <w:t xml:space="preserve"> their combined NPV is still negative. Consequently, it would be inaccurate to suggest that investing the entire budget automatically generates value. These manual checks were essential in catching and fixing logical errors or AI "hallucinations" before they could be included in the final report.</w:t>
      </w:r>
    </w:p>
    <w:p w14:paraId="7882B70A" w14:textId="1F8C5E43" w:rsidR="00D94873" w:rsidRDefault="006F1196" w:rsidP="00D94873">
      <w:pPr>
        <w:pStyle w:val="ListParagraph"/>
        <w:numPr>
          <w:ilvl w:val="0"/>
          <w:numId w:val="9"/>
        </w:numPr>
      </w:pPr>
      <w:r>
        <w:t>AI was utilized as a tool for research support and verification rather than as a replacement for independent analytical work. It helped clarify complex financial concepts and investment appraisal methods, while also assisting in verifying the interpretation of key calculations, including Payback Period, Accounting Rate of Return (ARR), Net Present Value (NPV), Profitability Index (PI) and Internal Rate of Return (IRR).</w:t>
      </w:r>
    </w:p>
    <w:p w14:paraId="5B92D46C" w14:textId="45DCD927" w:rsidR="00AC3618" w:rsidRDefault="006F1196" w:rsidP="00FD54F2">
      <w:pPr>
        <w:ind w:left="144"/>
      </w:pPr>
      <w:r>
        <w:lastRenderedPageBreak/>
        <w:t>All final analyses and recommendations were independently reviewed against the core financial data and the specific assumptions used in the assessment. For instance, the decision to recommend Project C was reached by directly comparing its payback period, ARR, NPV, PI and IRR against the metrics for Projects A and B. Similarly, broader financial and strategic advice was developed through careful evidence evaluation and logical financial reasoning</w:t>
      </w:r>
      <w:r w:rsidR="003962E6">
        <w:t xml:space="preserve">. </w:t>
      </w:r>
      <w:r>
        <w:t>Ultimately, AI served only as a secondary resource for research and checking work; the responsibility for the accuracy, interpretation and final conclusions of this report rests entirely with the author.</w:t>
      </w:r>
    </w:p>
    <w:p w14:paraId="54E25B62" w14:textId="77777777" w:rsidR="00E26C73" w:rsidRDefault="00E26C73" w:rsidP="00263931">
      <w:pPr>
        <w:pStyle w:val="ListParagraph"/>
        <w:ind w:left="504"/>
      </w:pPr>
    </w:p>
    <w:p w14:paraId="54C733EE" w14:textId="77777777" w:rsidR="00E26C73" w:rsidRPr="00E26C73" w:rsidRDefault="00E26C73" w:rsidP="00E26C73">
      <w:pPr>
        <w:pStyle w:val="ListParagraph"/>
        <w:numPr>
          <w:ilvl w:val="0"/>
          <w:numId w:val="9"/>
        </w:numPr>
      </w:pPr>
      <w:r w:rsidRPr="00E26C73">
        <w:t>Integrating AI into financial roles brings a mix of new opportunities and significant ethical responsibilities. On one hand, AI can boost efficiency by processing vast amounts of data in seconds, helping analysts spot complex patterns and organize information more effectively. On the other hand, finance professionals cannot simply let AI run on autopilot. Without proper human oversight, inaccurate outputs could lead to flawed investment strategies or misguided executive decisions.</w:t>
      </w:r>
    </w:p>
    <w:p w14:paraId="79200168" w14:textId="2E20B4EA" w:rsidR="00E26C73" w:rsidRPr="00E26C73" w:rsidRDefault="00E26C73" w:rsidP="00E26C73">
      <w:pPr>
        <w:pStyle w:val="ListParagraph"/>
        <w:ind w:left="504"/>
      </w:pPr>
      <w:r w:rsidRPr="00E26C73">
        <w:t>Transparency is another critical factor</w:t>
      </w:r>
      <w:r w:rsidR="008848BF">
        <w:t>:</w:t>
      </w:r>
      <w:r w:rsidRPr="00E26C73">
        <w:t xml:space="preserve"> stakeholders have a right to know when AI has played a part in financial analysis. Being open about its use helps uphold both academic and professional integrity. Data privacy is equally vital. Sensitive company files, confidential financial records and personal details should never be fed into AI systems without strict permissions and security measures in place.</w:t>
      </w:r>
    </w:p>
    <w:p w14:paraId="1B76E906" w14:textId="51BC58CF" w:rsidR="00263931" w:rsidRDefault="00E26C73" w:rsidP="00E26C73">
      <w:pPr>
        <w:pStyle w:val="ListParagraph"/>
        <w:ind w:left="504"/>
      </w:pPr>
      <w:r w:rsidRPr="00E26C73">
        <w:t>There is also the danger of over-reliance. AI-generated responses often sound incredibly confident, even when the logic behind them is completely flawed. Because of this, professional judgment, independent verification and individual accountability remain non-negotiable. When it comes to high-level decision-making, AI should serve as a tool to support human intuition rather than a replacement for it. Ultimately, the insights gained from this report show that while AI is a powerful asset for financial analysis, its results must always be critically scrutinized before they are used to drive important business moves.</w:t>
      </w:r>
    </w:p>
    <w:p w14:paraId="62ADCFA6" w14:textId="77777777" w:rsidR="00054D3D" w:rsidRDefault="00054D3D" w:rsidP="00E26C73">
      <w:pPr>
        <w:pStyle w:val="ListParagraph"/>
        <w:ind w:left="504"/>
      </w:pPr>
    </w:p>
    <w:p w14:paraId="4FAD4A9A" w14:textId="77777777" w:rsidR="00054D3D" w:rsidRDefault="00054D3D" w:rsidP="00E26C73">
      <w:pPr>
        <w:pStyle w:val="ListParagraph"/>
        <w:ind w:left="504"/>
      </w:pPr>
    </w:p>
    <w:p w14:paraId="038CA75F" w14:textId="77777777" w:rsidR="00054D3D" w:rsidRDefault="00054D3D" w:rsidP="00E26C73">
      <w:pPr>
        <w:pStyle w:val="ListParagraph"/>
        <w:ind w:left="504"/>
      </w:pPr>
    </w:p>
    <w:p w14:paraId="2FD8EEEF" w14:textId="77777777" w:rsidR="00054D3D" w:rsidRDefault="00054D3D" w:rsidP="00E26C73">
      <w:pPr>
        <w:pStyle w:val="ListParagraph"/>
        <w:ind w:left="504"/>
      </w:pPr>
    </w:p>
    <w:p w14:paraId="7D642A98" w14:textId="77777777" w:rsidR="00054D3D" w:rsidRDefault="00054D3D" w:rsidP="00E26C73">
      <w:pPr>
        <w:pStyle w:val="ListParagraph"/>
        <w:ind w:left="504"/>
      </w:pPr>
    </w:p>
    <w:p w14:paraId="02982E0F" w14:textId="77777777" w:rsidR="00054D3D" w:rsidRDefault="00054D3D" w:rsidP="00E26C73">
      <w:pPr>
        <w:pStyle w:val="ListParagraph"/>
        <w:ind w:left="504"/>
      </w:pPr>
    </w:p>
    <w:p w14:paraId="5B950DF0" w14:textId="77777777" w:rsidR="00054D3D" w:rsidRDefault="00054D3D" w:rsidP="00E26C73">
      <w:pPr>
        <w:pStyle w:val="ListParagraph"/>
        <w:ind w:left="504"/>
      </w:pPr>
    </w:p>
    <w:p w14:paraId="6086FF2E" w14:textId="77777777" w:rsidR="00054D3D" w:rsidRPr="007115A9" w:rsidRDefault="00054D3D" w:rsidP="00E26C73">
      <w:pPr>
        <w:pStyle w:val="ListParagraph"/>
        <w:ind w:left="504"/>
      </w:pPr>
    </w:p>
    <w:p w14:paraId="7087CC18" w14:textId="77777777" w:rsidR="006020CF" w:rsidRDefault="006020CF" w:rsidP="006020CF">
      <w:pPr>
        <w:pStyle w:val="ListParagraph"/>
        <w:ind w:left="600"/>
      </w:pPr>
    </w:p>
    <w:p w14:paraId="6C35935F" w14:textId="28DC2E5B" w:rsidR="002F6585" w:rsidRDefault="006020CF" w:rsidP="002F6585">
      <w:pPr>
        <w:pStyle w:val="Heading1"/>
      </w:pPr>
      <w:r>
        <w:lastRenderedPageBreak/>
        <w:t>Conclusion</w:t>
      </w:r>
    </w:p>
    <w:p w14:paraId="52F3426E" w14:textId="77777777" w:rsidR="002F6585" w:rsidRPr="002F6585" w:rsidRDefault="002F6585" w:rsidP="002F6585"/>
    <w:p w14:paraId="5E63A523" w14:textId="76324CE9" w:rsidR="002F6585" w:rsidRDefault="002F6585" w:rsidP="002F6585">
      <w:r>
        <w:t>This report has taken a deep dive into Marriott International’s financial health and management practices, drawing on five years of financial data, ratio analysis, working capital trends, restructuring efforts and investment appraisals. The findings show that Marriott remains a powerhouse on the global stage, largely thanks to its massive brand portfolio, massive operational scale and consistent ability to drive revenue. That said, the analysis also pointed out some real pressure points, particularly regarding liquidity, debt levels, cash flow management and the company's vulnerability to shifts in the global economy.</w:t>
      </w:r>
    </w:p>
    <w:p w14:paraId="2FC312D9" w14:textId="02BD8FC4" w:rsidR="002F6585" w:rsidRDefault="002F6585" w:rsidP="002F6585">
      <w:r>
        <w:t>Our look at working capital underscored just how vital it is for Marriott to sharpen its cash management and keep enough short-term flexibility on hand. Moving forward, a more balanced financing strategy—built on smart debt management and disciplined capital allocation—will be key to strengthening the balance sheet while still fuelling growth. It is also crucial that strategic financial decisions account for external pressures like currency fluctuations, inflation, tax changes and geopolitical instability.</w:t>
      </w:r>
    </w:p>
    <w:p w14:paraId="69B6CE38" w14:textId="2B1B98C1" w:rsidR="002F6585" w:rsidRDefault="002F6585" w:rsidP="002F6585">
      <w:r>
        <w:t xml:space="preserve">When it comes to investment opportunities, the appraisal clearly favours Project C. At an 8% discount rate, it stands out as the strongest option, delivering a positive NPV, a profitability index above one and a quicker payback period than the alternatives. If Marriott </w:t>
      </w:r>
      <w:proofErr w:type="gramStart"/>
      <w:r>
        <w:t>has to</w:t>
      </w:r>
      <w:proofErr w:type="gramEnd"/>
      <w:r>
        <w:t xml:space="preserve"> choose just one project to move forward with, Project C should be the priority.</w:t>
      </w:r>
    </w:p>
    <w:p w14:paraId="287B62EC" w14:textId="25122DCF" w:rsidR="006020CF" w:rsidRPr="006020CF" w:rsidRDefault="002F6585" w:rsidP="002F6585">
      <w:r>
        <w:t>Ultimately, Marriott’s path forward should focus on chasing profitable growth without losing sight of financial discipline. By combining efficient working capital management with prudent financing and thoughtful investment choices, the company can protect long-term shareholder value and ensure sustainable growth across its international markets.</w:t>
      </w:r>
    </w:p>
    <w:p w14:paraId="2DF0539D" w14:textId="77777777" w:rsidR="00592258" w:rsidRDefault="00592258" w:rsidP="00F03B5F">
      <w:pPr>
        <w:pStyle w:val="ListParagraph"/>
        <w:ind w:left="600"/>
      </w:pPr>
    </w:p>
    <w:p w14:paraId="465333F0" w14:textId="77777777" w:rsidR="00592258" w:rsidRDefault="00592258" w:rsidP="00F03B5F">
      <w:pPr>
        <w:pStyle w:val="ListParagraph"/>
        <w:ind w:left="600"/>
      </w:pPr>
    </w:p>
    <w:p w14:paraId="6E75F76F" w14:textId="77777777" w:rsidR="00592258" w:rsidRDefault="00592258" w:rsidP="00F03B5F">
      <w:pPr>
        <w:pStyle w:val="ListParagraph"/>
        <w:ind w:left="600"/>
      </w:pPr>
    </w:p>
    <w:p w14:paraId="7298079B" w14:textId="77777777" w:rsidR="00592258" w:rsidRDefault="00592258" w:rsidP="00F03B5F">
      <w:pPr>
        <w:pStyle w:val="ListParagraph"/>
        <w:ind w:left="600"/>
      </w:pPr>
    </w:p>
    <w:p w14:paraId="4714E845" w14:textId="77777777" w:rsidR="00592258" w:rsidRDefault="00592258" w:rsidP="00F03B5F">
      <w:pPr>
        <w:pStyle w:val="ListParagraph"/>
        <w:ind w:left="600"/>
      </w:pPr>
    </w:p>
    <w:p w14:paraId="3C42B8E0" w14:textId="77777777" w:rsidR="00592258" w:rsidRDefault="00592258" w:rsidP="00F03B5F">
      <w:pPr>
        <w:pStyle w:val="ListParagraph"/>
        <w:ind w:left="600"/>
      </w:pPr>
    </w:p>
    <w:p w14:paraId="360EE92F" w14:textId="77777777" w:rsidR="00592258" w:rsidRDefault="00592258" w:rsidP="00F03B5F">
      <w:pPr>
        <w:pStyle w:val="ListParagraph"/>
        <w:ind w:left="600"/>
      </w:pPr>
    </w:p>
    <w:p w14:paraId="2E15DD8A" w14:textId="77777777" w:rsidR="00592258" w:rsidRDefault="00592258" w:rsidP="00F03B5F">
      <w:pPr>
        <w:pStyle w:val="ListParagraph"/>
        <w:ind w:left="600"/>
      </w:pPr>
    </w:p>
    <w:p w14:paraId="21D2AAC7" w14:textId="77777777" w:rsidR="00592258" w:rsidRDefault="00592258" w:rsidP="00F03B5F">
      <w:pPr>
        <w:pStyle w:val="ListParagraph"/>
        <w:ind w:left="600"/>
      </w:pPr>
    </w:p>
    <w:p w14:paraId="357D9FA7" w14:textId="77777777" w:rsidR="00592258" w:rsidRDefault="00592258" w:rsidP="00F03B5F">
      <w:pPr>
        <w:pStyle w:val="ListParagraph"/>
        <w:ind w:left="600"/>
      </w:pPr>
    </w:p>
    <w:p w14:paraId="2BB06FA0" w14:textId="77777777" w:rsidR="00F03B5F" w:rsidRDefault="00F03B5F" w:rsidP="00F03B5F">
      <w:pPr>
        <w:pStyle w:val="Heading1"/>
      </w:pPr>
      <w:r>
        <w:lastRenderedPageBreak/>
        <w:t>References</w:t>
      </w:r>
    </w:p>
    <w:p w14:paraId="2AB71F79" w14:textId="77777777" w:rsidR="00F03B5F" w:rsidRDefault="00F03B5F" w:rsidP="00F03B5F">
      <w:pPr>
        <w:pStyle w:val="ListParagraph"/>
        <w:ind w:left="600"/>
      </w:pPr>
    </w:p>
    <w:p w14:paraId="4E3F3056" w14:textId="77777777" w:rsidR="00F03B5F" w:rsidRDefault="00F03B5F" w:rsidP="00F03B5F">
      <w:pPr>
        <w:pStyle w:val="ListParagraph"/>
        <w:ind w:left="600"/>
      </w:pPr>
      <w:r>
        <w:t>Marriott International (2026) Annual Report 2025. Available at: https://marriott.gcs-web.com/investor-relations (Accessed: 5 August 2026).</w:t>
      </w:r>
    </w:p>
    <w:p w14:paraId="2B4E0CCE" w14:textId="77777777" w:rsidR="00C43D7A" w:rsidRDefault="00C43D7A" w:rsidP="00F03B5F">
      <w:pPr>
        <w:pStyle w:val="ListParagraph"/>
        <w:ind w:left="600"/>
      </w:pPr>
    </w:p>
    <w:p w14:paraId="4CDB1D8B" w14:textId="77777777" w:rsidR="00F4364E" w:rsidRDefault="00F4364E" w:rsidP="00F4364E">
      <w:pPr>
        <w:pStyle w:val="ListParagraph"/>
        <w:ind w:left="600"/>
      </w:pPr>
      <w:r>
        <w:t>Marriott International, Inc. (2021) 2020 Annual Report. Bethesda, MD: Marriott International.</w:t>
      </w:r>
    </w:p>
    <w:p w14:paraId="0D094414" w14:textId="77777777" w:rsidR="00F4364E" w:rsidRDefault="00F4364E" w:rsidP="00F4364E">
      <w:pPr>
        <w:pStyle w:val="ListParagraph"/>
        <w:ind w:left="600"/>
      </w:pPr>
    </w:p>
    <w:p w14:paraId="378559EE" w14:textId="77777777" w:rsidR="00F4364E" w:rsidRDefault="00F4364E" w:rsidP="00F4364E">
      <w:pPr>
        <w:pStyle w:val="ListParagraph"/>
        <w:ind w:left="600"/>
      </w:pPr>
      <w:r>
        <w:t>Marriott International, Inc. (2022) 2021 Annual Report. Bethesda, MD: Marriott International.</w:t>
      </w:r>
    </w:p>
    <w:p w14:paraId="11D7CED0" w14:textId="77777777" w:rsidR="00F4364E" w:rsidRDefault="00F4364E" w:rsidP="00F4364E">
      <w:pPr>
        <w:pStyle w:val="ListParagraph"/>
        <w:ind w:left="600"/>
      </w:pPr>
    </w:p>
    <w:p w14:paraId="1F25C2C1" w14:textId="77777777" w:rsidR="00F4364E" w:rsidRDefault="00F4364E" w:rsidP="00F4364E">
      <w:pPr>
        <w:pStyle w:val="ListParagraph"/>
        <w:ind w:left="600"/>
      </w:pPr>
      <w:r>
        <w:t>Marriott International, Inc. (2023) 2022 Annual Report. Bethesda, MD: Marriott International.</w:t>
      </w:r>
    </w:p>
    <w:p w14:paraId="06AD1AA4" w14:textId="77777777" w:rsidR="00F4364E" w:rsidRDefault="00F4364E" w:rsidP="00F4364E">
      <w:pPr>
        <w:pStyle w:val="ListParagraph"/>
        <w:ind w:left="600"/>
      </w:pPr>
    </w:p>
    <w:p w14:paraId="296C121D" w14:textId="39E3C5B8" w:rsidR="00F4364E" w:rsidRDefault="00F4364E" w:rsidP="00F4364E">
      <w:pPr>
        <w:pStyle w:val="ListParagraph"/>
        <w:ind w:left="600"/>
      </w:pPr>
      <w:r>
        <w:t>Marriott International, Inc. (2024) 2023 Annual Report. Bethesda, MD: Marriott International.</w:t>
      </w:r>
    </w:p>
    <w:p w14:paraId="08319CE8" w14:textId="77777777" w:rsidR="00C43D7A" w:rsidRDefault="00C43D7A" w:rsidP="00F4364E">
      <w:pPr>
        <w:pStyle w:val="ListParagraph"/>
        <w:ind w:left="600"/>
      </w:pPr>
    </w:p>
    <w:p w14:paraId="360FE072" w14:textId="77777777" w:rsidR="00C931AB" w:rsidRDefault="00C931AB" w:rsidP="00C931AB">
      <w:pPr>
        <w:pStyle w:val="ListParagraph"/>
        <w:ind w:left="600"/>
      </w:pPr>
      <w:r>
        <w:t>Marriott International, Inc. (2025) 2024 Annual Report. Bethesda, MD: Marriott International.</w:t>
      </w:r>
    </w:p>
    <w:p w14:paraId="1A22352E" w14:textId="77777777" w:rsidR="00C931AB" w:rsidRDefault="00C931AB" w:rsidP="00C931AB">
      <w:pPr>
        <w:pStyle w:val="ListParagraph"/>
        <w:ind w:left="600"/>
      </w:pPr>
    </w:p>
    <w:p w14:paraId="79A7A15A" w14:textId="2D5EEF4B" w:rsidR="00C43D7A" w:rsidRDefault="00C931AB" w:rsidP="00C931AB">
      <w:pPr>
        <w:pStyle w:val="ListParagraph"/>
        <w:ind w:left="600"/>
      </w:pPr>
      <w:r>
        <w:t>Marriott International, Inc. (2026) 2025 Annual Report. Bethesda, MD: Marriott International.</w:t>
      </w:r>
    </w:p>
    <w:p w14:paraId="692E22BD" w14:textId="77777777" w:rsidR="00F03B5F" w:rsidRDefault="00F03B5F" w:rsidP="00F03B5F">
      <w:pPr>
        <w:pStyle w:val="ListParagraph"/>
        <w:ind w:left="600"/>
      </w:pPr>
    </w:p>
    <w:p w14:paraId="29F7A226" w14:textId="18489213" w:rsidR="00F03B5F" w:rsidRDefault="00141406" w:rsidP="00F03B5F">
      <w:pPr>
        <w:pStyle w:val="ListParagraph"/>
        <w:ind w:left="600"/>
      </w:pPr>
      <w:r>
        <w:t>Macro trends</w:t>
      </w:r>
      <w:r w:rsidR="00F03B5F">
        <w:t xml:space="preserve"> (2026) Marriott International Financial Ratios. Available at: https://www.macrotrends.net/stocks/charts/MAR/marriott (Accessed: 5 August 2026).</w:t>
      </w:r>
    </w:p>
    <w:p w14:paraId="1C145E74" w14:textId="77777777" w:rsidR="00F03B5F" w:rsidRDefault="00F03B5F" w:rsidP="00F03B5F">
      <w:pPr>
        <w:pStyle w:val="ListParagraph"/>
        <w:ind w:left="600"/>
      </w:pPr>
    </w:p>
    <w:p w14:paraId="54784907" w14:textId="77777777" w:rsidR="00F03B5F" w:rsidRDefault="00F03B5F" w:rsidP="00F03B5F">
      <w:pPr>
        <w:pStyle w:val="ListParagraph"/>
        <w:ind w:left="600"/>
      </w:pPr>
      <w:r>
        <w:t>Finance Charts (2026) Marriott International Financial Data. Available at: https://www.financecharts.com/stocks/MAR (Accessed: 5 August 2026).</w:t>
      </w:r>
    </w:p>
    <w:p w14:paraId="259676EC" w14:textId="77777777" w:rsidR="00F03B5F" w:rsidRDefault="00F03B5F" w:rsidP="00F03B5F">
      <w:pPr>
        <w:pStyle w:val="ListParagraph"/>
        <w:ind w:left="600"/>
      </w:pPr>
    </w:p>
    <w:p w14:paraId="759560F4" w14:textId="77777777" w:rsidR="00E26017" w:rsidRDefault="00E26017" w:rsidP="00E26017">
      <w:pPr>
        <w:pStyle w:val="ListParagraph"/>
        <w:ind w:left="600"/>
      </w:pPr>
      <w:r>
        <w:t xml:space="preserve">Brealey, R.A., Myers, S.C. and Allen, F. (2023) Principles of Corporate Finance. 14th </w:t>
      </w:r>
      <w:proofErr w:type="spellStart"/>
      <w:r>
        <w:t>edn</w:t>
      </w:r>
      <w:proofErr w:type="spellEnd"/>
      <w:r>
        <w:t>. New York: McGraw-Hill.</w:t>
      </w:r>
    </w:p>
    <w:p w14:paraId="7EB570D7" w14:textId="77777777" w:rsidR="00E26017" w:rsidRDefault="00E26017" w:rsidP="00E26017">
      <w:pPr>
        <w:pStyle w:val="ListParagraph"/>
        <w:ind w:left="600"/>
      </w:pPr>
    </w:p>
    <w:p w14:paraId="11B6E038" w14:textId="77777777" w:rsidR="00E26017" w:rsidRDefault="00E26017" w:rsidP="00E26017">
      <w:pPr>
        <w:pStyle w:val="ListParagraph"/>
        <w:ind w:left="600"/>
      </w:pPr>
      <w:r>
        <w:t xml:space="preserve">Brigham, E.F. and Ehrhardt, M.C. (2020) Financial Management: Theory and Practice. 16th </w:t>
      </w:r>
      <w:proofErr w:type="spellStart"/>
      <w:r>
        <w:t>edn</w:t>
      </w:r>
      <w:proofErr w:type="spellEnd"/>
      <w:r>
        <w:t>. Boston: Cengage.</w:t>
      </w:r>
    </w:p>
    <w:p w14:paraId="2FC47E6A" w14:textId="77777777" w:rsidR="00E26017" w:rsidRDefault="00E26017" w:rsidP="00E26017">
      <w:pPr>
        <w:pStyle w:val="ListParagraph"/>
        <w:ind w:left="600"/>
      </w:pPr>
    </w:p>
    <w:p w14:paraId="185D0C5C" w14:textId="677933BF" w:rsidR="00F03B5F" w:rsidRDefault="00E26017" w:rsidP="00E26017">
      <w:pPr>
        <w:pStyle w:val="ListParagraph"/>
        <w:ind w:left="600"/>
      </w:pPr>
      <w:r>
        <w:t xml:space="preserve">Atri’ll, P. (2022) Financial Management for Decision Makers. 10th </w:t>
      </w:r>
      <w:proofErr w:type="spellStart"/>
      <w:r>
        <w:t>edn</w:t>
      </w:r>
      <w:proofErr w:type="spellEnd"/>
      <w:r>
        <w:t xml:space="preserve">. Harlow: </w:t>
      </w:r>
      <w:r w:rsidR="00973010">
        <w:t xml:space="preserve">   </w:t>
      </w:r>
      <w:r>
        <w:t>Pearson.</w:t>
      </w:r>
    </w:p>
    <w:p w14:paraId="6964E64A" w14:textId="77777777" w:rsidR="00973010" w:rsidRDefault="00973010" w:rsidP="00E26017">
      <w:pPr>
        <w:pStyle w:val="ListParagraph"/>
        <w:ind w:left="600"/>
      </w:pPr>
    </w:p>
    <w:p w14:paraId="148B6B20" w14:textId="77777777" w:rsidR="00973010" w:rsidRDefault="00973010" w:rsidP="00973010">
      <w:pPr>
        <w:pStyle w:val="ListParagraph"/>
        <w:ind w:left="600"/>
      </w:pPr>
      <w:r>
        <w:t>Deloitte (2025) Global Travel and Hospitality Industry Outlook. Deloitte Insights.</w:t>
      </w:r>
    </w:p>
    <w:p w14:paraId="43996DB0" w14:textId="77777777" w:rsidR="00973010" w:rsidRDefault="00973010" w:rsidP="00973010">
      <w:pPr>
        <w:pStyle w:val="ListParagraph"/>
        <w:ind w:left="600"/>
      </w:pPr>
    </w:p>
    <w:p w14:paraId="7011C237" w14:textId="77777777" w:rsidR="00973010" w:rsidRDefault="00973010" w:rsidP="00973010">
      <w:pPr>
        <w:pStyle w:val="ListParagraph"/>
        <w:ind w:left="600"/>
      </w:pPr>
      <w:r>
        <w:t>PwC (2025) Global Hospitality and Tourism Industry Perspectives. PricewaterhouseCoopers.</w:t>
      </w:r>
    </w:p>
    <w:p w14:paraId="7454AA8B" w14:textId="77777777" w:rsidR="00973010" w:rsidRDefault="00973010" w:rsidP="00973010">
      <w:pPr>
        <w:pStyle w:val="ListParagraph"/>
        <w:ind w:left="600"/>
      </w:pPr>
    </w:p>
    <w:p w14:paraId="5A8C7957" w14:textId="6F1F8C5B" w:rsidR="00973010" w:rsidRDefault="00973010" w:rsidP="00973010">
      <w:pPr>
        <w:pStyle w:val="ListParagraph"/>
        <w:ind w:left="600"/>
      </w:pPr>
      <w:r>
        <w:t xml:space="preserve">Koller, T., Goedhart, M. and Wessels, D. (2020) Valuation: Measuring and Managing the Value of Companies. 7th </w:t>
      </w:r>
      <w:proofErr w:type="spellStart"/>
      <w:r>
        <w:t>edn</w:t>
      </w:r>
      <w:proofErr w:type="spellEnd"/>
      <w:r>
        <w:t>. Hoboken, NJ: Wiley.</w:t>
      </w:r>
    </w:p>
    <w:p w14:paraId="7BBC7294" w14:textId="77777777" w:rsidR="00605422" w:rsidRDefault="00605422" w:rsidP="00973010">
      <w:pPr>
        <w:pStyle w:val="ListParagraph"/>
        <w:ind w:left="600"/>
      </w:pPr>
    </w:p>
    <w:p w14:paraId="0EBB253C" w14:textId="77777777" w:rsidR="00605422" w:rsidRDefault="00605422" w:rsidP="00605422">
      <w:pPr>
        <w:pStyle w:val="ListParagraph"/>
        <w:ind w:left="600"/>
      </w:pPr>
      <w:r>
        <w:t xml:space="preserve">Ross, S.A., Westerfield, R.W. and Jordan, B.D. (2022) Fundamentals of Corporate Finance. 14th </w:t>
      </w:r>
      <w:proofErr w:type="spellStart"/>
      <w:r>
        <w:t>edn</w:t>
      </w:r>
      <w:proofErr w:type="spellEnd"/>
      <w:r>
        <w:t>. New York: McGraw-Hill.</w:t>
      </w:r>
    </w:p>
    <w:p w14:paraId="3C90257F" w14:textId="77777777" w:rsidR="00605422" w:rsidRDefault="00605422" w:rsidP="00605422">
      <w:pPr>
        <w:pStyle w:val="ListParagraph"/>
        <w:ind w:left="600"/>
      </w:pPr>
    </w:p>
    <w:p w14:paraId="00FB438B" w14:textId="77777777" w:rsidR="00605422" w:rsidRDefault="00605422" w:rsidP="00605422">
      <w:pPr>
        <w:pStyle w:val="ListParagraph"/>
        <w:ind w:left="600"/>
      </w:pPr>
      <w:r>
        <w:t>World Travel &amp; Tourism Council (2025) Economic Impact Research. London: WTTC.</w:t>
      </w:r>
    </w:p>
    <w:p w14:paraId="425AED22" w14:textId="77777777" w:rsidR="00605422" w:rsidRDefault="00605422" w:rsidP="00605422">
      <w:pPr>
        <w:pStyle w:val="ListParagraph"/>
        <w:ind w:left="600"/>
      </w:pPr>
    </w:p>
    <w:p w14:paraId="35480FB0" w14:textId="77777777" w:rsidR="00605422" w:rsidRDefault="00605422" w:rsidP="00605422">
      <w:pPr>
        <w:pStyle w:val="ListParagraph"/>
        <w:ind w:left="600"/>
      </w:pPr>
      <w:r>
        <w:t>International Monetary Fund (2025) World Economic Outlook. Washington, DC: International Monetary Fund.</w:t>
      </w:r>
    </w:p>
    <w:p w14:paraId="288EAC2E" w14:textId="77777777" w:rsidR="00605422" w:rsidRDefault="00605422" w:rsidP="00605422">
      <w:pPr>
        <w:pStyle w:val="ListParagraph"/>
        <w:ind w:left="600"/>
      </w:pPr>
    </w:p>
    <w:p w14:paraId="05E08A2C" w14:textId="04702101" w:rsidR="00605422" w:rsidRDefault="00605422" w:rsidP="00605422">
      <w:pPr>
        <w:pStyle w:val="ListParagraph"/>
        <w:ind w:left="600"/>
      </w:pPr>
      <w:r>
        <w:t>World Bank (2025) Global Economic Prospects. Washington, DC: World Bank.</w:t>
      </w:r>
    </w:p>
    <w:p w14:paraId="45A761BB" w14:textId="06CD5193" w:rsidR="00973010" w:rsidRDefault="00BC1050" w:rsidP="00F03B5F">
      <w:r>
        <w:t xml:space="preserve">         </w:t>
      </w:r>
    </w:p>
    <w:p w14:paraId="2BB023BE" w14:textId="77777777" w:rsidR="00F03B5F" w:rsidRDefault="00F03B5F" w:rsidP="00F03B5F">
      <w:pPr>
        <w:pStyle w:val="Heading1"/>
      </w:pPr>
      <w:r>
        <w:t>Appendices</w:t>
      </w:r>
    </w:p>
    <w:p w14:paraId="1F57F689" w14:textId="77777777" w:rsidR="00F03B5F" w:rsidRDefault="00F03B5F" w:rsidP="00F03B5F">
      <w:pPr>
        <w:pStyle w:val="ListParagraph"/>
        <w:ind w:left="600"/>
      </w:pPr>
    </w:p>
    <w:p w14:paraId="30DCE708" w14:textId="1E923211" w:rsidR="00F03B5F" w:rsidRDefault="00F03B5F" w:rsidP="00060571">
      <w:pPr>
        <w:pStyle w:val="ListParagraph"/>
        <w:ind w:left="600"/>
      </w:pPr>
      <w:r>
        <w:t xml:space="preserve">Appendix A: </w:t>
      </w:r>
      <w:r w:rsidR="003B2B59">
        <w:t xml:space="preserve"> </w:t>
      </w:r>
      <w:r w:rsidR="00B64C13">
        <w:t>Five-Year</w:t>
      </w:r>
      <w:r w:rsidR="003B2B59">
        <w:t xml:space="preserve"> </w:t>
      </w:r>
      <w:r>
        <w:t>Income Statement Data (2021</w:t>
      </w:r>
      <w:r w:rsidR="00B64C13">
        <w:t>-</w:t>
      </w:r>
      <w:r>
        <w:t>2025)</w:t>
      </w:r>
    </w:p>
    <w:p w14:paraId="131D68B6" w14:textId="77777777" w:rsidR="00991A58" w:rsidRDefault="00991A58" w:rsidP="009B51B8">
      <w:pPr>
        <w:pStyle w:val="ListParagraph"/>
        <w:ind w:left="600"/>
      </w:pPr>
    </w:p>
    <w:p w14:paraId="2103A1BD" w14:textId="26106DE6" w:rsidR="00EA14A8" w:rsidRDefault="00991A58" w:rsidP="009B51B8">
      <w:pPr>
        <w:pStyle w:val="ListParagraph"/>
        <w:ind w:left="600"/>
      </w:pPr>
      <w:r>
        <w:t xml:space="preserve">                </w:t>
      </w:r>
      <w:r w:rsidRPr="00991A58">
        <w:rPr>
          <w:noProof/>
        </w:rPr>
        <w:drawing>
          <wp:inline distT="0" distB="0" distL="0" distR="0" wp14:anchorId="5F54D650" wp14:editId="61004606">
            <wp:extent cx="4430066" cy="3162300"/>
            <wp:effectExtent l="0" t="0" r="8890" b="0"/>
            <wp:docPr id="322700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700015" name=""/>
                    <pic:cNvPicPr/>
                  </pic:nvPicPr>
                  <pic:blipFill>
                    <a:blip r:embed="rId25"/>
                    <a:stretch>
                      <a:fillRect/>
                    </a:stretch>
                  </pic:blipFill>
                  <pic:spPr>
                    <a:xfrm>
                      <a:off x="0" y="0"/>
                      <a:ext cx="4463242" cy="3185982"/>
                    </a:xfrm>
                    <a:prstGeom prst="rect">
                      <a:avLst/>
                    </a:prstGeom>
                  </pic:spPr>
                </pic:pic>
              </a:graphicData>
            </a:graphic>
          </wp:inline>
        </w:drawing>
      </w:r>
    </w:p>
    <w:p w14:paraId="48D38AC9" w14:textId="77777777" w:rsidR="004A22B0" w:rsidRDefault="004A22B0" w:rsidP="009B51B8">
      <w:pPr>
        <w:pStyle w:val="ListParagraph"/>
        <w:ind w:left="600"/>
      </w:pPr>
    </w:p>
    <w:p w14:paraId="262E2075" w14:textId="77777777" w:rsidR="00991A58" w:rsidRDefault="00991A58" w:rsidP="009B51B8">
      <w:pPr>
        <w:pStyle w:val="ListParagraph"/>
        <w:ind w:left="600"/>
      </w:pPr>
    </w:p>
    <w:p w14:paraId="5DCEEF6D" w14:textId="77777777" w:rsidR="00991A58" w:rsidRDefault="00991A58" w:rsidP="009B51B8">
      <w:pPr>
        <w:pStyle w:val="ListParagraph"/>
        <w:ind w:left="600"/>
      </w:pPr>
    </w:p>
    <w:p w14:paraId="3BB9C86B" w14:textId="13349D54" w:rsidR="00B64C13" w:rsidRDefault="00B64C13" w:rsidP="009B51B8">
      <w:pPr>
        <w:pStyle w:val="ListParagraph"/>
        <w:ind w:left="600"/>
      </w:pPr>
      <w:r>
        <w:t xml:space="preserve">Appendix B: </w:t>
      </w:r>
      <w:r w:rsidR="004A22B0">
        <w:t>Five-Year</w:t>
      </w:r>
      <w:r>
        <w:t xml:space="preserve"> </w:t>
      </w:r>
      <w:r w:rsidR="008658A4">
        <w:t xml:space="preserve">Balance Sheet </w:t>
      </w:r>
      <w:r w:rsidR="004A22B0">
        <w:t>Data (2021-2025</w:t>
      </w:r>
      <w:r w:rsidR="003C62F6">
        <w:t>)</w:t>
      </w:r>
    </w:p>
    <w:p w14:paraId="47088290" w14:textId="01BAE410" w:rsidR="003C62F6" w:rsidRDefault="003C62F6" w:rsidP="009B51B8">
      <w:pPr>
        <w:pStyle w:val="ListParagraph"/>
        <w:ind w:left="600"/>
      </w:pPr>
      <w:r>
        <w:t xml:space="preserve">                         </w:t>
      </w:r>
    </w:p>
    <w:p w14:paraId="1D91F61F" w14:textId="652A5850" w:rsidR="003C62F6" w:rsidRDefault="003C62F6" w:rsidP="009B51B8">
      <w:pPr>
        <w:pStyle w:val="ListParagraph"/>
        <w:ind w:left="600"/>
      </w:pPr>
      <w:r>
        <w:t xml:space="preserve">                      </w:t>
      </w:r>
      <w:r w:rsidR="00B12735" w:rsidRPr="00B12735">
        <w:rPr>
          <w:noProof/>
        </w:rPr>
        <w:drawing>
          <wp:inline distT="0" distB="0" distL="0" distR="0" wp14:anchorId="248AD51F" wp14:editId="11A847B9">
            <wp:extent cx="3954780" cy="2928623"/>
            <wp:effectExtent l="0" t="0" r="7620" b="5080"/>
            <wp:docPr id="372074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074251" name=""/>
                    <pic:cNvPicPr/>
                  </pic:nvPicPr>
                  <pic:blipFill>
                    <a:blip r:embed="rId26"/>
                    <a:stretch>
                      <a:fillRect/>
                    </a:stretch>
                  </pic:blipFill>
                  <pic:spPr>
                    <a:xfrm>
                      <a:off x="0" y="0"/>
                      <a:ext cx="3972054" cy="2941415"/>
                    </a:xfrm>
                    <a:prstGeom prst="rect">
                      <a:avLst/>
                    </a:prstGeom>
                  </pic:spPr>
                </pic:pic>
              </a:graphicData>
            </a:graphic>
          </wp:inline>
        </w:drawing>
      </w:r>
    </w:p>
    <w:p w14:paraId="2EDDEABC" w14:textId="77777777" w:rsidR="00FA4905" w:rsidRDefault="00FA4905" w:rsidP="009B51B8">
      <w:pPr>
        <w:pStyle w:val="ListParagraph"/>
        <w:ind w:left="600"/>
      </w:pPr>
    </w:p>
    <w:p w14:paraId="442D22CE" w14:textId="000B16A0" w:rsidR="00FA4905" w:rsidRDefault="00FA4905" w:rsidP="009B51B8">
      <w:pPr>
        <w:pStyle w:val="ListParagraph"/>
        <w:ind w:left="600"/>
      </w:pPr>
      <w:r>
        <w:t xml:space="preserve">Appendix C: </w:t>
      </w:r>
      <w:r w:rsidR="00B12735">
        <w:t>Five-Year</w:t>
      </w:r>
      <w:r>
        <w:t xml:space="preserve"> </w:t>
      </w:r>
      <w:r w:rsidR="008658A4">
        <w:t>Cash Flow Data (2021-2025)</w:t>
      </w:r>
    </w:p>
    <w:p w14:paraId="0D308C70" w14:textId="7D23A3FC" w:rsidR="00B12735" w:rsidRDefault="00B12735" w:rsidP="009B51B8">
      <w:pPr>
        <w:pStyle w:val="ListParagraph"/>
        <w:ind w:left="600"/>
      </w:pPr>
      <w:r>
        <w:t xml:space="preserve">  </w:t>
      </w:r>
    </w:p>
    <w:p w14:paraId="3262CEFC" w14:textId="01D1EADB" w:rsidR="00B12735" w:rsidRDefault="00B12735" w:rsidP="009B51B8">
      <w:pPr>
        <w:pStyle w:val="ListParagraph"/>
        <w:ind w:left="600"/>
      </w:pPr>
      <w:r>
        <w:t xml:space="preserve">                       </w:t>
      </w:r>
      <w:r w:rsidR="00C15B94" w:rsidRPr="00C15B94">
        <w:rPr>
          <w:noProof/>
        </w:rPr>
        <w:drawing>
          <wp:inline distT="0" distB="0" distL="0" distR="0" wp14:anchorId="22A164C9" wp14:editId="2CA37BD7">
            <wp:extent cx="4107180" cy="2941826"/>
            <wp:effectExtent l="0" t="0" r="7620" b="0"/>
            <wp:docPr id="1773614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614965" name=""/>
                    <pic:cNvPicPr/>
                  </pic:nvPicPr>
                  <pic:blipFill>
                    <a:blip r:embed="rId27"/>
                    <a:stretch>
                      <a:fillRect/>
                    </a:stretch>
                  </pic:blipFill>
                  <pic:spPr>
                    <a:xfrm>
                      <a:off x="0" y="0"/>
                      <a:ext cx="4132231" cy="2959769"/>
                    </a:xfrm>
                    <a:prstGeom prst="rect">
                      <a:avLst/>
                    </a:prstGeom>
                  </pic:spPr>
                </pic:pic>
              </a:graphicData>
            </a:graphic>
          </wp:inline>
        </w:drawing>
      </w:r>
    </w:p>
    <w:p w14:paraId="302243DC" w14:textId="77777777" w:rsidR="00611D51" w:rsidRDefault="00611D51" w:rsidP="009B51B8">
      <w:pPr>
        <w:pStyle w:val="ListParagraph"/>
        <w:ind w:left="600"/>
      </w:pPr>
    </w:p>
    <w:p w14:paraId="582A756E" w14:textId="77777777" w:rsidR="00611D51" w:rsidRDefault="00611D51" w:rsidP="009B51B8">
      <w:pPr>
        <w:pStyle w:val="ListParagraph"/>
        <w:ind w:left="600"/>
      </w:pPr>
    </w:p>
    <w:p w14:paraId="2C1CC8AA" w14:textId="77777777" w:rsidR="00611D51" w:rsidRDefault="00611D51" w:rsidP="009B51B8">
      <w:pPr>
        <w:pStyle w:val="ListParagraph"/>
        <w:ind w:left="600"/>
      </w:pPr>
    </w:p>
    <w:p w14:paraId="3F501489" w14:textId="77777777" w:rsidR="00611D51" w:rsidRDefault="00611D51" w:rsidP="009B51B8">
      <w:pPr>
        <w:pStyle w:val="ListParagraph"/>
        <w:ind w:left="600"/>
      </w:pPr>
    </w:p>
    <w:p w14:paraId="2A11F192" w14:textId="77777777" w:rsidR="00611D51" w:rsidRDefault="00611D51" w:rsidP="009B51B8">
      <w:pPr>
        <w:pStyle w:val="ListParagraph"/>
        <w:ind w:left="600"/>
      </w:pPr>
    </w:p>
    <w:p w14:paraId="334BE158" w14:textId="77777777" w:rsidR="00611D51" w:rsidRDefault="00611D51" w:rsidP="009B51B8">
      <w:pPr>
        <w:pStyle w:val="ListParagraph"/>
        <w:ind w:left="600"/>
      </w:pPr>
    </w:p>
    <w:p w14:paraId="4C7E9280" w14:textId="77777777" w:rsidR="005C2D92" w:rsidRDefault="005C2D92" w:rsidP="009B51B8">
      <w:pPr>
        <w:pStyle w:val="ListParagraph"/>
        <w:ind w:left="600"/>
      </w:pPr>
    </w:p>
    <w:p w14:paraId="3713D689" w14:textId="201724DC" w:rsidR="00C15B94" w:rsidRDefault="00C15B94" w:rsidP="009B51B8">
      <w:pPr>
        <w:pStyle w:val="ListParagraph"/>
        <w:ind w:left="600"/>
      </w:pPr>
      <w:r>
        <w:lastRenderedPageBreak/>
        <w:t xml:space="preserve">Appendix </w:t>
      </w:r>
      <w:r w:rsidR="00FC3E97">
        <w:t xml:space="preserve">D: Ratios </w:t>
      </w:r>
    </w:p>
    <w:p w14:paraId="5F4E5F5C" w14:textId="77777777" w:rsidR="00611D51" w:rsidRDefault="00611D51" w:rsidP="009B51B8">
      <w:pPr>
        <w:pStyle w:val="ListParagraph"/>
        <w:ind w:left="600"/>
      </w:pPr>
    </w:p>
    <w:p w14:paraId="7D701E2B" w14:textId="77405A78" w:rsidR="00611D51" w:rsidRDefault="00611D51" w:rsidP="009B51B8">
      <w:pPr>
        <w:pStyle w:val="ListParagraph"/>
        <w:ind w:left="600"/>
      </w:pPr>
      <w:r>
        <w:t xml:space="preserve">                      </w:t>
      </w:r>
      <w:r w:rsidRPr="00611D51">
        <w:rPr>
          <w:noProof/>
        </w:rPr>
        <w:drawing>
          <wp:inline distT="0" distB="0" distL="0" distR="0" wp14:anchorId="7ADBAB65" wp14:editId="584B40FE">
            <wp:extent cx="4244708" cy="2065199"/>
            <wp:effectExtent l="0" t="0" r="3810" b="0"/>
            <wp:docPr id="2012467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467927" name=""/>
                    <pic:cNvPicPr/>
                  </pic:nvPicPr>
                  <pic:blipFill>
                    <a:blip r:embed="rId28"/>
                    <a:stretch>
                      <a:fillRect/>
                    </a:stretch>
                  </pic:blipFill>
                  <pic:spPr>
                    <a:xfrm>
                      <a:off x="0" y="0"/>
                      <a:ext cx="4244708" cy="2065199"/>
                    </a:xfrm>
                    <a:prstGeom prst="rect">
                      <a:avLst/>
                    </a:prstGeom>
                  </pic:spPr>
                </pic:pic>
              </a:graphicData>
            </a:graphic>
          </wp:inline>
        </w:drawing>
      </w:r>
    </w:p>
    <w:p w14:paraId="7A1B16B7" w14:textId="77777777" w:rsidR="00611D51" w:rsidRDefault="00611D51" w:rsidP="009B51B8">
      <w:pPr>
        <w:pStyle w:val="ListParagraph"/>
        <w:ind w:left="600"/>
      </w:pPr>
    </w:p>
    <w:p w14:paraId="404CA547" w14:textId="315056DA" w:rsidR="00611D51" w:rsidRDefault="00611D51" w:rsidP="009B51B8">
      <w:pPr>
        <w:pStyle w:val="ListParagraph"/>
        <w:ind w:left="600"/>
      </w:pPr>
      <w:r>
        <w:t xml:space="preserve">Appendix E: </w:t>
      </w:r>
      <w:r w:rsidR="00DE1BAA">
        <w:t>Graphs/Charts</w:t>
      </w:r>
    </w:p>
    <w:p w14:paraId="6B7A1DE0" w14:textId="77777777" w:rsidR="00DE1BAA" w:rsidRDefault="00DE1BAA" w:rsidP="009B51B8">
      <w:pPr>
        <w:pStyle w:val="ListParagraph"/>
        <w:ind w:left="600"/>
      </w:pPr>
    </w:p>
    <w:p w14:paraId="0D3D26CC" w14:textId="45D09AD9" w:rsidR="00DE1BAA" w:rsidRDefault="00462195" w:rsidP="009B51B8">
      <w:pPr>
        <w:pStyle w:val="ListParagraph"/>
        <w:ind w:left="600"/>
      </w:pPr>
      <w:r>
        <w:t xml:space="preserve">                    </w:t>
      </w:r>
      <w:r w:rsidR="002345FA" w:rsidRPr="002345FA">
        <w:rPr>
          <w:noProof/>
        </w:rPr>
        <w:drawing>
          <wp:inline distT="0" distB="0" distL="0" distR="0" wp14:anchorId="6ED14A73" wp14:editId="189CD9F2">
            <wp:extent cx="4411980" cy="2542779"/>
            <wp:effectExtent l="0" t="0" r="7620" b="0"/>
            <wp:docPr id="2135793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793767" name=""/>
                    <pic:cNvPicPr/>
                  </pic:nvPicPr>
                  <pic:blipFill>
                    <a:blip r:embed="rId29"/>
                    <a:stretch>
                      <a:fillRect/>
                    </a:stretch>
                  </pic:blipFill>
                  <pic:spPr>
                    <a:xfrm>
                      <a:off x="0" y="0"/>
                      <a:ext cx="4439923" cy="2558884"/>
                    </a:xfrm>
                    <a:prstGeom prst="rect">
                      <a:avLst/>
                    </a:prstGeom>
                  </pic:spPr>
                </pic:pic>
              </a:graphicData>
            </a:graphic>
          </wp:inline>
        </w:drawing>
      </w:r>
    </w:p>
    <w:p w14:paraId="48329B42" w14:textId="77777777" w:rsidR="002345FA" w:rsidRDefault="002345FA" w:rsidP="009B51B8">
      <w:pPr>
        <w:pStyle w:val="ListParagraph"/>
        <w:ind w:left="600"/>
      </w:pPr>
    </w:p>
    <w:p w14:paraId="6B974510" w14:textId="629E6A33" w:rsidR="003751B3" w:rsidRDefault="003751B3" w:rsidP="009B51B8">
      <w:pPr>
        <w:pStyle w:val="ListParagraph"/>
        <w:ind w:left="600"/>
      </w:pPr>
      <w:r>
        <w:t xml:space="preserve">                            </w:t>
      </w:r>
      <w:r w:rsidR="005E48CF" w:rsidRPr="005E48CF">
        <w:rPr>
          <w:noProof/>
        </w:rPr>
        <w:drawing>
          <wp:inline distT="0" distB="0" distL="0" distR="0" wp14:anchorId="725D0DB3" wp14:editId="6A0400DB">
            <wp:extent cx="4069164" cy="2339340"/>
            <wp:effectExtent l="0" t="0" r="7620" b="3810"/>
            <wp:docPr id="1508901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901539" name=""/>
                    <pic:cNvPicPr/>
                  </pic:nvPicPr>
                  <pic:blipFill>
                    <a:blip r:embed="rId30"/>
                    <a:stretch>
                      <a:fillRect/>
                    </a:stretch>
                  </pic:blipFill>
                  <pic:spPr>
                    <a:xfrm>
                      <a:off x="0" y="0"/>
                      <a:ext cx="4090163" cy="2351412"/>
                    </a:xfrm>
                    <a:prstGeom prst="rect">
                      <a:avLst/>
                    </a:prstGeom>
                  </pic:spPr>
                </pic:pic>
              </a:graphicData>
            </a:graphic>
          </wp:inline>
        </w:drawing>
      </w:r>
    </w:p>
    <w:p w14:paraId="2597D9DA" w14:textId="77777777" w:rsidR="00F03B5F" w:rsidRDefault="00F03B5F" w:rsidP="00F03B5F">
      <w:pPr>
        <w:pStyle w:val="ListParagraph"/>
        <w:ind w:left="600"/>
      </w:pPr>
    </w:p>
    <w:p w14:paraId="4D8D3FA9" w14:textId="77777777" w:rsidR="00F03B5F" w:rsidRDefault="00F03B5F" w:rsidP="00F03B5F">
      <w:pPr>
        <w:pStyle w:val="ListParagraph"/>
        <w:ind w:left="600"/>
      </w:pPr>
    </w:p>
    <w:p w14:paraId="3ED00A77" w14:textId="0AE6A180" w:rsidR="00F03B5F" w:rsidRDefault="005E48CF" w:rsidP="00F03B5F">
      <w:pPr>
        <w:pStyle w:val="ListParagraph"/>
        <w:ind w:left="600"/>
      </w:pPr>
      <w:r>
        <w:lastRenderedPageBreak/>
        <w:t xml:space="preserve">                             </w:t>
      </w:r>
      <w:r w:rsidR="00B220E1" w:rsidRPr="00B220E1">
        <w:rPr>
          <w:noProof/>
        </w:rPr>
        <w:drawing>
          <wp:inline distT="0" distB="0" distL="0" distR="0" wp14:anchorId="4CCE6E56" wp14:editId="5A207B39">
            <wp:extent cx="4107180" cy="2348910"/>
            <wp:effectExtent l="0" t="0" r="7620" b="0"/>
            <wp:docPr id="658232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232453" name=""/>
                    <pic:cNvPicPr/>
                  </pic:nvPicPr>
                  <pic:blipFill>
                    <a:blip r:embed="rId31"/>
                    <a:stretch>
                      <a:fillRect/>
                    </a:stretch>
                  </pic:blipFill>
                  <pic:spPr>
                    <a:xfrm>
                      <a:off x="0" y="0"/>
                      <a:ext cx="4123430" cy="2358203"/>
                    </a:xfrm>
                    <a:prstGeom prst="rect">
                      <a:avLst/>
                    </a:prstGeom>
                  </pic:spPr>
                </pic:pic>
              </a:graphicData>
            </a:graphic>
          </wp:inline>
        </w:drawing>
      </w:r>
    </w:p>
    <w:p w14:paraId="25F426A8" w14:textId="119BFE8C" w:rsidR="00B220E1" w:rsidRDefault="00B220E1" w:rsidP="00F03B5F">
      <w:pPr>
        <w:pStyle w:val="ListParagraph"/>
        <w:ind w:left="600"/>
      </w:pPr>
      <w:r>
        <w:t xml:space="preserve">         </w:t>
      </w:r>
    </w:p>
    <w:p w14:paraId="7497EB04" w14:textId="50138BE4" w:rsidR="00B220E1" w:rsidRDefault="00B220E1" w:rsidP="00F03B5F">
      <w:pPr>
        <w:pStyle w:val="ListParagraph"/>
        <w:ind w:left="600"/>
      </w:pPr>
      <w:r>
        <w:t xml:space="preserve">                                  </w:t>
      </w:r>
      <w:r w:rsidR="008C1F3E" w:rsidRPr="008C1F3E">
        <w:rPr>
          <w:noProof/>
        </w:rPr>
        <w:drawing>
          <wp:inline distT="0" distB="0" distL="0" distR="0" wp14:anchorId="18EA87B7" wp14:editId="0E41C938">
            <wp:extent cx="4168140" cy="2405016"/>
            <wp:effectExtent l="0" t="0" r="3810" b="0"/>
            <wp:docPr id="1191025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025748" name=""/>
                    <pic:cNvPicPr/>
                  </pic:nvPicPr>
                  <pic:blipFill>
                    <a:blip r:embed="rId32"/>
                    <a:stretch>
                      <a:fillRect/>
                    </a:stretch>
                  </pic:blipFill>
                  <pic:spPr>
                    <a:xfrm>
                      <a:off x="0" y="0"/>
                      <a:ext cx="4179777" cy="2411731"/>
                    </a:xfrm>
                    <a:prstGeom prst="rect">
                      <a:avLst/>
                    </a:prstGeom>
                  </pic:spPr>
                </pic:pic>
              </a:graphicData>
            </a:graphic>
          </wp:inline>
        </w:drawing>
      </w:r>
    </w:p>
    <w:p w14:paraId="4C378260" w14:textId="77777777" w:rsidR="008C1F3E" w:rsidRDefault="008C1F3E" w:rsidP="00F03B5F">
      <w:pPr>
        <w:pStyle w:val="ListParagraph"/>
        <w:ind w:left="600"/>
      </w:pPr>
    </w:p>
    <w:p w14:paraId="513EC83C" w14:textId="711734D7" w:rsidR="008C1F3E" w:rsidRDefault="008C1F3E" w:rsidP="00F03B5F">
      <w:pPr>
        <w:pStyle w:val="ListParagraph"/>
        <w:ind w:left="600"/>
      </w:pPr>
      <w:r>
        <w:t xml:space="preserve">                         </w:t>
      </w:r>
      <w:r w:rsidR="008D7CB6">
        <w:t xml:space="preserve">   </w:t>
      </w:r>
      <w:r>
        <w:t xml:space="preserve">      </w:t>
      </w:r>
      <w:r w:rsidR="008D7CB6" w:rsidRPr="008D7CB6">
        <w:rPr>
          <w:noProof/>
        </w:rPr>
        <w:drawing>
          <wp:inline distT="0" distB="0" distL="0" distR="0" wp14:anchorId="7FD0EFFD" wp14:editId="32AEB25A">
            <wp:extent cx="4023360" cy="2315237"/>
            <wp:effectExtent l="0" t="0" r="0" b="8890"/>
            <wp:docPr id="880658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658623" name=""/>
                    <pic:cNvPicPr/>
                  </pic:nvPicPr>
                  <pic:blipFill>
                    <a:blip r:embed="rId33"/>
                    <a:stretch>
                      <a:fillRect/>
                    </a:stretch>
                  </pic:blipFill>
                  <pic:spPr>
                    <a:xfrm>
                      <a:off x="0" y="0"/>
                      <a:ext cx="4049196" cy="2330104"/>
                    </a:xfrm>
                    <a:prstGeom prst="rect">
                      <a:avLst/>
                    </a:prstGeom>
                  </pic:spPr>
                </pic:pic>
              </a:graphicData>
            </a:graphic>
          </wp:inline>
        </w:drawing>
      </w:r>
    </w:p>
    <w:p w14:paraId="4E2E496D" w14:textId="77777777" w:rsidR="00F03B5F" w:rsidRDefault="00F03B5F" w:rsidP="00F03B5F">
      <w:pPr>
        <w:pStyle w:val="ListParagraph"/>
        <w:ind w:left="600"/>
      </w:pPr>
    </w:p>
    <w:p w14:paraId="60C3BE67" w14:textId="77777777" w:rsidR="00F03B5F" w:rsidRDefault="00F03B5F" w:rsidP="00F03B5F">
      <w:pPr>
        <w:pStyle w:val="ListParagraph"/>
        <w:ind w:left="600"/>
      </w:pPr>
    </w:p>
    <w:p w14:paraId="506C4D29" w14:textId="77777777" w:rsidR="00F03B5F" w:rsidRDefault="00F03B5F" w:rsidP="00F03B5F">
      <w:pPr>
        <w:pStyle w:val="ListParagraph"/>
        <w:ind w:left="600"/>
      </w:pPr>
    </w:p>
    <w:p w14:paraId="65D8EC44" w14:textId="77777777" w:rsidR="00F03B5F" w:rsidRDefault="00F03B5F" w:rsidP="00F03B5F">
      <w:pPr>
        <w:pStyle w:val="ListParagraph"/>
        <w:ind w:left="600"/>
      </w:pPr>
    </w:p>
    <w:p w14:paraId="4DECECC1" w14:textId="77777777" w:rsidR="00F03B5F" w:rsidRDefault="00F03B5F" w:rsidP="00F03B5F">
      <w:pPr>
        <w:pStyle w:val="ListParagraph"/>
        <w:ind w:left="600"/>
      </w:pPr>
    </w:p>
    <w:p w14:paraId="15439237" w14:textId="77777777" w:rsidR="00F03B5F" w:rsidRDefault="00F03B5F" w:rsidP="00F03B5F">
      <w:pPr>
        <w:pStyle w:val="ListParagraph"/>
        <w:ind w:left="600"/>
      </w:pPr>
    </w:p>
    <w:p w14:paraId="5C4D033F" w14:textId="183772DA" w:rsidR="00F03B5F" w:rsidRDefault="00FA1D53" w:rsidP="00F03B5F">
      <w:pPr>
        <w:pStyle w:val="ListParagraph"/>
        <w:ind w:left="600"/>
      </w:pPr>
      <w:r>
        <w:lastRenderedPageBreak/>
        <w:t xml:space="preserve">Appendix F: </w:t>
      </w:r>
      <w:r w:rsidR="00D275D2">
        <w:t>Working Capital</w:t>
      </w:r>
    </w:p>
    <w:p w14:paraId="5095A5F0" w14:textId="4D002C7E" w:rsidR="00993AD4" w:rsidRDefault="00993AD4" w:rsidP="00F03B5F">
      <w:pPr>
        <w:pStyle w:val="ListParagraph"/>
        <w:ind w:left="600"/>
      </w:pPr>
      <w:r>
        <w:t xml:space="preserve">       </w:t>
      </w:r>
      <w:r w:rsidRPr="00993AD4">
        <w:rPr>
          <w:noProof/>
        </w:rPr>
        <w:drawing>
          <wp:inline distT="0" distB="0" distL="0" distR="0" wp14:anchorId="1AB7B1EC" wp14:editId="2FA26077">
            <wp:extent cx="5731510" cy="2109470"/>
            <wp:effectExtent l="0" t="0" r="2540" b="5080"/>
            <wp:docPr id="2055285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285999" name=""/>
                    <pic:cNvPicPr/>
                  </pic:nvPicPr>
                  <pic:blipFill>
                    <a:blip r:embed="rId34"/>
                    <a:stretch>
                      <a:fillRect/>
                    </a:stretch>
                  </pic:blipFill>
                  <pic:spPr>
                    <a:xfrm>
                      <a:off x="0" y="0"/>
                      <a:ext cx="5731510" cy="2109470"/>
                    </a:xfrm>
                    <a:prstGeom prst="rect">
                      <a:avLst/>
                    </a:prstGeom>
                  </pic:spPr>
                </pic:pic>
              </a:graphicData>
            </a:graphic>
          </wp:inline>
        </w:drawing>
      </w:r>
    </w:p>
    <w:p w14:paraId="3AD4974A" w14:textId="77777777" w:rsidR="00D275D2" w:rsidRDefault="00D275D2" w:rsidP="00F03B5F">
      <w:pPr>
        <w:pStyle w:val="ListParagraph"/>
        <w:ind w:left="600"/>
      </w:pPr>
    </w:p>
    <w:p w14:paraId="621CC12A" w14:textId="6D42FE3E" w:rsidR="009E5748" w:rsidRDefault="009E5748" w:rsidP="00F03B5F">
      <w:pPr>
        <w:pStyle w:val="ListParagraph"/>
        <w:ind w:left="600"/>
      </w:pPr>
      <w:r>
        <w:t xml:space="preserve">                                </w:t>
      </w:r>
    </w:p>
    <w:p w14:paraId="71ABB113" w14:textId="77777777" w:rsidR="00151857" w:rsidRDefault="00151857" w:rsidP="00F03B5F">
      <w:pPr>
        <w:pStyle w:val="ListParagraph"/>
        <w:ind w:left="600"/>
      </w:pPr>
    </w:p>
    <w:p w14:paraId="5A332F2D" w14:textId="77777777" w:rsidR="00151857" w:rsidRDefault="00151857" w:rsidP="00F03B5F">
      <w:pPr>
        <w:pStyle w:val="ListParagraph"/>
        <w:ind w:left="600"/>
      </w:pPr>
    </w:p>
    <w:p w14:paraId="07AAB658" w14:textId="457BCC49" w:rsidR="00151857" w:rsidRDefault="00151857" w:rsidP="00F03B5F">
      <w:pPr>
        <w:pStyle w:val="ListParagraph"/>
        <w:ind w:left="600"/>
      </w:pPr>
      <w:r>
        <w:t xml:space="preserve">Appendix G: </w:t>
      </w:r>
      <w:r w:rsidR="00D8362D">
        <w:t>Project A - Appraisal</w:t>
      </w:r>
    </w:p>
    <w:p w14:paraId="6DF928E1" w14:textId="77777777" w:rsidR="00D8362D" w:rsidRDefault="00D8362D" w:rsidP="00F03B5F">
      <w:pPr>
        <w:pStyle w:val="ListParagraph"/>
        <w:ind w:left="600"/>
      </w:pPr>
    </w:p>
    <w:p w14:paraId="3A53D6C9" w14:textId="77777777" w:rsidR="0017701A" w:rsidRDefault="00D8362D" w:rsidP="00F03B5F">
      <w:pPr>
        <w:pStyle w:val="ListParagraph"/>
        <w:ind w:left="600"/>
      </w:pPr>
      <w:r>
        <w:t xml:space="preserve">                                 </w:t>
      </w:r>
      <w:r w:rsidR="0017701A" w:rsidRPr="0017701A">
        <w:rPr>
          <w:noProof/>
        </w:rPr>
        <w:drawing>
          <wp:inline distT="0" distB="0" distL="0" distR="0" wp14:anchorId="3391771B" wp14:editId="2EB9324B">
            <wp:extent cx="5731510" cy="1580515"/>
            <wp:effectExtent l="0" t="0" r="2540" b="635"/>
            <wp:docPr id="1042600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600223" name=""/>
                    <pic:cNvPicPr/>
                  </pic:nvPicPr>
                  <pic:blipFill>
                    <a:blip r:embed="rId35"/>
                    <a:stretch>
                      <a:fillRect/>
                    </a:stretch>
                  </pic:blipFill>
                  <pic:spPr>
                    <a:xfrm>
                      <a:off x="0" y="0"/>
                      <a:ext cx="5731510" cy="1580515"/>
                    </a:xfrm>
                    <a:prstGeom prst="rect">
                      <a:avLst/>
                    </a:prstGeom>
                  </pic:spPr>
                </pic:pic>
              </a:graphicData>
            </a:graphic>
          </wp:inline>
        </w:drawing>
      </w:r>
    </w:p>
    <w:p w14:paraId="3303C345" w14:textId="77777777" w:rsidR="0017701A" w:rsidRDefault="0017701A" w:rsidP="00F03B5F">
      <w:pPr>
        <w:pStyle w:val="ListParagraph"/>
        <w:ind w:left="600"/>
      </w:pPr>
    </w:p>
    <w:p w14:paraId="304A0604" w14:textId="74A2D991" w:rsidR="00670B1C" w:rsidRDefault="00670B1C" w:rsidP="00F03B5F">
      <w:pPr>
        <w:pStyle w:val="ListParagraph"/>
        <w:ind w:left="600"/>
      </w:pPr>
      <w:r>
        <w:t>Appendix H: Project B – Appraisal</w:t>
      </w:r>
    </w:p>
    <w:p w14:paraId="0F11C429" w14:textId="77777777" w:rsidR="00E4718A" w:rsidRDefault="00E4718A" w:rsidP="00F03B5F">
      <w:pPr>
        <w:pStyle w:val="ListParagraph"/>
        <w:ind w:left="600"/>
      </w:pPr>
    </w:p>
    <w:p w14:paraId="344251CD" w14:textId="77777777" w:rsidR="00A33CA4" w:rsidRDefault="00E4718A" w:rsidP="00F03B5F">
      <w:pPr>
        <w:pStyle w:val="ListParagraph"/>
        <w:ind w:left="600"/>
      </w:pPr>
      <w:r>
        <w:t xml:space="preserve">        </w:t>
      </w:r>
      <w:r w:rsidR="00A33CA4" w:rsidRPr="00A33CA4">
        <w:rPr>
          <w:noProof/>
        </w:rPr>
        <w:drawing>
          <wp:inline distT="0" distB="0" distL="0" distR="0" wp14:anchorId="4C89A17D" wp14:editId="21A8E64A">
            <wp:extent cx="5731510" cy="1560830"/>
            <wp:effectExtent l="0" t="0" r="2540" b="1270"/>
            <wp:docPr id="191219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19827" name=""/>
                    <pic:cNvPicPr/>
                  </pic:nvPicPr>
                  <pic:blipFill>
                    <a:blip r:embed="rId36"/>
                    <a:stretch>
                      <a:fillRect/>
                    </a:stretch>
                  </pic:blipFill>
                  <pic:spPr>
                    <a:xfrm>
                      <a:off x="0" y="0"/>
                      <a:ext cx="5731510" cy="1560830"/>
                    </a:xfrm>
                    <a:prstGeom prst="rect">
                      <a:avLst/>
                    </a:prstGeom>
                  </pic:spPr>
                </pic:pic>
              </a:graphicData>
            </a:graphic>
          </wp:inline>
        </w:drawing>
      </w:r>
    </w:p>
    <w:p w14:paraId="67845A20" w14:textId="77777777" w:rsidR="00993AD4" w:rsidRDefault="00993AD4" w:rsidP="00F03B5F">
      <w:pPr>
        <w:pStyle w:val="ListParagraph"/>
        <w:ind w:left="600"/>
      </w:pPr>
    </w:p>
    <w:p w14:paraId="38168035" w14:textId="77777777" w:rsidR="00993AD4" w:rsidRDefault="00993AD4" w:rsidP="00F03B5F">
      <w:pPr>
        <w:pStyle w:val="ListParagraph"/>
        <w:ind w:left="600"/>
      </w:pPr>
    </w:p>
    <w:p w14:paraId="5DF8F76C" w14:textId="77777777" w:rsidR="00A33CA4" w:rsidRDefault="00A33CA4" w:rsidP="00F03B5F">
      <w:pPr>
        <w:pStyle w:val="ListParagraph"/>
        <w:ind w:left="600"/>
      </w:pPr>
    </w:p>
    <w:p w14:paraId="220B3A92" w14:textId="656FEEEC" w:rsidR="004E762C" w:rsidRDefault="00A33CA4" w:rsidP="00F03B5F">
      <w:pPr>
        <w:pStyle w:val="ListParagraph"/>
        <w:ind w:left="600"/>
      </w:pPr>
      <w:r>
        <w:lastRenderedPageBreak/>
        <w:t xml:space="preserve">Appendix I: Project C </w:t>
      </w:r>
      <w:r w:rsidR="004E762C">
        <w:t>–</w:t>
      </w:r>
      <w:r>
        <w:t xml:space="preserve"> </w:t>
      </w:r>
      <w:r w:rsidR="004E762C">
        <w:t>Appraisal</w:t>
      </w:r>
    </w:p>
    <w:p w14:paraId="04CE0BF2" w14:textId="77777777" w:rsidR="004E762C" w:rsidRDefault="004E762C" w:rsidP="00F03B5F">
      <w:pPr>
        <w:pStyle w:val="ListParagraph"/>
        <w:ind w:left="600"/>
      </w:pPr>
      <w:r>
        <w:t xml:space="preserve"> </w:t>
      </w:r>
    </w:p>
    <w:p w14:paraId="0B81E910" w14:textId="031F14B9" w:rsidR="00D8362D" w:rsidRDefault="004E762C" w:rsidP="00F03B5F">
      <w:pPr>
        <w:pStyle w:val="ListParagraph"/>
        <w:ind w:left="600"/>
      </w:pPr>
      <w:r>
        <w:t xml:space="preserve"> </w:t>
      </w:r>
      <w:r w:rsidR="008E3737" w:rsidRPr="008E3737">
        <w:rPr>
          <w:noProof/>
        </w:rPr>
        <w:drawing>
          <wp:inline distT="0" distB="0" distL="0" distR="0" wp14:anchorId="5A6AB986" wp14:editId="457B103A">
            <wp:extent cx="5731510" cy="1459865"/>
            <wp:effectExtent l="0" t="0" r="2540" b="6985"/>
            <wp:docPr id="174421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21749" name=""/>
                    <pic:cNvPicPr/>
                  </pic:nvPicPr>
                  <pic:blipFill>
                    <a:blip r:embed="rId37"/>
                    <a:stretch>
                      <a:fillRect/>
                    </a:stretch>
                  </pic:blipFill>
                  <pic:spPr>
                    <a:xfrm>
                      <a:off x="0" y="0"/>
                      <a:ext cx="5731510" cy="1459865"/>
                    </a:xfrm>
                    <a:prstGeom prst="rect">
                      <a:avLst/>
                    </a:prstGeom>
                  </pic:spPr>
                </pic:pic>
              </a:graphicData>
            </a:graphic>
          </wp:inline>
        </w:drawing>
      </w:r>
      <w:r w:rsidR="00D8362D">
        <w:t xml:space="preserve"> </w:t>
      </w:r>
    </w:p>
    <w:p w14:paraId="11827BBB" w14:textId="77777777" w:rsidR="00F03B5F" w:rsidRDefault="00F03B5F" w:rsidP="00F03B5F">
      <w:pPr>
        <w:pStyle w:val="ListParagraph"/>
        <w:ind w:left="600"/>
      </w:pPr>
    </w:p>
    <w:p w14:paraId="7CA2272B" w14:textId="42ACDC5C" w:rsidR="00F03B5F" w:rsidRDefault="00F03B5F" w:rsidP="008D3C7B">
      <w:pPr>
        <w:rPr>
          <w:b/>
          <w:bCs/>
          <w:color w:val="EE0000"/>
        </w:rPr>
      </w:pPr>
    </w:p>
    <w:p w14:paraId="18BF3D04" w14:textId="532B9C18" w:rsidR="0054341B" w:rsidRDefault="0054341B" w:rsidP="008D3C7B">
      <w:r>
        <w:rPr>
          <w:b/>
          <w:bCs/>
          <w:color w:val="EE0000"/>
        </w:rPr>
        <w:t xml:space="preserve"> </w:t>
      </w:r>
      <w:r>
        <w:t xml:space="preserve">Appendix </w:t>
      </w:r>
      <w:r w:rsidR="00A96D44">
        <w:t>J: Capital Rationing</w:t>
      </w:r>
    </w:p>
    <w:p w14:paraId="4476E55D" w14:textId="302D43DA" w:rsidR="00F03B5F" w:rsidRPr="0054341B" w:rsidRDefault="00993AD4" w:rsidP="008D3C7B">
      <w:r>
        <w:t xml:space="preserve">         </w:t>
      </w:r>
      <w:r w:rsidR="00607B59">
        <w:t xml:space="preserve">  </w:t>
      </w:r>
      <w:r w:rsidR="00607B59" w:rsidRPr="00607B59">
        <w:rPr>
          <w:noProof/>
        </w:rPr>
        <w:drawing>
          <wp:inline distT="0" distB="0" distL="0" distR="0" wp14:anchorId="4F74421A" wp14:editId="3A18BA42">
            <wp:extent cx="5197290" cy="1790855"/>
            <wp:effectExtent l="0" t="0" r="3810" b="0"/>
            <wp:docPr id="286216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216528" name=""/>
                    <pic:cNvPicPr/>
                  </pic:nvPicPr>
                  <pic:blipFill>
                    <a:blip r:embed="rId38"/>
                    <a:stretch>
                      <a:fillRect/>
                    </a:stretch>
                  </pic:blipFill>
                  <pic:spPr>
                    <a:xfrm>
                      <a:off x="0" y="0"/>
                      <a:ext cx="5197290" cy="1790855"/>
                    </a:xfrm>
                    <a:prstGeom prst="rect">
                      <a:avLst/>
                    </a:prstGeom>
                  </pic:spPr>
                </pic:pic>
              </a:graphicData>
            </a:graphic>
          </wp:inline>
        </w:drawing>
      </w:r>
    </w:p>
    <w:sectPr w:rsidR="00F03B5F" w:rsidRPr="0054341B" w:rsidSect="00FF2157">
      <w:footerReference w:type="default" r:id="rId3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447C71C" w14:textId="77777777" w:rsidR="00613C55" w:rsidRDefault="00613C55" w:rsidP="00FF2157">
      <w:pPr>
        <w:spacing w:after="0" w:line="240" w:lineRule="auto"/>
      </w:pPr>
      <w:r>
        <w:separator/>
      </w:r>
    </w:p>
  </w:endnote>
  <w:endnote w:type="continuationSeparator" w:id="0">
    <w:p w14:paraId="3F71900A" w14:textId="77777777" w:rsidR="00613C55" w:rsidRDefault="00613C55" w:rsidP="00FF2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88415875"/>
      <w:docPartObj>
        <w:docPartGallery w:val="Page Numbers (Bottom of Page)"/>
        <w:docPartUnique/>
      </w:docPartObj>
    </w:sdtPr>
    <w:sdtContent>
      <w:sdt>
        <w:sdtPr>
          <w:id w:val="-1769616900"/>
          <w:docPartObj>
            <w:docPartGallery w:val="Page Numbers (Top of Page)"/>
            <w:docPartUnique/>
          </w:docPartObj>
        </w:sdtPr>
        <w:sdtContent>
          <w:p w14:paraId="0462A15D" w14:textId="230B5A8B" w:rsidR="00FF2157" w:rsidRDefault="00FF2157">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D1E0D0E" w14:textId="77777777" w:rsidR="00FF2157" w:rsidRDefault="00FF21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B06DBF3" w14:textId="77777777" w:rsidR="00613C55" w:rsidRDefault="00613C55" w:rsidP="00FF2157">
      <w:pPr>
        <w:spacing w:after="0" w:line="240" w:lineRule="auto"/>
      </w:pPr>
      <w:r>
        <w:separator/>
      </w:r>
    </w:p>
  </w:footnote>
  <w:footnote w:type="continuationSeparator" w:id="0">
    <w:p w14:paraId="18036460" w14:textId="77777777" w:rsidR="00613C55" w:rsidRDefault="00613C55" w:rsidP="00FF21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A993DAB"/>
    <w:multiLevelType w:val="hybridMultilevel"/>
    <w:tmpl w:val="D8B67250"/>
    <w:lvl w:ilvl="0" w:tplc="A99A1124">
      <w:start w:val="1"/>
      <w:numFmt w:val="lowerLetter"/>
      <w:lvlText w:val="%1."/>
      <w:lvlJc w:val="left"/>
      <w:pPr>
        <w:ind w:left="600" w:hanging="360"/>
      </w:pPr>
      <w:rPr>
        <w:rFonts w:hint="default"/>
      </w:rPr>
    </w:lvl>
    <w:lvl w:ilvl="1" w:tplc="40090019" w:tentative="1">
      <w:start w:val="1"/>
      <w:numFmt w:val="lowerLetter"/>
      <w:lvlText w:val="%2."/>
      <w:lvlJc w:val="left"/>
      <w:pPr>
        <w:ind w:left="1320" w:hanging="360"/>
      </w:pPr>
    </w:lvl>
    <w:lvl w:ilvl="2" w:tplc="4009001B" w:tentative="1">
      <w:start w:val="1"/>
      <w:numFmt w:val="lowerRoman"/>
      <w:lvlText w:val="%3."/>
      <w:lvlJc w:val="right"/>
      <w:pPr>
        <w:ind w:left="2040" w:hanging="180"/>
      </w:pPr>
    </w:lvl>
    <w:lvl w:ilvl="3" w:tplc="4009000F" w:tentative="1">
      <w:start w:val="1"/>
      <w:numFmt w:val="decimal"/>
      <w:lvlText w:val="%4."/>
      <w:lvlJc w:val="left"/>
      <w:pPr>
        <w:ind w:left="2760" w:hanging="360"/>
      </w:pPr>
    </w:lvl>
    <w:lvl w:ilvl="4" w:tplc="40090019" w:tentative="1">
      <w:start w:val="1"/>
      <w:numFmt w:val="lowerLetter"/>
      <w:lvlText w:val="%5."/>
      <w:lvlJc w:val="left"/>
      <w:pPr>
        <w:ind w:left="3480" w:hanging="360"/>
      </w:pPr>
    </w:lvl>
    <w:lvl w:ilvl="5" w:tplc="4009001B" w:tentative="1">
      <w:start w:val="1"/>
      <w:numFmt w:val="lowerRoman"/>
      <w:lvlText w:val="%6."/>
      <w:lvlJc w:val="right"/>
      <w:pPr>
        <w:ind w:left="4200" w:hanging="180"/>
      </w:pPr>
    </w:lvl>
    <w:lvl w:ilvl="6" w:tplc="4009000F" w:tentative="1">
      <w:start w:val="1"/>
      <w:numFmt w:val="decimal"/>
      <w:lvlText w:val="%7."/>
      <w:lvlJc w:val="left"/>
      <w:pPr>
        <w:ind w:left="4920" w:hanging="360"/>
      </w:pPr>
    </w:lvl>
    <w:lvl w:ilvl="7" w:tplc="40090019" w:tentative="1">
      <w:start w:val="1"/>
      <w:numFmt w:val="lowerLetter"/>
      <w:lvlText w:val="%8."/>
      <w:lvlJc w:val="left"/>
      <w:pPr>
        <w:ind w:left="5640" w:hanging="360"/>
      </w:pPr>
    </w:lvl>
    <w:lvl w:ilvl="8" w:tplc="4009001B" w:tentative="1">
      <w:start w:val="1"/>
      <w:numFmt w:val="lowerRoman"/>
      <w:lvlText w:val="%9."/>
      <w:lvlJc w:val="right"/>
      <w:pPr>
        <w:ind w:left="6360" w:hanging="180"/>
      </w:pPr>
    </w:lvl>
  </w:abstractNum>
  <w:abstractNum w:abstractNumId="1" w15:restartNumberingAfterBreak="0">
    <w:nsid w:val="105A01DC"/>
    <w:multiLevelType w:val="hybridMultilevel"/>
    <w:tmpl w:val="8D08092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56756CC"/>
    <w:multiLevelType w:val="hybridMultilevel"/>
    <w:tmpl w:val="D3F4CCF0"/>
    <w:lvl w:ilvl="0" w:tplc="76B0D818">
      <w:start w:val="1"/>
      <w:numFmt w:val="lowerLetter"/>
      <w:lvlText w:val="%1."/>
      <w:lvlJc w:val="left"/>
      <w:pPr>
        <w:ind w:left="552" w:hanging="360"/>
      </w:pPr>
      <w:rPr>
        <w:rFonts w:hint="default"/>
      </w:rPr>
    </w:lvl>
    <w:lvl w:ilvl="1" w:tplc="40090019" w:tentative="1">
      <w:start w:val="1"/>
      <w:numFmt w:val="lowerLetter"/>
      <w:lvlText w:val="%2."/>
      <w:lvlJc w:val="left"/>
      <w:pPr>
        <w:ind w:left="1272" w:hanging="360"/>
      </w:pPr>
    </w:lvl>
    <w:lvl w:ilvl="2" w:tplc="4009001B" w:tentative="1">
      <w:start w:val="1"/>
      <w:numFmt w:val="lowerRoman"/>
      <w:lvlText w:val="%3."/>
      <w:lvlJc w:val="right"/>
      <w:pPr>
        <w:ind w:left="1992" w:hanging="180"/>
      </w:pPr>
    </w:lvl>
    <w:lvl w:ilvl="3" w:tplc="4009000F" w:tentative="1">
      <w:start w:val="1"/>
      <w:numFmt w:val="decimal"/>
      <w:lvlText w:val="%4."/>
      <w:lvlJc w:val="left"/>
      <w:pPr>
        <w:ind w:left="2712" w:hanging="360"/>
      </w:pPr>
    </w:lvl>
    <w:lvl w:ilvl="4" w:tplc="40090019" w:tentative="1">
      <w:start w:val="1"/>
      <w:numFmt w:val="lowerLetter"/>
      <w:lvlText w:val="%5."/>
      <w:lvlJc w:val="left"/>
      <w:pPr>
        <w:ind w:left="3432" w:hanging="360"/>
      </w:pPr>
    </w:lvl>
    <w:lvl w:ilvl="5" w:tplc="4009001B" w:tentative="1">
      <w:start w:val="1"/>
      <w:numFmt w:val="lowerRoman"/>
      <w:lvlText w:val="%6."/>
      <w:lvlJc w:val="right"/>
      <w:pPr>
        <w:ind w:left="4152" w:hanging="180"/>
      </w:pPr>
    </w:lvl>
    <w:lvl w:ilvl="6" w:tplc="4009000F" w:tentative="1">
      <w:start w:val="1"/>
      <w:numFmt w:val="decimal"/>
      <w:lvlText w:val="%7."/>
      <w:lvlJc w:val="left"/>
      <w:pPr>
        <w:ind w:left="4872" w:hanging="360"/>
      </w:pPr>
    </w:lvl>
    <w:lvl w:ilvl="7" w:tplc="40090019" w:tentative="1">
      <w:start w:val="1"/>
      <w:numFmt w:val="lowerLetter"/>
      <w:lvlText w:val="%8."/>
      <w:lvlJc w:val="left"/>
      <w:pPr>
        <w:ind w:left="5592" w:hanging="360"/>
      </w:pPr>
    </w:lvl>
    <w:lvl w:ilvl="8" w:tplc="4009001B" w:tentative="1">
      <w:start w:val="1"/>
      <w:numFmt w:val="lowerRoman"/>
      <w:lvlText w:val="%9."/>
      <w:lvlJc w:val="right"/>
      <w:pPr>
        <w:ind w:left="6312" w:hanging="180"/>
      </w:pPr>
    </w:lvl>
  </w:abstractNum>
  <w:abstractNum w:abstractNumId="3" w15:restartNumberingAfterBreak="0">
    <w:nsid w:val="28F74E8A"/>
    <w:multiLevelType w:val="hybridMultilevel"/>
    <w:tmpl w:val="0C162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7F489D"/>
    <w:multiLevelType w:val="hybridMultilevel"/>
    <w:tmpl w:val="D324A1B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8927ED7"/>
    <w:multiLevelType w:val="hybridMultilevel"/>
    <w:tmpl w:val="7B5855B4"/>
    <w:lvl w:ilvl="0" w:tplc="8E8E5E70">
      <w:start w:val="1"/>
      <w:numFmt w:val="lowerLetter"/>
      <w:lvlText w:val="%1."/>
      <w:lvlJc w:val="left"/>
      <w:pPr>
        <w:ind w:left="504" w:hanging="360"/>
      </w:pPr>
      <w:rPr>
        <w:rFonts w:hint="default"/>
      </w:rPr>
    </w:lvl>
    <w:lvl w:ilvl="1" w:tplc="40090019" w:tentative="1">
      <w:start w:val="1"/>
      <w:numFmt w:val="lowerLetter"/>
      <w:lvlText w:val="%2."/>
      <w:lvlJc w:val="left"/>
      <w:pPr>
        <w:ind w:left="1224" w:hanging="360"/>
      </w:pPr>
    </w:lvl>
    <w:lvl w:ilvl="2" w:tplc="4009001B" w:tentative="1">
      <w:start w:val="1"/>
      <w:numFmt w:val="lowerRoman"/>
      <w:lvlText w:val="%3."/>
      <w:lvlJc w:val="right"/>
      <w:pPr>
        <w:ind w:left="1944" w:hanging="180"/>
      </w:pPr>
    </w:lvl>
    <w:lvl w:ilvl="3" w:tplc="4009000F" w:tentative="1">
      <w:start w:val="1"/>
      <w:numFmt w:val="decimal"/>
      <w:lvlText w:val="%4."/>
      <w:lvlJc w:val="left"/>
      <w:pPr>
        <w:ind w:left="2664" w:hanging="360"/>
      </w:pPr>
    </w:lvl>
    <w:lvl w:ilvl="4" w:tplc="40090019" w:tentative="1">
      <w:start w:val="1"/>
      <w:numFmt w:val="lowerLetter"/>
      <w:lvlText w:val="%5."/>
      <w:lvlJc w:val="left"/>
      <w:pPr>
        <w:ind w:left="3384" w:hanging="360"/>
      </w:pPr>
    </w:lvl>
    <w:lvl w:ilvl="5" w:tplc="4009001B" w:tentative="1">
      <w:start w:val="1"/>
      <w:numFmt w:val="lowerRoman"/>
      <w:lvlText w:val="%6."/>
      <w:lvlJc w:val="right"/>
      <w:pPr>
        <w:ind w:left="4104" w:hanging="180"/>
      </w:pPr>
    </w:lvl>
    <w:lvl w:ilvl="6" w:tplc="4009000F" w:tentative="1">
      <w:start w:val="1"/>
      <w:numFmt w:val="decimal"/>
      <w:lvlText w:val="%7."/>
      <w:lvlJc w:val="left"/>
      <w:pPr>
        <w:ind w:left="4824" w:hanging="360"/>
      </w:pPr>
    </w:lvl>
    <w:lvl w:ilvl="7" w:tplc="40090019" w:tentative="1">
      <w:start w:val="1"/>
      <w:numFmt w:val="lowerLetter"/>
      <w:lvlText w:val="%8."/>
      <w:lvlJc w:val="left"/>
      <w:pPr>
        <w:ind w:left="5544" w:hanging="360"/>
      </w:pPr>
    </w:lvl>
    <w:lvl w:ilvl="8" w:tplc="4009001B" w:tentative="1">
      <w:start w:val="1"/>
      <w:numFmt w:val="lowerRoman"/>
      <w:lvlText w:val="%9."/>
      <w:lvlJc w:val="right"/>
      <w:pPr>
        <w:ind w:left="6264" w:hanging="180"/>
      </w:pPr>
    </w:lvl>
  </w:abstractNum>
  <w:abstractNum w:abstractNumId="6" w15:restartNumberingAfterBreak="0">
    <w:nsid w:val="390E1FCD"/>
    <w:multiLevelType w:val="multilevel"/>
    <w:tmpl w:val="7AFA3144"/>
    <w:lvl w:ilvl="0">
      <w:start w:val="4"/>
      <w:numFmt w:val="decimal"/>
      <w:lvlText w:val="%1"/>
      <w:lvlJc w:val="left"/>
      <w:pPr>
        <w:ind w:left="444" w:hanging="444"/>
      </w:pPr>
      <w:rPr>
        <w:rFonts w:hint="default"/>
      </w:rPr>
    </w:lvl>
    <w:lvl w:ilvl="1">
      <w:start w:val="3"/>
      <w:numFmt w:val="decimal"/>
      <w:lvlText w:val="%1.%2"/>
      <w:lvlJc w:val="left"/>
      <w:pPr>
        <w:ind w:left="1032" w:hanging="720"/>
      </w:pPr>
      <w:rPr>
        <w:rFonts w:hint="default"/>
      </w:rPr>
    </w:lvl>
    <w:lvl w:ilvl="2">
      <w:start w:val="1"/>
      <w:numFmt w:val="decimal"/>
      <w:lvlText w:val="%1.%2.%3"/>
      <w:lvlJc w:val="left"/>
      <w:pPr>
        <w:ind w:left="1344" w:hanging="720"/>
      </w:pPr>
      <w:rPr>
        <w:rFonts w:hint="default"/>
      </w:rPr>
    </w:lvl>
    <w:lvl w:ilvl="3">
      <w:start w:val="1"/>
      <w:numFmt w:val="decimal"/>
      <w:lvlText w:val="%1.%2.%3.%4"/>
      <w:lvlJc w:val="left"/>
      <w:pPr>
        <w:ind w:left="2016" w:hanging="1080"/>
      </w:pPr>
      <w:rPr>
        <w:rFonts w:hint="default"/>
      </w:rPr>
    </w:lvl>
    <w:lvl w:ilvl="4">
      <w:start w:val="1"/>
      <w:numFmt w:val="decimal"/>
      <w:lvlText w:val="%1.%2.%3.%4.%5"/>
      <w:lvlJc w:val="left"/>
      <w:pPr>
        <w:ind w:left="2688" w:hanging="1440"/>
      </w:pPr>
      <w:rPr>
        <w:rFonts w:hint="default"/>
      </w:rPr>
    </w:lvl>
    <w:lvl w:ilvl="5">
      <w:start w:val="1"/>
      <w:numFmt w:val="decimal"/>
      <w:lvlText w:val="%1.%2.%3.%4.%5.%6"/>
      <w:lvlJc w:val="left"/>
      <w:pPr>
        <w:ind w:left="3360" w:hanging="1800"/>
      </w:pPr>
      <w:rPr>
        <w:rFonts w:hint="default"/>
      </w:rPr>
    </w:lvl>
    <w:lvl w:ilvl="6">
      <w:start w:val="1"/>
      <w:numFmt w:val="decimal"/>
      <w:lvlText w:val="%1.%2.%3.%4.%5.%6.%7"/>
      <w:lvlJc w:val="left"/>
      <w:pPr>
        <w:ind w:left="3672" w:hanging="1800"/>
      </w:pPr>
      <w:rPr>
        <w:rFonts w:hint="default"/>
      </w:rPr>
    </w:lvl>
    <w:lvl w:ilvl="7">
      <w:start w:val="1"/>
      <w:numFmt w:val="decimal"/>
      <w:lvlText w:val="%1.%2.%3.%4.%5.%6.%7.%8"/>
      <w:lvlJc w:val="left"/>
      <w:pPr>
        <w:ind w:left="4344" w:hanging="2160"/>
      </w:pPr>
      <w:rPr>
        <w:rFonts w:hint="default"/>
      </w:rPr>
    </w:lvl>
    <w:lvl w:ilvl="8">
      <w:start w:val="1"/>
      <w:numFmt w:val="decimal"/>
      <w:lvlText w:val="%1.%2.%3.%4.%5.%6.%7.%8.%9"/>
      <w:lvlJc w:val="left"/>
      <w:pPr>
        <w:ind w:left="5016" w:hanging="2520"/>
      </w:pPr>
      <w:rPr>
        <w:rFonts w:hint="default"/>
      </w:rPr>
    </w:lvl>
  </w:abstractNum>
  <w:abstractNum w:abstractNumId="7" w15:restartNumberingAfterBreak="0">
    <w:nsid w:val="3C20647D"/>
    <w:multiLevelType w:val="hybridMultilevel"/>
    <w:tmpl w:val="7F8CAF8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2263B72"/>
    <w:multiLevelType w:val="hybridMultilevel"/>
    <w:tmpl w:val="77569994"/>
    <w:lvl w:ilvl="0" w:tplc="40090019">
      <w:start w:val="3"/>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0224F4D"/>
    <w:multiLevelType w:val="hybridMultilevel"/>
    <w:tmpl w:val="340650D4"/>
    <w:lvl w:ilvl="0" w:tplc="73807984">
      <w:start w:val="5"/>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0"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num w:numId="1" w16cid:durableId="1589267512">
    <w:abstractNumId w:val="10"/>
  </w:num>
  <w:num w:numId="2" w16cid:durableId="1255086434">
    <w:abstractNumId w:val="3"/>
  </w:num>
  <w:num w:numId="3" w16cid:durableId="1435400021">
    <w:abstractNumId w:val="1"/>
  </w:num>
  <w:num w:numId="4" w16cid:durableId="301889715">
    <w:abstractNumId w:val="8"/>
  </w:num>
  <w:num w:numId="5" w16cid:durableId="1030254684">
    <w:abstractNumId w:val="0"/>
  </w:num>
  <w:num w:numId="6" w16cid:durableId="1948652783">
    <w:abstractNumId w:val="2"/>
  </w:num>
  <w:num w:numId="7" w16cid:durableId="76632388">
    <w:abstractNumId w:val="4"/>
  </w:num>
  <w:num w:numId="8" w16cid:durableId="813568529">
    <w:abstractNumId w:val="7"/>
  </w:num>
  <w:num w:numId="9" w16cid:durableId="314720385">
    <w:abstractNumId w:val="5"/>
  </w:num>
  <w:num w:numId="10" w16cid:durableId="649014989">
    <w:abstractNumId w:val="9"/>
  </w:num>
  <w:num w:numId="11" w16cid:durableId="1191995350">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9"/>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0E7"/>
    <w:rsid w:val="00027DE6"/>
    <w:rsid w:val="00035508"/>
    <w:rsid w:val="000371A0"/>
    <w:rsid w:val="0004210A"/>
    <w:rsid w:val="00043B72"/>
    <w:rsid w:val="00053DCA"/>
    <w:rsid w:val="00054D3D"/>
    <w:rsid w:val="00060571"/>
    <w:rsid w:val="00072ADF"/>
    <w:rsid w:val="00086DC1"/>
    <w:rsid w:val="0009429E"/>
    <w:rsid w:val="0009432B"/>
    <w:rsid w:val="000B5256"/>
    <w:rsid w:val="000C5F31"/>
    <w:rsid w:val="000D0CE2"/>
    <w:rsid w:val="000D1BA6"/>
    <w:rsid w:val="000D7BCC"/>
    <w:rsid w:val="000E01D8"/>
    <w:rsid w:val="000F0D5A"/>
    <w:rsid w:val="000F3BC7"/>
    <w:rsid w:val="000F5E1E"/>
    <w:rsid w:val="000F641E"/>
    <w:rsid w:val="00110C5E"/>
    <w:rsid w:val="00115BF0"/>
    <w:rsid w:val="00126E80"/>
    <w:rsid w:val="00141406"/>
    <w:rsid w:val="0015050E"/>
    <w:rsid w:val="00151857"/>
    <w:rsid w:val="00155B5B"/>
    <w:rsid w:val="001567C8"/>
    <w:rsid w:val="00175399"/>
    <w:rsid w:val="0017701A"/>
    <w:rsid w:val="00177841"/>
    <w:rsid w:val="0018285E"/>
    <w:rsid w:val="001A34F0"/>
    <w:rsid w:val="001C310E"/>
    <w:rsid w:val="001E0373"/>
    <w:rsid w:val="001E2A9F"/>
    <w:rsid w:val="001F163C"/>
    <w:rsid w:val="00202B5E"/>
    <w:rsid w:val="00202F39"/>
    <w:rsid w:val="0022387E"/>
    <w:rsid w:val="00223AFF"/>
    <w:rsid w:val="00233A0C"/>
    <w:rsid w:val="002345FA"/>
    <w:rsid w:val="0023707F"/>
    <w:rsid w:val="002474DA"/>
    <w:rsid w:val="0024778D"/>
    <w:rsid w:val="00256645"/>
    <w:rsid w:val="002576A6"/>
    <w:rsid w:val="00262220"/>
    <w:rsid w:val="00263931"/>
    <w:rsid w:val="0026619F"/>
    <w:rsid w:val="00270EBC"/>
    <w:rsid w:val="00271838"/>
    <w:rsid w:val="0027417B"/>
    <w:rsid w:val="00291E62"/>
    <w:rsid w:val="002A7CD1"/>
    <w:rsid w:val="002B1E97"/>
    <w:rsid w:val="002B64C2"/>
    <w:rsid w:val="002B714F"/>
    <w:rsid w:val="002D4596"/>
    <w:rsid w:val="002E22E7"/>
    <w:rsid w:val="002F6585"/>
    <w:rsid w:val="00323977"/>
    <w:rsid w:val="0032426B"/>
    <w:rsid w:val="003258E2"/>
    <w:rsid w:val="003476AE"/>
    <w:rsid w:val="00371D08"/>
    <w:rsid w:val="00371F9D"/>
    <w:rsid w:val="003751B3"/>
    <w:rsid w:val="00384886"/>
    <w:rsid w:val="003962E6"/>
    <w:rsid w:val="003A6D92"/>
    <w:rsid w:val="003B2B59"/>
    <w:rsid w:val="003B30AC"/>
    <w:rsid w:val="003B4373"/>
    <w:rsid w:val="003C0F01"/>
    <w:rsid w:val="003C61FC"/>
    <w:rsid w:val="003C62F6"/>
    <w:rsid w:val="003D0E90"/>
    <w:rsid w:val="003F77F7"/>
    <w:rsid w:val="0040166D"/>
    <w:rsid w:val="00402207"/>
    <w:rsid w:val="00403889"/>
    <w:rsid w:val="0041349F"/>
    <w:rsid w:val="00420DC0"/>
    <w:rsid w:val="00432430"/>
    <w:rsid w:val="00453A70"/>
    <w:rsid w:val="004558AF"/>
    <w:rsid w:val="00456944"/>
    <w:rsid w:val="00462195"/>
    <w:rsid w:val="004839A3"/>
    <w:rsid w:val="00494135"/>
    <w:rsid w:val="00495685"/>
    <w:rsid w:val="004A22B0"/>
    <w:rsid w:val="004B443E"/>
    <w:rsid w:val="004B6D2B"/>
    <w:rsid w:val="004C1A0A"/>
    <w:rsid w:val="004D09B7"/>
    <w:rsid w:val="004D5160"/>
    <w:rsid w:val="004E4316"/>
    <w:rsid w:val="004E5132"/>
    <w:rsid w:val="004E5170"/>
    <w:rsid w:val="004E762C"/>
    <w:rsid w:val="005275EA"/>
    <w:rsid w:val="00540E24"/>
    <w:rsid w:val="005412FC"/>
    <w:rsid w:val="0054341B"/>
    <w:rsid w:val="00550511"/>
    <w:rsid w:val="00564947"/>
    <w:rsid w:val="00567787"/>
    <w:rsid w:val="005723F9"/>
    <w:rsid w:val="00572700"/>
    <w:rsid w:val="00575BE3"/>
    <w:rsid w:val="00581DC9"/>
    <w:rsid w:val="00582644"/>
    <w:rsid w:val="00592034"/>
    <w:rsid w:val="00592258"/>
    <w:rsid w:val="005A4025"/>
    <w:rsid w:val="005C1048"/>
    <w:rsid w:val="005C2D92"/>
    <w:rsid w:val="005C7D90"/>
    <w:rsid w:val="005D6477"/>
    <w:rsid w:val="005E48CF"/>
    <w:rsid w:val="005E6726"/>
    <w:rsid w:val="00601C28"/>
    <w:rsid w:val="006020CF"/>
    <w:rsid w:val="00605422"/>
    <w:rsid w:val="00607B59"/>
    <w:rsid w:val="0061083F"/>
    <w:rsid w:val="00611D51"/>
    <w:rsid w:val="006122D1"/>
    <w:rsid w:val="00613C55"/>
    <w:rsid w:val="00621857"/>
    <w:rsid w:val="00627CC8"/>
    <w:rsid w:val="006314A4"/>
    <w:rsid w:val="00661364"/>
    <w:rsid w:val="00665276"/>
    <w:rsid w:val="00670B1C"/>
    <w:rsid w:val="00675020"/>
    <w:rsid w:val="006811C8"/>
    <w:rsid w:val="00685152"/>
    <w:rsid w:val="00685C5B"/>
    <w:rsid w:val="006A3CEB"/>
    <w:rsid w:val="006B409C"/>
    <w:rsid w:val="006E0314"/>
    <w:rsid w:val="006E33F5"/>
    <w:rsid w:val="006F1196"/>
    <w:rsid w:val="006F4AD4"/>
    <w:rsid w:val="00703213"/>
    <w:rsid w:val="00704AA3"/>
    <w:rsid w:val="007115A9"/>
    <w:rsid w:val="007178AA"/>
    <w:rsid w:val="0072016D"/>
    <w:rsid w:val="007352D4"/>
    <w:rsid w:val="0074029F"/>
    <w:rsid w:val="00740C4A"/>
    <w:rsid w:val="00743751"/>
    <w:rsid w:val="0074775B"/>
    <w:rsid w:val="00752E17"/>
    <w:rsid w:val="00760338"/>
    <w:rsid w:val="00773FC3"/>
    <w:rsid w:val="0079230D"/>
    <w:rsid w:val="00793520"/>
    <w:rsid w:val="007971D2"/>
    <w:rsid w:val="00797C0D"/>
    <w:rsid w:val="007B6E1B"/>
    <w:rsid w:val="007C0BB9"/>
    <w:rsid w:val="007D2D76"/>
    <w:rsid w:val="007D4657"/>
    <w:rsid w:val="007D6A55"/>
    <w:rsid w:val="007D7255"/>
    <w:rsid w:val="007E3A25"/>
    <w:rsid w:val="007F0CA5"/>
    <w:rsid w:val="00801A51"/>
    <w:rsid w:val="008116D6"/>
    <w:rsid w:val="00812B6C"/>
    <w:rsid w:val="00855093"/>
    <w:rsid w:val="008658A4"/>
    <w:rsid w:val="00870662"/>
    <w:rsid w:val="0087167B"/>
    <w:rsid w:val="008829A5"/>
    <w:rsid w:val="008848BF"/>
    <w:rsid w:val="00897F25"/>
    <w:rsid w:val="008A2773"/>
    <w:rsid w:val="008A2E34"/>
    <w:rsid w:val="008A6744"/>
    <w:rsid w:val="008B7337"/>
    <w:rsid w:val="008C1F3E"/>
    <w:rsid w:val="008D0367"/>
    <w:rsid w:val="008D3C7B"/>
    <w:rsid w:val="008D40FC"/>
    <w:rsid w:val="008D7CB6"/>
    <w:rsid w:val="008E3737"/>
    <w:rsid w:val="008F03FD"/>
    <w:rsid w:val="009037C9"/>
    <w:rsid w:val="00906CE6"/>
    <w:rsid w:val="00916807"/>
    <w:rsid w:val="00937B3D"/>
    <w:rsid w:val="00941CDD"/>
    <w:rsid w:val="00961050"/>
    <w:rsid w:val="00966F2A"/>
    <w:rsid w:val="00973010"/>
    <w:rsid w:val="00977BB0"/>
    <w:rsid w:val="00977C9B"/>
    <w:rsid w:val="0098146E"/>
    <w:rsid w:val="00986548"/>
    <w:rsid w:val="00991A58"/>
    <w:rsid w:val="00993AD4"/>
    <w:rsid w:val="009A3F33"/>
    <w:rsid w:val="009B37C4"/>
    <w:rsid w:val="009B51B8"/>
    <w:rsid w:val="009C063A"/>
    <w:rsid w:val="009C2F08"/>
    <w:rsid w:val="009C4636"/>
    <w:rsid w:val="009D6F1A"/>
    <w:rsid w:val="009D72A4"/>
    <w:rsid w:val="009E3CCC"/>
    <w:rsid w:val="009E5748"/>
    <w:rsid w:val="009E7B4C"/>
    <w:rsid w:val="009F4F6C"/>
    <w:rsid w:val="009F7B13"/>
    <w:rsid w:val="00A00208"/>
    <w:rsid w:val="00A074C4"/>
    <w:rsid w:val="00A10686"/>
    <w:rsid w:val="00A33CA4"/>
    <w:rsid w:val="00A377BF"/>
    <w:rsid w:val="00A4347E"/>
    <w:rsid w:val="00A43B9E"/>
    <w:rsid w:val="00A5381E"/>
    <w:rsid w:val="00A555DE"/>
    <w:rsid w:val="00A77DEA"/>
    <w:rsid w:val="00A92A59"/>
    <w:rsid w:val="00A96D44"/>
    <w:rsid w:val="00AA4B41"/>
    <w:rsid w:val="00AB2484"/>
    <w:rsid w:val="00AB3D53"/>
    <w:rsid w:val="00AB5379"/>
    <w:rsid w:val="00AC3618"/>
    <w:rsid w:val="00AC587B"/>
    <w:rsid w:val="00AC58C4"/>
    <w:rsid w:val="00AD2310"/>
    <w:rsid w:val="00AD44FB"/>
    <w:rsid w:val="00AE40F4"/>
    <w:rsid w:val="00AE6917"/>
    <w:rsid w:val="00AF10FC"/>
    <w:rsid w:val="00AF2256"/>
    <w:rsid w:val="00B061D1"/>
    <w:rsid w:val="00B11CCC"/>
    <w:rsid w:val="00B12735"/>
    <w:rsid w:val="00B220E1"/>
    <w:rsid w:val="00B42293"/>
    <w:rsid w:val="00B50F68"/>
    <w:rsid w:val="00B53050"/>
    <w:rsid w:val="00B57131"/>
    <w:rsid w:val="00B64C13"/>
    <w:rsid w:val="00B8287A"/>
    <w:rsid w:val="00B901A0"/>
    <w:rsid w:val="00B94C92"/>
    <w:rsid w:val="00BA52BF"/>
    <w:rsid w:val="00BB00A6"/>
    <w:rsid w:val="00BB443B"/>
    <w:rsid w:val="00BB589F"/>
    <w:rsid w:val="00BC1050"/>
    <w:rsid w:val="00BC473C"/>
    <w:rsid w:val="00BD2BEF"/>
    <w:rsid w:val="00BD50AE"/>
    <w:rsid w:val="00BD5AC7"/>
    <w:rsid w:val="00BE343A"/>
    <w:rsid w:val="00C1250C"/>
    <w:rsid w:val="00C1432E"/>
    <w:rsid w:val="00C15B94"/>
    <w:rsid w:val="00C20108"/>
    <w:rsid w:val="00C26235"/>
    <w:rsid w:val="00C32F5C"/>
    <w:rsid w:val="00C37349"/>
    <w:rsid w:val="00C400AE"/>
    <w:rsid w:val="00C42FEF"/>
    <w:rsid w:val="00C43D7A"/>
    <w:rsid w:val="00C76E99"/>
    <w:rsid w:val="00C80037"/>
    <w:rsid w:val="00C818DD"/>
    <w:rsid w:val="00C919B1"/>
    <w:rsid w:val="00C931AB"/>
    <w:rsid w:val="00CA1F74"/>
    <w:rsid w:val="00CB30E7"/>
    <w:rsid w:val="00CC4810"/>
    <w:rsid w:val="00CC6787"/>
    <w:rsid w:val="00CC6CB2"/>
    <w:rsid w:val="00CD1AAA"/>
    <w:rsid w:val="00CD33B2"/>
    <w:rsid w:val="00CE27A5"/>
    <w:rsid w:val="00CE33E4"/>
    <w:rsid w:val="00CE39C9"/>
    <w:rsid w:val="00D059FF"/>
    <w:rsid w:val="00D05E6B"/>
    <w:rsid w:val="00D07883"/>
    <w:rsid w:val="00D07D25"/>
    <w:rsid w:val="00D119C9"/>
    <w:rsid w:val="00D219D4"/>
    <w:rsid w:val="00D21B4C"/>
    <w:rsid w:val="00D22B82"/>
    <w:rsid w:val="00D22DF1"/>
    <w:rsid w:val="00D26ED7"/>
    <w:rsid w:val="00D275D2"/>
    <w:rsid w:val="00D32E30"/>
    <w:rsid w:val="00D354B2"/>
    <w:rsid w:val="00D3645C"/>
    <w:rsid w:val="00D438D8"/>
    <w:rsid w:val="00D51235"/>
    <w:rsid w:val="00D51904"/>
    <w:rsid w:val="00D62C51"/>
    <w:rsid w:val="00D812B2"/>
    <w:rsid w:val="00D81D84"/>
    <w:rsid w:val="00D8355A"/>
    <w:rsid w:val="00D8362D"/>
    <w:rsid w:val="00D8605A"/>
    <w:rsid w:val="00D91724"/>
    <w:rsid w:val="00D94873"/>
    <w:rsid w:val="00DA2E85"/>
    <w:rsid w:val="00DB439F"/>
    <w:rsid w:val="00DD2C1A"/>
    <w:rsid w:val="00DD4003"/>
    <w:rsid w:val="00DE1307"/>
    <w:rsid w:val="00DE1BAA"/>
    <w:rsid w:val="00DE4007"/>
    <w:rsid w:val="00DE76E3"/>
    <w:rsid w:val="00DF1A1A"/>
    <w:rsid w:val="00DF6CC2"/>
    <w:rsid w:val="00E05FD6"/>
    <w:rsid w:val="00E1552B"/>
    <w:rsid w:val="00E23164"/>
    <w:rsid w:val="00E251C7"/>
    <w:rsid w:val="00E26017"/>
    <w:rsid w:val="00E26C73"/>
    <w:rsid w:val="00E31D3E"/>
    <w:rsid w:val="00E3323B"/>
    <w:rsid w:val="00E410B8"/>
    <w:rsid w:val="00E4718A"/>
    <w:rsid w:val="00E506AC"/>
    <w:rsid w:val="00E5134E"/>
    <w:rsid w:val="00E80B98"/>
    <w:rsid w:val="00E8189E"/>
    <w:rsid w:val="00E97460"/>
    <w:rsid w:val="00EA14A8"/>
    <w:rsid w:val="00EA5FFA"/>
    <w:rsid w:val="00EB18EA"/>
    <w:rsid w:val="00EB33B3"/>
    <w:rsid w:val="00EB42B1"/>
    <w:rsid w:val="00ED0492"/>
    <w:rsid w:val="00EE46B6"/>
    <w:rsid w:val="00F03B5F"/>
    <w:rsid w:val="00F078C8"/>
    <w:rsid w:val="00F17846"/>
    <w:rsid w:val="00F24502"/>
    <w:rsid w:val="00F24F8A"/>
    <w:rsid w:val="00F2520B"/>
    <w:rsid w:val="00F32CC2"/>
    <w:rsid w:val="00F37F6B"/>
    <w:rsid w:val="00F41583"/>
    <w:rsid w:val="00F4364E"/>
    <w:rsid w:val="00F679BA"/>
    <w:rsid w:val="00F701D1"/>
    <w:rsid w:val="00F9427D"/>
    <w:rsid w:val="00F97E6F"/>
    <w:rsid w:val="00FA1D53"/>
    <w:rsid w:val="00FA4905"/>
    <w:rsid w:val="00FA7D89"/>
    <w:rsid w:val="00FC3E97"/>
    <w:rsid w:val="00FD1F69"/>
    <w:rsid w:val="00FD54F2"/>
    <w:rsid w:val="00FF10C3"/>
    <w:rsid w:val="00FF2157"/>
    <w:rsid w:val="00FF7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E0ACF"/>
  <w15:chartTrackingRefBased/>
  <w15:docId w15:val="{DF74C4CF-F25C-4D9C-8F63-78C7D08E2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3FD"/>
  </w:style>
  <w:style w:type="paragraph" w:styleId="Heading1">
    <w:name w:val="heading 1"/>
    <w:basedOn w:val="Normal"/>
    <w:next w:val="Normal"/>
    <w:link w:val="Heading1Char"/>
    <w:uiPriority w:val="9"/>
    <w:qFormat/>
    <w:rsid w:val="00CB30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B30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30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30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30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30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0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0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0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0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B30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30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30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30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30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0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0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0E7"/>
    <w:rPr>
      <w:rFonts w:eastAsiaTheme="majorEastAsia" w:cstheme="majorBidi"/>
      <w:color w:val="272727" w:themeColor="text1" w:themeTint="D8"/>
    </w:rPr>
  </w:style>
  <w:style w:type="paragraph" w:styleId="Title">
    <w:name w:val="Title"/>
    <w:basedOn w:val="Normal"/>
    <w:next w:val="Normal"/>
    <w:link w:val="TitleChar"/>
    <w:uiPriority w:val="10"/>
    <w:qFormat/>
    <w:rsid w:val="00CB30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0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0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0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0E7"/>
    <w:pPr>
      <w:spacing w:before="160"/>
      <w:jc w:val="center"/>
    </w:pPr>
    <w:rPr>
      <w:i/>
      <w:iCs/>
      <w:color w:val="404040" w:themeColor="text1" w:themeTint="BF"/>
    </w:rPr>
  </w:style>
  <w:style w:type="character" w:customStyle="1" w:styleId="QuoteChar">
    <w:name w:val="Quote Char"/>
    <w:basedOn w:val="DefaultParagraphFont"/>
    <w:link w:val="Quote"/>
    <w:uiPriority w:val="29"/>
    <w:rsid w:val="00CB30E7"/>
    <w:rPr>
      <w:i/>
      <w:iCs/>
      <w:color w:val="404040" w:themeColor="text1" w:themeTint="BF"/>
    </w:rPr>
  </w:style>
  <w:style w:type="paragraph" w:styleId="ListParagraph">
    <w:name w:val="List Paragraph"/>
    <w:basedOn w:val="Normal"/>
    <w:link w:val="ListParagraphChar"/>
    <w:uiPriority w:val="34"/>
    <w:qFormat/>
    <w:rsid w:val="00CB30E7"/>
    <w:pPr>
      <w:ind w:left="720"/>
      <w:contextualSpacing/>
    </w:pPr>
  </w:style>
  <w:style w:type="character" w:styleId="IntenseEmphasis">
    <w:name w:val="Intense Emphasis"/>
    <w:basedOn w:val="DefaultParagraphFont"/>
    <w:uiPriority w:val="21"/>
    <w:qFormat/>
    <w:rsid w:val="00CB30E7"/>
    <w:rPr>
      <w:i/>
      <w:iCs/>
      <w:color w:val="0F4761" w:themeColor="accent1" w:themeShade="BF"/>
    </w:rPr>
  </w:style>
  <w:style w:type="paragraph" w:styleId="IntenseQuote">
    <w:name w:val="Intense Quote"/>
    <w:basedOn w:val="Normal"/>
    <w:next w:val="Normal"/>
    <w:link w:val="IntenseQuoteChar"/>
    <w:uiPriority w:val="30"/>
    <w:qFormat/>
    <w:rsid w:val="00CB30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30E7"/>
    <w:rPr>
      <w:i/>
      <w:iCs/>
      <w:color w:val="0F4761" w:themeColor="accent1" w:themeShade="BF"/>
    </w:rPr>
  </w:style>
  <w:style w:type="character" w:styleId="IntenseReference">
    <w:name w:val="Intense Reference"/>
    <w:basedOn w:val="DefaultParagraphFont"/>
    <w:uiPriority w:val="32"/>
    <w:qFormat/>
    <w:rsid w:val="00CB30E7"/>
    <w:rPr>
      <w:b/>
      <w:bCs/>
      <w:smallCaps/>
      <w:color w:val="0F4761" w:themeColor="accent1" w:themeShade="BF"/>
      <w:spacing w:val="5"/>
    </w:rPr>
  </w:style>
  <w:style w:type="character" w:customStyle="1" w:styleId="ListParagraphChar">
    <w:name w:val="List Paragraph Char"/>
    <w:basedOn w:val="DefaultParagraphFont"/>
    <w:link w:val="ListParagraph"/>
    <w:uiPriority w:val="1"/>
    <w:qFormat/>
    <w:locked/>
    <w:rsid w:val="00740C4A"/>
  </w:style>
  <w:style w:type="paragraph" w:styleId="Header">
    <w:name w:val="header"/>
    <w:basedOn w:val="Normal"/>
    <w:link w:val="HeaderChar"/>
    <w:uiPriority w:val="99"/>
    <w:unhideWhenUsed/>
    <w:rsid w:val="00FF21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157"/>
  </w:style>
  <w:style w:type="paragraph" w:styleId="Footer">
    <w:name w:val="footer"/>
    <w:basedOn w:val="Normal"/>
    <w:link w:val="FooterChar"/>
    <w:uiPriority w:val="99"/>
    <w:unhideWhenUsed/>
    <w:rsid w:val="00FF21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157"/>
  </w:style>
  <w:style w:type="table" w:styleId="TableGrid">
    <w:name w:val="Table Grid"/>
    <w:basedOn w:val="TableNormal"/>
    <w:uiPriority w:val="39"/>
    <w:rsid w:val="009D6F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A0FD65-FFA6-4D27-B32A-5295AB5E2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26</Pages>
  <Words>5286</Words>
  <Characters>30132</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Vishal Singh (2543470)</cp:lastModifiedBy>
  <cp:revision>2</cp:revision>
  <dcterms:created xsi:type="dcterms:W3CDTF">2026-08-13T11:17:00Z</dcterms:created>
  <dcterms:modified xsi:type="dcterms:W3CDTF">2026-08-13T11:17:00Z</dcterms:modified>
</cp:coreProperties>
</file>