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F5C3F" w14:textId="10439D7C" w:rsidR="00D55177" w:rsidRDefault="00106D81" w:rsidP="003C2552">
      <w:pPr>
        <w:ind w:left="720" w:hanging="720"/>
        <w:jc w:val="center"/>
        <w:rPr>
          <w:rFonts w:ascii="Arial" w:hAnsi="Arial" w:cs="Arial"/>
          <w:b/>
          <w:bCs/>
          <w:sz w:val="36"/>
          <w:szCs w:val="36"/>
        </w:rPr>
      </w:pPr>
      <w:r w:rsidRPr="004F764B">
        <w:rPr>
          <w:rFonts w:ascii="Arial" w:hAnsi="Arial" w:cs="Arial"/>
          <w:b/>
          <w:bCs/>
          <w:sz w:val="36"/>
          <w:szCs w:val="36"/>
        </w:rPr>
        <w:t xml:space="preserve">Name: Shazia </w:t>
      </w:r>
      <w:r w:rsidR="003C4E51" w:rsidRPr="004F764B">
        <w:rPr>
          <w:rFonts w:ascii="Arial" w:hAnsi="Arial" w:cs="Arial"/>
          <w:b/>
          <w:bCs/>
          <w:sz w:val="36"/>
          <w:szCs w:val="36"/>
        </w:rPr>
        <w:t>K</w:t>
      </w:r>
      <w:r w:rsidRPr="004F764B">
        <w:rPr>
          <w:rFonts w:ascii="Arial" w:hAnsi="Arial" w:cs="Arial"/>
          <w:b/>
          <w:bCs/>
          <w:sz w:val="36"/>
          <w:szCs w:val="36"/>
        </w:rPr>
        <w:t>ausar</w:t>
      </w:r>
    </w:p>
    <w:p w14:paraId="682267F4" w14:textId="6B92AB9C" w:rsidR="00F46681" w:rsidRDefault="006D01BB" w:rsidP="003C2552">
      <w:pPr>
        <w:ind w:left="720" w:hanging="720"/>
        <w:jc w:val="center"/>
        <w:rPr>
          <w:rFonts w:ascii="Arial" w:hAnsi="Arial" w:cs="Arial"/>
          <w:b/>
          <w:bCs/>
          <w:sz w:val="36"/>
          <w:szCs w:val="36"/>
        </w:rPr>
      </w:pPr>
      <w:r>
        <w:rPr>
          <w:rFonts w:ascii="Arial" w:hAnsi="Arial" w:cs="Arial"/>
          <w:b/>
          <w:bCs/>
          <w:sz w:val="36"/>
          <w:szCs w:val="36"/>
        </w:rPr>
        <w:t>Student number: 2512942</w:t>
      </w:r>
    </w:p>
    <w:p w14:paraId="314744F4" w14:textId="1B835FC8" w:rsidR="00ED2594" w:rsidRDefault="00ED2594" w:rsidP="003C2552">
      <w:pPr>
        <w:ind w:left="720" w:hanging="720"/>
        <w:jc w:val="center"/>
        <w:rPr>
          <w:rFonts w:ascii="Arial" w:hAnsi="Arial" w:cs="Arial"/>
          <w:b/>
          <w:bCs/>
          <w:sz w:val="36"/>
          <w:szCs w:val="36"/>
        </w:rPr>
      </w:pPr>
      <w:r>
        <w:rPr>
          <w:rFonts w:ascii="Arial" w:hAnsi="Arial" w:cs="Arial"/>
          <w:b/>
          <w:bCs/>
          <w:sz w:val="36"/>
          <w:szCs w:val="36"/>
        </w:rPr>
        <w:t xml:space="preserve">Module: Psychology </w:t>
      </w:r>
      <w:r w:rsidR="00154BF0">
        <w:rPr>
          <w:rFonts w:ascii="Arial" w:hAnsi="Arial" w:cs="Arial"/>
          <w:b/>
          <w:bCs/>
          <w:sz w:val="36"/>
          <w:szCs w:val="36"/>
        </w:rPr>
        <w:t>in Health and social Care</w:t>
      </w:r>
    </w:p>
    <w:p w14:paraId="479C9171" w14:textId="1E0DE1F6" w:rsidR="00154BF0" w:rsidRDefault="00154BF0" w:rsidP="003C2552">
      <w:pPr>
        <w:ind w:left="720" w:hanging="720"/>
        <w:jc w:val="center"/>
        <w:rPr>
          <w:rFonts w:ascii="Arial" w:hAnsi="Arial" w:cs="Arial"/>
          <w:b/>
          <w:bCs/>
          <w:sz w:val="36"/>
          <w:szCs w:val="36"/>
        </w:rPr>
      </w:pPr>
      <w:r>
        <w:rPr>
          <w:rFonts w:ascii="Arial" w:hAnsi="Arial" w:cs="Arial"/>
          <w:b/>
          <w:bCs/>
          <w:sz w:val="36"/>
          <w:szCs w:val="36"/>
        </w:rPr>
        <w:t>Module code: LCH</w:t>
      </w:r>
      <w:r w:rsidR="00456B15">
        <w:rPr>
          <w:rFonts w:ascii="Arial" w:hAnsi="Arial" w:cs="Arial"/>
          <w:b/>
          <w:bCs/>
          <w:sz w:val="36"/>
          <w:szCs w:val="36"/>
        </w:rPr>
        <w:t>S4010</w:t>
      </w:r>
    </w:p>
    <w:p w14:paraId="11430A1B" w14:textId="7C5190F1" w:rsidR="00456B15" w:rsidRDefault="00456B15" w:rsidP="003C2552">
      <w:pPr>
        <w:ind w:left="720" w:hanging="720"/>
        <w:jc w:val="center"/>
        <w:rPr>
          <w:rFonts w:ascii="Arial" w:hAnsi="Arial" w:cs="Arial"/>
          <w:b/>
          <w:bCs/>
          <w:sz w:val="36"/>
          <w:szCs w:val="36"/>
        </w:rPr>
      </w:pPr>
      <w:r>
        <w:rPr>
          <w:rFonts w:ascii="Arial" w:hAnsi="Arial" w:cs="Arial"/>
          <w:b/>
          <w:bCs/>
          <w:sz w:val="36"/>
          <w:szCs w:val="36"/>
        </w:rPr>
        <w:t>Assignment</w:t>
      </w:r>
      <w:r w:rsidR="0053432E">
        <w:rPr>
          <w:rFonts w:ascii="Arial" w:hAnsi="Arial" w:cs="Arial"/>
          <w:b/>
          <w:bCs/>
          <w:sz w:val="36"/>
          <w:szCs w:val="36"/>
        </w:rPr>
        <w:t xml:space="preserve"> </w:t>
      </w:r>
      <w:r w:rsidR="00C93FD6">
        <w:rPr>
          <w:rFonts w:ascii="Arial" w:hAnsi="Arial" w:cs="Arial"/>
          <w:b/>
          <w:bCs/>
          <w:sz w:val="36"/>
          <w:szCs w:val="36"/>
        </w:rPr>
        <w:t xml:space="preserve">2: </w:t>
      </w:r>
      <w:r w:rsidR="00783285">
        <w:rPr>
          <w:rFonts w:ascii="Arial" w:hAnsi="Arial" w:cs="Arial"/>
          <w:b/>
          <w:bCs/>
          <w:sz w:val="36"/>
          <w:szCs w:val="36"/>
        </w:rPr>
        <w:t>Essay</w:t>
      </w:r>
    </w:p>
    <w:p w14:paraId="76C113C6" w14:textId="55ED4090" w:rsidR="00783285" w:rsidRPr="004F764B" w:rsidRDefault="00783285" w:rsidP="003C2552">
      <w:pPr>
        <w:ind w:left="720" w:hanging="720"/>
        <w:jc w:val="center"/>
        <w:rPr>
          <w:rFonts w:ascii="Arial" w:hAnsi="Arial" w:cs="Arial"/>
          <w:b/>
          <w:bCs/>
          <w:sz w:val="36"/>
          <w:szCs w:val="36"/>
        </w:rPr>
      </w:pPr>
      <w:r>
        <w:rPr>
          <w:rFonts w:ascii="Arial" w:hAnsi="Arial" w:cs="Arial"/>
          <w:b/>
          <w:bCs/>
          <w:sz w:val="36"/>
          <w:szCs w:val="36"/>
        </w:rPr>
        <w:t xml:space="preserve">Lecturer: Alice </w:t>
      </w:r>
      <w:r w:rsidR="0038515A">
        <w:rPr>
          <w:rFonts w:ascii="Arial" w:hAnsi="Arial" w:cs="Arial"/>
          <w:b/>
          <w:bCs/>
          <w:sz w:val="36"/>
          <w:szCs w:val="36"/>
        </w:rPr>
        <w:t>Clayton</w:t>
      </w:r>
    </w:p>
    <w:p w14:paraId="6D47322F" w14:textId="00AEFA73" w:rsidR="003C4E51" w:rsidRDefault="003C4E51" w:rsidP="003C2552">
      <w:pPr>
        <w:ind w:left="720" w:hanging="720"/>
        <w:jc w:val="center"/>
        <w:rPr>
          <w:rFonts w:ascii="Arial" w:hAnsi="Arial" w:cs="Arial"/>
          <w:b/>
          <w:bCs/>
          <w:sz w:val="44"/>
          <w:szCs w:val="44"/>
        </w:rPr>
      </w:pPr>
    </w:p>
    <w:p w14:paraId="2DC59D91" w14:textId="77777777" w:rsidR="003F655B" w:rsidRDefault="003F655B" w:rsidP="003C2552">
      <w:pPr>
        <w:ind w:left="720" w:hanging="720"/>
        <w:jc w:val="center"/>
        <w:rPr>
          <w:rFonts w:ascii="Arial" w:hAnsi="Arial" w:cs="Arial"/>
          <w:b/>
          <w:bCs/>
          <w:sz w:val="44"/>
          <w:szCs w:val="44"/>
        </w:rPr>
      </w:pPr>
    </w:p>
    <w:p w14:paraId="1E773080" w14:textId="77777777" w:rsidR="00D55177" w:rsidRDefault="00D55177" w:rsidP="003C2552">
      <w:pPr>
        <w:ind w:left="720" w:hanging="720"/>
        <w:jc w:val="center"/>
        <w:rPr>
          <w:rFonts w:ascii="Arial" w:hAnsi="Arial" w:cs="Arial"/>
          <w:b/>
          <w:bCs/>
          <w:sz w:val="44"/>
          <w:szCs w:val="44"/>
        </w:rPr>
      </w:pPr>
    </w:p>
    <w:p w14:paraId="6B9930D6" w14:textId="77777777" w:rsidR="00D55177" w:rsidRDefault="00D55177" w:rsidP="003C2552">
      <w:pPr>
        <w:ind w:left="720" w:hanging="720"/>
        <w:jc w:val="center"/>
        <w:rPr>
          <w:rFonts w:ascii="Arial" w:hAnsi="Arial" w:cs="Arial"/>
          <w:b/>
          <w:bCs/>
          <w:sz w:val="44"/>
          <w:szCs w:val="44"/>
        </w:rPr>
      </w:pPr>
    </w:p>
    <w:p w14:paraId="09BF6CDC" w14:textId="77777777" w:rsidR="00D55177" w:rsidRDefault="00D55177" w:rsidP="003C2552">
      <w:pPr>
        <w:ind w:left="720" w:hanging="720"/>
        <w:jc w:val="center"/>
        <w:rPr>
          <w:rFonts w:ascii="Arial" w:hAnsi="Arial" w:cs="Arial"/>
          <w:b/>
          <w:bCs/>
          <w:sz w:val="44"/>
          <w:szCs w:val="44"/>
        </w:rPr>
      </w:pPr>
    </w:p>
    <w:p w14:paraId="530E23D8" w14:textId="77777777" w:rsidR="00D55177" w:rsidRDefault="00D55177" w:rsidP="003C2552">
      <w:pPr>
        <w:ind w:left="720" w:hanging="720"/>
        <w:jc w:val="center"/>
        <w:rPr>
          <w:rFonts w:ascii="Arial" w:hAnsi="Arial" w:cs="Arial"/>
          <w:b/>
          <w:bCs/>
          <w:sz w:val="44"/>
          <w:szCs w:val="44"/>
        </w:rPr>
      </w:pPr>
    </w:p>
    <w:p w14:paraId="72E085B7" w14:textId="77777777" w:rsidR="00D55177" w:rsidRDefault="00D55177" w:rsidP="003C2552">
      <w:pPr>
        <w:ind w:left="720" w:hanging="720"/>
        <w:jc w:val="center"/>
        <w:rPr>
          <w:rFonts w:ascii="Arial" w:hAnsi="Arial" w:cs="Arial"/>
          <w:b/>
          <w:bCs/>
          <w:sz w:val="44"/>
          <w:szCs w:val="44"/>
        </w:rPr>
      </w:pPr>
    </w:p>
    <w:p w14:paraId="25F09000" w14:textId="77777777" w:rsidR="00D55177" w:rsidRDefault="00D55177" w:rsidP="003C2552">
      <w:pPr>
        <w:ind w:left="720" w:hanging="720"/>
        <w:jc w:val="center"/>
        <w:rPr>
          <w:rFonts w:ascii="Arial" w:hAnsi="Arial" w:cs="Arial"/>
          <w:b/>
          <w:bCs/>
          <w:sz w:val="44"/>
          <w:szCs w:val="44"/>
        </w:rPr>
      </w:pPr>
    </w:p>
    <w:p w14:paraId="26680685" w14:textId="77777777" w:rsidR="00D55177" w:rsidRDefault="00D55177" w:rsidP="003C2552">
      <w:pPr>
        <w:ind w:left="720" w:hanging="720"/>
        <w:jc w:val="center"/>
        <w:rPr>
          <w:rFonts w:ascii="Arial" w:hAnsi="Arial" w:cs="Arial"/>
          <w:b/>
          <w:bCs/>
          <w:sz w:val="44"/>
          <w:szCs w:val="44"/>
        </w:rPr>
      </w:pPr>
    </w:p>
    <w:p w14:paraId="3DACFD68" w14:textId="77777777" w:rsidR="00D55177" w:rsidRDefault="00D55177" w:rsidP="003C2552">
      <w:pPr>
        <w:ind w:left="720" w:hanging="720"/>
        <w:jc w:val="center"/>
        <w:rPr>
          <w:rFonts w:ascii="Arial" w:hAnsi="Arial" w:cs="Arial"/>
          <w:b/>
          <w:bCs/>
          <w:sz w:val="44"/>
          <w:szCs w:val="44"/>
        </w:rPr>
      </w:pPr>
    </w:p>
    <w:p w14:paraId="14B3D03F" w14:textId="77777777" w:rsidR="00D55177" w:rsidRDefault="00D55177" w:rsidP="003C2552">
      <w:pPr>
        <w:ind w:left="720" w:hanging="720"/>
        <w:jc w:val="center"/>
        <w:rPr>
          <w:rFonts w:ascii="Arial" w:hAnsi="Arial" w:cs="Arial"/>
          <w:b/>
          <w:bCs/>
          <w:sz w:val="44"/>
          <w:szCs w:val="44"/>
        </w:rPr>
      </w:pPr>
    </w:p>
    <w:p w14:paraId="6D6A2363" w14:textId="77777777" w:rsidR="00D55177" w:rsidRDefault="00D55177" w:rsidP="003C2552">
      <w:pPr>
        <w:ind w:left="720" w:hanging="720"/>
        <w:jc w:val="center"/>
        <w:rPr>
          <w:rFonts w:ascii="Arial" w:hAnsi="Arial" w:cs="Arial"/>
          <w:b/>
          <w:bCs/>
          <w:sz w:val="44"/>
          <w:szCs w:val="44"/>
        </w:rPr>
      </w:pPr>
    </w:p>
    <w:p w14:paraId="72ED6CBC" w14:textId="77777777" w:rsidR="00D55177" w:rsidRDefault="00D55177" w:rsidP="003C2552">
      <w:pPr>
        <w:ind w:left="720" w:hanging="720"/>
        <w:jc w:val="center"/>
        <w:rPr>
          <w:rFonts w:ascii="Arial" w:hAnsi="Arial" w:cs="Arial"/>
          <w:b/>
          <w:bCs/>
          <w:sz w:val="44"/>
          <w:szCs w:val="44"/>
        </w:rPr>
      </w:pPr>
    </w:p>
    <w:p w14:paraId="2AFFD37F" w14:textId="77777777" w:rsidR="00D55177" w:rsidRDefault="00D55177" w:rsidP="003C2552">
      <w:pPr>
        <w:ind w:left="720" w:hanging="720"/>
        <w:jc w:val="center"/>
        <w:rPr>
          <w:rFonts w:ascii="Arial" w:hAnsi="Arial" w:cs="Arial"/>
          <w:b/>
          <w:bCs/>
          <w:sz w:val="44"/>
          <w:szCs w:val="44"/>
        </w:rPr>
      </w:pPr>
    </w:p>
    <w:p w14:paraId="1416D7EE" w14:textId="77777777" w:rsidR="00AB60B8" w:rsidRPr="003C2552" w:rsidRDefault="00AB60B8" w:rsidP="00AB60B8">
      <w:pPr>
        <w:ind w:left="720" w:hanging="720"/>
        <w:jc w:val="center"/>
        <w:rPr>
          <w:rFonts w:ascii="Arial" w:hAnsi="Arial" w:cs="Arial"/>
          <w:b/>
          <w:bCs/>
          <w:sz w:val="44"/>
          <w:szCs w:val="44"/>
        </w:rPr>
      </w:pPr>
      <w:r w:rsidRPr="003C2552">
        <w:rPr>
          <w:rFonts w:ascii="Arial" w:hAnsi="Arial" w:cs="Arial"/>
          <w:b/>
          <w:bCs/>
          <w:sz w:val="44"/>
          <w:szCs w:val="44"/>
        </w:rPr>
        <w:t xml:space="preserve">The </w:t>
      </w:r>
      <w:r>
        <w:rPr>
          <w:rFonts w:ascii="Arial" w:hAnsi="Arial" w:cs="Arial"/>
          <w:b/>
          <w:bCs/>
          <w:sz w:val="44"/>
          <w:szCs w:val="44"/>
        </w:rPr>
        <w:t>I</w:t>
      </w:r>
      <w:r w:rsidRPr="003C2552">
        <w:rPr>
          <w:rFonts w:ascii="Arial" w:hAnsi="Arial" w:cs="Arial"/>
          <w:b/>
          <w:bCs/>
          <w:sz w:val="44"/>
          <w:szCs w:val="44"/>
        </w:rPr>
        <w:t xml:space="preserve">mpact of </w:t>
      </w:r>
      <w:r>
        <w:rPr>
          <w:rFonts w:ascii="Arial" w:hAnsi="Arial" w:cs="Arial"/>
          <w:b/>
          <w:bCs/>
          <w:sz w:val="44"/>
          <w:szCs w:val="44"/>
        </w:rPr>
        <w:t>S</w:t>
      </w:r>
      <w:r w:rsidRPr="003C2552">
        <w:rPr>
          <w:rFonts w:ascii="Arial" w:hAnsi="Arial" w:cs="Arial"/>
          <w:b/>
          <w:bCs/>
          <w:sz w:val="44"/>
          <w:szCs w:val="44"/>
        </w:rPr>
        <w:t xml:space="preserve">ocial </w:t>
      </w:r>
      <w:r>
        <w:rPr>
          <w:rFonts w:ascii="Arial" w:hAnsi="Arial" w:cs="Arial"/>
          <w:b/>
          <w:bCs/>
          <w:sz w:val="44"/>
          <w:szCs w:val="44"/>
        </w:rPr>
        <w:t>M</w:t>
      </w:r>
      <w:r w:rsidRPr="003C2552">
        <w:rPr>
          <w:rFonts w:ascii="Arial" w:hAnsi="Arial" w:cs="Arial"/>
          <w:b/>
          <w:bCs/>
          <w:sz w:val="44"/>
          <w:szCs w:val="44"/>
        </w:rPr>
        <w:t xml:space="preserve">edia on </w:t>
      </w:r>
      <w:r>
        <w:rPr>
          <w:rFonts w:ascii="Arial" w:hAnsi="Arial" w:cs="Arial"/>
          <w:b/>
          <w:bCs/>
          <w:sz w:val="44"/>
          <w:szCs w:val="44"/>
        </w:rPr>
        <w:t>M</w:t>
      </w:r>
      <w:r w:rsidRPr="003C2552">
        <w:rPr>
          <w:rFonts w:ascii="Arial" w:hAnsi="Arial" w:cs="Arial"/>
          <w:b/>
          <w:bCs/>
          <w:sz w:val="44"/>
          <w:szCs w:val="44"/>
        </w:rPr>
        <w:t xml:space="preserve">ental </w:t>
      </w:r>
      <w:r>
        <w:rPr>
          <w:rFonts w:ascii="Arial" w:hAnsi="Arial" w:cs="Arial"/>
          <w:b/>
          <w:bCs/>
          <w:sz w:val="44"/>
          <w:szCs w:val="44"/>
        </w:rPr>
        <w:t>H</w:t>
      </w:r>
      <w:r w:rsidRPr="003C2552">
        <w:rPr>
          <w:rFonts w:ascii="Arial" w:hAnsi="Arial" w:cs="Arial"/>
          <w:b/>
          <w:bCs/>
          <w:sz w:val="44"/>
          <w:szCs w:val="44"/>
        </w:rPr>
        <w:t xml:space="preserve">ealth in </w:t>
      </w:r>
      <w:r>
        <w:rPr>
          <w:rFonts w:ascii="Arial" w:hAnsi="Arial" w:cs="Arial"/>
          <w:b/>
          <w:bCs/>
          <w:sz w:val="44"/>
          <w:szCs w:val="44"/>
        </w:rPr>
        <w:t>A</w:t>
      </w:r>
      <w:r w:rsidRPr="003C2552">
        <w:rPr>
          <w:rFonts w:ascii="Arial" w:hAnsi="Arial" w:cs="Arial"/>
          <w:b/>
          <w:bCs/>
          <w:sz w:val="44"/>
          <w:szCs w:val="44"/>
        </w:rPr>
        <w:t>dolescence</w:t>
      </w:r>
    </w:p>
    <w:p w14:paraId="3FAB522C" w14:textId="77777777" w:rsidR="00D55177" w:rsidRDefault="00D55177" w:rsidP="002544BE">
      <w:pPr>
        <w:spacing w:line="360" w:lineRule="auto"/>
        <w:ind w:left="720" w:hanging="720"/>
        <w:jc w:val="center"/>
        <w:rPr>
          <w:rFonts w:ascii="Arial" w:hAnsi="Arial" w:cs="Arial"/>
          <w:b/>
          <w:bCs/>
          <w:sz w:val="44"/>
          <w:szCs w:val="44"/>
        </w:rPr>
      </w:pPr>
    </w:p>
    <w:p w14:paraId="717BB8C1" w14:textId="4483F931" w:rsidR="00EA1DD4" w:rsidRPr="00872D16" w:rsidRDefault="003C2552" w:rsidP="002544BE">
      <w:pPr>
        <w:spacing w:line="360" w:lineRule="auto"/>
        <w:rPr>
          <w:rFonts w:ascii="Arial" w:hAnsi="Arial" w:cs="Arial"/>
          <w:sz w:val="22"/>
          <w:szCs w:val="22"/>
        </w:rPr>
      </w:pPr>
      <w:r w:rsidRPr="00872D16">
        <w:rPr>
          <w:rFonts w:ascii="Arial" w:hAnsi="Arial" w:cs="Arial"/>
          <w:sz w:val="22"/>
          <w:szCs w:val="22"/>
        </w:rPr>
        <w:t xml:space="preserve">Social media has become an integral aspect of contemporary life, particularly among adolescents who frequently engage with platforms such as Instagram, TikTok, Snapchat, and YouTube for communication, entertainment, identity exploration, and social interaction. </w:t>
      </w:r>
      <w:r w:rsidR="00905353" w:rsidRPr="00872D16">
        <w:rPr>
          <w:rFonts w:ascii="Arial" w:hAnsi="Arial" w:cs="Arial"/>
          <w:sz w:val="22"/>
          <w:szCs w:val="22"/>
        </w:rPr>
        <w:t>O</w:t>
      </w:r>
      <w:r w:rsidRPr="00872D16">
        <w:rPr>
          <w:rFonts w:ascii="Arial" w:hAnsi="Arial" w:cs="Arial"/>
          <w:sz w:val="22"/>
          <w:szCs w:val="22"/>
        </w:rPr>
        <w:t>ver 90% of adolescents actively use social media, demonstrating its significant role during a crucial developmental stage</w:t>
      </w:r>
      <w:r w:rsidR="00905353" w:rsidRPr="00872D16">
        <w:rPr>
          <w:rFonts w:ascii="Arial" w:hAnsi="Arial" w:cs="Arial"/>
          <w:sz w:val="22"/>
          <w:szCs w:val="22"/>
        </w:rPr>
        <w:t xml:space="preserve"> (American Psychological Association</w:t>
      </w:r>
      <w:r w:rsidR="009A6FB8">
        <w:rPr>
          <w:rFonts w:ascii="Arial" w:hAnsi="Arial" w:cs="Arial"/>
          <w:sz w:val="22"/>
          <w:szCs w:val="22"/>
        </w:rPr>
        <w:t>,</w:t>
      </w:r>
      <w:r w:rsidR="00905353" w:rsidRPr="00872D16">
        <w:rPr>
          <w:rFonts w:ascii="Arial" w:hAnsi="Arial" w:cs="Arial"/>
          <w:sz w:val="22"/>
          <w:szCs w:val="22"/>
        </w:rPr>
        <w:t xml:space="preserve"> 2023)</w:t>
      </w:r>
      <w:r w:rsidRPr="00872D16">
        <w:rPr>
          <w:rFonts w:ascii="Arial" w:hAnsi="Arial" w:cs="Arial"/>
          <w:sz w:val="22"/>
          <w:szCs w:val="22"/>
        </w:rPr>
        <w:t xml:space="preserve">. While these platforms offer opportunities for creativity, education, and social connection, a growing body of research suggests that excessive or problematic use may negatively influence mental health outcomes. These include increased levels of anxiety, depression, loneliness, low self-esteem, and body dissatisfaction </w:t>
      </w:r>
      <w:r w:rsidR="0054644C" w:rsidRPr="00872D16">
        <w:rPr>
          <w:rFonts w:ascii="Arial" w:hAnsi="Arial" w:cs="Arial"/>
          <w:sz w:val="22"/>
          <w:szCs w:val="22"/>
        </w:rPr>
        <w:t>(Keles, McCrae and Grealish, 2020).</w:t>
      </w:r>
    </w:p>
    <w:p w14:paraId="3ECCA1AC" w14:textId="77777777" w:rsidR="0000695B" w:rsidRDefault="0000695B" w:rsidP="002544BE">
      <w:pPr>
        <w:spacing w:line="360" w:lineRule="auto"/>
        <w:rPr>
          <w:rFonts w:ascii="Arial" w:hAnsi="Arial" w:cs="Arial"/>
          <w:sz w:val="22"/>
          <w:szCs w:val="22"/>
        </w:rPr>
      </w:pPr>
    </w:p>
    <w:p w14:paraId="3039C560" w14:textId="00642CE8" w:rsidR="003C2552" w:rsidRPr="00872D16" w:rsidRDefault="003C2552" w:rsidP="002544BE">
      <w:pPr>
        <w:spacing w:line="360" w:lineRule="auto"/>
        <w:rPr>
          <w:rFonts w:ascii="Arial" w:hAnsi="Arial" w:cs="Arial"/>
          <w:sz w:val="22"/>
          <w:szCs w:val="22"/>
        </w:rPr>
      </w:pPr>
      <w:r w:rsidRPr="00872D16">
        <w:rPr>
          <w:rFonts w:ascii="Arial" w:hAnsi="Arial" w:cs="Arial"/>
          <w:sz w:val="22"/>
          <w:szCs w:val="22"/>
        </w:rPr>
        <w:t>Mental health is defined as a state of wellbeing in which individuals can manage life stressors, realise their abilities, and contribute meaningfully to society</w:t>
      </w:r>
      <w:r w:rsidR="00131564" w:rsidRPr="00872D16">
        <w:rPr>
          <w:rFonts w:ascii="Arial" w:hAnsi="Arial" w:cs="Arial"/>
          <w:sz w:val="22"/>
          <w:szCs w:val="22"/>
        </w:rPr>
        <w:t xml:space="preserve"> (World Health Organi</w:t>
      </w:r>
      <w:r w:rsidR="003B5D0C">
        <w:rPr>
          <w:rFonts w:ascii="Arial" w:hAnsi="Arial" w:cs="Arial"/>
          <w:sz w:val="22"/>
          <w:szCs w:val="22"/>
        </w:rPr>
        <w:t>z</w:t>
      </w:r>
      <w:r w:rsidR="00131564" w:rsidRPr="00872D16">
        <w:rPr>
          <w:rFonts w:ascii="Arial" w:hAnsi="Arial" w:cs="Arial"/>
          <w:sz w:val="22"/>
          <w:szCs w:val="22"/>
        </w:rPr>
        <w:t>ation, 2022)</w:t>
      </w:r>
      <w:r w:rsidRPr="00872D16">
        <w:rPr>
          <w:rFonts w:ascii="Arial" w:hAnsi="Arial" w:cs="Arial"/>
          <w:sz w:val="22"/>
          <w:szCs w:val="22"/>
        </w:rPr>
        <w:t>. Adolescence is a particularly sensitive developmental period characterised by rapid biological, psychological, and social changes, alongside identity formation and increased peer influence</w:t>
      </w:r>
      <w:r w:rsidR="00A83B17" w:rsidRPr="00872D16">
        <w:rPr>
          <w:rFonts w:ascii="Arial" w:eastAsia="Times New Roman" w:hAnsi="Arial" w:cs="Arial"/>
          <w:kern w:val="0"/>
          <w:sz w:val="22"/>
          <w:szCs w:val="22"/>
          <w:lang w:eastAsia="en-GB"/>
          <w14:ligatures w14:val="none"/>
        </w:rPr>
        <w:t xml:space="preserve"> </w:t>
      </w:r>
      <w:r w:rsidR="00A83B17" w:rsidRPr="00872D16">
        <w:rPr>
          <w:rFonts w:ascii="Arial" w:hAnsi="Arial" w:cs="Arial"/>
          <w:sz w:val="22"/>
          <w:szCs w:val="22"/>
        </w:rPr>
        <w:t xml:space="preserve">(Steinberg, 2008). </w:t>
      </w:r>
      <w:r w:rsidRPr="00872D16">
        <w:rPr>
          <w:rFonts w:ascii="Arial" w:hAnsi="Arial" w:cs="Arial"/>
          <w:sz w:val="22"/>
          <w:szCs w:val="22"/>
        </w:rPr>
        <w:t>During this stage, individuals become especially sensitive to social comparison and external validation, which makes them more vulnerable to online feedback and peer evaluation.</w:t>
      </w:r>
      <w:r w:rsidR="000F0777">
        <w:rPr>
          <w:rFonts w:ascii="Arial" w:hAnsi="Arial" w:cs="Arial"/>
          <w:sz w:val="22"/>
          <w:szCs w:val="22"/>
        </w:rPr>
        <w:t xml:space="preserve"> </w:t>
      </w:r>
      <w:r w:rsidRPr="00872D16">
        <w:rPr>
          <w:rFonts w:ascii="Arial" w:hAnsi="Arial" w:cs="Arial"/>
          <w:sz w:val="22"/>
          <w:szCs w:val="22"/>
        </w:rPr>
        <w:t>However, it is important to recognise that social media does not have solely negative effects. Many adolescents use online platforms to maintain friendships, access emotional support, and participate in educational communities. Research suggests that the impact of social media is not determined by time spent online alone, but rather by how it is used, the content accessed, and individual differences between users (Orben and Przybylski, 2019). This highlights the need for psychological theories to explain why adolescents experience different mental health outcomes in response to similar digital environments.</w:t>
      </w:r>
      <w:r w:rsidR="000F0777">
        <w:rPr>
          <w:rFonts w:ascii="Arial" w:hAnsi="Arial" w:cs="Arial"/>
          <w:sz w:val="22"/>
          <w:szCs w:val="22"/>
        </w:rPr>
        <w:t xml:space="preserve"> </w:t>
      </w:r>
      <w:r w:rsidRPr="00872D16">
        <w:rPr>
          <w:rFonts w:ascii="Arial" w:hAnsi="Arial" w:cs="Arial"/>
          <w:sz w:val="22"/>
          <w:szCs w:val="22"/>
        </w:rPr>
        <w:t>This essay will critically discuss the impact of social media on adolescent mental health using Bandura’s Social Learning Theory and Erikson’s Psychosocial Theory. It will explore how each theory explains behaviour and emotional development, evaluate their strengths and limitations, and consider how biological and environmental factors interact to shape adolescent wellbeing.</w:t>
      </w:r>
    </w:p>
    <w:p w14:paraId="1CF1E69E" w14:textId="77777777" w:rsidR="00704E64" w:rsidRDefault="00704E64" w:rsidP="002544BE">
      <w:pPr>
        <w:spacing w:line="360" w:lineRule="auto"/>
        <w:rPr>
          <w:rFonts w:ascii="Arial" w:hAnsi="Arial" w:cs="Arial"/>
          <w:b/>
          <w:bCs/>
          <w:sz w:val="22"/>
          <w:szCs w:val="22"/>
        </w:rPr>
      </w:pPr>
    </w:p>
    <w:p w14:paraId="190EE2D3" w14:textId="6B3FCAC6" w:rsidR="003C2552" w:rsidRPr="00285B72" w:rsidRDefault="005B65E0" w:rsidP="002544BE">
      <w:pPr>
        <w:spacing w:line="360" w:lineRule="auto"/>
        <w:rPr>
          <w:rFonts w:ascii="Arial" w:hAnsi="Arial" w:cs="Arial"/>
          <w:b/>
          <w:bCs/>
          <w:sz w:val="22"/>
          <w:szCs w:val="22"/>
        </w:rPr>
      </w:pPr>
      <w:r w:rsidRPr="00872D16">
        <w:rPr>
          <w:rFonts w:ascii="Arial" w:hAnsi="Arial" w:cs="Arial"/>
          <w:sz w:val="22"/>
          <w:szCs w:val="22"/>
        </w:rPr>
        <w:t>Bandura</w:t>
      </w:r>
      <w:r w:rsidR="00131564" w:rsidRPr="00872D16">
        <w:rPr>
          <w:rFonts w:ascii="Arial" w:hAnsi="Arial" w:cs="Arial"/>
          <w:sz w:val="22"/>
          <w:szCs w:val="22"/>
        </w:rPr>
        <w:t xml:space="preserve"> (</w:t>
      </w:r>
      <w:r w:rsidRPr="00872D16">
        <w:rPr>
          <w:rFonts w:ascii="Arial" w:hAnsi="Arial" w:cs="Arial"/>
          <w:sz w:val="22"/>
          <w:szCs w:val="22"/>
        </w:rPr>
        <w:t>1977)</w:t>
      </w:r>
      <w:r w:rsidR="003C2552" w:rsidRPr="00872D16">
        <w:rPr>
          <w:rFonts w:ascii="Arial" w:hAnsi="Arial" w:cs="Arial"/>
          <w:sz w:val="22"/>
          <w:szCs w:val="22"/>
        </w:rPr>
        <w:t xml:space="preserve"> suggests that individuals learn behaviours through observation, imitation, and modelling rather than direct reinforcement alone. Learning </w:t>
      </w:r>
      <w:r w:rsidR="00495486" w:rsidRPr="00872D16">
        <w:rPr>
          <w:rFonts w:ascii="Arial" w:hAnsi="Arial" w:cs="Arial"/>
          <w:sz w:val="22"/>
          <w:szCs w:val="22"/>
        </w:rPr>
        <w:t>occurs</w:t>
      </w:r>
      <w:r w:rsidR="00CA6435" w:rsidRPr="00872D16">
        <w:rPr>
          <w:rFonts w:ascii="Arial" w:hAnsi="Arial" w:cs="Arial"/>
          <w:b/>
          <w:bCs/>
          <w:sz w:val="22"/>
          <w:szCs w:val="22"/>
        </w:rPr>
        <w:t xml:space="preserve"> </w:t>
      </w:r>
      <w:r w:rsidR="003C2552" w:rsidRPr="00872D16">
        <w:rPr>
          <w:rFonts w:ascii="Arial" w:hAnsi="Arial" w:cs="Arial"/>
          <w:sz w:val="22"/>
          <w:szCs w:val="22"/>
        </w:rPr>
        <w:t>through four key processes: attention, retention, reproduction, and motivation. Adolescents are particularly susceptible to this form of learning due to their increased exposure to online environments and role models such as influencers, celebrities, and peers.</w:t>
      </w:r>
      <w:r w:rsidR="00AD7963">
        <w:rPr>
          <w:rFonts w:ascii="Arial" w:hAnsi="Arial" w:cs="Arial"/>
          <w:b/>
          <w:bCs/>
          <w:sz w:val="22"/>
          <w:szCs w:val="22"/>
        </w:rPr>
        <w:t xml:space="preserve"> </w:t>
      </w:r>
      <w:r w:rsidR="003C2552" w:rsidRPr="00872D16">
        <w:rPr>
          <w:rFonts w:ascii="Arial" w:hAnsi="Arial" w:cs="Arial"/>
          <w:sz w:val="22"/>
          <w:szCs w:val="22"/>
        </w:rPr>
        <w:t>Social media platforms provide constant exposure to idealised representations of lifestyle, success, relationships, and physical appearance. These behaviours are frequently reinforced through likes, comments, shares, and follower counts, which act as forms of social validation. According to</w:t>
      </w:r>
      <w:r w:rsidR="00F10C99" w:rsidRPr="00872D16">
        <w:rPr>
          <w:rFonts w:ascii="Arial" w:hAnsi="Arial" w:cs="Arial"/>
          <w:sz w:val="22"/>
          <w:szCs w:val="22"/>
        </w:rPr>
        <w:t xml:space="preserve"> Bandura</w:t>
      </w:r>
      <w:r w:rsidR="00D27B75" w:rsidRPr="00872D16">
        <w:rPr>
          <w:rFonts w:ascii="Arial" w:hAnsi="Arial" w:cs="Arial"/>
          <w:sz w:val="22"/>
          <w:szCs w:val="22"/>
        </w:rPr>
        <w:t xml:space="preserve"> (</w:t>
      </w:r>
      <w:r w:rsidR="00F10C99" w:rsidRPr="00872D16">
        <w:rPr>
          <w:rFonts w:ascii="Arial" w:hAnsi="Arial" w:cs="Arial"/>
          <w:sz w:val="22"/>
          <w:szCs w:val="22"/>
        </w:rPr>
        <w:t xml:space="preserve">1977), </w:t>
      </w:r>
      <w:r w:rsidR="003C2552" w:rsidRPr="00872D16">
        <w:rPr>
          <w:rFonts w:ascii="Arial" w:hAnsi="Arial" w:cs="Arial"/>
          <w:sz w:val="22"/>
          <w:szCs w:val="22"/>
        </w:rPr>
        <w:t>this reinforcement increases the likelihood that individuals will imitate observed behaviours. As a result, adolescents may internalise unrealistic standards and engage in social comparison, often leading to reduced self-esteem and body dissatisfaction.</w:t>
      </w:r>
      <w:r w:rsidR="00285B72">
        <w:rPr>
          <w:rFonts w:ascii="Arial" w:hAnsi="Arial" w:cs="Arial"/>
          <w:b/>
          <w:bCs/>
          <w:sz w:val="22"/>
          <w:szCs w:val="22"/>
        </w:rPr>
        <w:t xml:space="preserve"> </w:t>
      </w:r>
      <w:r w:rsidR="003C2552" w:rsidRPr="00872D16">
        <w:rPr>
          <w:rFonts w:ascii="Arial" w:hAnsi="Arial" w:cs="Arial"/>
          <w:sz w:val="22"/>
          <w:szCs w:val="22"/>
        </w:rPr>
        <w:t xml:space="preserve">Empirical research </w:t>
      </w:r>
      <w:r w:rsidR="003B2CD2" w:rsidRPr="00872D16">
        <w:rPr>
          <w:rFonts w:ascii="Arial" w:hAnsi="Arial" w:cs="Arial"/>
          <w:sz w:val="22"/>
          <w:szCs w:val="22"/>
        </w:rPr>
        <w:t xml:space="preserve">(Keles, McCrae and Grealish, 2020) which </w:t>
      </w:r>
      <w:r w:rsidR="003C2552" w:rsidRPr="00872D16">
        <w:rPr>
          <w:rFonts w:ascii="Arial" w:hAnsi="Arial" w:cs="Arial"/>
          <w:sz w:val="22"/>
          <w:szCs w:val="22"/>
        </w:rPr>
        <w:t>supports these claims</w:t>
      </w:r>
      <w:r w:rsidR="0054644C" w:rsidRPr="00872D16">
        <w:rPr>
          <w:rFonts w:ascii="Arial" w:hAnsi="Arial" w:cs="Arial"/>
          <w:sz w:val="22"/>
          <w:szCs w:val="22"/>
        </w:rPr>
        <w:t xml:space="preserve"> </w:t>
      </w:r>
      <w:r w:rsidR="003C2552" w:rsidRPr="00872D16">
        <w:rPr>
          <w:rFonts w:ascii="Arial" w:hAnsi="Arial" w:cs="Arial"/>
          <w:sz w:val="22"/>
          <w:szCs w:val="22"/>
        </w:rPr>
        <w:t>found consistent associations between social media use and increased symptoms of anxiety and depression among adolescents. Similarly,</w:t>
      </w:r>
      <w:r w:rsidR="00170812" w:rsidRPr="00872D16">
        <w:rPr>
          <w:rFonts w:ascii="Arial" w:eastAsia="Times New Roman" w:hAnsi="Arial" w:cs="Arial"/>
          <w:kern w:val="0"/>
          <w:sz w:val="22"/>
          <w:szCs w:val="22"/>
          <w:lang w:eastAsia="en-GB"/>
          <w14:ligatures w14:val="none"/>
        </w:rPr>
        <w:t xml:space="preserve"> </w:t>
      </w:r>
      <w:r w:rsidR="003C2552" w:rsidRPr="00872D16">
        <w:rPr>
          <w:rFonts w:ascii="Arial" w:hAnsi="Arial" w:cs="Arial"/>
          <w:sz w:val="22"/>
          <w:szCs w:val="22"/>
        </w:rPr>
        <w:t>higher levels of social media engagement were linked to poorer psychological wellbeing, particularly among female adolescents, who are often more vulnerable to appearance-based comparison</w:t>
      </w:r>
      <w:r w:rsidR="00FB58D2" w:rsidRPr="00872D16">
        <w:rPr>
          <w:rFonts w:ascii="Arial" w:hAnsi="Arial" w:cs="Arial"/>
          <w:sz w:val="22"/>
          <w:szCs w:val="22"/>
        </w:rPr>
        <w:t xml:space="preserve"> </w:t>
      </w:r>
      <w:r w:rsidR="00E133BF" w:rsidRPr="00872D16">
        <w:rPr>
          <w:rFonts w:ascii="Arial" w:hAnsi="Arial" w:cs="Arial"/>
          <w:sz w:val="22"/>
          <w:szCs w:val="22"/>
        </w:rPr>
        <w:t xml:space="preserve">(Kelly </w:t>
      </w:r>
      <w:r w:rsidR="00E133BF" w:rsidRPr="00285B72">
        <w:rPr>
          <w:rFonts w:ascii="Arial" w:hAnsi="Arial" w:cs="Arial"/>
          <w:i/>
          <w:iCs/>
          <w:sz w:val="22"/>
          <w:szCs w:val="22"/>
        </w:rPr>
        <w:t>et al.</w:t>
      </w:r>
      <w:r w:rsidR="00E133BF" w:rsidRPr="00872D16">
        <w:rPr>
          <w:rFonts w:ascii="Arial" w:hAnsi="Arial" w:cs="Arial"/>
          <w:sz w:val="22"/>
          <w:szCs w:val="22"/>
        </w:rPr>
        <w:t>, 2018).</w:t>
      </w:r>
    </w:p>
    <w:p w14:paraId="5140EC4F" w14:textId="77777777" w:rsidR="00285B72" w:rsidRDefault="00285B72" w:rsidP="002544BE">
      <w:pPr>
        <w:spacing w:line="360" w:lineRule="auto"/>
        <w:rPr>
          <w:rFonts w:ascii="Arial" w:hAnsi="Arial" w:cs="Arial"/>
          <w:sz w:val="22"/>
          <w:szCs w:val="22"/>
        </w:rPr>
      </w:pPr>
    </w:p>
    <w:p w14:paraId="2CA6514F" w14:textId="75BEDA20" w:rsidR="00B11023" w:rsidRPr="00872D16" w:rsidRDefault="003C2552" w:rsidP="002544BE">
      <w:pPr>
        <w:spacing w:line="360" w:lineRule="auto"/>
        <w:rPr>
          <w:rFonts w:ascii="Arial" w:hAnsi="Arial" w:cs="Arial"/>
          <w:sz w:val="22"/>
          <w:szCs w:val="22"/>
        </w:rPr>
      </w:pPr>
      <w:r w:rsidRPr="00872D16">
        <w:rPr>
          <w:rFonts w:ascii="Arial" w:hAnsi="Arial" w:cs="Arial"/>
          <w:sz w:val="22"/>
          <w:szCs w:val="22"/>
        </w:rPr>
        <w:t>Bandura’s theory also helps explain the normalisation of harmful behaviours such as cyberbullying. When adolescents observe aggressive or hurtful online interactions that appear to receive attention or lack consequences, they may be more likely to imitate such behaviours. Victims of cyberbullying often experience significant emotional distress, including anxiety, depression, and social withdrawal (Livingstone and Smith, 2014). This demonstrates how observational learning can contribute to both the development and reinforcement of negative online behaviours.</w:t>
      </w:r>
      <w:r w:rsidR="00285B72">
        <w:rPr>
          <w:rFonts w:ascii="Arial" w:hAnsi="Arial" w:cs="Arial"/>
          <w:sz w:val="22"/>
          <w:szCs w:val="22"/>
        </w:rPr>
        <w:t xml:space="preserve"> </w:t>
      </w:r>
      <w:r w:rsidRPr="00872D16">
        <w:rPr>
          <w:rFonts w:ascii="Arial" w:hAnsi="Arial" w:cs="Arial"/>
          <w:sz w:val="22"/>
          <w:szCs w:val="22"/>
        </w:rPr>
        <w:t>However, the theory also accounts for positive developmental outcomes. Adolescents may observe constructive role models who promote mental health awareness, resilience, physical wellbeing, and emotional coping strategies. Exposure to supportive online communities can strengthen self-efficacy, which Bandura defines as an individual’s belief in their ability to manage challenges successfully. Increased self-efficacy is associated with improved coping mechanisms and psychological resilience (Nesi, 2020).</w:t>
      </w:r>
      <w:r w:rsidR="000E4E31">
        <w:rPr>
          <w:rFonts w:ascii="Arial" w:hAnsi="Arial" w:cs="Arial"/>
          <w:sz w:val="22"/>
          <w:szCs w:val="22"/>
        </w:rPr>
        <w:t xml:space="preserve"> </w:t>
      </w:r>
      <w:r w:rsidRPr="00872D16">
        <w:rPr>
          <w:rFonts w:ascii="Arial" w:hAnsi="Arial" w:cs="Arial"/>
          <w:sz w:val="22"/>
          <w:szCs w:val="22"/>
        </w:rPr>
        <w:t xml:space="preserve">Despite its usefulness, Bandura’s theory has limitations. It does not fully incorporate biological influences such as genetic predispositions or neurological development, both of which contribute significantly to mental health conditions such as anxiety and depression. Furthermore, it does not fully account for the complexity of modern digital platforms, where algorithm-driven content personalises user experience, meaning that </w:t>
      </w:r>
      <w:r w:rsidRPr="00872D16">
        <w:rPr>
          <w:rFonts w:ascii="Arial" w:hAnsi="Arial" w:cs="Arial"/>
          <w:sz w:val="22"/>
          <w:szCs w:val="22"/>
        </w:rPr>
        <w:lastRenderedPageBreak/>
        <w:t>individuals are exposed to vastly different observational environments. This reduces the universality of observational learning experiences compared to Bandura’s original assumptions.</w:t>
      </w:r>
    </w:p>
    <w:p w14:paraId="44BF3703" w14:textId="77777777" w:rsidR="000E4E31" w:rsidRDefault="000E4E31" w:rsidP="002544BE">
      <w:pPr>
        <w:spacing w:line="360" w:lineRule="auto"/>
        <w:rPr>
          <w:rFonts w:ascii="Arial" w:hAnsi="Arial" w:cs="Arial"/>
          <w:sz w:val="22"/>
          <w:szCs w:val="22"/>
        </w:rPr>
      </w:pPr>
    </w:p>
    <w:p w14:paraId="12890A1E" w14:textId="25BDF965" w:rsidR="003C2552" w:rsidRDefault="00B11023" w:rsidP="002544BE">
      <w:pPr>
        <w:spacing w:line="360" w:lineRule="auto"/>
        <w:rPr>
          <w:rFonts w:ascii="Arial" w:hAnsi="Arial" w:cs="Arial"/>
          <w:sz w:val="22"/>
          <w:szCs w:val="22"/>
        </w:rPr>
      </w:pPr>
      <w:r w:rsidRPr="00872D16">
        <w:rPr>
          <w:rFonts w:ascii="Arial" w:hAnsi="Arial" w:cs="Arial"/>
          <w:sz w:val="22"/>
          <w:szCs w:val="22"/>
        </w:rPr>
        <w:t>Erikson</w:t>
      </w:r>
      <w:r w:rsidR="00E133BF" w:rsidRPr="00872D16">
        <w:rPr>
          <w:rFonts w:ascii="Arial" w:hAnsi="Arial" w:cs="Arial"/>
          <w:sz w:val="22"/>
          <w:szCs w:val="22"/>
        </w:rPr>
        <w:t xml:space="preserve"> (</w:t>
      </w:r>
      <w:r w:rsidRPr="00872D16">
        <w:rPr>
          <w:rFonts w:ascii="Arial" w:hAnsi="Arial" w:cs="Arial"/>
          <w:sz w:val="22"/>
          <w:szCs w:val="22"/>
        </w:rPr>
        <w:t xml:space="preserve">1968) </w:t>
      </w:r>
      <w:r w:rsidR="003C2552" w:rsidRPr="00872D16">
        <w:rPr>
          <w:rFonts w:ascii="Arial" w:hAnsi="Arial" w:cs="Arial"/>
          <w:sz w:val="22"/>
          <w:szCs w:val="22"/>
        </w:rPr>
        <w:t xml:space="preserve">proposes that individuals progress through eight developmental stages, each characterised by a psychosocial conflict. During adolescence, the central conflict is Identity versus Role Confusion. At this stage, individuals explore their beliefs, values, goals, and personality traits </w:t>
      </w:r>
      <w:r w:rsidR="00AD6F4A" w:rsidRPr="00872D16">
        <w:rPr>
          <w:rFonts w:ascii="Arial" w:hAnsi="Arial" w:cs="Arial"/>
          <w:sz w:val="22"/>
          <w:szCs w:val="22"/>
        </w:rPr>
        <w:t>to</w:t>
      </w:r>
      <w:r w:rsidR="003C2552" w:rsidRPr="00872D16">
        <w:rPr>
          <w:rFonts w:ascii="Arial" w:hAnsi="Arial" w:cs="Arial"/>
          <w:sz w:val="22"/>
          <w:szCs w:val="22"/>
        </w:rPr>
        <w:t xml:space="preserve"> develop a coherent and stable sense of identity. Successful resolution leads to confidence and emotional stability, while failure may result in confusion, low self-esteem, and uncertainty about one’s role in society.</w:t>
      </w:r>
      <w:r w:rsidR="00A15637">
        <w:rPr>
          <w:rFonts w:ascii="Arial" w:hAnsi="Arial" w:cs="Arial"/>
          <w:sz w:val="22"/>
          <w:szCs w:val="22"/>
        </w:rPr>
        <w:t xml:space="preserve"> </w:t>
      </w:r>
      <w:r w:rsidR="003C2552" w:rsidRPr="00872D16">
        <w:rPr>
          <w:rFonts w:ascii="Arial" w:hAnsi="Arial" w:cs="Arial"/>
          <w:sz w:val="22"/>
          <w:szCs w:val="22"/>
        </w:rPr>
        <w:t xml:space="preserve">Social media has become a key environment for identity development. It allows adolescents to present </w:t>
      </w:r>
      <w:r w:rsidR="00350EEF" w:rsidRPr="00872D16">
        <w:rPr>
          <w:rFonts w:ascii="Arial" w:hAnsi="Arial" w:cs="Arial"/>
          <w:sz w:val="22"/>
          <w:szCs w:val="22"/>
        </w:rPr>
        <w:t>curated</w:t>
      </w:r>
      <w:r w:rsidR="003C2552" w:rsidRPr="00872D16">
        <w:rPr>
          <w:rFonts w:ascii="Arial" w:hAnsi="Arial" w:cs="Arial"/>
          <w:sz w:val="22"/>
          <w:szCs w:val="22"/>
        </w:rPr>
        <w:t xml:space="preserve"> </w:t>
      </w:r>
      <w:r w:rsidR="00AD6F4A" w:rsidRPr="00872D16">
        <w:rPr>
          <w:rFonts w:ascii="Arial" w:hAnsi="Arial" w:cs="Arial"/>
          <w:sz w:val="22"/>
          <w:szCs w:val="22"/>
        </w:rPr>
        <w:t>descriptions</w:t>
      </w:r>
      <w:r w:rsidR="003C2552" w:rsidRPr="00872D16">
        <w:rPr>
          <w:rFonts w:ascii="Arial" w:hAnsi="Arial" w:cs="Arial"/>
          <w:sz w:val="22"/>
          <w:szCs w:val="22"/>
        </w:rPr>
        <w:t xml:space="preserve"> of themselves, experiment with different identities, and receive immediate feedback from peers. Positive reinforcement in the form of likes, comments, and shares can enhance self-esteem and encourage further self-expression. Online communities can also provide emotional support, reduce feelings of isolation, and foster a sense of belonging, particularly for adolescents who may struggle with offline social relationships (Best, Manktelow and Taylor, 2014).</w:t>
      </w:r>
      <w:r w:rsidR="00A15637">
        <w:rPr>
          <w:rFonts w:ascii="Arial" w:hAnsi="Arial" w:cs="Arial"/>
          <w:sz w:val="22"/>
          <w:szCs w:val="22"/>
        </w:rPr>
        <w:t xml:space="preserve"> </w:t>
      </w:r>
      <w:r w:rsidR="003C2552" w:rsidRPr="00872D16">
        <w:rPr>
          <w:rFonts w:ascii="Arial" w:hAnsi="Arial" w:cs="Arial"/>
          <w:sz w:val="22"/>
          <w:szCs w:val="22"/>
        </w:rPr>
        <w:t>Additionally, social media can enhance identity exploration by enabling creativity and self-expression through photography, music, writing, and digital content creation. Educational content also contributes to increased mental health awareness, encouraging help-seeking behaviours and reducing stigma associated with psychological difficulties.</w:t>
      </w:r>
    </w:p>
    <w:p w14:paraId="436F7A13" w14:textId="77777777" w:rsidR="00A15637" w:rsidRPr="00872D16" w:rsidRDefault="00A15637" w:rsidP="002544BE">
      <w:pPr>
        <w:spacing w:line="360" w:lineRule="auto"/>
        <w:rPr>
          <w:rFonts w:ascii="Arial" w:hAnsi="Arial" w:cs="Arial"/>
          <w:sz w:val="22"/>
          <w:szCs w:val="22"/>
        </w:rPr>
      </w:pPr>
    </w:p>
    <w:p w14:paraId="590EB46A" w14:textId="6AAAA621" w:rsidR="003C2552" w:rsidRPr="00872D16" w:rsidRDefault="003C2552" w:rsidP="002544BE">
      <w:pPr>
        <w:spacing w:line="360" w:lineRule="auto"/>
        <w:rPr>
          <w:rFonts w:ascii="Arial" w:hAnsi="Arial" w:cs="Arial"/>
          <w:sz w:val="22"/>
          <w:szCs w:val="22"/>
        </w:rPr>
      </w:pPr>
      <w:r w:rsidRPr="00872D16">
        <w:rPr>
          <w:rFonts w:ascii="Arial" w:hAnsi="Arial" w:cs="Arial"/>
          <w:sz w:val="22"/>
          <w:szCs w:val="22"/>
        </w:rPr>
        <w:t xml:space="preserve">However, Erikson’s theory also highlights significant risks in the context of social media. Adolescents may increasingly rely on external validation, such as likes, followers, and comments, as indicators of self-worth. When this validation is not achieved, individuals may experience decreased self-esteem, anxiety, and emotional </w:t>
      </w:r>
      <w:r w:rsidR="00170812" w:rsidRPr="00872D16">
        <w:rPr>
          <w:rFonts w:ascii="Arial" w:hAnsi="Arial" w:cs="Arial"/>
          <w:sz w:val="22"/>
          <w:szCs w:val="22"/>
        </w:rPr>
        <w:t>distress (Kelly et al., 2018).</w:t>
      </w:r>
      <w:r w:rsidR="00741E77">
        <w:rPr>
          <w:rFonts w:ascii="Arial" w:hAnsi="Arial" w:cs="Arial"/>
          <w:sz w:val="22"/>
          <w:szCs w:val="22"/>
        </w:rPr>
        <w:t xml:space="preserve"> </w:t>
      </w:r>
      <w:r w:rsidRPr="00872D16">
        <w:rPr>
          <w:rFonts w:ascii="Arial" w:hAnsi="Arial" w:cs="Arial"/>
          <w:sz w:val="22"/>
          <w:szCs w:val="22"/>
        </w:rPr>
        <w:t>Social comparison with idealised online representations can further contribute to depression, body dissatisfaction, and identity insecurity (Valkenburg, Meier and Beyens, 2022).</w:t>
      </w:r>
      <w:r w:rsidR="00741E77">
        <w:rPr>
          <w:rFonts w:ascii="Arial" w:hAnsi="Arial" w:cs="Arial"/>
          <w:sz w:val="22"/>
          <w:szCs w:val="22"/>
        </w:rPr>
        <w:t xml:space="preserve"> </w:t>
      </w:r>
      <w:r w:rsidRPr="00872D16">
        <w:rPr>
          <w:rFonts w:ascii="Arial" w:hAnsi="Arial" w:cs="Arial"/>
          <w:sz w:val="22"/>
          <w:szCs w:val="22"/>
        </w:rPr>
        <w:t>Cyberbullying also poses a significant threat to identity development, as repeated exposure to negative feedback or exclusion can undermine self-concept and contribute to emotional instability. These experiences may interfere with the successful resolution of the identity crisis described by Erikson.</w:t>
      </w:r>
      <w:r w:rsidR="00741E77">
        <w:rPr>
          <w:rFonts w:ascii="Arial" w:hAnsi="Arial" w:cs="Arial"/>
          <w:sz w:val="22"/>
          <w:szCs w:val="22"/>
        </w:rPr>
        <w:t xml:space="preserve"> </w:t>
      </w:r>
      <w:r w:rsidRPr="00872D16">
        <w:rPr>
          <w:rFonts w:ascii="Arial" w:hAnsi="Arial" w:cs="Arial"/>
          <w:sz w:val="22"/>
          <w:szCs w:val="22"/>
        </w:rPr>
        <w:t xml:space="preserve">However, Erikson’s theory also has limitations. It was developed prior to the emergence of digital technologies and therefore does not account for the influence of algorithmic content distribution, online </w:t>
      </w:r>
      <w:r w:rsidR="00B30C0F" w:rsidRPr="00872D16">
        <w:rPr>
          <w:rFonts w:ascii="Arial" w:hAnsi="Arial" w:cs="Arial"/>
          <w:sz w:val="22"/>
          <w:szCs w:val="22"/>
        </w:rPr>
        <w:t>algorithmic</w:t>
      </w:r>
      <w:r w:rsidRPr="00872D16">
        <w:rPr>
          <w:rFonts w:ascii="Arial" w:hAnsi="Arial" w:cs="Arial"/>
          <w:sz w:val="22"/>
          <w:szCs w:val="22"/>
        </w:rPr>
        <w:t xml:space="preserve"> or influencer culture. In addition, the theory assumes that development occurs in fixed stages, whereas modern </w:t>
      </w:r>
      <w:r w:rsidRPr="00872D16">
        <w:rPr>
          <w:rFonts w:ascii="Arial" w:hAnsi="Arial" w:cs="Arial"/>
          <w:sz w:val="22"/>
          <w:szCs w:val="22"/>
        </w:rPr>
        <w:lastRenderedPageBreak/>
        <w:t>research suggests that identity formation is more fluid, continuous, and influenced by a combination of social, cultural, and technological factors.</w:t>
      </w:r>
    </w:p>
    <w:p w14:paraId="310FC5D8" w14:textId="77777777" w:rsidR="006F66F8" w:rsidRDefault="006F66F8" w:rsidP="002544BE">
      <w:pPr>
        <w:spacing w:line="360" w:lineRule="auto"/>
        <w:rPr>
          <w:rFonts w:ascii="Arial" w:hAnsi="Arial" w:cs="Arial"/>
          <w:sz w:val="22"/>
          <w:szCs w:val="22"/>
        </w:rPr>
      </w:pPr>
    </w:p>
    <w:p w14:paraId="506B13C1" w14:textId="15C7E7AE" w:rsidR="003C2552" w:rsidRPr="00872D16" w:rsidRDefault="003C2552" w:rsidP="002544BE">
      <w:pPr>
        <w:spacing w:line="360" w:lineRule="auto"/>
        <w:rPr>
          <w:rFonts w:ascii="Arial" w:hAnsi="Arial" w:cs="Arial"/>
          <w:sz w:val="22"/>
          <w:szCs w:val="22"/>
        </w:rPr>
      </w:pPr>
      <w:r w:rsidRPr="00872D16">
        <w:rPr>
          <w:rFonts w:ascii="Arial" w:hAnsi="Arial" w:cs="Arial"/>
          <w:sz w:val="22"/>
          <w:szCs w:val="22"/>
        </w:rPr>
        <w:t xml:space="preserve">When comparing Bandura’s and Erikson’s theories, both provide valuable but distinct explanations of adolescent mental health in relation to social media. Bandura focuses on behavioural learning through observation and reinforcement, explaining how adolescents imitate behaviours they see online. Erikson focuses on psychological development, particularly identity formation and the importance of social acceptance during adolescence. Bandura therefore explains </w:t>
      </w:r>
      <w:r w:rsidRPr="00872D16">
        <w:rPr>
          <w:rFonts w:ascii="Arial" w:hAnsi="Arial" w:cs="Arial"/>
          <w:i/>
          <w:iCs/>
          <w:sz w:val="22"/>
          <w:szCs w:val="22"/>
        </w:rPr>
        <w:t>how</w:t>
      </w:r>
      <w:r w:rsidRPr="00872D16">
        <w:rPr>
          <w:rFonts w:ascii="Arial" w:hAnsi="Arial" w:cs="Arial"/>
          <w:sz w:val="22"/>
          <w:szCs w:val="22"/>
        </w:rPr>
        <w:t xml:space="preserve"> behaviours are learned, whereas Erikson explains why adolescents are particularly sensitive to social feedback and validation during this developmental stage. However, both theories have limitations when used independently, and together they offer a more comprehensive understanding of adolescent behaviour in digital environments.</w:t>
      </w:r>
    </w:p>
    <w:p w14:paraId="36E1C395" w14:textId="28C19298" w:rsidR="003C2552" w:rsidRPr="00872D16" w:rsidRDefault="003C2552" w:rsidP="002544BE">
      <w:pPr>
        <w:spacing w:line="360" w:lineRule="auto"/>
        <w:rPr>
          <w:rFonts w:ascii="Arial" w:hAnsi="Arial" w:cs="Arial"/>
          <w:b/>
          <w:bCs/>
          <w:sz w:val="22"/>
          <w:szCs w:val="22"/>
        </w:rPr>
      </w:pPr>
    </w:p>
    <w:p w14:paraId="18D6D99B" w14:textId="39E19631" w:rsidR="003C2552" w:rsidRPr="00872D16" w:rsidRDefault="003C2552" w:rsidP="002544BE">
      <w:pPr>
        <w:spacing w:line="360" w:lineRule="auto"/>
        <w:rPr>
          <w:rFonts w:ascii="Arial" w:hAnsi="Arial" w:cs="Arial"/>
          <w:sz w:val="22"/>
          <w:szCs w:val="22"/>
        </w:rPr>
      </w:pPr>
      <w:r w:rsidRPr="00872D16">
        <w:rPr>
          <w:rFonts w:ascii="Arial" w:hAnsi="Arial" w:cs="Arial"/>
          <w:sz w:val="22"/>
          <w:szCs w:val="22"/>
        </w:rPr>
        <w:t>Both biological and environmental factors play a crucial role in shaping adolescent mental health, helping to explain why individuals respond differently to social media exposure. From a biological (nature) perspective, adolescence is marked by significant brain development, particularly in the prefrontal cortex, which is responsible for decision-making, impulse control, and emotional regulation. The limbic system, which governs emotional responses, is also highly active during this stage, which can increase sensitivity to social feedback and emotional stimuli. Hormonal changes during puberty further contribute to heightened emotional reactivity and vulnerability to stress.</w:t>
      </w:r>
      <w:r w:rsidR="0075049C">
        <w:rPr>
          <w:rFonts w:ascii="Arial" w:hAnsi="Arial" w:cs="Arial"/>
          <w:sz w:val="22"/>
          <w:szCs w:val="22"/>
        </w:rPr>
        <w:t xml:space="preserve"> </w:t>
      </w:r>
      <w:r w:rsidRPr="00872D16">
        <w:rPr>
          <w:rFonts w:ascii="Arial" w:hAnsi="Arial" w:cs="Arial"/>
          <w:sz w:val="22"/>
          <w:szCs w:val="22"/>
        </w:rPr>
        <w:t>From an environmental (nurture) perspective, social media serves as a powerful external influence on identity formation, emotional wellbeing, and behaviour. Exposure to idealised images, peer comparison, and online feedback can shape self-esteem and self-concept. However, protective environmental factors such as supportive family relationships, strong peer networks, and positive offline experiences can buffer against negative effects and promote resilience. Therefore, adolescent mental health outcomes are best understood as the result of an interaction between biological predispositions and environmental influences, rather than social media acting in isolation.</w:t>
      </w:r>
    </w:p>
    <w:p w14:paraId="0566BF7E" w14:textId="79D72EF3" w:rsidR="003C2552" w:rsidRPr="00872D16" w:rsidRDefault="003C2552" w:rsidP="002544BE">
      <w:pPr>
        <w:spacing w:line="360" w:lineRule="auto"/>
        <w:rPr>
          <w:rFonts w:ascii="Arial" w:hAnsi="Arial" w:cs="Arial"/>
          <w:b/>
          <w:bCs/>
          <w:sz w:val="22"/>
          <w:szCs w:val="22"/>
        </w:rPr>
      </w:pPr>
    </w:p>
    <w:p w14:paraId="7CC94EF3" w14:textId="50342ECC" w:rsidR="006136D6" w:rsidRPr="00872D16" w:rsidRDefault="003C2552" w:rsidP="002544BE">
      <w:pPr>
        <w:spacing w:line="360" w:lineRule="auto"/>
        <w:rPr>
          <w:rFonts w:ascii="Arial" w:hAnsi="Arial" w:cs="Arial"/>
          <w:sz w:val="22"/>
          <w:szCs w:val="22"/>
        </w:rPr>
      </w:pPr>
      <w:r w:rsidRPr="00872D16">
        <w:rPr>
          <w:rFonts w:ascii="Arial" w:hAnsi="Arial" w:cs="Arial"/>
          <w:sz w:val="22"/>
          <w:szCs w:val="22"/>
        </w:rPr>
        <w:t>In conclusion, social media has a complex and multifaceted impact on adolescent mental health. It offers benefits such as communication, creativity, social support, and access to educational resources, but also presents risks including anxiety, depression, low self-</w:t>
      </w:r>
      <w:r w:rsidRPr="00872D16">
        <w:rPr>
          <w:rFonts w:ascii="Arial" w:hAnsi="Arial" w:cs="Arial"/>
          <w:sz w:val="22"/>
          <w:szCs w:val="22"/>
        </w:rPr>
        <w:lastRenderedPageBreak/>
        <w:t>esteem, body dissatisfaction, and cyberbullying. These outcomes are shaped by both the nature of social media use and individual differences between adolescents.</w:t>
      </w:r>
      <w:r w:rsidR="0000695B">
        <w:rPr>
          <w:rFonts w:ascii="Arial" w:hAnsi="Arial" w:cs="Arial"/>
          <w:sz w:val="22"/>
          <w:szCs w:val="22"/>
        </w:rPr>
        <w:t xml:space="preserve"> </w:t>
      </w:r>
      <w:r w:rsidRPr="00872D16">
        <w:rPr>
          <w:rFonts w:ascii="Arial" w:hAnsi="Arial" w:cs="Arial"/>
          <w:sz w:val="22"/>
          <w:szCs w:val="22"/>
        </w:rPr>
        <w:t>Bandura’s Social Learning Theory explains how adolescents learn behaviours through observation and reinforcement, highlighting the influence of online role models and digital feedback mechanisms. Erikson’s Psychosocial Theory explains how adolescence is a critical stage for identity development, during which peer approval and social validation play a central role in emotional wellbeing.</w:t>
      </w:r>
      <w:r w:rsidR="0000695B">
        <w:rPr>
          <w:rFonts w:ascii="Arial" w:hAnsi="Arial" w:cs="Arial"/>
          <w:sz w:val="22"/>
          <w:szCs w:val="22"/>
        </w:rPr>
        <w:t xml:space="preserve"> </w:t>
      </w:r>
      <w:r w:rsidRPr="00872D16">
        <w:rPr>
          <w:rFonts w:ascii="Arial" w:hAnsi="Arial" w:cs="Arial"/>
          <w:sz w:val="22"/>
          <w:szCs w:val="22"/>
        </w:rPr>
        <w:t>When combined with an understanding of biological and environmental influences, these theories provide a comprehensive explanation of why adolescents experience different psychological outcomes in response to social media. Ultimately, the impact of social media depends on how it is used, the content encountered, and the developmental and personal characteristics of the individual.</w:t>
      </w:r>
    </w:p>
    <w:p w14:paraId="13C58D4C" w14:textId="77777777" w:rsidR="00121E55" w:rsidRDefault="00121E55" w:rsidP="00106D81">
      <w:pPr>
        <w:spacing w:line="360" w:lineRule="auto"/>
        <w:rPr>
          <w:b/>
          <w:bCs/>
        </w:rPr>
      </w:pPr>
    </w:p>
    <w:p w14:paraId="1AD931DD" w14:textId="77777777" w:rsidR="00121E55" w:rsidRDefault="00121E55" w:rsidP="006136D6">
      <w:pPr>
        <w:rPr>
          <w:b/>
          <w:bCs/>
        </w:rPr>
      </w:pPr>
    </w:p>
    <w:p w14:paraId="43EB57A0" w14:textId="77777777" w:rsidR="00121E55" w:rsidRDefault="00121E55" w:rsidP="006136D6">
      <w:pPr>
        <w:rPr>
          <w:b/>
          <w:bCs/>
        </w:rPr>
      </w:pPr>
    </w:p>
    <w:p w14:paraId="6A4E7241" w14:textId="77777777" w:rsidR="00121E55" w:rsidRDefault="00121E55" w:rsidP="006136D6">
      <w:pPr>
        <w:rPr>
          <w:b/>
          <w:bCs/>
        </w:rPr>
      </w:pPr>
    </w:p>
    <w:p w14:paraId="4069C3AE" w14:textId="77777777" w:rsidR="00121E55" w:rsidRDefault="00121E55" w:rsidP="006136D6">
      <w:pPr>
        <w:rPr>
          <w:b/>
          <w:bCs/>
        </w:rPr>
      </w:pPr>
    </w:p>
    <w:p w14:paraId="617F39A1" w14:textId="77777777" w:rsidR="00121E55" w:rsidRDefault="00121E55" w:rsidP="006136D6">
      <w:pPr>
        <w:rPr>
          <w:b/>
          <w:bCs/>
        </w:rPr>
      </w:pPr>
    </w:p>
    <w:p w14:paraId="7909B3BD" w14:textId="77777777" w:rsidR="00121E55" w:rsidRDefault="00121E55" w:rsidP="006136D6">
      <w:pPr>
        <w:rPr>
          <w:b/>
          <w:bCs/>
        </w:rPr>
      </w:pPr>
    </w:p>
    <w:p w14:paraId="5B6BD63C" w14:textId="77777777" w:rsidR="00121E55" w:rsidRDefault="00121E55" w:rsidP="006136D6">
      <w:pPr>
        <w:rPr>
          <w:b/>
          <w:bCs/>
        </w:rPr>
      </w:pPr>
    </w:p>
    <w:p w14:paraId="3EA48004" w14:textId="77777777" w:rsidR="00121E55" w:rsidRDefault="00121E55" w:rsidP="006136D6">
      <w:pPr>
        <w:rPr>
          <w:b/>
          <w:bCs/>
        </w:rPr>
      </w:pPr>
    </w:p>
    <w:p w14:paraId="10422F96" w14:textId="77777777" w:rsidR="00121E55" w:rsidRDefault="00121E55" w:rsidP="006136D6">
      <w:pPr>
        <w:rPr>
          <w:b/>
          <w:bCs/>
        </w:rPr>
      </w:pPr>
    </w:p>
    <w:p w14:paraId="5FBBEE00" w14:textId="77777777" w:rsidR="00121E55" w:rsidRDefault="00121E55" w:rsidP="006136D6">
      <w:pPr>
        <w:rPr>
          <w:b/>
          <w:bCs/>
        </w:rPr>
      </w:pPr>
    </w:p>
    <w:p w14:paraId="531813DA" w14:textId="77777777" w:rsidR="00121E55" w:rsidRDefault="00121E55" w:rsidP="006136D6">
      <w:pPr>
        <w:rPr>
          <w:b/>
          <w:bCs/>
        </w:rPr>
      </w:pPr>
    </w:p>
    <w:p w14:paraId="709360CA" w14:textId="77777777" w:rsidR="00121E55" w:rsidRDefault="00121E55" w:rsidP="006136D6">
      <w:pPr>
        <w:rPr>
          <w:b/>
          <w:bCs/>
        </w:rPr>
      </w:pPr>
    </w:p>
    <w:p w14:paraId="33A7CB98" w14:textId="77777777" w:rsidR="00121E55" w:rsidRDefault="00121E55" w:rsidP="006136D6">
      <w:pPr>
        <w:rPr>
          <w:b/>
          <w:bCs/>
        </w:rPr>
      </w:pPr>
    </w:p>
    <w:p w14:paraId="1D0DC18A" w14:textId="77777777" w:rsidR="002544BE" w:rsidRDefault="002544BE" w:rsidP="006136D6">
      <w:pPr>
        <w:rPr>
          <w:rFonts w:ascii="Arial" w:hAnsi="Arial" w:cs="Arial"/>
          <w:b/>
          <w:bCs/>
          <w:sz w:val="22"/>
          <w:szCs w:val="22"/>
        </w:rPr>
      </w:pPr>
    </w:p>
    <w:p w14:paraId="613EB4FB" w14:textId="77777777" w:rsidR="002544BE" w:rsidRDefault="002544BE" w:rsidP="006136D6">
      <w:pPr>
        <w:rPr>
          <w:rFonts w:ascii="Arial" w:hAnsi="Arial" w:cs="Arial"/>
          <w:b/>
          <w:bCs/>
          <w:sz w:val="22"/>
          <w:szCs w:val="22"/>
        </w:rPr>
      </w:pPr>
    </w:p>
    <w:p w14:paraId="6C4BB9EB" w14:textId="77777777" w:rsidR="002544BE" w:rsidRDefault="002544BE" w:rsidP="006136D6">
      <w:pPr>
        <w:rPr>
          <w:rFonts w:ascii="Arial" w:hAnsi="Arial" w:cs="Arial"/>
          <w:b/>
          <w:bCs/>
          <w:sz w:val="22"/>
          <w:szCs w:val="22"/>
        </w:rPr>
      </w:pPr>
    </w:p>
    <w:p w14:paraId="15848712" w14:textId="77777777" w:rsidR="002544BE" w:rsidRDefault="002544BE" w:rsidP="006136D6">
      <w:pPr>
        <w:rPr>
          <w:rFonts w:ascii="Arial" w:hAnsi="Arial" w:cs="Arial"/>
          <w:b/>
          <w:bCs/>
          <w:sz w:val="22"/>
          <w:szCs w:val="22"/>
        </w:rPr>
      </w:pPr>
    </w:p>
    <w:p w14:paraId="3228AE18" w14:textId="77777777" w:rsidR="002544BE" w:rsidRDefault="002544BE" w:rsidP="006136D6">
      <w:pPr>
        <w:rPr>
          <w:rFonts w:ascii="Arial" w:hAnsi="Arial" w:cs="Arial"/>
          <w:b/>
          <w:bCs/>
          <w:sz w:val="22"/>
          <w:szCs w:val="22"/>
        </w:rPr>
      </w:pPr>
    </w:p>
    <w:p w14:paraId="1DDE6294" w14:textId="77777777" w:rsidR="002544BE" w:rsidRDefault="002544BE" w:rsidP="006136D6">
      <w:pPr>
        <w:rPr>
          <w:rFonts w:ascii="Arial" w:hAnsi="Arial" w:cs="Arial"/>
          <w:b/>
          <w:bCs/>
          <w:sz w:val="22"/>
          <w:szCs w:val="22"/>
        </w:rPr>
      </w:pPr>
    </w:p>
    <w:p w14:paraId="51E6BAC9" w14:textId="5DABAB7A" w:rsidR="006136D6" w:rsidRPr="0031010F" w:rsidRDefault="006136D6" w:rsidP="006136D6">
      <w:pPr>
        <w:rPr>
          <w:rFonts w:ascii="Arial" w:hAnsi="Arial" w:cs="Arial"/>
          <w:b/>
          <w:bCs/>
          <w:sz w:val="22"/>
          <w:szCs w:val="22"/>
        </w:rPr>
      </w:pPr>
      <w:r w:rsidRPr="0031010F">
        <w:rPr>
          <w:rFonts w:ascii="Arial" w:hAnsi="Arial" w:cs="Arial"/>
          <w:b/>
          <w:bCs/>
          <w:sz w:val="22"/>
          <w:szCs w:val="22"/>
        </w:rPr>
        <w:lastRenderedPageBreak/>
        <w:t>Reference</w:t>
      </w:r>
      <w:r w:rsidR="00DD4B47" w:rsidRPr="0031010F">
        <w:rPr>
          <w:rFonts w:ascii="Arial" w:hAnsi="Arial" w:cs="Arial"/>
          <w:b/>
          <w:bCs/>
          <w:sz w:val="22"/>
          <w:szCs w:val="22"/>
        </w:rPr>
        <w:t>s</w:t>
      </w:r>
    </w:p>
    <w:p w14:paraId="4F821385" w14:textId="77777777" w:rsidR="0031010F" w:rsidRDefault="0031010F" w:rsidP="006136D6">
      <w:pPr>
        <w:rPr>
          <w:rFonts w:ascii="Arial" w:hAnsi="Arial" w:cs="Arial"/>
          <w:sz w:val="22"/>
          <w:szCs w:val="22"/>
        </w:rPr>
      </w:pPr>
    </w:p>
    <w:p w14:paraId="051C2323" w14:textId="19383987" w:rsidR="00F44728" w:rsidRPr="0031010F" w:rsidRDefault="00F44728" w:rsidP="006136D6">
      <w:pPr>
        <w:rPr>
          <w:rFonts w:ascii="Arial" w:hAnsi="Arial" w:cs="Arial"/>
          <w:sz w:val="22"/>
          <w:szCs w:val="22"/>
        </w:rPr>
      </w:pPr>
      <w:r w:rsidRPr="0031010F">
        <w:rPr>
          <w:rFonts w:ascii="Arial" w:hAnsi="Arial" w:cs="Arial"/>
          <w:sz w:val="22"/>
          <w:szCs w:val="22"/>
        </w:rPr>
        <w:t xml:space="preserve">Abi-Jaoude, E., Naylor, K.T. and Pignatiello, A. (2020) </w:t>
      </w:r>
      <w:r w:rsidR="00984654">
        <w:rPr>
          <w:rFonts w:ascii="Arial" w:hAnsi="Arial" w:cs="Arial"/>
          <w:sz w:val="22"/>
          <w:szCs w:val="22"/>
        </w:rPr>
        <w:t>‘</w:t>
      </w:r>
      <w:r w:rsidRPr="0031010F">
        <w:rPr>
          <w:rFonts w:ascii="Arial" w:hAnsi="Arial" w:cs="Arial"/>
          <w:sz w:val="22"/>
          <w:szCs w:val="22"/>
        </w:rPr>
        <w:t>Smartphones, Social Media Use and Youth Mental Health</w:t>
      </w:r>
      <w:r w:rsidR="00984654">
        <w:rPr>
          <w:rFonts w:ascii="Arial" w:hAnsi="Arial" w:cs="Arial"/>
          <w:sz w:val="22"/>
          <w:szCs w:val="22"/>
        </w:rPr>
        <w:t>’,</w:t>
      </w:r>
      <w:r w:rsidRPr="0031010F">
        <w:rPr>
          <w:rFonts w:ascii="Arial" w:hAnsi="Arial" w:cs="Arial"/>
          <w:sz w:val="22"/>
          <w:szCs w:val="22"/>
        </w:rPr>
        <w:t xml:space="preserve"> </w:t>
      </w:r>
      <w:r w:rsidRPr="0031010F">
        <w:rPr>
          <w:rFonts w:ascii="Arial" w:hAnsi="Arial" w:cs="Arial"/>
          <w:i/>
          <w:iCs/>
          <w:sz w:val="22"/>
          <w:szCs w:val="22"/>
        </w:rPr>
        <w:t>Canadian Medical Association Journal</w:t>
      </w:r>
      <w:r w:rsidR="00CA765F" w:rsidRPr="0031010F">
        <w:rPr>
          <w:rFonts w:ascii="Arial" w:hAnsi="Arial" w:cs="Arial"/>
          <w:sz w:val="22"/>
          <w:szCs w:val="22"/>
        </w:rPr>
        <w:t>.</w:t>
      </w:r>
      <w:r w:rsidRPr="0031010F">
        <w:rPr>
          <w:rFonts w:ascii="Arial" w:hAnsi="Arial" w:cs="Arial"/>
          <w:sz w:val="22"/>
          <w:szCs w:val="22"/>
        </w:rPr>
        <w:t xml:space="preserve"> 192(6), </w:t>
      </w:r>
      <w:r w:rsidR="00C90480" w:rsidRPr="0031010F">
        <w:rPr>
          <w:rFonts w:ascii="Arial" w:hAnsi="Arial" w:cs="Arial"/>
          <w:sz w:val="22"/>
          <w:szCs w:val="22"/>
        </w:rPr>
        <w:t>pp. E</w:t>
      </w:r>
      <w:r w:rsidRPr="0031010F">
        <w:rPr>
          <w:rFonts w:ascii="Arial" w:hAnsi="Arial" w:cs="Arial"/>
          <w:sz w:val="22"/>
          <w:szCs w:val="22"/>
        </w:rPr>
        <w:t>136–E141.</w:t>
      </w:r>
    </w:p>
    <w:p w14:paraId="2E8E2389" w14:textId="77777777" w:rsidR="00984654" w:rsidRDefault="00984654" w:rsidP="006136D6">
      <w:pPr>
        <w:rPr>
          <w:rFonts w:ascii="Arial" w:hAnsi="Arial" w:cs="Arial"/>
          <w:sz w:val="22"/>
          <w:szCs w:val="22"/>
        </w:rPr>
      </w:pPr>
    </w:p>
    <w:p w14:paraId="45FCECA1" w14:textId="01B3F189" w:rsidR="006136D6" w:rsidRPr="0031010F" w:rsidRDefault="006136D6" w:rsidP="006136D6">
      <w:pPr>
        <w:rPr>
          <w:rFonts w:ascii="Arial" w:hAnsi="Arial" w:cs="Arial"/>
          <w:sz w:val="22"/>
          <w:szCs w:val="22"/>
        </w:rPr>
      </w:pPr>
      <w:r w:rsidRPr="0031010F">
        <w:rPr>
          <w:rFonts w:ascii="Arial" w:hAnsi="Arial" w:cs="Arial"/>
          <w:sz w:val="22"/>
          <w:szCs w:val="22"/>
        </w:rPr>
        <w:t xml:space="preserve">American Psychological Association (2023) </w:t>
      </w:r>
      <w:r w:rsidRPr="0031010F">
        <w:rPr>
          <w:rFonts w:ascii="Arial" w:hAnsi="Arial" w:cs="Arial"/>
          <w:i/>
          <w:iCs/>
          <w:sz w:val="22"/>
          <w:szCs w:val="22"/>
        </w:rPr>
        <w:t>Health advisory on social media use in adolescence</w:t>
      </w:r>
      <w:r w:rsidR="00EC39C5" w:rsidRPr="0031010F">
        <w:rPr>
          <w:rFonts w:ascii="Arial" w:hAnsi="Arial" w:cs="Arial"/>
          <w:sz w:val="22"/>
          <w:szCs w:val="22"/>
        </w:rPr>
        <w:t xml:space="preserve">. Available at: </w:t>
      </w:r>
      <w:hyperlink r:id="rId8" w:history="1">
        <w:r w:rsidR="00EC39C5" w:rsidRPr="0031010F">
          <w:rPr>
            <w:rStyle w:val="Hyperlink"/>
            <w:rFonts w:ascii="Arial" w:hAnsi="Arial" w:cs="Arial"/>
            <w:sz w:val="22"/>
            <w:szCs w:val="22"/>
          </w:rPr>
          <w:t>https://www.apa.org/topics/social-media-internet/health-advisory-adolescent-social-media-use.pdf</w:t>
        </w:r>
      </w:hyperlink>
      <w:r w:rsidR="00905353" w:rsidRPr="0031010F">
        <w:rPr>
          <w:rFonts w:ascii="Arial" w:hAnsi="Arial" w:cs="Arial"/>
          <w:sz w:val="22"/>
          <w:szCs w:val="22"/>
        </w:rPr>
        <w:t xml:space="preserve">  </w:t>
      </w:r>
      <w:r w:rsidR="00EC39C5" w:rsidRPr="0031010F">
        <w:rPr>
          <w:rFonts w:ascii="Arial" w:hAnsi="Arial" w:cs="Arial"/>
          <w:sz w:val="22"/>
          <w:szCs w:val="22"/>
        </w:rPr>
        <w:t>(Accessed: 26 June 2026)</w:t>
      </w:r>
      <w:r w:rsidR="00CB5EFC" w:rsidRPr="0031010F">
        <w:rPr>
          <w:rFonts w:ascii="Arial" w:hAnsi="Arial" w:cs="Arial"/>
          <w:sz w:val="22"/>
          <w:szCs w:val="22"/>
        </w:rPr>
        <w:t>.</w:t>
      </w:r>
    </w:p>
    <w:p w14:paraId="43836ACB" w14:textId="77777777" w:rsidR="00670B6F" w:rsidRDefault="00670B6F" w:rsidP="006136D6">
      <w:pPr>
        <w:rPr>
          <w:rFonts w:ascii="Arial" w:hAnsi="Arial" w:cs="Arial"/>
          <w:sz w:val="22"/>
          <w:szCs w:val="22"/>
        </w:rPr>
      </w:pPr>
    </w:p>
    <w:p w14:paraId="1B6A6F08" w14:textId="42D0135B" w:rsidR="00FF161D" w:rsidRPr="0031010F" w:rsidRDefault="00FF161D" w:rsidP="006136D6">
      <w:pPr>
        <w:rPr>
          <w:rFonts w:ascii="Arial" w:hAnsi="Arial" w:cs="Arial"/>
          <w:sz w:val="22"/>
          <w:szCs w:val="22"/>
        </w:rPr>
      </w:pPr>
      <w:r w:rsidRPr="0031010F">
        <w:rPr>
          <w:rFonts w:ascii="Arial" w:hAnsi="Arial" w:cs="Arial"/>
          <w:sz w:val="22"/>
          <w:szCs w:val="22"/>
        </w:rPr>
        <w:t xml:space="preserve">Bandura, A. (1977) </w:t>
      </w:r>
      <w:r w:rsidRPr="0031010F">
        <w:rPr>
          <w:rFonts w:ascii="Arial" w:hAnsi="Arial" w:cs="Arial"/>
          <w:i/>
          <w:iCs/>
          <w:sz w:val="22"/>
          <w:szCs w:val="22"/>
        </w:rPr>
        <w:t>Social Learning Theory</w:t>
      </w:r>
      <w:r w:rsidRPr="0031010F">
        <w:rPr>
          <w:rFonts w:ascii="Arial" w:hAnsi="Arial" w:cs="Arial"/>
          <w:sz w:val="22"/>
          <w:szCs w:val="22"/>
        </w:rPr>
        <w:t>. Englewood Cliffs, NJ: Prentice Hall.</w:t>
      </w:r>
    </w:p>
    <w:p w14:paraId="00A6D868" w14:textId="77777777" w:rsidR="00670B6F" w:rsidRDefault="00670B6F" w:rsidP="006136D6">
      <w:pPr>
        <w:rPr>
          <w:rFonts w:ascii="Arial" w:hAnsi="Arial" w:cs="Arial"/>
          <w:sz w:val="22"/>
          <w:szCs w:val="22"/>
        </w:rPr>
      </w:pPr>
    </w:p>
    <w:p w14:paraId="46544D44" w14:textId="63F01B44" w:rsidR="0061639D" w:rsidRPr="0031010F" w:rsidRDefault="0061639D" w:rsidP="006136D6">
      <w:pPr>
        <w:rPr>
          <w:rFonts w:ascii="Arial" w:hAnsi="Arial" w:cs="Arial"/>
          <w:sz w:val="22"/>
          <w:szCs w:val="22"/>
        </w:rPr>
      </w:pPr>
      <w:r w:rsidRPr="0031010F">
        <w:rPr>
          <w:rFonts w:ascii="Arial" w:hAnsi="Arial" w:cs="Arial"/>
          <w:sz w:val="22"/>
          <w:szCs w:val="22"/>
        </w:rPr>
        <w:t xml:space="preserve">Best, P., Manktelow, R. and Taylor, B. (2014) </w:t>
      </w:r>
      <w:r w:rsidR="00670B6F">
        <w:rPr>
          <w:rFonts w:ascii="Arial" w:hAnsi="Arial" w:cs="Arial"/>
          <w:sz w:val="22"/>
          <w:szCs w:val="22"/>
        </w:rPr>
        <w:t>‘</w:t>
      </w:r>
      <w:r w:rsidRPr="0031010F">
        <w:rPr>
          <w:rFonts w:ascii="Arial" w:hAnsi="Arial" w:cs="Arial"/>
          <w:sz w:val="22"/>
          <w:szCs w:val="22"/>
        </w:rPr>
        <w:t>Online communication, Social Media and Adolescent wellbeing: a Systematic Narrative Review</w:t>
      </w:r>
      <w:r w:rsidR="00670B6F">
        <w:rPr>
          <w:rFonts w:ascii="Arial" w:hAnsi="Arial" w:cs="Arial"/>
          <w:sz w:val="22"/>
          <w:szCs w:val="22"/>
        </w:rPr>
        <w:t>’,</w:t>
      </w:r>
      <w:r w:rsidRPr="0031010F">
        <w:rPr>
          <w:rFonts w:ascii="Arial" w:hAnsi="Arial" w:cs="Arial"/>
          <w:sz w:val="22"/>
          <w:szCs w:val="22"/>
        </w:rPr>
        <w:t xml:space="preserve"> </w:t>
      </w:r>
      <w:r w:rsidRPr="0031010F">
        <w:rPr>
          <w:rFonts w:ascii="Arial" w:hAnsi="Arial" w:cs="Arial"/>
          <w:i/>
          <w:iCs/>
          <w:sz w:val="22"/>
          <w:szCs w:val="22"/>
        </w:rPr>
        <w:t>Children and Youth Services Review</w:t>
      </w:r>
      <w:r w:rsidRPr="0031010F">
        <w:rPr>
          <w:rFonts w:ascii="Arial" w:hAnsi="Arial" w:cs="Arial"/>
          <w:sz w:val="22"/>
          <w:szCs w:val="22"/>
        </w:rPr>
        <w:t>, 41, pp.27–36.</w:t>
      </w:r>
      <w:r w:rsidR="004A7951" w:rsidRPr="0031010F">
        <w:rPr>
          <w:rFonts w:ascii="Arial" w:hAnsi="Arial" w:cs="Arial"/>
          <w:sz w:val="22"/>
          <w:szCs w:val="22"/>
        </w:rPr>
        <w:t xml:space="preserve"> </w:t>
      </w:r>
    </w:p>
    <w:p w14:paraId="7D57CD6B" w14:textId="77777777" w:rsidR="00670B6F" w:rsidRDefault="00670B6F" w:rsidP="00B62B10">
      <w:pPr>
        <w:rPr>
          <w:rFonts w:ascii="Arial" w:hAnsi="Arial" w:cs="Arial"/>
          <w:sz w:val="22"/>
          <w:szCs w:val="22"/>
        </w:rPr>
      </w:pPr>
    </w:p>
    <w:p w14:paraId="2C1CFA8D" w14:textId="1BC8B1C0" w:rsidR="00B62B10" w:rsidRPr="0031010F" w:rsidRDefault="002B724B" w:rsidP="00B62B10">
      <w:pPr>
        <w:rPr>
          <w:rFonts w:ascii="Arial" w:hAnsi="Arial" w:cs="Arial"/>
          <w:sz w:val="22"/>
          <w:szCs w:val="22"/>
        </w:rPr>
      </w:pPr>
      <w:r w:rsidRPr="0031010F">
        <w:rPr>
          <w:rFonts w:ascii="Arial" w:hAnsi="Arial" w:cs="Arial"/>
          <w:sz w:val="22"/>
          <w:szCs w:val="22"/>
        </w:rPr>
        <w:t>Erikson</w:t>
      </w:r>
      <w:r w:rsidR="00B62B10" w:rsidRPr="0031010F">
        <w:rPr>
          <w:rFonts w:ascii="Arial" w:hAnsi="Arial" w:cs="Arial"/>
          <w:sz w:val="22"/>
          <w:szCs w:val="22"/>
        </w:rPr>
        <w:t xml:space="preserve">, E.H. (1968) </w:t>
      </w:r>
      <w:r w:rsidR="00B62B10" w:rsidRPr="0031010F">
        <w:rPr>
          <w:rFonts w:ascii="Arial" w:hAnsi="Arial" w:cs="Arial"/>
          <w:i/>
          <w:iCs/>
          <w:sz w:val="22"/>
          <w:szCs w:val="22"/>
        </w:rPr>
        <w:t>Identity: Youth and Crisis</w:t>
      </w:r>
      <w:r w:rsidR="00B62B10" w:rsidRPr="0031010F">
        <w:rPr>
          <w:rFonts w:ascii="Arial" w:hAnsi="Arial" w:cs="Arial"/>
          <w:sz w:val="22"/>
          <w:szCs w:val="22"/>
        </w:rPr>
        <w:t>. New York: W.W. Norton &amp; Company.</w:t>
      </w:r>
    </w:p>
    <w:p w14:paraId="426A0D63" w14:textId="77777777" w:rsidR="00670B6F" w:rsidRDefault="00670B6F" w:rsidP="007E07A8">
      <w:pPr>
        <w:rPr>
          <w:rFonts w:ascii="Arial" w:hAnsi="Arial" w:cs="Arial"/>
          <w:sz w:val="22"/>
          <w:szCs w:val="22"/>
        </w:rPr>
      </w:pPr>
    </w:p>
    <w:p w14:paraId="16518651" w14:textId="52A743B3" w:rsidR="007E07A8" w:rsidRPr="0031010F" w:rsidRDefault="00B05061" w:rsidP="007E07A8">
      <w:pPr>
        <w:rPr>
          <w:rFonts w:ascii="Arial" w:hAnsi="Arial" w:cs="Arial"/>
          <w:sz w:val="22"/>
          <w:szCs w:val="22"/>
        </w:rPr>
      </w:pPr>
      <w:r w:rsidRPr="0031010F">
        <w:rPr>
          <w:rFonts w:ascii="Arial" w:hAnsi="Arial" w:cs="Arial"/>
          <w:sz w:val="22"/>
          <w:szCs w:val="22"/>
        </w:rPr>
        <w:t xml:space="preserve">Ferrer-Wreder, L. and Kroger, J. (2019) </w:t>
      </w:r>
      <w:r w:rsidRPr="0031010F">
        <w:rPr>
          <w:rFonts w:ascii="Arial" w:hAnsi="Arial" w:cs="Arial"/>
          <w:i/>
          <w:iCs/>
          <w:sz w:val="22"/>
          <w:szCs w:val="22"/>
        </w:rPr>
        <w:t>Identity in Adolescence</w:t>
      </w:r>
      <w:r w:rsidRPr="0031010F">
        <w:rPr>
          <w:rFonts w:ascii="Arial" w:hAnsi="Arial" w:cs="Arial"/>
          <w:sz w:val="22"/>
          <w:szCs w:val="22"/>
        </w:rPr>
        <w:t xml:space="preserve">. </w:t>
      </w:r>
      <w:r w:rsidRPr="0031010F">
        <w:rPr>
          <w:rFonts w:ascii="Arial" w:hAnsi="Arial" w:cs="Arial"/>
          <w:i/>
          <w:iCs/>
          <w:sz w:val="22"/>
          <w:szCs w:val="22"/>
        </w:rPr>
        <w:t>Routledge eBooks</w:t>
      </w:r>
      <w:r w:rsidRPr="0031010F">
        <w:rPr>
          <w:rFonts w:ascii="Arial" w:hAnsi="Arial" w:cs="Arial"/>
          <w:sz w:val="22"/>
          <w:szCs w:val="22"/>
        </w:rPr>
        <w:t xml:space="preserve">. </w:t>
      </w:r>
      <w:hyperlink r:id="rId9" w:history="1">
        <w:r w:rsidR="0031234E" w:rsidRPr="0031010F">
          <w:rPr>
            <w:rStyle w:val="Hyperlink"/>
            <w:rFonts w:ascii="Arial" w:hAnsi="Arial" w:cs="Arial"/>
            <w:sz w:val="22"/>
            <w:szCs w:val="22"/>
          </w:rPr>
          <w:t>https://doi.org/10.4324/9781315165806</w:t>
        </w:r>
      </w:hyperlink>
      <w:r w:rsidR="00641168" w:rsidRPr="0031010F">
        <w:rPr>
          <w:rFonts w:ascii="Arial" w:hAnsi="Arial" w:cs="Arial"/>
          <w:sz w:val="22"/>
          <w:szCs w:val="22"/>
        </w:rPr>
        <w:t xml:space="preserve">. </w:t>
      </w:r>
      <w:r w:rsidR="00312DD1" w:rsidRPr="0031010F">
        <w:rPr>
          <w:rFonts w:ascii="Arial" w:hAnsi="Arial" w:cs="Arial"/>
          <w:sz w:val="22"/>
          <w:szCs w:val="22"/>
        </w:rPr>
        <w:t>(Accessed: 25 June 2026).</w:t>
      </w:r>
    </w:p>
    <w:p w14:paraId="33D7FB18" w14:textId="77777777" w:rsidR="00670B6F" w:rsidRDefault="00670B6F" w:rsidP="007F4746">
      <w:pPr>
        <w:rPr>
          <w:rFonts w:ascii="Arial" w:hAnsi="Arial" w:cs="Arial"/>
          <w:sz w:val="22"/>
          <w:szCs w:val="22"/>
        </w:rPr>
      </w:pPr>
    </w:p>
    <w:p w14:paraId="04FADFC5" w14:textId="2BFFFDB3" w:rsidR="000C62C5" w:rsidRPr="0031010F" w:rsidRDefault="000F3501" w:rsidP="007F4746">
      <w:pPr>
        <w:rPr>
          <w:rFonts w:ascii="Arial" w:hAnsi="Arial" w:cs="Arial"/>
          <w:sz w:val="22"/>
          <w:szCs w:val="22"/>
        </w:rPr>
      </w:pPr>
      <w:r w:rsidRPr="0031010F">
        <w:rPr>
          <w:rFonts w:ascii="Arial" w:hAnsi="Arial" w:cs="Arial"/>
          <w:sz w:val="22"/>
          <w:szCs w:val="22"/>
        </w:rPr>
        <w:t xml:space="preserve">Keles, B., McCrae, N. and Grealish, A. (2020) </w:t>
      </w:r>
      <w:r w:rsidR="00921F30">
        <w:rPr>
          <w:rFonts w:ascii="Arial" w:hAnsi="Arial" w:cs="Arial"/>
          <w:sz w:val="22"/>
          <w:szCs w:val="22"/>
        </w:rPr>
        <w:t>‘</w:t>
      </w:r>
      <w:r w:rsidRPr="0031010F">
        <w:rPr>
          <w:rFonts w:ascii="Arial" w:hAnsi="Arial" w:cs="Arial"/>
          <w:sz w:val="22"/>
          <w:szCs w:val="22"/>
        </w:rPr>
        <w:t xml:space="preserve">A Systematic review: the Influence of </w:t>
      </w:r>
      <w:r w:rsidR="0054644C" w:rsidRPr="0031010F">
        <w:rPr>
          <w:rFonts w:ascii="Arial" w:hAnsi="Arial" w:cs="Arial"/>
          <w:sz w:val="22"/>
          <w:szCs w:val="22"/>
        </w:rPr>
        <w:t>social media</w:t>
      </w:r>
      <w:r w:rsidRPr="0031010F">
        <w:rPr>
          <w:rFonts w:ascii="Arial" w:hAnsi="Arial" w:cs="Arial"/>
          <w:sz w:val="22"/>
          <w:szCs w:val="22"/>
        </w:rPr>
        <w:t xml:space="preserve"> on depression, Anxiety and Psychological Distress in Adolescents</w:t>
      </w:r>
      <w:r w:rsidR="00921F30">
        <w:rPr>
          <w:rFonts w:ascii="Arial" w:hAnsi="Arial" w:cs="Arial"/>
          <w:sz w:val="22"/>
          <w:szCs w:val="22"/>
        </w:rPr>
        <w:t>’,</w:t>
      </w:r>
      <w:r w:rsidRPr="0031010F">
        <w:rPr>
          <w:rFonts w:ascii="Arial" w:hAnsi="Arial" w:cs="Arial"/>
          <w:sz w:val="22"/>
          <w:szCs w:val="22"/>
        </w:rPr>
        <w:t xml:space="preserve"> </w:t>
      </w:r>
      <w:r w:rsidRPr="0031010F">
        <w:rPr>
          <w:rFonts w:ascii="Arial" w:hAnsi="Arial" w:cs="Arial"/>
          <w:i/>
          <w:iCs/>
          <w:sz w:val="22"/>
          <w:szCs w:val="22"/>
        </w:rPr>
        <w:t>International Journal of Adolescence and Youth</w:t>
      </w:r>
      <w:r w:rsidRPr="0031010F">
        <w:rPr>
          <w:rFonts w:ascii="Arial" w:hAnsi="Arial" w:cs="Arial"/>
          <w:sz w:val="22"/>
          <w:szCs w:val="22"/>
        </w:rPr>
        <w:t xml:space="preserve">, 25(1), pp.79–93. </w:t>
      </w:r>
      <w:hyperlink r:id="rId10" w:history="1">
        <w:r w:rsidR="000C62C5" w:rsidRPr="0031010F">
          <w:rPr>
            <w:rStyle w:val="Hyperlink"/>
            <w:rFonts w:ascii="Arial" w:hAnsi="Arial" w:cs="Arial"/>
            <w:sz w:val="22"/>
            <w:szCs w:val="22"/>
          </w:rPr>
          <w:t>https://doi.org/10.1080/02673843.2019.1590851</w:t>
        </w:r>
      </w:hyperlink>
      <w:r w:rsidR="00641168" w:rsidRPr="0031010F">
        <w:rPr>
          <w:rFonts w:ascii="Arial" w:hAnsi="Arial" w:cs="Arial"/>
          <w:sz w:val="22"/>
          <w:szCs w:val="22"/>
        </w:rPr>
        <w:t>. (Accessed: 27 June 2026).</w:t>
      </w:r>
    </w:p>
    <w:p w14:paraId="7D7FA6C1" w14:textId="77777777" w:rsidR="00921F30" w:rsidRDefault="00921F30" w:rsidP="003D176F">
      <w:pPr>
        <w:rPr>
          <w:rFonts w:ascii="Arial" w:hAnsi="Arial" w:cs="Arial"/>
          <w:sz w:val="22"/>
          <w:szCs w:val="22"/>
        </w:rPr>
      </w:pPr>
    </w:p>
    <w:p w14:paraId="566FBAFF" w14:textId="4A10B1BE" w:rsidR="003D176F" w:rsidRDefault="003D176F" w:rsidP="003D176F">
      <w:pPr>
        <w:rPr>
          <w:rFonts w:ascii="Arial" w:hAnsi="Arial" w:cs="Arial"/>
          <w:sz w:val="22"/>
          <w:szCs w:val="22"/>
        </w:rPr>
      </w:pPr>
      <w:r w:rsidRPr="0031010F">
        <w:rPr>
          <w:rFonts w:ascii="Arial" w:hAnsi="Arial" w:cs="Arial"/>
          <w:sz w:val="22"/>
          <w:szCs w:val="22"/>
        </w:rPr>
        <w:t xml:space="preserve">Kelly, Y., Zilanawala, A., Booker, C. and Sacker, A. (2018) ‘Social media use and adolescent mental health: Findings from the UK Millennium Cohort Study’, </w:t>
      </w:r>
      <w:r w:rsidRPr="0031010F">
        <w:rPr>
          <w:rFonts w:ascii="Arial" w:hAnsi="Arial" w:cs="Arial"/>
          <w:i/>
          <w:iCs/>
          <w:sz w:val="22"/>
          <w:szCs w:val="22"/>
        </w:rPr>
        <w:t>EClinicalMedicine</w:t>
      </w:r>
      <w:r w:rsidRPr="0031010F">
        <w:rPr>
          <w:rFonts w:ascii="Arial" w:hAnsi="Arial" w:cs="Arial"/>
          <w:sz w:val="22"/>
          <w:szCs w:val="22"/>
        </w:rPr>
        <w:t>, 6, pp. 59–68.</w:t>
      </w:r>
    </w:p>
    <w:p w14:paraId="4CFD0388" w14:textId="77777777" w:rsidR="00921F30" w:rsidRPr="0031010F" w:rsidRDefault="00921F30" w:rsidP="003D176F">
      <w:pPr>
        <w:rPr>
          <w:rFonts w:ascii="Arial" w:hAnsi="Arial" w:cs="Arial"/>
          <w:sz w:val="22"/>
          <w:szCs w:val="22"/>
        </w:rPr>
      </w:pPr>
    </w:p>
    <w:p w14:paraId="2074AD12" w14:textId="3283CA76" w:rsidR="007F4746" w:rsidRPr="0031010F" w:rsidRDefault="007F4746" w:rsidP="007F4746">
      <w:pPr>
        <w:rPr>
          <w:rFonts w:ascii="Arial" w:hAnsi="Arial" w:cs="Arial"/>
          <w:sz w:val="22"/>
          <w:szCs w:val="22"/>
        </w:rPr>
      </w:pPr>
      <w:r w:rsidRPr="0031010F">
        <w:rPr>
          <w:rFonts w:ascii="Arial" w:hAnsi="Arial" w:cs="Arial"/>
          <w:sz w:val="22"/>
          <w:szCs w:val="22"/>
        </w:rPr>
        <w:t xml:space="preserve">Odgers, C.L. and Jensen, M.R. (2020) ‘Annual Research Review: Adolescent mental health in the digital age: Facts, fears and future directions’, </w:t>
      </w:r>
      <w:r w:rsidRPr="0031010F">
        <w:rPr>
          <w:rFonts w:ascii="Arial" w:hAnsi="Arial" w:cs="Arial"/>
          <w:i/>
          <w:iCs/>
          <w:sz w:val="22"/>
          <w:szCs w:val="22"/>
        </w:rPr>
        <w:t>Journal of Child Psychology and Psychiatry</w:t>
      </w:r>
      <w:r w:rsidRPr="0031010F">
        <w:rPr>
          <w:rFonts w:ascii="Arial" w:hAnsi="Arial" w:cs="Arial"/>
          <w:sz w:val="22"/>
          <w:szCs w:val="22"/>
        </w:rPr>
        <w:t>, 61(3), pp. 336–348.</w:t>
      </w:r>
    </w:p>
    <w:p w14:paraId="60EE3F5E" w14:textId="77777777" w:rsidR="00921F30" w:rsidRDefault="00921F30" w:rsidP="008D751A">
      <w:pPr>
        <w:rPr>
          <w:rFonts w:ascii="Arial" w:hAnsi="Arial" w:cs="Arial"/>
          <w:sz w:val="22"/>
          <w:szCs w:val="22"/>
        </w:rPr>
      </w:pPr>
    </w:p>
    <w:p w14:paraId="423485E9" w14:textId="785B1DE1" w:rsidR="008D751A" w:rsidRPr="0031010F" w:rsidRDefault="008D751A" w:rsidP="008D751A">
      <w:pPr>
        <w:rPr>
          <w:rFonts w:ascii="Arial" w:hAnsi="Arial" w:cs="Arial"/>
          <w:sz w:val="22"/>
          <w:szCs w:val="22"/>
        </w:rPr>
      </w:pPr>
      <w:r w:rsidRPr="0031010F">
        <w:rPr>
          <w:rFonts w:ascii="Arial" w:hAnsi="Arial" w:cs="Arial"/>
          <w:sz w:val="22"/>
          <w:szCs w:val="22"/>
        </w:rPr>
        <w:t xml:space="preserve">Orben, A. and Przybylski, A.K. (2019) </w:t>
      </w:r>
      <w:r w:rsidR="003B5D0C">
        <w:rPr>
          <w:rFonts w:ascii="Arial" w:hAnsi="Arial" w:cs="Arial"/>
          <w:sz w:val="22"/>
          <w:szCs w:val="22"/>
        </w:rPr>
        <w:t>‘</w:t>
      </w:r>
      <w:r w:rsidRPr="0031010F">
        <w:rPr>
          <w:rFonts w:ascii="Arial" w:hAnsi="Arial" w:cs="Arial"/>
          <w:sz w:val="22"/>
          <w:szCs w:val="22"/>
        </w:rPr>
        <w:t>The association between adolescent well-being and digital technology use</w:t>
      </w:r>
      <w:r w:rsidR="003B5D0C">
        <w:rPr>
          <w:rFonts w:ascii="Arial" w:hAnsi="Arial" w:cs="Arial"/>
          <w:sz w:val="22"/>
          <w:szCs w:val="22"/>
        </w:rPr>
        <w:t>’,</w:t>
      </w:r>
      <w:r w:rsidRPr="0031010F">
        <w:rPr>
          <w:rFonts w:ascii="Arial" w:hAnsi="Arial" w:cs="Arial"/>
          <w:sz w:val="22"/>
          <w:szCs w:val="22"/>
        </w:rPr>
        <w:t xml:space="preserve"> </w:t>
      </w:r>
      <w:r w:rsidRPr="0031010F">
        <w:rPr>
          <w:rFonts w:ascii="Arial" w:hAnsi="Arial" w:cs="Arial"/>
          <w:i/>
          <w:iCs/>
          <w:sz w:val="22"/>
          <w:szCs w:val="22"/>
        </w:rPr>
        <w:t>Nature Human Behaviour</w:t>
      </w:r>
      <w:r w:rsidRPr="0031010F">
        <w:rPr>
          <w:rFonts w:ascii="Arial" w:hAnsi="Arial" w:cs="Arial"/>
          <w:sz w:val="22"/>
          <w:szCs w:val="22"/>
        </w:rPr>
        <w:t>, [online] 3</w:t>
      </w:r>
      <w:r w:rsidR="00ED47F6">
        <w:rPr>
          <w:rFonts w:ascii="Arial" w:hAnsi="Arial" w:cs="Arial"/>
          <w:sz w:val="22"/>
          <w:szCs w:val="22"/>
        </w:rPr>
        <w:t xml:space="preserve"> </w:t>
      </w:r>
      <w:r w:rsidRPr="0031010F">
        <w:rPr>
          <w:rFonts w:ascii="Arial" w:hAnsi="Arial" w:cs="Arial"/>
          <w:sz w:val="22"/>
          <w:szCs w:val="22"/>
        </w:rPr>
        <w:t xml:space="preserve">(2), pp.173–182. </w:t>
      </w:r>
    </w:p>
    <w:p w14:paraId="74360383" w14:textId="77777777" w:rsidR="00921F30" w:rsidRDefault="00921F30" w:rsidP="006136D6">
      <w:pPr>
        <w:rPr>
          <w:rFonts w:ascii="Arial" w:hAnsi="Arial" w:cs="Arial"/>
          <w:sz w:val="22"/>
          <w:szCs w:val="22"/>
        </w:rPr>
      </w:pPr>
    </w:p>
    <w:p w14:paraId="42E2E9C7" w14:textId="2F01D430" w:rsidR="008D45FF" w:rsidRPr="0031010F" w:rsidRDefault="00F01C88" w:rsidP="006136D6">
      <w:pPr>
        <w:rPr>
          <w:rFonts w:ascii="Arial" w:hAnsi="Arial" w:cs="Arial"/>
          <w:sz w:val="22"/>
          <w:szCs w:val="22"/>
        </w:rPr>
      </w:pPr>
      <w:r w:rsidRPr="0031010F">
        <w:rPr>
          <w:rFonts w:ascii="Arial" w:hAnsi="Arial" w:cs="Arial"/>
          <w:sz w:val="22"/>
          <w:szCs w:val="22"/>
        </w:rPr>
        <w:lastRenderedPageBreak/>
        <w:t xml:space="preserve">Steinberg, L. (2008) </w:t>
      </w:r>
      <w:r w:rsidRPr="0031010F">
        <w:rPr>
          <w:rFonts w:ascii="Arial" w:hAnsi="Arial" w:cs="Arial"/>
          <w:i/>
          <w:iCs/>
          <w:sz w:val="22"/>
          <w:szCs w:val="22"/>
        </w:rPr>
        <w:t>Adolescence</w:t>
      </w:r>
      <w:r w:rsidRPr="0031010F">
        <w:rPr>
          <w:rFonts w:ascii="Arial" w:hAnsi="Arial" w:cs="Arial"/>
          <w:sz w:val="22"/>
          <w:szCs w:val="22"/>
        </w:rPr>
        <w:t>. McGraw-Hill Humanities/Social Sciences/Languages.</w:t>
      </w:r>
    </w:p>
    <w:p w14:paraId="6A446BB7" w14:textId="77777777" w:rsidR="003B5D0C" w:rsidRDefault="003B5D0C" w:rsidP="006136D6">
      <w:pPr>
        <w:rPr>
          <w:rFonts w:ascii="Arial" w:hAnsi="Arial" w:cs="Arial"/>
          <w:sz w:val="22"/>
          <w:szCs w:val="22"/>
        </w:rPr>
      </w:pPr>
    </w:p>
    <w:p w14:paraId="696E20AF" w14:textId="599AFBA9" w:rsidR="00FC3B75" w:rsidRPr="0031010F" w:rsidRDefault="00FC3B75" w:rsidP="006136D6">
      <w:pPr>
        <w:rPr>
          <w:rFonts w:ascii="Arial" w:hAnsi="Arial" w:cs="Arial"/>
          <w:sz w:val="22"/>
          <w:szCs w:val="22"/>
        </w:rPr>
      </w:pPr>
      <w:r w:rsidRPr="0031010F">
        <w:rPr>
          <w:rFonts w:ascii="Arial" w:hAnsi="Arial" w:cs="Arial"/>
          <w:sz w:val="22"/>
          <w:szCs w:val="22"/>
        </w:rPr>
        <w:t xml:space="preserve">Valkenburg, P.M., Meier, A. and Beyens, I. (2022) </w:t>
      </w:r>
      <w:r w:rsidR="003B5D0C">
        <w:rPr>
          <w:rFonts w:ascii="Arial" w:hAnsi="Arial" w:cs="Arial"/>
          <w:sz w:val="22"/>
          <w:szCs w:val="22"/>
        </w:rPr>
        <w:t>‘</w:t>
      </w:r>
      <w:r w:rsidRPr="0031010F">
        <w:rPr>
          <w:rFonts w:ascii="Arial" w:hAnsi="Arial" w:cs="Arial"/>
          <w:sz w:val="22"/>
          <w:szCs w:val="22"/>
        </w:rPr>
        <w:t>Social media use and its impact on adolescent mental health: An umbrella review of the evidence</w:t>
      </w:r>
      <w:r w:rsidR="003B5D0C">
        <w:rPr>
          <w:rFonts w:ascii="Arial" w:hAnsi="Arial" w:cs="Arial"/>
          <w:sz w:val="22"/>
          <w:szCs w:val="22"/>
        </w:rPr>
        <w:t xml:space="preserve">’, </w:t>
      </w:r>
      <w:r w:rsidRPr="0031010F">
        <w:rPr>
          <w:rFonts w:ascii="Arial" w:hAnsi="Arial" w:cs="Arial"/>
          <w:i/>
          <w:iCs/>
          <w:sz w:val="22"/>
          <w:szCs w:val="22"/>
        </w:rPr>
        <w:t>Current Opinion in Psychology</w:t>
      </w:r>
      <w:r w:rsidRPr="0031010F">
        <w:rPr>
          <w:rFonts w:ascii="Arial" w:hAnsi="Arial" w:cs="Arial"/>
          <w:sz w:val="22"/>
          <w:szCs w:val="22"/>
        </w:rPr>
        <w:t xml:space="preserve">, [online] 44, pp.58–68. </w:t>
      </w:r>
    </w:p>
    <w:p w14:paraId="3CA73783" w14:textId="77777777" w:rsidR="003B5D0C" w:rsidRDefault="003B5D0C" w:rsidP="00D75544">
      <w:pPr>
        <w:rPr>
          <w:rFonts w:ascii="Arial" w:hAnsi="Arial" w:cs="Arial"/>
          <w:sz w:val="22"/>
          <w:szCs w:val="22"/>
        </w:rPr>
      </w:pPr>
    </w:p>
    <w:p w14:paraId="52D524CA" w14:textId="31661004" w:rsidR="00D75544" w:rsidRPr="0031010F" w:rsidRDefault="00D75544" w:rsidP="00D75544">
      <w:pPr>
        <w:rPr>
          <w:rFonts w:ascii="Arial" w:hAnsi="Arial" w:cs="Arial"/>
          <w:sz w:val="22"/>
          <w:szCs w:val="22"/>
        </w:rPr>
      </w:pPr>
      <w:r w:rsidRPr="0031010F">
        <w:rPr>
          <w:rFonts w:ascii="Arial" w:hAnsi="Arial" w:cs="Arial"/>
          <w:sz w:val="22"/>
          <w:szCs w:val="22"/>
        </w:rPr>
        <w:t>World Health Organization (2022)</w:t>
      </w:r>
      <w:r w:rsidR="0070048C" w:rsidRPr="0031010F">
        <w:rPr>
          <w:rFonts w:ascii="Arial" w:hAnsi="Arial" w:cs="Arial"/>
          <w:sz w:val="22"/>
          <w:szCs w:val="22"/>
        </w:rPr>
        <w:t xml:space="preserve"> </w:t>
      </w:r>
      <w:r w:rsidRPr="0031010F">
        <w:rPr>
          <w:rFonts w:ascii="Arial" w:hAnsi="Arial" w:cs="Arial"/>
          <w:i/>
          <w:iCs/>
          <w:sz w:val="22"/>
          <w:szCs w:val="22"/>
        </w:rPr>
        <w:t>Mental health</w:t>
      </w:r>
      <w:r w:rsidR="00DA6BBE" w:rsidRPr="0031010F">
        <w:rPr>
          <w:rFonts w:ascii="Arial" w:hAnsi="Arial" w:cs="Arial"/>
          <w:sz w:val="22"/>
          <w:szCs w:val="22"/>
        </w:rPr>
        <w:t>.</w:t>
      </w:r>
      <w:r w:rsidRPr="0031010F">
        <w:rPr>
          <w:rFonts w:ascii="Arial" w:hAnsi="Arial" w:cs="Arial"/>
          <w:sz w:val="22"/>
          <w:szCs w:val="22"/>
        </w:rPr>
        <w:t xml:space="preserve"> Available at: </w:t>
      </w:r>
      <w:hyperlink r:id="rId11" w:history="1">
        <w:r w:rsidR="00AB0FA6" w:rsidRPr="0031010F">
          <w:rPr>
            <w:rStyle w:val="Hyperlink"/>
            <w:rFonts w:ascii="Arial" w:hAnsi="Arial" w:cs="Arial"/>
            <w:sz w:val="22"/>
            <w:szCs w:val="22"/>
          </w:rPr>
          <w:t>https://www.who.int/news-room/fact-sheets/detail/mental-health-strengthening-our-response</w:t>
        </w:r>
      </w:hyperlink>
      <w:r w:rsidRPr="0031010F">
        <w:rPr>
          <w:rFonts w:ascii="Arial" w:hAnsi="Arial" w:cs="Arial"/>
          <w:sz w:val="22"/>
          <w:szCs w:val="22"/>
        </w:rPr>
        <w:t>.</w:t>
      </w:r>
      <w:r w:rsidR="00AB0FA6" w:rsidRPr="0031010F">
        <w:rPr>
          <w:rFonts w:ascii="Arial" w:hAnsi="Arial" w:cs="Arial"/>
          <w:sz w:val="22"/>
          <w:szCs w:val="22"/>
        </w:rPr>
        <w:t xml:space="preserve"> (A</w:t>
      </w:r>
      <w:r w:rsidR="00F70808" w:rsidRPr="0031010F">
        <w:rPr>
          <w:rFonts w:ascii="Arial" w:hAnsi="Arial" w:cs="Arial"/>
          <w:sz w:val="22"/>
          <w:szCs w:val="22"/>
        </w:rPr>
        <w:t>ccessed: 29 June 2026).</w:t>
      </w:r>
    </w:p>
    <w:p w14:paraId="2742B24A" w14:textId="24A9D9B4" w:rsidR="002D4B6C" w:rsidRPr="0031010F" w:rsidRDefault="002D4B6C">
      <w:pPr>
        <w:rPr>
          <w:rFonts w:ascii="Arial" w:hAnsi="Arial" w:cs="Arial"/>
          <w:sz w:val="22"/>
          <w:szCs w:val="22"/>
        </w:rPr>
      </w:pPr>
    </w:p>
    <w:sectPr w:rsidR="002D4B6C" w:rsidRPr="00310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E0F98"/>
    <w:multiLevelType w:val="multilevel"/>
    <w:tmpl w:val="D5FA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92B33"/>
    <w:multiLevelType w:val="multilevel"/>
    <w:tmpl w:val="F42CE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1502313">
    <w:abstractNumId w:val="1"/>
  </w:num>
  <w:num w:numId="2" w16cid:durableId="1113130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6D6"/>
    <w:rsid w:val="0000695B"/>
    <w:rsid w:val="00017BD2"/>
    <w:rsid w:val="000368DB"/>
    <w:rsid w:val="000668DB"/>
    <w:rsid w:val="000A090E"/>
    <w:rsid w:val="000C62C5"/>
    <w:rsid w:val="000E4E31"/>
    <w:rsid w:val="000F0777"/>
    <w:rsid w:val="000F3501"/>
    <w:rsid w:val="00106D81"/>
    <w:rsid w:val="00121E55"/>
    <w:rsid w:val="00131564"/>
    <w:rsid w:val="00154BF0"/>
    <w:rsid w:val="00165396"/>
    <w:rsid w:val="00170812"/>
    <w:rsid w:val="001C1D83"/>
    <w:rsid w:val="00244B62"/>
    <w:rsid w:val="0025174C"/>
    <w:rsid w:val="002544BE"/>
    <w:rsid w:val="0026165F"/>
    <w:rsid w:val="00285B72"/>
    <w:rsid w:val="002A46EE"/>
    <w:rsid w:val="002B724B"/>
    <w:rsid w:val="002D0C1C"/>
    <w:rsid w:val="002D4B6C"/>
    <w:rsid w:val="0031010F"/>
    <w:rsid w:val="0031234E"/>
    <w:rsid w:val="00312DD1"/>
    <w:rsid w:val="00350EEF"/>
    <w:rsid w:val="0038515A"/>
    <w:rsid w:val="003B245B"/>
    <w:rsid w:val="003B2CD2"/>
    <w:rsid w:val="003B5D0C"/>
    <w:rsid w:val="003C2552"/>
    <w:rsid w:val="003C4E51"/>
    <w:rsid w:val="003D176F"/>
    <w:rsid w:val="003F655B"/>
    <w:rsid w:val="00437F42"/>
    <w:rsid w:val="00456B15"/>
    <w:rsid w:val="00482657"/>
    <w:rsid w:val="00495486"/>
    <w:rsid w:val="004A7951"/>
    <w:rsid w:val="004E0E51"/>
    <w:rsid w:val="004F69DB"/>
    <w:rsid w:val="004F764B"/>
    <w:rsid w:val="0053432E"/>
    <w:rsid w:val="0054644C"/>
    <w:rsid w:val="00586426"/>
    <w:rsid w:val="005B4C5D"/>
    <w:rsid w:val="005B65E0"/>
    <w:rsid w:val="005F7759"/>
    <w:rsid w:val="006136D6"/>
    <w:rsid w:val="0061639D"/>
    <w:rsid w:val="006264BF"/>
    <w:rsid w:val="00636B7C"/>
    <w:rsid w:val="00641168"/>
    <w:rsid w:val="00670B6F"/>
    <w:rsid w:val="0068664E"/>
    <w:rsid w:val="006C217C"/>
    <w:rsid w:val="006D01BB"/>
    <w:rsid w:val="006F66F8"/>
    <w:rsid w:val="0070048C"/>
    <w:rsid w:val="00704E64"/>
    <w:rsid w:val="00741E77"/>
    <w:rsid w:val="0075049C"/>
    <w:rsid w:val="00755E6C"/>
    <w:rsid w:val="0076568F"/>
    <w:rsid w:val="00783285"/>
    <w:rsid w:val="007E07A8"/>
    <w:rsid w:val="007F4746"/>
    <w:rsid w:val="007F5914"/>
    <w:rsid w:val="008316BD"/>
    <w:rsid w:val="0083590D"/>
    <w:rsid w:val="00872D16"/>
    <w:rsid w:val="008A3A69"/>
    <w:rsid w:val="008B4CAE"/>
    <w:rsid w:val="008D45FF"/>
    <w:rsid w:val="008D751A"/>
    <w:rsid w:val="00905353"/>
    <w:rsid w:val="00915083"/>
    <w:rsid w:val="00921F30"/>
    <w:rsid w:val="009476AB"/>
    <w:rsid w:val="009607C6"/>
    <w:rsid w:val="00984654"/>
    <w:rsid w:val="009A6FB8"/>
    <w:rsid w:val="009C195A"/>
    <w:rsid w:val="00A15637"/>
    <w:rsid w:val="00A17DF7"/>
    <w:rsid w:val="00A83B17"/>
    <w:rsid w:val="00AB0FA6"/>
    <w:rsid w:val="00AB60B8"/>
    <w:rsid w:val="00AD6F4A"/>
    <w:rsid w:val="00AD7963"/>
    <w:rsid w:val="00B05061"/>
    <w:rsid w:val="00B11023"/>
    <w:rsid w:val="00B22459"/>
    <w:rsid w:val="00B246B1"/>
    <w:rsid w:val="00B30C0F"/>
    <w:rsid w:val="00B55E25"/>
    <w:rsid w:val="00B57044"/>
    <w:rsid w:val="00B62B10"/>
    <w:rsid w:val="00B94C3C"/>
    <w:rsid w:val="00BC2D03"/>
    <w:rsid w:val="00C50C6D"/>
    <w:rsid w:val="00C90480"/>
    <w:rsid w:val="00C93FD6"/>
    <w:rsid w:val="00CA6435"/>
    <w:rsid w:val="00CA765F"/>
    <w:rsid w:val="00CB2666"/>
    <w:rsid w:val="00CB5EFC"/>
    <w:rsid w:val="00D27B75"/>
    <w:rsid w:val="00D55177"/>
    <w:rsid w:val="00D75544"/>
    <w:rsid w:val="00DA6BBE"/>
    <w:rsid w:val="00DD4B47"/>
    <w:rsid w:val="00E0421E"/>
    <w:rsid w:val="00E133BF"/>
    <w:rsid w:val="00E65423"/>
    <w:rsid w:val="00E723C4"/>
    <w:rsid w:val="00E74870"/>
    <w:rsid w:val="00EA1DD4"/>
    <w:rsid w:val="00EA5750"/>
    <w:rsid w:val="00EC39C5"/>
    <w:rsid w:val="00EC5999"/>
    <w:rsid w:val="00EC7665"/>
    <w:rsid w:val="00ED0521"/>
    <w:rsid w:val="00ED2594"/>
    <w:rsid w:val="00ED47F6"/>
    <w:rsid w:val="00F01C88"/>
    <w:rsid w:val="00F10C99"/>
    <w:rsid w:val="00F13A62"/>
    <w:rsid w:val="00F44728"/>
    <w:rsid w:val="00F46681"/>
    <w:rsid w:val="00F610F8"/>
    <w:rsid w:val="00F70808"/>
    <w:rsid w:val="00FB58D2"/>
    <w:rsid w:val="00FC3B75"/>
    <w:rsid w:val="00FD011D"/>
    <w:rsid w:val="00FF1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E216B"/>
  <w15:chartTrackingRefBased/>
  <w15:docId w15:val="{81469961-8EE5-4DA1-9EF4-E3353E384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6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6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6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6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6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6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6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6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6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6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6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6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6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6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6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6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6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6D6"/>
    <w:rPr>
      <w:rFonts w:eastAsiaTheme="majorEastAsia" w:cstheme="majorBidi"/>
      <w:color w:val="272727" w:themeColor="text1" w:themeTint="D8"/>
    </w:rPr>
  </w:style>
  <w:style w:type="paragraph" w:styleId="Title">
    <w:name w:val="Title"/>
    <w:basedOn w:val="Normal"/>
    <w:next w:val="Normal"/>
    <w:link w:val="TitleChar"/>
    <w:uiPriority w:val="10"/>
    <w:qFormat/>
    <w:rsid w:val="006136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6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6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6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6D6"/>
    <w:pPr>
      <w:spacing w:before="160"/>
      <w:jc w:val="center"/>
    </w:pPr>
    <w:rPr>
      <w:i/>
      <w:iCs/>
      <w:color w:val="404040" w:themeColor="text1" w:themeTint="BF"/>
    </w:rPr>
  </w:style>
  <w:style w:type="character" w:customStyle="1" w:styleId="QuoteChar">
    <w:name w:val="Quote Char"/>
    <w:basedOn w:val="DefaultParagraphFont"/>
    <w:link w:val="Quote"/>
    <w:uiPriority w:val="29"/>
    <w:rsid w:val="006136D6"/>
    <w:rPr>
      <w:i/>
      <w:iCs/>
      <w:color w:val="404040" w:themeColor="text1" w:themeTint="BF"/>
    </w:rPr>
  </w:style>
  <w:style w:type="paragraph" w:styleId="ListParagraph">
    <w:name w:val="List Paragraph"/>
    <w:basedOn w:val="Normal"/>
    <w:uiPriority w:val="34"/>
    <w:qFormat/>
    <w:rsid w:val="006136D6"/>
    <w:pPr>
      <w:ind w:left="720"/>
      <w:contextualSpacing/>
    </w:pPr>
  </w:style>
  <w:style w:type="character" w:styleId="IntenseEmphasis">
    <w:name w:val="Intense Emphasis"/>
    <w:basedOn w:val="DefaultParagraphFont"/>
    <w:uiPriority w:val="21"/>
    <w:qFormat/>
    <w:rsid w:val="006136D6"/>
    <w:rPr>
      <w:i/>
      <w:iCs/>
      <w:color w:val="0F4761" w:themeColor="accent1" w:themeShade="BF"/>
    </w:rPr>
  </w:style>
  <w:style w:type="paragraph" w:styleId="IntenseQuote">
    <w:name w:val="Intense Quote"/>
    <w:basedOn w:val="Normal"/>
    <w:next w:val="Normal"/>
    <w:link w:val="IntenseQuoteChar"/>
    <w:uiPriority w:val="30"/>
    <w:qFormat/>
    <w:rsid w:val="006136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6D6"/>
    <w:rPr>
      <w:i/>
      <w:iCs/>
      <w:color w:val="0F4761" w:themeColor="accent1" w:themeShade="BF"/>
    </w:rPr>
  </w:style>
  <w:style w:type="character" w:styleId="IntenseReference">
    <w:name w:val="Intense Reference"/>
    <w:basedOn w:val="DefaultParagraphFont"/>
    <w:uiPriority w:val="32"/>
    <w:qFormat/>
    <w:rsid w:val="006136D6"/>
    <w:rPr>
      <w:b/>
      <w:bCs/>
      <w:smallCaps/>
      <w:color w:val="0F4761" w:themeColor="accent1" w:themeShade="BF"/>
      <w:spacing w:val="5"/>
    </w:rPr>
  </w:style>
  <w:style w:type="character" w:styleId="Hyperlink">
    <w:name w:val="Hyperlink"/>
    <w:basedOn w:val="DefaultParagraphFont"/>
    <w:uiPriority w:val="99"/>
    <w:unhideWhenUsed/>
    <w:rsid w:val="008316BD"/>
    <w:rPr>
      <w:color w:val="467886" w:themeColor="hyperlink"/>
      <w:u w:val="single"/>
    </w:rPr>
  </w:style>
  <w:style w:type="character" w:styleId="UnresolvedMention">
    <w:name w:val="Unresolved Mention"/>
    <w:basedOn w:val="DefaultParagraphFont"/>
    <w:uiPriority w:val="99"/>
    <w:semiHidden/>
    <w:unhideWhenUsed/>
    <w:rsid w:val="008316BD"/>
    <w:rPr>
      <w:color w:val="605E5C"/>
      <w:shd w:val="clear" w:color="auto" w:fill="E1DFDD"/>
    </w:rPr>
  </w:style>
  <w:style w:type="character" w:styleId="FollowedHyperlink">
    <w:name w:val="FollowedHyperlink"/>
    <w:basedOn w:val="DefaultParagraphFont"/>
    <w:uiPriority w:val="99"/>
    <w:semiHidden/>
    <w:unhideWhenUsed/>
    <w:rsid w:val="008316B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topics/social-media-internet/health-advisory-adolescent-social-media-use.pdf"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ho.int/news-room/fact-sheets/detail/mental-health-strengthening-our-response" TargetMode="External"/><Relationship Id="rId5" Type="http://schemas.openxmlformats.org/officeDocument/2006/relationships/styles" Target="styles.xml"/><Relationship Id="rId10" Type="http://schemas.openxmlformats.org/officeDocument/2006/relationships/hyperlink" Target="https://doi.org/10.1080/02673843.2019.1590851" TargetMode="External"/><Relationship Id="rId4" Type="http://schemas.openxmlformats.org/officeDocument/2006/relationships/numbering" Target="numbering.xml"/><Relationship Id="rId9" Type="http://schemas.openxmlformats.org/officeDocument/2006/relationships/hyperlink" Target="https://doi.org/10.4324/97813151658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69ea5b64c89cee17ca67c83bc55803e">
  <xsd:schema xmlns:xsd="http://www.w3.org/2001/XMLSchema" xmlns:xs="http://www.w3.org/2001/XMLSchema" xmlns:p="http://schemas.microsoft.com/office/2006/metadata/properties" xmlns:ns3="3ef5847a-e696-4fee-a2c0-6c3f87568321" targetNamespace="http://schemas.microsoft.com/office/2006/metadata/properties" ma:root="true" ma:fieldsID="347791bb8424c42c77ba0bce9496e24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F63125-43B0-4464-A7E8-AE0B6768B92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CE56C166-C785-4BD5-80A0-E5D7998B97DF}">
  <ds:schemaRefs>
    <ds:schemaRef ds:uri="http://schemas.microsoft.com/sharepoint/v3/contenttype/forms"/>
  </ds:schemaRefs>
</ds:datastoreItem>
</file>

<file path=customXml/itemProps3.xml><?xml version="1.0" encoding="utf-8"?>
<ds:datastoreItem xmlns:ds="http://schemas.openxmlformats.org/officeDocument/2006/customXml" ds:itemID="{B4652FD1-113E-4F54-B1EC-ECF81D1559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8</Pages>
  <Words>2152</Words>
  <Characters>12270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Kausar (2512942)</dc:creator>
  <cp:keywords/>
  <dc:description/>
  <cp:lastModifiedBy>Shazia Kausar (2512942)</cp:lastModifiedBy>
  <cp:revision>22</cp:revision>
  <dcterms:created xsi:type="dcterms:W3CDTF">2026-07-07T08:08:00Z</dcterms:created>
  <dcterms:modified xsi:type="dcterms:W3CDTF">2026-07-12T17:00:00Z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