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63CB3" w:rsidRPr="00876921" w14:paraId="31839A4F" w14:textId="77777777" w:rsidTr="0021454F">
        <w:tc>
          <w:tcPr>
            <w:tcW w:w="2093" w:type="dxa"/>
            <w:shd w:val="clear"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01388703" w:rsidR="00763CB3" w:rsidRPr="00876921" w:rsidRDefault="0021454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Paul McDonnell</w:t>
            </w:r>
          </w:p>
        </w:tc>
        <w:tc>
          <w:tcPr>
            <w:tcW w:w="2268" w:type="dxa"/>
            <w:shd w:val="clear" w:color="auto" w:fill="D9D9D9" w:themeFill="background1" w:themeFillShade="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6F1F0716" w:rsidR="00763CB3" w:rsidRPr="00876921" w:rsidRDefault="0021454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1826018</w:t>
            </w:r>
          </w:p>
        </w:tc>
      </w:tr>
      <w:tr w:rsidR="00763CB3" w:rsidRPr="00876921" w14:paraId="62602496" w14:textId="77777777" w:rsidTr="0021454F">
        <w:tc>
          <w:tcPr>
            <w:tcW w:w="2093" w:type="dxa"/>
            <w:shd w:val="clear"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21454F">
        <w:tc>
          <w:tcPr>
            <w:tcW w:w="2093" w:type="dxa"/>
            <w:shd w:val="clear"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021454F">
        <w:tc>
          <w:tcPr>
            <w:tcW w:w="2093" w:type="dxa"/>
            <w:shd w:val="clear"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21454F">
        <w:tc>
          <w:tcPr>
            <w:tcW w:w="2093" w:type="dxa"/>
            <w:shd w:val="clear" w:color="auto" w:fill="auto"/>
          </w:tcPr>
          <w:p w14:paraId="6F089514"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3293" w:type="dxa"/>
          </w:tcPr>
          <w:p w14:paraId="374C0665" w14:textId="77777777" w:rsidR="00763CB3" w:rsidRPr="00876921" w:rsidRDefault="00763CB3" w:rsidP="00E10E2F">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21454F">
        <w:tc>
          <w:tcPr>
            <w:tcW w:w="2093" w:type="dxa"/>
            <w:shd w:val="clear"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21454F">
        <w:tc>
          <w:tcPr>
            <w:tcW w:w="2093" w:type="dxa"/>
            <w:shd w:val="clear"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0221ABD6" w:rsidR="00763CB3" w:rsidRPr="00876921" w:rsidRDefault="007162C5"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7162C5">
              <w:rPr>
                <w:rFonts w:ascii="Arial" w:eastAsia="Times New Roman" w:hAnsi="Arial" w:cs="Arial"/>
                <w:b/>
                <w:vertAlign w:val="superscript"/>
                <w:lang w:eastAsia="en-GB"/>
              </w:rPr>
              <w:t>th</w:t>
            </w:r>
            <w:r>
              <w:rPr>
                <w:rFonts w:ascii="Arial" w:eastAsia="Times New Roman" w:hAnsi="Arial" w:cs="Arial"/>
                <w:b/>
                <w:lang w:eastAsia="en-GB"/>
              </w:rPr>
              <w:t xml:space="preserve"> August 2020</w:t>
            </w:r>
          </w:p>
        </w:tc>
        <w:tc>
          <w:tcPr>
            <w:tcW w:w="2268" w:type="dxa"/>
            <w:shd w:val="clear"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F39C7E0"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14:paraId="06994002" w14:textId="77777777" w:rsidTr="0021454F">
        <w:tc>
          <w:tcPr>
            <w:tcW w:w="2093" w:type="dxa"/>
            <w:shd w:val="clear"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21454F">
        <w:tc>
          <w:tcPr>
            <w:tcW w:w="2093" w:type="dxa"/>
            <w:shd w:val="clear"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bl>
    <w:p w14:paraId="7ACD64D6" w14:textId="1CAA09AB" w:rsidR="0B4505FB" w:rsidRDefault="0B4505FB" w:rsidP="0B4505FB">
      <w:pPr>
        <w:spacing w:after="0" w:line="240" w:lineRule="auto"/>
        <w:rPr>
          <w:rFonts w:ascii="Arial" w:eastAsia="Times New Roman" w:hAnsi="Arial" w:cs="Arial"/>
          <w:b/>
          <w:bCs/>
          <w:sz w:val="20"/>
          <w:szCs w:val="20"/>
          <w:lang w:eastAsia="en-GB"/>
        </w:rPr>
      </w:pPr>
    </w:p>
    <w:p w14:paraId="1B93D19C" w14:textId="292C242E" w:rsidR="0B4505FB" w:rsidRDefault="0B4505FB" w:rsidP="0B4505FB">
      <w:pPr>
        <w:spacing w:after="0" w:line="240" w:lineRule="auto"/>
        <w:rPr>
          <w:rFonts w:ascii="Arial" w:eastAsia="Times New Roman" w:hAnsi="Arial" w:cs="Arial"/>
          <w:b/>
          <w:bCs/>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4ADD6153" w14:textId="6BF40EC0"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14:paraId="680B1760" w14:textId="0192ACCA" w:rsidR="00BB18E4" w:rsidRPr="007C06EC" w:rsidRDefault="00BB18E4" w:rsidP="0B4505FB">
      <w:pPr>
        <w:spacing w:after="0" w:line="240" w:lineRule="auto"/>
        <w:ind w:left="426"/>
        <w:rPr>
          <w:rFonts w:ascii="Arial" w:eastAsia="Times New Roman" w:hAnsi="Arial" w:cs="Arial"/>
          <w:i/>
          <w:iCs/>
          <w:lang w:eastAsia="en-GB"/>
        </w:rPr>
      </w:pPr>
    </w:p>
    <w:p w14:paraId="57DFAA10" w14:textId="18DFEBEF"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4EB028AD" w14:textId="5A75522D" w:rsidR="002161A0" w:rsidRPr="002161A0" w:rsidRDefault="7737B8CD"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2F5EAFF6" w14:textId="77777777" w:rsidR="0021454F"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w:t>
      </w:r>
    </w:p>
    <w:p w14:paraId="3921FF44" w14:textId="77777777" w:rsidR="0021454F" w:rsidRDefault="0021454F"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0C7752B4" w14:textId="77777777" w:rsidR="0021454F" w:rsidRPr="0021454F" w:rsidRDefault="00BF4C98"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B4505FB">
        <w:rPr>
          <w:rFonts w:ascii="Arial" w:eastAsia="Times New Roman" w:hAnsi="Arial" w:cs="Arial"/>
          <w:i/>
          <w:iCs/>
          <w:lang w:eastAsia="en-GB"/>
        </w:rPr>
        <w:t xml:space="preserve"> </w:t>
      </w:r>
      <w:r w:rsidR="0021454F" w:rsidRPr="0021454F">
        <w:rPr>
          <w:rFonts w:ascii="Arial" w:eastAsia="Times New Roman" w:hAnsi="Arial" w:cs="Arial"/>
          <w:i/>
          <w:iCs/>
          <w:lang w:eastAsia="en-GB"/>
        </w:rPr>
        <w:t xml:space="preserve">There are links between organised crime and public protection. There are several people who may be at risk of being targeted by organised groups aiming to get them entangled in criminal activity. These individuals are often identified by risk assessments when they come in to contact with Police or other agencies. It is vital that suitable safeguarding takes place to stop these vulnerable people from being taken advantage of. These individuals can be younger people looking for something or offenders who are released and see no other place for themselves in their community. </w:t>
      </w:r>
    </w:p>
    <w:p w14:paraId="58AC6C13"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 xml:space="preserve">Multi Agency Public Protection Arrangements, commonly known as MAPPA is a system that allows Police, Prison Services and Probation to work together with other agencies so that they can assess and manage any risks posed by offenders when they re-enter the community. They focus on violent and sexual offenders with the aim of safeguarding the public (MAPPA available at https://mappa.justice.gov.uk/connect.ti/MAPPA/groupHome accessed 11th May 2020). MAPPA is not an organisation in its own right, more of gateway that allows multiple agencies to discuss issues while retaining their own responsibilities and obligations. A large part of MAPPA is assessing the level of risk offenders pose to the public and then putting together a risk management plan so that the risk is controlled. The risk management plan takes several factors in to account such as ensuring offenders have suitable accommodation whether that be private or a probation run address. They can also outline exclusions zones which are areas where the offender is prohibited from going. They also put programmes in place to ensure the offender is supervised suitably and are intended to reduce further offending. (How does MAPPA work? available at https://mappa.justice.gov.uk/connect.ti/MAPPA/view?objectID=5681072 accessed 11th May 2020) MAPPA has a positive impact on the offender and the wider community by trying to put measures in place to allow offenders an opportunity to re-join wider society whilst also safeguarding the public against possible further offending. </w:t>
      </w:r>
    </w:p>
    <w:p w14:paraId="69BB06F1"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70636EC"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lastRenderedPageBreak/>
        <w:t xml:space="preserve">Community intelligence has a role to play when it comes to managing offenders when they are back in the community. This may not mean that the community at large is aware of the offender and their previous offences but they will give information to officers which will paint a picture of what the offender is doing whilst in the community and who they are inter acting with. This intelligence may be vital for the effective risk management of the offender as if intelligence shows they are socialising with other offenders then suitable intervention may need to happen to stop them from re offending. Another reason may be that the offender had a drug or alcohol dependency which may have been controlled whilst in Prison but on their release, community intelligence may link them to drug dealers or show them attending pubs regularly. If this intelligence is submitted and shared effectively then safeguarding can be put in place for the offender to try and stop them from going back down this path. This means that the community intelligence is helping not only the wider community by stopping the offender re offending but also helping the offender to become a productive member of society. There is also another side to this in that the offender may be well placed to provide their own community intelligence as they may be in a better position than most to see and hear information which could turn into very good intelligence for a variety of agencies not just Police. This could even be about other offenders who are being managed and their activities and associates. </w:t>
      </w:r>
    </w:p>
    <w:p w14:paraId="5475E0BD"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493B86CE"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When looking at the effectiveness of public protection practices I have chosen to use a domestic type incident as this is one of the most common incidents Police Officers deal with and can have long lasting effects. Currently when dealing with domestic type incidents there is a clear a decisive way in which officers have to deal with and document the incident. I won’t outline all the actions taken but the main aspect I would like to focus on is the risk assessment. Officers need to gather as much information as possible from the victim to ensure a suitable risk assessment can be made which will affect the safeguarding measure that are put in place. This is normally done by completing a multiple question survey which provides a score at the end depending on what answers the victim gives. This does not always give a full picture of the risks involved as the victim does not always want to give full answers or they are not able to. There is also a section on the risk assessment for officer observations which is possibly a vital section for the future safeguarding of the victim. The victim may downplay the incident leading to a lower risk rating however the officer’s observations if suitably detailed, can provide a clearer, unbiased picture of what has happened and what could possibly happen in the future if suitable action is not taken. (Risk Management available at https://www.app.college.police.uk/app-content/major-investigation-and-public-protection/domestic-abuse/victim-safety-and-support/#risk-management accessed 11th May 2020)</w:t>
      </w:r>
    </w:p>
    <w:p w14:paraId="0BAF6601"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62E8EDAE"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Media coverage can have both positive and negative impacts for Police when trying to deal with public protection issues. Effectively communicating with the media can assist Police in solving crimes, building intelligence and safeguarding communities. By this I mean that Police can provide information to the wider community via the media which may help them protect people from becoming victims to specific offences. The negative side of media coverage is that in accurate coverage may lead to public panic in communities about certain offences happening or even certain individuals who may have been identified as offenders either accurately or in the worse cases inaccurately. This can lead to individuals being targeted by the community, maybe starting with lower anti-social behaviour being targeted towards them and possibly leading to more serious offences being committed against them. (Media Relations available at https://www.app.college.police.uk/app-content/engagement-and-communication/media-relations/#police-and-the-media accessed 11th May 2020)</w:t>
      </w:r>
    </w:p>
    <w:p w14:paraId="1CF32AB1"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Word Count 981</w:t>
      </w:r>
    </w:p>
    <w:p w14:paraId="37B99328"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(MAPPA available at https://mappa.justice.gov.uk/connect.ti/MAPPA/groupHome accessed 11th May 2020)</w:t>
      </w:r>
    </w:p>
    <w:p w14:paraId="654F2A9D"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2922B502"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lastRenderedPageBreak/>
        <w:t>(How does MAPPA work? available at https://mappa.justice.gov.uk/connect.ti/MAPPA/view?objectID=5681072 accessed 11th May 2020)</w:t>
      </w:r>
    </w:p>
    <w:p w14:paraId="3386DDC0"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57F5E84A"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(Risk Management available at https://www.app.college.police.uk/app-content/major-investigation-and-public-protection/domestic-abuse/victim-safety-and-support/#risk-management accessed 11th May 2020)</w:t>
      </w:r>
    </w:p>
    <w:p w14:paraId="0FDD3B0C"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352EFEDF" w14:textId="77777777" w:rsidR="0021454F" w:rsidRPr="0021454F" w:rsidRDefault="0021454F" w:rsidP="0021454F">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sidRPr="0021454F">
        <w:rPr>
          <w:rFonts w:ascii="Arial" w:eastAsia="Times New Roman" w:hAnsi="Arial" w:cs="Arial"/>
          <w:i/>
          <w:iCs/>
          <w:lang w:eastAsia="en-GB"/>
        </w:rPr>
        <w:t>(Media Relations available at https://www.app.college.police.uk/app-content/engagement-and-communication/media-relations/#police-and-the-media accessed 11th May 2020)</w:t>
      </w:r>
    </w:p>
    <w:p w14:paraId="418F1CEA" w14:textId="6FEED9AF" w:rsidR="002161A0" w:rsidRPr="00BF4C98" w:rsidRDefault="002161A0"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06401B76" w14:textId="646A2A4C" w:rsidR="00BB18E4" w:rsidRDefault="00BB18E4" w:rsidP="00157265">
      <w:pPr>
        <w:spacing w:after="0" w:line="240" w:lineRule="auto"/>
        <w:ind w:left="426"/>
        <w:rPr>
          <w:rFonts w:ascii="Arial" w:eastAsia="Times New Roman" w:hAnsi="Arial" w:cs="Arial"/>
          <w:b/>
          <w:sz w:val="24"/>
          <w:szCs w:val="24"/>
          <w:lang w:eastAsia="en-GB"/>
        </w:rPr>
      </w:pPr>
    </w:p>
    <w:p w14:paraId="7D9EBAC3" w14:textId="13C4BE37"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t>In recent years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14:paraId="533EB128" w14:textId="1E93984E" w:rsid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14:paraId="28EFAADA"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Within each Police Force there is a Professional Standards department. This department consists of Police Officers whose role is to ensure all Officers adhere to the 10 standards of professional behaviour. The aim of the professional standards department is to maintain the trust and confidence the public have in the Police. They aim to manage and vet misconduct and complaints. They also have a role investigating claims of corruption effectively whilst being transparent with the public. The four main areas of professional standards are counter corruption, vetting, complaints/misconduct and governance. The counter corruption element looks at the threat of activity of everyone working under the Police umbrella and their use of information. They also assist with vetting individuals to ensure they are suitable for the role which they are in or are applying to be in. The complaints section deals with direct complaints received from members of the public or even from officers about their colleagues. Governance is about ensuring that the correct structure is in place from the senior management down and that everyone is held accountable for upholding these standards. (Professional Standards available at https://www.app.college.police.uk/app-content/professional-standards/ accessed 11th May 2020)</w:t>
      </w:r>
    </w:p>
    <w:p w14:paraId="0D7A39DA"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250A0CB4"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 xml:space="preserve">The Independent Office for Police Conduct (IOPC) are an independent organisation free of ties to any Police Force, government or interest group. They investigate serious incidents or allegations involving police in England and Wales. Though most complaints are dealt with by the Professional Standards department within each Police force there are certain matters which by law must be referred to the IOPC. These include any allegation of serious corruption or assault, any information that an officer or police staff have committed misconduct and also if someone dies during or shortly after Police contact. Once the IOPC receive a referral they decide whether or not it requires an investigation and if it does what type of investigation is needed. There are 3 types of investigation which are independent, directed or local. Independent is investigated by the IOPC, directed would be controlled by the IOPC but using Police resources and local would mean the Professional Standards department of that force would take over the investigation. The IOPC ensure the Police are held accountable for their actions </w:t>
      </w:r>
      <w:r w:rsidRPr="00D103EE">
        <w:rPr>
          <w:rFonts w:ascii="Arial" w:eastAsia="Times New Roman" w:hAnsi="Arial" w:cs="Arial"/>
          <w:iCs/>
          <w:lang w:eastAsia="en-GB"/>
        </w:rPr>
        <w:lastRenderedPageBreak/>
        <w:t>and also provide the Public with a source of independent investigation into the actions of the Police. This helps maintain a high level of accountability within the Police and also provides transparency for the public when the Police are being investigated. (IOPC available at https://policeconduct.gov.uk/investigations/what-we-investigate-and-next-steps accessed 11th May 2020)</w:t>
      </w:r>
    </w:p>
    <w:p w14:paraId="0D962B30"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55038317"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Her Majesty’s Inspectorate of Constabulary and Fire &amp; Rescue Services (HMICFRS) is an independent public office that’s main aim is to report on the efficiency and effectiveness of Police and Fire and rescue services. The main aim of the HMICFRS is to encourage improvement. By providing information on the organisations performance to the public as well as peers this allows forces to see how they are doing and where they need to improve. As it is in a public domain it also applies pressure for those improvements to be made as they have been highlighted to the public. HMICFRS aims for operational excellence within forces whilst also providing value for money for members of the public. They do these by providing reports that are clear, jargon free and written by experts in the areas on which they are written. They are able to write these reports by carrying out regular inspections within all forces, some looking at broad policing whilst others are on focussed areas such as terrorism. HMICFRS holds the Police accountable to the public by publishing the results of their inspections on their website and also outlining areas of improvement. This also allows the public to see how the Police are trying to improve in certain areas. (HMICFRS – What We Do available at https://www.justiceinspectorates.gov.uk/hmicfrs/about-us/what-we-do/ accessed 11th May 2020)</w:t>
      </w:r>
    </w:p>
    <w:p w14:paraId="02C8DB1B"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 xml:space="preserve">The impact of any Police misconduct or even allegation of misconduct of public perception is massive. Policing in the UK relies on the support of the public whose faith is damaged each time there is a report of Police corruption or misconduct. Over the years there have been several watershed moments which have taken years for Police forces to repair the damage in public confidence. One such incident was the murder of Stephen Lawrence which happened in April 1993. There were claims of Police ineptitude, racism and corruption surrounding the incident which resulted in the government calling for an independent enquiry in 1997. The report which was published in 1999 outlined several shocking aspects throughout the Police response to the incident including incompetence, racism and a failure of leadership. The enquiry lead to a complete overhaul of the Police disciplinary and complaints systems. It also lead to more powers for independent agencies to inspect forces and review how they dealt with incidents. It also made it a priority of all forces to help restore faith of minority ethnic communities in the Police. (Stephen Lawrence – How has his murder changed policing? available at https://www.bbc.co.uk/news/uk-47161480 accessed 11th May 2020) The incident had a huge effect on all forces across the UK and shaped the way Policing has developed since. There is now much more transparency from all forces, whether that comes from themselves or comes from reports made by HMICFRS and investigations of the IOPC. Police forces are still striving to regain and also build confidence in the Police within ethnic communities with lots of focus on engagement within these communities, trying to understand the issues that they face and also trying to improve the representation within the forces. </w:t>
      </w:r>
    </w:p>
    <w:p w14:paraId="6E8A54CD"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4BE42CF1"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Word Count 921</w:t>
      </w:r>
    </w:p>
    <w:p w14:paraId="0B9CFCAF"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(Professional Standards available at https://www.app.college.police.uk/app-content/professional-standards/ accessed 11th May 2020)</w:t>
      </w:r>
    </w:p>
    <w:p w14:paraId="209684F7"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4977C4D5"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(IOPC available at https://policeconduct.gov.uk/investigations/what-we-investigate-and-next-steps accessed 11th May 2020)</w:t>
      </w:r>
    </w:p>
    <w:p w14:paraId="12C6F5B3"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75CC9117"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lastRenderedPageBreak/>
        <w:t>(HMICFRS – What We Do available at https://www.justiceinspectorates.gov.uk/hmicfrs/about-us/what-we-do/ accessed 11th May 2020)</w:t>
      </w:r>
    </w:p>
    <w:p w14:paraId="43E720FB" w14:textId="77777777" w:rsidR="00D103EE" w:rsidRP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1F46B630" w14:textId="1627A90A" w:rsidR="0021454F"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103EE">
        <w:rPr>
          <w:rFonts w:ascii="Arial" w:eastAsia="Times New Roman" w:hAnsi="Arial" w:cs="Arial"/>
          <w:iCs/>
          <w:lang w:eastAsia="en-GB"/>
        </w:rPr>
        <w:t xml:space="preserve">(Stephen Lawrence – How has his murder changed policing? available at </w:t>
      </w:r>
      <w:hyperlink r:id="rId12" w:history="1">
        <w:r w:rsidRPr="00147F1D">
          <w:rPr>
            <w:rStyle w:val="Hyperlink"/>
            <w:rFonts w:ascii="Arial" w:eastAsia="Times New Roman" w:hAnsi="Arial" w:cs="Arial"/>
            <w:iCs/>
            <w:lang w:eastAsia="en-GB"/>
          </w:rPr>
          <w:t>https://www.bbc.co.uk/news/uk-47161480 accessed 11th May 2020</w:t>
        </w:r>
      </w:hyperlink>
      <w:r>
        <w:rPr>
          <w:rFonts w:ascii="Arial" w:eastAsia="Times New Roman" w:hAnsi="Arial" w:cs="Arial"/>
          <w:iCs/>
          <w:lang w:eastAsia="en-GB"/>
        </w:rPr>
        <w:t>)</w:t>
      </w:r>
    </w:p>
    <w:p w14:paraId="32D8F00A" w14:textId="643D5182" w:rsid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1F6CE0B7" w14:textId="66611DD4" w:rsid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36C2423B" w14:textId="40A7DCF4" w:rsidR="00D103EE"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02D464DF" w14:textId="77777777" w:rsidR="00D103EE" w:rsidRPr="0021454F" w:rsidRDefault="00D103EE" w:rsidP="00D103EE">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14:paraId="4E41DC71" w14:textId="7FBA8450"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are drawn into becoming part of a gang culture. </w:t>
      </w:r>
    </w:p>
    <w:p w14:paraId="5F9E1E49" w14:textId="0CEF9928" w:rsidR="00F43C4D"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773A454C"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14:paraId="3EAF6386" w14:textId="368F16F6" w:rsidR="00F43C4D"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5B379F68"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Gang and gang culture is becoming more and more common place in modern society. These gangs are often seen as being made up by young people, possibly seen by the public as roaming the streets being anti-social however it is possible in some cases that these gangs are actually a training ground for organised crime groups, carrying out lower level criminal activity before progressing to more serious offences. The question of why people join gangs is often simplified with the suggestion being that they all come from broken homes, have no friends and just want to fit in however there are other motivations which can have a strong effect on the persons mind. Gangs do provide people with a sense of belonging that they may be lacking elsewhere but the activities they carry out also have a sense of excitement due to the risk taking involved. It has been shown that young people involved in these gangs enjoy the “buzz” that they feel when engaged in anti-social or criminal acts. This can lead to a strong emotional experienced which is enhanced if they achieve some sort of material gain from the act or even just the sense of freedom from society’s rules. Young men are particularly attracted to gangs as they see senior members of the gangs as role models, possibly as they don’t have strong male role models at home. There is also a sense of status and acceptance by becoming a member of a gang that they may not feel in other areas of their lives. (Why do young people join gangs? Robert Hesketh available at https://eachother.org.uk/young-people-gangs-risk-taking/ accessed 14th May 2020)</w:t>
      </w:r>
    </w:p>
    <w:p w14:paraId="7FEB4A98"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0099A60E"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 xml:space="preserve">Organised crime groups are often targeting vulnerable people to work for them as they expand their criminal enterprise via a method known as “County Lines”. County Lines refers to an organised crime groups, normally from London, Birmingham or Liverpool who spread their activities across county boundaries to areas where they can establish new business and customers. These gangs often target young and vulnerable people to work for them either by giving them gifts or by intimidation and violence. Young people are used to travel between locations, carrying drugs or cash back and forth for dealers and they will go to radical lengths to avoid detection due to fear or a sense of devotion to their gang. There are many reasons why a person may be targeted by a gang however there are some factors which may increase a person’s vulnerability. One reason could be that they have previously encountered abuse, </w:t>
      </w:r>
      <w:r w:rsidRPr="00D103EE">
        <w:rPr>
          <w:rFonts w:ascii="Arial" w:eastAsia="Times New Roman" w:hAnsi="Arial" w:cs="Arial"/>
          <w:lang w:eastAsia="en-GB"/>
        </w:rPr>
        <w:lastRenderedPageBreak/>
        <w:t>neglect or even sexual abuse or come from an unstable home environment with a lack of support. They may also have social difficulties and feel isolated with a lack of friends or family to look after them. Other factors could be linked to financial issues or housing where the gang can often money for seemingly minor things such as taking a package to a different city. Also people who have drug dependency can be targeted as they can be “given” drugs for free for a while until the gang calls in the debt leaving the person trapped with the debt. Children in social care are targeted due to the lack of supervision and the gang can provide a sense of family which they are lacking and also provide them with gifts like branded clothing and mobile phones which give a sense of status. There is also now a trend where young people are targeted via social media in more affluent areas as gangs on the streets would get attention. These young people may not have any of the vulnerabilities listed but they may still be drawn to the status of being involved in criminal activity. These activities are still exploitation even it may appear to be consensual. These young and vulnerable people are often made to carry out acts for the gangs for some sort of exchange. The exchange could be for something they want or need, possibly some sort of item such as money, drugs or clothes. However it could be for something intangible like protection, status or what they perceive to be friendship. They may also carrying out the task for the gang in fear of retribution or violence. (County Lines Criminality available https://www.south-wales.police.uk/en/advice/county-lines-criminality-drug-dealing-exploitation-vulnerable-people/ accessed 14th May 2020)</w:t>
      </w:r>
    </w:p>
    <w:p w14:paraId="21840BE1"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Victimology is the study of the ways in which the behaviour of the crime victims may have led to or contributed to their victimization. (Victimology available https://www.merriam-webster.com/dictionary/victimology#learn-more accessed 14th May 2020) Benjamin Mendelsohn became known as the father of victimology when he began looking at the relationship between the victim and criminal in the 1940’s. He created a classification system for victims based on their culpability or level of blame. The first is completely innocent victim who has no responsibility for becoming a victim, such as a child. The second is known as a victim with minor guilt, meaning they have put themselves in harm’s way by ignorance. The third is a victim who is as guilty as the offender or a voluntary victim meaning they are as much to blame for the incident as the offender. The fourth category is a victim who is guiltier than the offender meaning they instigate the victimization themselves. The fifth classification is the most guilty victim who is victimized whilst the crime is taking place or as a result of the crime. The last category is a victim who simulates or imagines the victimization meaning they have not actually been a victim but instead makes up the event. The classifications show that some victims have no responsibility for becoming victims of crime where as others do bear some responsibility. (Introduction to Victimology available https://uk.sagepub.com/sites/default/files/upm-binaries/83271_Chapter_1.pdf accessed 14th May 2020)</w:t>
      </w:r>
    </w:p>
    <w:p w14:paraId="61C87155"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1B0B0DE"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Word Count 948</w:t>
      </w:r>
    </w:p>
    <w:p w14:paraId="527E14DB"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49F2F817"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(Why do young people join gangs? Robert Hesketh available at https://eachother.org.uk/young-people-gangs-risk-taking/ accessed 14th May 2020)</w:t>
      </w:r>
    </w:p>
    <w:p w14:paraId="09245EBA"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5352CD47"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(County Lines Criminality available https://www.south-wales.police.uk/en/advice/county-lines-criminality-drug-dealing-exploitation-vulnerable-people/ accessed 14th May 2020)</w:t>
      </w:r>
    </w:p>
    <w:p w14:paraId="2A99F01D"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E9D61C6"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(Victimology available https://www.merriam-webster.com/dictionary/victimology#learn-more accessed 14th May 2020)</w:t>
      </w:r>
    </w:p>
    <w:p w14:paraId="26BCCF95" w14:textId="77777777" w:rsidR="00D103EE" w:rsidRP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2A70A83F" w14:textId="34745B46" w:rsidR="00D103EE" w:rsidRDefault="00D103EE" w:rsidP="00D103EE">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r w:rsidRPr="00D103EE">
        <w:rPr>
          <w:rFonts w:ascii="Arial" w:eastAsia="Times New Roman" w:hAnsi="Arial" w:cs="Arial"/>
          <w:lang w:eastAsia="en-GB"/>
        </w:rPr>
        <w:t>(Introduction to Victimology available https://uk.sagepub.com/sites/default/files/upm-binaries/83271_Chapter_1.pdf accessed 14th May 2020)</w:t>
      </w:r>
    </w:p>
    <w:p w14:paraId="678D0B52" w14:textId="77777777" w:rsidR="00D103EE" w:rsidRPr="007C06EC" w:rsidRDefault="00D103EE"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14:paraId="6A68562E" w14:textId="0EA52367" w:rsidR="00F43C4D" w:rsidRP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32771C9B"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Policing in the UK means meeting the demands of varying communities which may have differing values, ethics and norms. This means that each local force needs to engage within their community effectively meeting their individual needs. This can range from providing information or feedback to signpost them to solutions that they can implement themselves. Ideally through good continuous community engagement then the service delivered first time meets the needs and requirements of the community rather than having to adjust after the fact. Policing relies on the support of the public, which is gained by them understanding what Police are doing and why. The job of Policing does not change community to community but the way forces carry out the actions required does to meet the needs and understanding of the community in which they are working. Public confidence improves when the community are involved in decisions that affect them. This could include at local community meetings officers stating that anti knife crime patrols are going to take place so there will be an increase in visible patrols and active stop searches. By letting the community known these actions are going to be taking place it stops a negative reaction when there is an increase in stop searches within the community because they know why they are taking place. (Engagement and Communication available at https://www.app.college.police.uk/app-content/engagement-and-communication/engaging-with-communities/#community-engagement accessed 14th May 2020)</w:t>
      </w:r>
    </w:p>
    <w:p w14:paraId="1E9134B0" w14:textId="77777777" w:rsidR="00D103EE" w:rsidRPr="00D103EE" w:rsidRDefault="00D103EE" w:rsidP="00D103EE">
      <w:pPr>
        <w:spacing w:after="0" w:line="240" w:lineRule="auto"/>
        <w:ind w:left="426"/>
        <w:rPr>
          <w:rFonts w:ascii="Arial" w:eastAsia="Times New Roman" w:hAnsi="Arial" w:cs="Arial"/>
          <w:sz w:val="24"/>
          <w:szCs w:val="24"/>
          <w:lang w:eastAsia="en-GB"/>
        </w:rPr>
      </w:pPr>
    </w:p>
    <w:p w14:paraId="439EF743"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Negative pre-existing opinions on Policing are often due to a negative interaction someone has had with Police. Only through fair and transparent decision making can Police improve their perception within the community and in turn enhance the legitimacy of the police. It has been shown that members of the public view the way in which officers deal with people as more important that the actual outcome of the incident. However the way in which Police respond to an incident, if ineffective can have a bug influence on Police confidence within that community. The ways in which the police engage and interact with the community, whether for positive or negative reasons massively effects the perception of police fairness and legitimacy. The fairness and perception of fairness from the Police are key to their legitimacy. It is therefore vital that fairness is shown in all aspects of policing including arrests, disposals and any resolution of an incident. Stop searches are one area that is still of great concern and has a major negative impact on black and minority communities. Communities are willing to support stop searches as long as forces can show that they were legal, necessary and proportionate and that they are accountable for their actions. It is important for forces to make communities aware of the effectiveness of stop searches at tackling issues that are of concern to communities’. One such issue would be knife crime, so if forces show that the increase in stop searches in the area reduces the amount of knife crime then the community at large will support them. By sharing the figure it also shows any ineffective use of search powers and the negative impact it has on communities. (Perceptions of Police Fairness available at https://www.app.college.police.uk/app-content/engagement-and-communication/engaging-with-communities/#community-engagement accessed 14th May 2020)</w:t>
      </w:r>
    </w:p>
    <w:p w14:paraId="4480AF70" w14:textId="77777777" w:rsidR="00D103EE" w:rsidRPr="00D103EE" w:rsidRDefault="00D103EE" w:rsidP="00D103EE">
      <w:pPr>
        <w:spacing w:after="0" w:line="240" w:lineRule="auto"/>
        <w:ind w:left="426"/>
        <w:rPr>
          <w:rFonts w:ascii="Arial" w:eastAsia="Times New Roman" w:hAnsi="Arial" w:cs="Arial"/>
          <w:sz w:val="24"/>
          <w:szCs w:val="24"/>
          <w:lang w:eastAsia="en-GB"/>
        </w:rPr>
      </w:pPr>
    </w:p>
    <w:p w14:paraId="17D73D52"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 xml:space="preserve">There are several benefits to effective community engagement which include an increase in the public perception of safety, a reduction in anti-social behaviour, an increase in confidence in the Police and an improved perception of the Police as a whole. Failing to engage with communities was highlighted by incidents in the late 1970’s and the Brixton </w:t>
      </w:r>
      <w:r w:rsidRPr="00D103EE">
        <w:rPr>
          <w:rFonts w:ascii="Arial" w:eastAsia="Times New Roman" w:hAnsi="Arial" w:cs="Arial"/>
          <w:sz w:val="24"/>
          <w:szCs w:val="24"/>
          <w:lang w:eastAsia="en-GB"/>
        </w:rPr>
        <w:lastRenderedPageBreak/>
        <w:t>riots in the early 1980’s. These incidents resulted in a drastic change in the way Police engage with communities. A lack of communication from the Police can lead to an intelligence void in the community during major incidents. This void is then filled by negative information about the Police which damages their perception within the community. If this is allowed to happen then it can lead to a loss in the public confidence, a loss of legitimacy in the eyes of the public, increased vulnerabilities and unrealistic expectations in Police from the public. It can also cause the public to withdraw from the Police when it comes to problem solving which then makes the Police responses to issues slower. Police can also be unaware of tensions building in the community which leads to a negative impact on tactical policing. (Failing to engage available at https://www.app.college.police.uk/app-content/engagement-and-communication/engaging-with-communities/#community-engagement accessed 14th May 2020)</w:t>
      </w:r>
    </w:p>
    <w:p w14:paraId="37584044" w14:textId="77777777" w:rsidR="00D103EE" w:rsidRPr="00D103EE" w:rsidRDefault="00D103EE" w:rsidP="00D103EE">
      <w:pPr>
        <w:spacing w:after="0" w:line="240" w:lineRule="auto"/>
        <w:ind w:left="426"/>
        <w:rPr>
          <w:rFonts w:ascii="Arial" w:eastAsia="Times New Roman" w:hAnsi="Arial" w:cs="Arial"/>
          <w:sz w:val="24"/>
          <w:szCs w:val="24"/>
          <w:lang w:eastAsia="en-GB"/>
        </w:rPr>
      </w:pPr>
    </w:p>
    <w:p w14:paraId="4FA64380"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The methods in which Police engage with communities needs to be tailored to meet the needs and preferences of that community. There are many barriers to this engagement which could include location, privacy concerns and a low level of confidence in the Police. It is important for Police to identify people within the community who may not normally interact with the Police. It may be that they do interact with other partner agencies who may be able to bridge the gap. Communication plans should be used to ensure that information about any community engagement events are advertised effectively. The target audience needs to be identified to ensure that any events are accessible to them and of interest to them. It is important to ensure that people are involved in any key community decisions that are taken and that they feel that they have their say and understand the rationale for any actions taken by Police. This will make people feel that their contribution is of value and makes them feel that their input was meaningful. It is also important to communicate any results, whether good or bad as this will build confidence within the community leading to further support. (Communication plans available at https://www.app.college.police.uk/app-content/engagement-and-communication/engaging-with-communities/#community-engagement accessed 14th May 2020)</w:t>
      </w:r>
    </w:p>
    <w:p w14:paraId="38785453" w14:textId="77777777" w:rsidR="00D103EE" w:rsidRPr="00D103EE" w:rsidRDefault="00D103EE" w:rsidP="00D103EE">
      <w:pPr>
        <w:spacing w:after="0" w:line="240" w:lineRule="auto"/>
        <w:ind w:left="426"/>
        <w:rPr>
          <w:rFonts w:ascii="Arial" w:eastAsia="Times New Roman" w:hAnsi="Arial" w:cs="Arial"/>
          <w:sz w:val="24"/>
          <w:szCs w:val="24"/>
          <w:lang w:eastAsia="en-GB"/>
        </w:rPr>
      </w:pPr>
    </w:p>
    <w:p w14:paraId="7B47D149"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Word Count 936</w:t>
      </w:r>
    </w:p>
    <w:p w14:paraId="0D34D542"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(Engagement and Communication available at https://www.app.college.police.uk/app-content/engagement-and-communication/engaging-with-communities/#community-engagement accessed 14th May 2020)</w:t>
      </w:r>
    </w:p>
    <w:p w14:paraId="3EE602A5"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(Perceptions of Police Fairness available at https://www.app.college.police.uk/app-content/engagement-and-communication/engaging-with-communities/#community-engagement accessed 14th May 2020)</w:t>
      </w:r>
    </w:p>
    <w:p w14:paraId="19003A3A" w14:textId="77777777" w:rsidR="00D103EE" w:rsidRPr="00D103EE"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(Failing to engage available at https://www.app.college.police.uk/app-content/engagement-and-communication/engaging-with-communities/#community-engagement accessed 14th May 2020)</w:t>
      </w:r>
    </w:p>
    <w:p w14:paraId="073CA140" w14:textId="2D2409A9" w:rsidR="00BB18E4" w:rsidRDefault="00D103EE" w:rsidP="00D103EE">
      <w:pPr>
        <w:spacing w:after="0" w:line="240" w:lineRule="auto"/>
        <w:ind w:left="426"/>
        <w:rPr>
          <w:rFonts w:ascii="Arial" w:eastAsia="Times New Roman" w:hAnsi="Arial" w:cs="Arial"/>
          <w:sz w:val="24"/>
          <w:szCs w:val="24"/>
          <w:lang w:eastAsia="en-GB"/>
        </w:rPr>
      </w:pPr>
      <w:r w:rsidRPr="00D103EE">
        <w:rPr>
          <w:rFonts w:ascii="Arial" w:eastAsia="Times New Roman" w:hAnsi="Arial" w:cs="Arial"/>
          <w:sz w:val="24"/>
          <w:szCs w:val="24"/>
          <w:lang w:eastAsia="en-GB"/>
        </w:rPr>
        <w:t>(Communication plans available at https://www.app.college.police.uk/app-content/engagement-and-communication/engaging-with-communities/#community-engagement accessed 14th May 2020)</w:t>
      </w:r>
    </w:p>
    <w:p w14:paraId="5A935BC1" w14:textId="5FF11D59" w:rsidR="00D103EE" w:rsidRDefault="00D103EE" w:rsidP="00D103EE">
      <w:pPr>
        <w:spacing w:after="0" w:line="240" w:lineRule="auto"/>
        <w:ind w:left="426"/>
        <w:rPr>
          <w:rFonts w:ascii="Arial" w:eastAsia="Times New Roman" w:hAnsi="Arial" w:cs="Arial"/>
          <w:sz w:val="24"/>
          <w:szCs w:val="24"/>
          <w:lang w:eastAsia="en-GB"/>
        </w:rPr>
      </w:pPr>
    </w:p>
    <w:p w14:paraId="3FFFCB9B" w14:textId="5E7AD468" w:rsidR="00D103EE" w:rsidRDefault="00D103EE" w:rsidP="00D103EE">
      <w:pPr>
        <w:spacing w:after="0" w:line="240" w:lineRule="auto"/>
        <w:ind w:left="426"/>
        <w:rPr>
          <w:rFonts w:ascii="Arial" w:eastAsia="Times New Roman" w:hAnsi="Arial" w:cs="Arial"/>
          <w:sz w:val="24"/>
          <w:szCs w:val="24"/>
          <w:lang w:eastAsia="en-GB"/>
        </w:rPr>
      </w:pPr>
    </w:p>
    <w:p w14:paraId="293385D4" w14:textId="6A2F02EE" w:rsidR="00D103EE" w:rsidRDefault="00D103EE" w:rsidP="00D103EE">
      <w:pPr>
        <w:spacing w:after="0" w:line="240" w:lineRule="auto"/>
        <w:ind w:left="426"/>
        <w:rPr>
          <w:rFonts w:ascii="Arial" w:eastAsia="Times New Roman" w:hAnsi="Arial" w:cs="Arial"/>
          <w:sz w:val="24"/>
          <w:szCs w:val="24"/>
          <w:lang w:eastAsia="en-GB"/>
        </w:rPr>
      </w:pPr>
    </w:p>
    <w:p w14:paraId="2890481E" w14:textId="1454C94B" w:rsidR="00D103EE" w:rsidRDefault="00D103EE" w:rsidP="00D103EE">
      <w:pPr>
        <w:spacing w:after="0" w:line="240" w:lineRule="auto"/>
        <w:ind w:left="426"/>
        <w:rPr>
          <w:rFonts w:ascii="Arial" w:eastAsia="Times New Roman" w:hAnsi="Arial" w:cs="Arial"/>
          <w:sz w:val="24"/>
          <w:szCs w:val="24"/>
          <w:lang w:eastAsia="en-GB"/>
        </w:rPr>
      </w:pPr>
    </w:p>
    <w:p w14:paraId="13BB010A" w14:textId="10E87289" w:rsidR="00D103EE" w:rsidRDefault="00D103EE" w:rsidP="00D103EE">
      <w:pPr>
        <w:spacing w:after="0" w:line="240" w:lineRule="auto"/>
        <w:ind w:left="426"/>
        <w:rPr>
          <w:rFonts w:ascii="Arial" w:eastAsia="Times New Roman" w:hAnsi="Arial" w:cs="Arial"/>
          <w:sz w:val="24"/>
          <w:szCs w:val="24"/>
          <w:lang w:eastAsia="en-GB"/>
        </w:rPr>
      </w:pPr>
    </w:p>
    <w:p w14:paraId="407EB475" w14:textId="25B8D3EE" w:rsidR="00D103EE" w:rsidRDefault="00D103EE" w:rsidP="00D103EE">
      <w:pPr>
        <w:spacing w:after="0" w:line="240" w:lineRule="auto"/>
        <w:ind w:left="426"/>
        <w:rPr>
          <w:rFonts w:ascii="Arial" w:eastAsia="Times New Roman" w:hAnsi="Arial" w:cs="Arial"/>
          <w:sz w:val="24"/>
          <w:szCs w:val="24"/>
          <w:lang w:eastAsia="en-GB"/>
        </w:rPr>
      </w:pPr>
    </w:p>
    <w:p w14:paraId="3EA712F3" w14:textId="7C789AC3" w:rsidR="00D103EE" w:rsidRDefault="00D103EE" w:rsidP="00D103EE">
      <w:pPr>
        <w:spacing w:after="0" w:line="240" w:lineRule="auto"/>
        <w:ind w:left="426"/>
        <w:rPr>
          <w:rFonts w:ascii="Arial" w:eastAsia="Times New Roman" w:hAnsi="Arial" w:cs="Arial"/>
          <w:sz w:val="24"/>
          <w:szCs w:val="24"/>
          <w:lang w:eastAsia="en-GB"/>
        </w:rPr>
      </w:pPr>
    </w:p>
    <w:p w14:paraId="39D6256C" w14:textId="47CDE78B" w:rsidR="00D103EE" w:rsidRDefault="00D103EE" w:rsidP="00D103EE">
      <w:pPr>
        <w:spacing w:after="0" w:line="240" w:lineRule="auto"/>
        <w:ind w:left="426"/>
        <w:rPr>
          <w:rFonts w:ascii="Arial" w:eastAsia="Times New Roman" w:hAnsi="Arial" w:cs="Arial"/>
          <w:sz w:val="24"/>
          <w:szCs w:val="24"/>
          <w:lang w:eastAsia="en-GB"/>
        </w:rPr>
      </w:pPr>
    </w:p>
    <w:p w14:paraId="41389BF5" w14:textId="49C36F3C" w:rsidR="00D103EE" w:rsidRDefault="00D103EE" w:rsidP="00D103EE">
      <w:pPr>
        <w:spacing w:after="0" w:line="240" w:lineRule="auto"/>
        <w:ind w:left="426"/>
        <w:rPr>
          <w:rFonts w:ascii="Arial" w:eastAsia="Times New Roman" w:hAnsi="Arial" w:cs="Arial"/>
          <w:sz w:val="24"/>
          <w:szCs w:val="24"/>
          <w:lang w:eastAsia="en-GB"/>
        </w:rPr>
      </w:pPr>
    </w:p>
    <w:p w14:paraId="698F30ED" w14:textId="572802A2" w:rsidR="00D103EE" w:rsidRDefault="00D103EE" w:rsidP="00D103EE">
      <w:pPr>
        <w:spacing w:after="0" w:line="240" w:lineRule="auto"/>
        <w:ind w:left="426"/>
        <w:rPr>
          <w:rFonts w:ascii="Arial" w:eastAsia="Times New Roman" w:hAnsi="Arial" w:cs="Arial"/>
          <w:sz w:val="24"/>
          <w:szCs w:val="24"/>
          <w:lang w:eastAsia="en-GB"/>
        </w:rPr>
      </w:pPr>
    </w:p>
    <w:p w14:paraId="34F9E375" w14:textId="12F02909" w:rsidR="00D103EE" w:rsidRDefault="00D103EE" w:rsidP="00D103EE">
      <w:pPr>
        <w:spacing w:after="0" w:line="240" w:lineRule="auto"/>
        <w:ind w:left="426"/>
        <w:rPr>
          <w:rFonts w:ascii="Arial" w:eastAsia="Times New Roman" w:hAnsi="Arial" w:cs="Arial"/>
          <w:sz w:val="24"/>
          <w:szCs w:val="24"/>
          <w:lang w:eastAsia="en-GB"/>
        </w:rPr>
      </w:pPr>
    </w:p>
    <w:p w14:paraId="22630800" w14:textId="0B6D1724" w:rsidR="00D103EE" w:rsidRDefault="00D103EE" w:rsidP="00D103EE">
      <w:pPr>
        <w:spacing w:after="0" w:line="240" w:lineRule="auto"/>
        <w:ind w:left="426"/>
        <w:rPr>
          <w:rFonts w:ascii="Arial" w:eastAsia="Times New Roman" w:hAnsi="Arial" w:cs="Arial"/>
          <w:sz w:val="24"/>
          <w:szCs w:val="24"/>
          <w:lang w:eastAsia="en-GB"/>
        </w:rPr>
      </w:pPr>
    </w:p>
    <w:p w14:paraId="731D7A72" w14:textId="18D2E6AC" w:rsidR="00D103EE" w:rsidRDefault="00D103EE" w:rsidP="00D103EE">
      <w:pPr>
        <w:spacing w:after="0" w:line="240" w:lineRule="auto"/>
        <w:ind w:left="426"/>
        <w:rPr>
          <w:rFonts w:ascii="Arial" w:eastAsia="Times New Roman" w:hAnsi="Arial" w:cs="Arial"/>
          <w:sz w:val="24"/>
          <w:szCs w:val="24"/>
          <w:lang w:eastAsia="en-GB"/>
        </w:rPr>
      </w:pPr>
    </w:p>
    <w:p w14:paraId="6DE8221C" w14:textId="5F8A980B" w:rsidR="00D103EE" w:rsidRDefault="00D103EE" w:rsidP="00D103EE">
      <w:pPr>
        <w:spacing w:after="0" w:line="240" w:lineRule="auto"/>
        <w:ind w:left="426"/>
        <w:rPr>
          <w:rFonts w:ascii="Arial" w:eastAsia="Times New Roman" w:hAnsi="Arial" w:cs="Arial"/>
          <w:sz w:val="24"/>
          <w:szCs w:val="24"/>
          <w:lang w:eastAsia="en-GB"/>
        </w:rPr>
      </w:pPr>
    </w:p>
    <w:p w14:paraId="62F7D7D4" w14:textId="528D170A" w:rsidR="00D103EE" w:rsidRDefault="00D103EE" w:rsidP="00D103EE">
      <w:pPr>
        <w:spacing w:after="0" w:line="240" w:lineRule="auto"/>
        <w:ind w:left="426"/>
        <w:rPr>
          <w:rFonts w:ascii="Arial" w:eastAsia="Times New Roman" w:hAnsi="Arial" w:cs="Arial"/>
          <w:sz w:val="24"/>
          <w:szCs w:val="24"/>
          <w:lang w:eastAsia="en-GB"/>
        </w:rPr>
      </w:pPr>
    </w:p>
    <w:p w14:paraId="09B9B320" w14:textId="3871EB34" w:rsidR="00D103EE" w:rsidRDefault="00D103EE" w:rsidP="00D103EE">
      <w:pPr>
        <w:spacing w:after="0" w:line="240" w:lineRule="auto"/>
        <w:ind w:left="426"/>
        <w:rPr>
          <w:rFonts w:ascii="Arial" w:eastAsia="Times New Roman" w:hAnsi="Arial" w:cs="Arial"/>
          <w:sz w:val="24"/>
          <w:szCs w:val="24"/>
          <w:lang w:eastAsia="en-GB"/>
        </w:rPr>
      </w:pPr>
    </w:p>
    <w:p w14:paraId="0558E95C" w14:textId="6EDC07A3" w:rsidR="00D103EE" w:rsidRDefault="00D103EE" w:rsidP="00D103EE">
      <w:pPr>
        <w:spacing w:after="0" w:line="240" w:lineRule="auto"/>
        <w:ind w:left="426"/>
        <w:rPr>
          <w:rFonts w:ascii="Arial" w:eastAsia="Times New Roman" w:hAnsi="Arial" w:cs="Arial"/>
          <w:sz w:val="24"/>
          <w:szCs w:val="24"/>
          <w:lang w:eastAsia="en-GB"/>
        </w:rPr>
      </w:pPr>
    </w:p>
    <w:p w14:paraId="0A1DF161" w14:textId="350588A4" w:rsidR="00D103EE" w:rsidRDefault="00D103EE" w:rsidP="00D103EE">
      <w:pPr>
        <w:spacing w:after="0" w:line="240" w:lineRule="auto"/>
        <w:ind w:left="426"/>
        <w:rPr>
          <w:rFonts w:ascii="Arial" w:eastAsia="Times New Roman" w:hAnsi="Arial" w:cs="Arial"/>
          <w:sz w:val="24"/>
          <w:szCs w:val="24"/>
          <w:lang w:eastAsia="en-GB"/>
        </w:rPr>
      </w:pPr>
    </w:p>
    <w:p w14:paraId="3057CD54" w14:textId="647B85D1" w:rsidR="00D103EE" w:rsidRDefault="00D103EE" w:rsidP="00D103EE">
      <w:pPr>
        <w:spacing w:after="0" w:line="240" w:lineRule="auto"/>
        <w:ind w:left="426"/>
        <w:rPr>
          <w:rFonts w:ascii="Arial" w:eastAsia="Times New Roman" w:hAnsi="Arial" w:cs="Arial"/>
          <w:sz w:val="24"/>
          <w:szCs w:val="24"/>
          <w:lang w:eastAsia="en-GB"/>
        </w:rPr>
      </w:pPr>
    </w:p>
    <w:p w14:paraId="71C984DB" w14:textId="29DFFD50" w:rsidR="00D103EE" w:rsidRDefault="00D103EE" w:rsidP="00D103EE">
      <w:pPr>
        <w:spacing w:after="0" w:line="240" w:lineRule="auto"/>
        <w:ind w:left="426"/>
        <w:rPr>
          <w:rFonts w:ascii="Arial" w:eastAsia="Times New Roman" w:hAnsi="Arial" w:cs="Arial"/>
          <w:sz w:val="24"/>
          <w:szCs w:val="24"/>
          <w:lang w:eastAsia="en-GB"/>
        </w:rPr>
      </w:pPr>
    </w:p>
    <w:p w14:paraId="1105AF45" w14:textId="60909662" w:rsidR="00D103EE" w:rsidRDefault="00D103EE" w:rsidP="00D103EE">
      <w:pPr>
        <w:spacing w:after="0" w:line="240" w:lineRule="auto"/>
        <w:ind w:left="426"/>
        <w:rPr>
          <w:rFonts w:ascii="Arial" w:eastAsia="Times New Roman" w:hAnsi="Arial" w:cs="Arial"/>
          <w:sz w:val="24"/>
          <w:szCs w:val="24"/>
          <w:lang w:eastAsia="en-GB"/>
        </w:rPr>
      </w:pPr>
    </w:p>
    <w:p w14:paraId="25E612E8" w14:textId="41D34397" w:rsidR="00D103EE" w:rsidRDefault="00D103EE" w:rsidP="00D103EE">
      <w:pPr>
        <w:spacing w:after="0" w:line="240" w:lineRule="auto"/>
        <w:ind w:left="426"/>
        <w:rPr>
          <w:rFonts w:ascii="Arial" w:eastAsia="Times New Roman" w:hAnsi="Arial" w:cs="Arial"/>
          <w:sz w:val="24"/>
          <w:szCs w:val="24"/>
          <w:lang w:eastAsia="en-GB"/>
        </w:rPr>
      </w:pPr>
    </w:p>
    <w:p w14:paraId="60D4CD1F" w14:textId="04653005" w:rsidR="00D103EE" w:rsidRDefault="00D103EE" w:rsidP="00D103EE">
      <w:pPr>
        <w:spacing w:after="0" w:line="240" w:lineRule="auto"/>
        <w:ind w:left="426"/>
        <w:rPr>
          <w:rFonts w:ascii="Arial" w:eastAsia="Times New Roman" w:hAnsi="Arial" w:cs="Arial"/>
          <w:sz w:val="24"/>
          <w:szCs w:val="24"/>
          <w:lang w:eastAsia="en-GB"/>
        </w:rPr>
      </w:pPr>
    </w:p>
    <w:p w14:paraId="38EFE2D8" w14:textId="71ED55AD" w:rsidR="00D103EE" w:rsidRDefault="00D103EE" w:rsidP="00D103EE">
      <w:pPr>
        <w:spacing w:after="0" w:line="240" w:lineRule="auto"/>
        <w:ind w:left="426"/>
        <w:rPr>
          <w:rFonts w:ascii="Arial" w:eastAsia="Times New Roman" w:hAnsi="Arial" w:cs="Arial"/>
          <w:sz w:val="24"/>
          <w:szCs w:val="24"/>
          <w:lang w:eastAsia="en-GB"/>
        </w:rPr>
      </w:pPr>
    </w:p>
    <w:p w14:paraId="38FCD28C" w14:textId="6239E5F3" w:rsidR="00D103EE" w:rsidRDefault="00D103EE" w:rsidP="00D103EE">
      <w:pPr>
        <w:spacing w:after="0" w:line="240" w:lineRule="auto"/>
        <w:ind w:left="426"/>
        <w:rPr>
          <w:rFonts w:ascii="Arial" w:eastAsia="Times New Roman" w:hAnsi="Arial" w:cs="Arial"/>
          <w:sz w:val="24"/>
          <w:szCs w:val="24"/>
          <w:lang w:eastAsia="en-GB"/>
        </w:rPr>
      </w:pPr>
    </w:p>
    <w:p w14:paraId="623773EB" w14:textId="3FB61436" w:rsidR="00D103EE" w:rsidRDefault="00D103EE" w:rsidP="00D103EE">
      <w:pPr>
        <w:spacing w:after="0" w:line="240" w:lineRule="auto"/>
        <w:ind w:left="426"/>
        <w:rPr>
          <w:rFonts w:ascii="Arial" w:eastAsia="Times New Roman" w:hAnsi="Arial" w:cs="Arial"/>
          <w:sz w:val="24"/>
          <w:szCs w:val="24"/>
          <w:lang w:eastAsia="en-GB"/>
        </w:rPr>
      </w:pPr>
    </w:p>
    <w:p w14:paraId="47324052" w14:textId="77777777" w:rsidR="00D103EE" w:rsidRPr="00D103EE" w:rsidRDefault="00D103EE" w:rsidP="00D103EE">
      <w:pPr>
        <w:spacing w:after="0" w:line="240" w:lineRule="auto"/>
        <w:ind w:left="426"/>
        <w:rPr>
          <w:rFonts w:ascii="Arial" w:eastAsia="Times New Roman" w:hAnsi="Arial" w:cs="Arial"/>
          <w:sz w:val="24"/>
          <w:szCs w:val="24"/>
          <w:lang w:eastAsia="en-GB"/>
        </w:rPr>
      </w:pPr>
      <w:bookmarkStart w:id="0" w:name="_GoBack"/>
      <w:bookmarkEnd w:id="0"/>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B4505FB">
      <w:pPr>
        <w:spacing w:after="0" w:line="240" w:lineRule="auto"/>
        <w:rPr>
          <w:rFonts w:ascii="Arial" w:eastAsia="Times New Roman" w:hAnsi="Arial" w:cs="Arial"/>
          <w:b/>
          <w:bCs/>
          <w:sz w:val="24"/>
          <w:szCs w:val="24"/>
          <w:lang w:eastAsia="en-GB"/>
        </w:rPr>
      </w:pPr>
    </w:p>
    <w:p w14:paraId="491818D8" w14:textId="7DBEE5E6" w:rsidR="0B4505FB" w:rsidRDefault="0B4505FB" w:rsidP="0B4505FB">
      <w:pPr>
        <w:spacing w:after="0" w:line="240" w:lineRule="auto"/>
        <w:rPr>
          <w:rFonts w:ascii="Arial" w:eastAsia="Times New Roman" w:hAnsi="Arial" w:cs="Arial"/>
          <w:b/>
          <w:bCs/>
          <w:sz w:val="24"/>
          <w:szCs w:val="24"/>
          <w:lang w:eastAsia="en-GB"/>
        </w:rPr>
      </w:pPr>
    </w:p>
    <w:p w14:paraId="40361F54" w14:textId="2B2A7182" w:rsidR="0B4505FB" w:rsidRDefault="0B4505FB" w:rsidP="0B4505FB">
      <w:pPr>
        <w:spacing w:after="0" w:line="240" w:lineRule="auto"/>
        <w:rPr>
          <w:rFonts w:ascii="Arial" w:eastAsia="Times New Roman" w:hAnsi="Arial" w:cs="Arial"/>
          <w:b/>
          <w:bCs/>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p w14:paraId="3F7FFFDA" w14:textId="03D1AF76" w:rsidR="00763CB3" w:rsidRPr="00876921" w:rsidRDefault="00763CB3" w:rsidP="0021454F">
      <w:pPr>
        <w:spacing w:after="0" w:line="276" w:lineRule="auto"/>
        <w:ind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D103EE">
          <w:headerReference w:type="even" r:id="rId13"/>
          <w:headerReference w:type="default" r:id="rId14"/>
          <w:footerReference w:type="even" r:id="rId15"/>
          <w:footerReference w:type="default" r:id="rId16"/>
          <w:headerReference w:type="first" r:id="rId17"/>
          <w:footerReference w:type="first" r:id="rId18"/>
          <w:pgSz w:w="11894" w:h="16834"/>
          <w:pgMar w:top="720" w:right="979" w:bottom="720" w:left="720" w:header="706" w:footer="454" w:gutter="0"/>
          <w:paperSrc w:first="1" w:other="1"/>
          <w:cols w:space="720"/>
          <w:titlePg/>
          <w:docGrid w:linePitch="299"/>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3D05D86E" w14:textId="0586FE1E"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103EE">
          <w:headerReference w:type="even" r:id="rId19"/>
          <w:headerReference w:type="default" r:id="rId20"/>
          <w:footerReference w:type="even" r:id="rId21"/>
          <w:footerReference w:type="default" r:id="rId22"/>
          <w:headerReference w:type="first" r:id="rId23"/>
          <w:footerReference w:type="first" r:id="rId24"/>
          <w:type w:val="continuous"/>
          <w:pgSz w:w="11894" w:h="16834"/>
          <w:pgMar w:top="720" w:right="720" w:bottom="720" w:left="720" w:header="706" w:footer="706" w:gutter="0"/>
          <w:paperSrc w:first="1" w:other="1"/>
          <w:cols w:space="720"/>
          <w:titlePg/>
          <w:docGrid w:linePitch="299"/>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D103EE">
          <w:headerReference w:type="even" r:id="rId25"/>
          <w:headerReference w:type="default" r:id="rId26"/>
          <w:footerReference w:type="even" r:id="rId27"/>
          <w:footerReference w:type="default" r:id="rId28"/>
          <w:headerReference w:type="first" r:id="rId29"/>
          <w:footerReference w:type="first" r:id="rId30"/>
          <w:pgSz w:w="16834" w:h="11894" w:orient="landscape"/>
          <w:pgMar w:top="720" w:right="720" w:bottom="720" w:left="720" w:header="706" w:footer="706" w:gutter="0"/>
          <w:paperSrc w:first="1" w:other="1"/>
          <w:cols w:space="720"/>
          <w:titlePg/>
          <w:docGrid w:linePitch="299"/>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sectPr w:rsidR="00763CB3" w:rsidRPr="00876921" w:rsidSect="00D103EE">
      <w:headerReference w:type="even" r:id="rId31"/>
      <w:headerReference w:type="default" r:id="rId32"/>
      <w:footerReference w:type="even" r:id="rId33"/>
      <w:footerReference w:type="default" r:id="rId34"/>
      <w:headerReference w:type="first" r:id="rId35"/>
      <w:footerReference w:type="first" r:id="rId36"/>
      <w:pgSz w:w="16834" w:h="11894" w:orient="landscape"/>
      <w:pgMar w:top="720" w:right="720" w:bottom="720" w:left="720" w:header="706" w:footer="706"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DE2D5D" w:rsidRDefault="00AD68C8">
      <w:pPr>
        <w:spacing w:after="0" w:line="240" w:lineRule="auto"/>
      </w:pPr>
      <w:r>
        <w:separator/>
      </w:r>
    </w:p>
  </w:endnote>
  <w:endnote w:type="continuationSeparator" w:id="0">
    <w:p w14:paraId="0D55CABB" w14:textId="77777777" w:rsidR="00DE2D5D" w:rsidRDefault="00AD6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50AB9B" w14:textId="221CC8B8" w:rsidR="00D103EE" w:rsidRDefault="00D103EE" w:rsidP="00D103EE">
    <w:pPr>
      <w:pStyle w:val="Footer"/>
      <w:rPr>
        <w:color w:val="000000"/>
        <w:sz w:val="17"/>
      </w:rPr>
    </w:pPr>
    <w:bookmarkStart w:id="3" w:name="TITUS1FooterEvenPages"/>
    <w:r w:rsidRPr="00D103EE">
      <w:rPr>
        <w:color w:val="000000"/>
        <w:sz w:val="17"/>
      </w:rPr>
      <w:t> </w:t>
    </w:r>
  </w:p>
  <w:bookmarkEnd w:id="3"/>
  <w:p w14:paraId="4F6BA4C8" w14:textId="72BFED59" w:rsidR="00D103EE" w:rsidRDefault="00D103EE" w:rsidP="00D103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F9D74E1" w14:textId="77777777" w:rsidR="00D103EE" w:rsidRDefault="00D103EE" w:rsidP="00D103EE">
    <w:pPr>
      <w:pStyle w:val="Footer"/>
      <w:jc w:val="right"/>
      <w:rPr>
        <w:sz w:val="16"/>
      </w:rPr>
    </w:pPr>
  </w:p>
  <w:p w14:paraId="33F0CA71" w14:textId="77777777" w:rsidR="00D103EE" w:rsidRDefault="00D103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DB96B" w14:textId="3BF18AF8" w:rsidR="00D103EE" w:rsidRDefault="00D103EE" w:rsidP="00D103EE">
    <w:pPr>
      <w:pStyle w:val="Footer"/>
      <w:rPr>
        <w:color w:val="000000"/>
        <w:sz w:val="17"/>
      </w:rPr>
    </w:pPr>
    <w:bookmarkStart w:id="4" w:name="TITUS1FooterPrimary"/>
    <w:r w:rsidRPr="00D103EE">
      <w:rPr>
        <w:color w:val="000000"/>
        <w:sz w:val="17"/>
      </w:rPr>
      <w:t> </w:t>
    </w:r>
  </w:p>
  <w:bookmarkEnd w:id="4"/>
  <w:p w14:paraId="74CEE6CC" w14:textId="4BA3B3D2"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03EE">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03EE">
      <w:rPr>
        <w:b/>
        <w:noProof/>
      </w:rPr>
      <w:t>11</w:t>
    </w:r>
    <w:r>
      <w:rPr>
        <w:b/>
        <w:sz w:val="24"/>
        <w:szCs w:val="24"/>
      </w:rPr>
      <w:fldChar w:fldCharType="end"/>
    </w:r>
  </w:p>
  <w:p w14:paraId="40790BA2" w14:textId="77777777" w:rsidR="00152E9D" w:rsidRDefault="00D103E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BA632" w14:textId="5B7BFBE1" w:rsidR="00D103EE" w:rsidRDefault="00D103EE" w:rsidP="00D103EE">
    <w:pPr>
      <w:pStyle w:val="Footer"/>
      <w:rPr>
        <w:color w:val="000000"/>
        <w:sz w:val="17"/>
      </w:rPr>
    </w:pPr>
    <w:bookmarkStart w:id="6" w:name="TITUS1FooterFirstPage"/>
    <w:r w:rsidRPr="00D103EE">
      <w:rPr>
        <w:color w:val="000000"/>
        <w:sz w:val="17"/>
      </w:rPr>
      <w:t> </w:t>
    </w:r>
  </w:p>
  <w:bookmarkEnd w:id="6"/>
  <w:p w14:paraId="3AD23B9A" w14:textId="025E5DFD" w:rsidR="00D103EE" w:rsidRDefault="00D103EE" w:rsidP="00D103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2E4545DC" w14:textId="77777777" w:rsidR="00D103EE" w:rsidRDefault="00D103EE" w:rsidP="00D103EE">
    <w:pPr>
      <w:pStyle w:val="Footer"/>
      <w:jc w:val="right"/>
      <w:rPr>
        <w:sz w:val="16"/>
      </w:rPr>
    </w:pPr>
  </w:p>
  <w:p w14:paraId="27B7BE2A" w14:textId="77777777" w:rsidR="00D103EE" w:rsidRDefault="00D103E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2505A" w14:textId="41328737" w:rsidR="00D103EE" w:rsidRDefault="00D103EE" w:rsidP="00D103EE">
    <w:pPr>
      <w:pStyle w:val="Footer"/>
      <w:rPr>
        <w:color w:val="000000"/>
        <w:sz w:val="17"/>
      </w:rPr>
    </w:pPr>
    <w:bookmarkStart w:id="9" w:name="TITUS2FooterEvenPages"/>
    <w:r w:rsidRPr="00D103EE">
      <w:rPr>
        <w:color w:val="000000"/>
        <w:sz w:val="17"/>
      </w:rPr>
      <w:t> </w:t>
    </w:r>
  </w:p>
  <w:bookmarkEnd w:id="9"/>
  <w:p w14:paraId="53646D01" w14:textId="77777777" w:rsidR="00D103EE" w:rsidRDefault="00D103EE" w:rsidP="00D103EE">
    <w:pPr>
      <w:pStyle w:val="Footer"/>
      <w:jc w:val="center"/>
    </w:pPr>
  </w:p>
  <w:p w14:paraId="74813C7F" w14:textId="77777777" w:rsidR="00D103EE" w:rsidRDefault="00D103EE" w:rsidP="00D103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1CFACFFF" w14:textId="77777777" w:rsidR="00D103EE" w:rsidRDefault="00D103EE" w:rsidP="00D103EE">
    <w:pPr>
      <w:pStyle w:val="Footer"/>
      <w:jc w:val="right"/>
      <w:rPr>
        <w:sz w:val="16"/>
      </w:rPr>
    </w:pPr>
  </w:p>
  <w:p w14:paraId="5D0A26DA" w14:textId="77777777" w:rsidR="00D103EE" w:rsidRDefault="00D103E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2EA09722" w:rsidR="00152E9D" w:rsidRDefault="00D103EE" w:rsidP="00D103EE">
    <w:pPr>
      <w:pStyle w:val="Footer"/>
      <w:rPr>
        <w:color w:val="000000"/>
        <w:sz w:val="17"/>
      </w:rPr>
    </w:pPr>
    <w:bookmarkStart w:id="10" w:name="TITUS2FooterPrimary"/>
    <w:r w:rsidRPr="00D103EE">
      <w:rPr>
        <w:color w:val="000000"/>
        <w:sz w:val="17"/>
      </w:rPr>
      <w:t> </w:t>
    </w:r>
  </w:p>
  <w:bookmarkEnd w:id="10"/>
  <w:p w14:paraId="5B5742D4" w14:textId="77777777" w:rsidR="00D103EE" w:rsidRDefault="00D103EE">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EA272" w14:textId="12763C18" w:rsidR="00D103EE" w:rsidRDefault="00D103EE" w:rsidP="00D103EE">
    <w:pPr>
      <w:pStyle w:val="Footer"/>
      <w:rPr>
        <w:color w:val="000000"/>
        <w:sz w:val="17"/>
      </w:rPr>
    </w:pPr>
    <w:bookmarkStart w:id="12" w:name="TITUS2FooterFirstPage"/>
    <w:r w:rsidRPr="00D103EE">
      <w:rPr>
        <w:color w:val="000000"/>
        <w:sz w:val="17"/>
      </w:rPr>
      <w:t> </w:t>
    </w:r>
  </w:p>
  <w:bookmarkEnd w:id="12"/>
  <w:p w14:paraId="00A41F13" w14:textId="77777777" w:rsidR="00D103EE" w:rsidRDefault="00D103E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B2284" w14:textId="39BE4724" w:rsidR="00D103EE" w:rsidRDefault="00D103EE" w:rsidP="00D103EE">
    <w:pPr>
      <w:pStyle w:val="Footer"/>
      <w:rPr>
        <w:color w:val="000000"/>
        <w:sz w:val="17"/>
      </w:rPr>
    </w:pPr>
    <w:bookmarkStart w:id="15" w:name="TITUS3FooterEvenPages"/>
    <w:r w:rsidRPr="00D103EE">
      <w:rPr>
        <w:color w:val="000000"/>
        <w:sz w:val="17"/>
      </w:rPr>
      <w:t> </w:t>
    </w:r>
  </w:p>
  <w:bookmarkEnd w:id="15"/>
  <w:p w14:paraId="083815C0" w14:textId="77777777" w:rsidR="00D103EE" w:rsidRDefault="00D103EE" w:rsidP="00D103EE">
    <w:pPr>
      <w:pStyle w:val="Footer"/>
      <w:jc w:val="center"/>
    </w:pPr>
  </w:p>
  <w:p w14:paraId="51F811BF" w14:textId="77777777" w:rsidR="00D103EE" w:rsidRDefault="00D103EE" w:rsidP="00D103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34CDA687" w14:textId="77777777" w:rsidR="00D103EE" w:rsidRDefault="00D103EE" w:rsidP="00D103EE">
    <w:pPr>
      <w:pStyle w:val="Footer"/>
      <w:jc w:val="right"/>
      <w:rPr>
        <w:sz w:val="16"/>
      </w:rPr>
    </w:pPr>
  </w:p>
  <w:p w14:paraId="507A5039" w14:textId="77777777" w:rsidR="00D103EE" w:rsidRDefault="00D103E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65E4D" w14:textId="553F6510" w:rsidR="00D103EE" w:rsidRDefault="00D103EE" w:rsidP="00D103EE">
    <w:pPr>
      <w:pStyle w:val="Footer"/>
      <w:rPr>
        <w:color w:val="000000"/>
        <w:sz w:val="17"/>
      </w:rPr>
    </w:pPr>
    <w:bookmarkStart w:id="16" w:name="TITUS3FooterPrimary"/>
    <w:r w:rsidRPr="00D103EE">
      <w:rPr>
        <w:color w:val="000000"/>
        <w:sz w:val="17"/>
      </w:rPr>
      <w:t> </w:t>
    </w:r>
  </w:p>
  <w:bookmarkEnd w:id="16"/>
  <w:p w14:paraId="47EEDEE6" w14:textId="77777777" w:rsidR="00D103EE" w:rsidRDefault="00D103EE">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15E90" w14:textId="6E745519" w:rsidR="00D103EE" w:rsidRDefault="00D103EE" w:rsidP="00D103EE">
    <w:pPr>
      <w:pStyle w:val="Footer"/>
      <w:rPr>
        <w:color w:val="000000"/>
        <w:sz w:val="17"/>
      </w:rPr>
    </w:pPr>
    <w:bookmarkStart w:id="18" w:name="TITUS3FooterFirstPage"/>
    <w:r w:rsidRPr="00D103EE">
      <w:rPr>
        <w:color w:val="000000"/>
        <w:sz w:val="17"/>
      </w:rPr>
      <w:t> </w:t>
    </w:r>
  </w:p>
  <w:bookmarkEnd w:id="18"/>
  <w:p w14:paraId="25E2A90C" w14:textId="77777777" w:rsidR="00D103EE" w:rsidRDefault="00D103EE" w:rsidP="00D103EE">
    <w:pPr>
      <w:pStyle w:val="Footer"/>
      <w:jc w:val="right"/>
      <w:rPr>
        <w:sz w:val="16"/>
      </w:rPr>
    </w:pPr>
  </w:p>
  <w:p w14:paraId="52673050" w14:textId="77777777" w:rsidR="00D103EE" w:rsidRDefault="00D103E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56AD1" w14:textId="5EE7BEA9" w:rsidR="00D103EE" w:rsidRDefault="00D103EE" w:rsidP="00D103EE">
    <w:pPr>
      <w:pStyle w:val="Footer"/>
      <w:rPr>
        <w:color w:val="000000"/>
        <w:sz w:val="17"/>
      </w:rPr>
    </w:pPr>
    <w:bookmarkStart w:id="21" w:name="TITUS4FooterEvenPages"/>
    <w:r w:rsidRPr="00D103EE">
      <w:rPr>
        <w:color w:val="000000"/>
        <w:sz w:val="17"/>
      </w:rPr>
      <w:t> </w:t>
    </w:r>
  </w:p>
  <w:bookmarkEnd w:id="21"/>
  <w:p w14:paraId="1CB91842" w14:textId="77777777" w:rsidR="00D103EE" w:rsidRDefault="00D103EE" w:rsidP="00D103EE">
    <w:pPr>
      <w:pStyle w:val="Footer"/>
      <w:jc w:val="center"/>
    </w:pPr>
  </w:p>
  <w:p w14:paraId="75DF891F" w14:textId="77777777" w:rsidR="00D103EE" w:rsidRDefault="00D103EE" w:rsidP="00D103E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1B9C691E" w14:textId="77777777" w:rsidR="00D103EE" w:rsidRDefault="00D103EE" w:rsidP="00D103EE">
    <w:pPr>
      <w:pStyle w:val="Footer"/>
      <w:jc w:val="right"/>
      <w:rPr>
        <w:sz w:val="16"/>
      </w:rPr>
    </w:pPr>
  </w:p>
  <w:p w14:paraId="5A796B4E" w14:textId="77777777" w:rsidR="00D103EE" w:rsidRDefault="00D103EE">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0D85B" w14:textId="6F2DCD25" w:rsidR="00D103EE" w:rsidRDefault="00D103EE" w:rsidP="00D103EE">
    <w:pPr>
      <w:pStyle w:val="Footer"/>
      <w:rPr>
        <w:color w:val="000000"/>
        <w:sz w:val="17"/>
      </w:rPr>
    </w:pPr>
    <w:bookmarkStart w:id="22" w:name="TITUS4FooterPrimary"/>
    <w:r w:rsidRPr="00D103EE">
      <w:rPr>
        <w:color w:val="000000"/>
        <w:sz w:val="17"/>
      </w:rPr>
      <w:t> </w:t>
    </w:r>
  </w:p>
  <w:bookmarkEnd w:id="22"/>
  <w:p w14:paraId="26F4EF78" w14:textId="77777777" w:rsidR="00D103EE" w:rsidRDefault="00D103EE">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66661" w14:textId="3FBD6541" w:rsidR="00D103EE" w:rsidRDefault="00D103EE" w:rsidP="00D103EE">
    <w:pPr>
      <w:pStyle w:val="Footer"/>
      <w:rPr>
        <w:color w:val="000000"/>
        <w:sz w:val="17"/>
      </w:rPr>
    </w:pPr>
    <w:bookmarkStart w:id="24" w:name="TITUS4FooterFirstPage"/>
    <w:r w:rsidRPr="00D103EE">
      <w:rPr>
        <w:color w:val="000000"/>
        <w:sz w:val="17"/>
      </w:rPr>
      <w:t> </w:t>
    </w:r>
  </w:p>
  <w:bookmarkEnd w:id="24"/>
  <w:p w14:paraId="6AEB0E3D" w14:textId="77777777" w:rsidR="00D103EE" w:rsidRDefault="00D103EE" w:rsidP="00D103EE">
    <w:pPr>
      <w:pStyle w:val="Footer"/>
      <w:jc w:val="right"/>
      <w:rPr>
        <w:sz w:val="16"/>
      </w:rPr>
    </w:pPr>
  </w:p>
  <w:p w14:paraId="277AC2C3" w14:textId="77777777" w:rsidR="00D103EE" w:rsidRDefault="00D10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DE2D5D" w:rsidRDefault="00AD68C8">
      <w:pPr>
        <w:spacing w:after="0" w:line="240" w:lineRule="auto"/>
      </w:pPr>
      <w:r>
        <w:separator/>
      </w:r>
    </w:p>
  </w:footnote>
  <w:footnote w:type="continuationSeparator" w:id="0">
    <w:p w14:paraId="68E41288" w14:textId="77777777" w:rsidR="00DE2D5D" w:rsidRDefault="00AD68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8DAA2" w14:textId="3B2B25F8" w:rsidR="00D103EE" w:rsidRDefault="00D103EE" w:rsidP="00D103EE">
    <w:pPr>
      <w:pStyle w:val="Header"/>
      <w:rPr>
        <w:color w:val="000000"/>
        <w:sz w:val="17"/>
      </w:rPr>
    </w:pPr>
    <w:bookmarkStart w:id="1" w:name="TITUS1HeaderEvenPages"/>
    <w:r w:rsidRPr="00D103EE">
      <w:rPr>
        <w:color w:val="000000"/>
        <w:sz w:val="17"/>
      </w:rPr>
      <w:t> </w:t>
    </w:r>
  </w:p>
  <w:bookmarkEnd w:id="1"/>
  <w:p w14:paraId="46E80B75" w14:textId="77777777" w:rsidR="00D103EE" w:rsidRDefault="00D103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69D5F" w14:textId="2DC89EDF" w:rsidR="00D103EE" w:rsidRDefault="00D103EE" w:rsidP="00D103EE">
    <w:pPr>
      <w:pStyle w:val="Header"/>
      <w:rPr>
        <w:color w:val="000000"/>
        <w:sz w:val="17"/>
      </w:rPr>
    </w:pPr>
    <w:bookmarkStart w:id="2" w:name="TITUS1HeaderPrimary"/>
    <w:r w:rsidRPr="00D103EE">
      <w:rPr>
        <w:color w:val="000000"/>
        <w:sz w:val="17"/>
      </w:rPr>
      <w:t> </w:t>
    </w:r>
  </w:p>
  <w:bookmarkEnd w:id="2"/>
  <w:p w14:paraId="339D88B3" w14:textId="77777777" w:rsidR="00D103EE" w:rsidRDefault="00D103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47565" w14:textId="79C9E29B" w:rsidR="00D103EE" w:rsidRDefault="00D103EE" w:rsidP="00D103EE">
    <w:pPr>
      <w:pStyle w:val="Header"/>
      <w:rPr>
        <w:color w:val="000000"/>
        <w:sz w:val="17"/>
      </w:rPr>
    </w:pPr>
    <w:bookmarkStart w:id="5" w:name="TITUS1HeaderFirstPage"/>
    <w:r w:rsidRPr="00D103EE">
      <w:rPr>
        <w:color w:val="000000"/>
        <w:sz w:val="17"/>
      </w:rPr>
      <w:t> </w:t>
    </w:r>
  </w:p>
  <w:bookmarkEnd w:id="5"/>
  <w:p w14:paraId="0233F7E9" w14:textId="77777777" w:rsidR="00D103EE" w:rsidRDefault="00D103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A43EC" w14:textId="7CEC5A87" w:rsidR="00D103EE" w:rsidRDefault="00D103EE" w:rsidP="00D103EE">
    <w:pPr>
      <w:pStyle w:val="Header"/>
      <w:rPr>
        <w:color w:val="000000"/>
        <w:sz w:val="17"/>
      </w:rPr>
    </w:pPr>
    <w:bookmarkStart w:id="7" w:name="TITUS2HeaderEvenPages"/>
    <w:r w:rsidRPr="00D103EE">
      <w:rPr>
        <w:color w:val="000000"/>
        <w:sz w:val="17"/>
      </w:rPr>
      <w:t> </w:t>
    </w:r>
  </w:p>
  <w:bookmarkEnd w:id="7"/>
  <w:p w14:paraId="19E5A4D5" w14:textId="77777777" w:rsidR="00D103EE" w:rsidRDefault="00D103EE" w:rsidP="00D103EE">
    <w:pPr>
      <w:pStyle w:val="Header"/>
    </w:pPr>
  </w:p>
  <w:p w14:paraId="4172D6A7" w14:textId="77777777" w:rsidR="00D103EE" w:rsidRDefault="00D103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7F7EF" w14:textId="0632BE9E" w:rsidR="00D103EE" w:rsidRDefault="00D103EE" w:rsidP="00D103EE">
    <w:pPr>
      <w:pStyle w:val="Header"/>
      <w:rPr>
        <w:color w:val="000000"/>
        <w:sz w:val="17"/>
      </w:rPr>
    </w:pPr>
    <w:bookmarkStart w:id="8" w:name="TITUS2HeaderPrimary"/>
    <w:r w:rsidRPr="00D103EE">
      <w:rPr>
        <w:color w:val="000000"/>
        <w:sz w:val="17"/>
      </w:rPr>
      <w:t> </w:t>
    </w:r>
  </w:p>
  <w:bookmarkEnd w:id="8"/>
  <w:p w14:paraId="0DE498BA" w14:textId="77777777" w:rsidR="00D103EE" w:rsidRDefault="00D103E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8338A" w14:textId="1CF49283" w:rsidR="00D103EE" w:rsidRDefault="00D103EE" w:rsidP="00D103EE">
    <w:pPr>
      <w:pStyle w:val="Header"/>
      <w:rPr>
        <w:color w:val="000000"/>
        <w:sz w:val="17"/>
      </w:rPr>
    </w:pPr>
    <w:bookmarkStart w:id="11" w:name="TITUS2HeaderFirstPage"/>
    <w:r w:rsidRPr="00D103EE">
      <w:rPr>
        <w:color w:val="000000"/>
        <w:sz w:val="17"/>
      </w:rPr>
      <w:t> </w:t>
    </w:r>
  </w:p>
  <w:bookmarkEnd w:id="11"/>
  <w:p w14:paraId="64075EC5" w14:textId="77777777" w:rsidR="00D103EE" w:rsidRDefault="00D103EE" w:rsidP="00D103EE">
    <w:pPr>
      <w:pStyle w:val="Header"/>
    </w:pPr>
  </w:p>
  <w:p w14:paraId="280FE033" w14:textId="77777777" w:rsidR="00D103EE" w:rsidRDefault="00D103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D8749" w14:textId="0B324166" w:rsidR="00D103EE" w:rsidRDefault="00D103EE" w:rsidP="00D103EE">
    <w:pPr>
      <w:pStyle w:val="Header"/>
      <w:rPr>
        <w:color w:val="000000"/>
        <w:sz w:val="17"/>
      </w:rPr>
    </w:pPr>
    <w:bookmarkStart w:id="13" w:name="TITUS3HeaderEvenPages"/>
    <w:r w:rsidRPr="00D103EE">
      <w:rPr>
        <w:color w:val="000000"/>
        <w:sz w:val="17"/>
      </w:rPr>
      <w:t> </w:t>
    </w:r>
  </w:p>
  <w:bookmarkEnd w:id="13"/>
  <w:p w14:paraId="1E1D8DFF" w14:textId="77777777" w:rsidR="00D103EE" w:rsidRDefault="00D103EE" w:rsidP="00D103EE">
    <w:pPr>
      <w:pStyle w:val="Header"/>
    </w:pPr>
  </w:p>
  <w:p w14:paraId="7CDBEAA3" w14:textId="77777777" w:rsidR="00D103EE" w:rsidRDefault="00D103E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C21A" w14:textId="4F0ECB2D" w:rsidR="00D103EE" w:rsidRDefault="00D103EE" w:rsidP="00D103EE">
    <w:pPr>
      <w:pStyle w:val="Header"/>
      <w:rPr>
        <w:color w:val="000000"/>
        <w:sz w:val="17"/>
      </w:rPr>
    </w:pPr>
    <w:bookmarkStart w:id="14" w:name="TITUS3HeaderPrimary"/>
    <w:r w:rsidRPr="00D103EE">
      <w:rPr>
        <w:color w:val="000000"/>
        <w:sz w:val="17"/>
      </w:rPr>
      <w:t> </w:t>
    </w:r>
  </w:p>
  <w:bookmarkEnd w:id="14"/>
  <w:p w14:paraId="7EEE398A" w14:textId="77777777" w:rsidR="00D103EE" w:rsidRDefault="00D103E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33D41" w14:textId="6DCBCAB4" w:rsidR="00D103EE" w:rsidRDefault="00D103EE" w:rsidP="00D103EE">
    <w:pPr>
      <w:pStyle w:val="Header"/>
      <w:rPr>
        <w:color w:val="000000"/>
        <w:sz w:val="17"/>
      </w:rPr>
    </w:pPr>
    <w:bookmarkStart w:id="17" w:name="TITUS3HeaderFirstPage"/>
    <w:r w:rsidRPr="00D103EE">
      <w:rPr>
        <w:color w:val="000000"/>
        <w:sz w:val="17"/>
      </w:rPr>
      <w:t> </w:t>
    </w:r>
  </w:p>
  <w:bookmarkEnd w:id="17"/>
  <w:p w14:paraId="35D7F2DA" w14:textId="77777777" w:rsidR="00D103EE" w:rsidRDefault="00D103EE" w:rsidP="00D103EE">
    <w:pPr>
      <w:pStyle w:val="Header"/>
    </w:pPr>
  </w:p>
  <w:p w14:paraId="0A58DD06" w14:textId="77777777" w:rsidR="00D103EE" w:rsidRDefault="00D103E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F77F0" w14:textId="2D161DAE" w:rsidR="00D103EE" w:rsidRDefault="00D103EE" w:rsidP="00D103EE">
    <w:pPr>
      <w:pStyle w:val="Header"/>
      <w:rPr>
        <w:color w:val="000000"/>
        <w:sz w:val="17"/>
      </w:rPr>
    </w:pPr>
    <w:bookmarkStart w:id="19" w:name="TITUS4HeaderEvenPages"/>
    <w:r w:rsidRPr="00D103EE">
      <w:rPr>
        <w:color w:val="000000"/>
        <w:sz w:val="17"/>
      </w:rPr>
      <w:t> </w:t>
    </w:r>
  </w:p>
  <w:bookmarkEnd w:id="19"/>
  <w:p w14:paraId="2DC269C5" w14:textId="77777777" w:rsidR="00D103EE" w:rsidRDefault="00D103EE" w:rsidP="00D103EE">
    <w:pPr>
      <w:pStyle w:val="Header"/>
    </w:pPr>
  </w:p>
  <w:p w14:paraId="03D90FDA" w14:textId="77777777" w:rsidR="00D103EE" w:rsidRDefault="00D103E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AFD0B" w14:textId="0187F713" w:rsidR="00D103EE" w:rsidRDefault="00D103EE" w:rsidP="00D103EE">
    <w:pPr>
      <w:pStyle w:val="Header"/>
      <w:rPr>
        <w:color w:val="000000"/>
        <w:sz w:val="17"/>
      </w:rPr>
    </w:pPr>
    <w:bookmarkStart w:id="20" w:name="TITUS4HeaderPrimary"/>
    <w:r w:rsidRPr="00D103EE">
      <w:rPr>
        <w:color w:val="000000"/>
        <w:sz w:val="17"/>
      </w:rPr>
      <w:t> </w:t>
    </w:r>
  </w:p>
  <w:bookmarkEnd w:id="20"/>
  <w:p w14:paraId="1F86F131" w14:textId="77777777" w:rsidR="00D103EE" w:rsidRDefault="00D103E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B5D56" w14:textId="735774EF" w:rsidR="00D103EE" w:rsidRDefault="00D103EE" w:rsidP="00D103EE">
    <w:pPr>
      <w:pStyle w:val="Header"/>
      <w:rPr>
        <w:color w:val="000000"/>
        <w:sz w:val="17"/>
      </w:rPr>
    </w:pPr>
    <w:bookmarkStart w:id="23" w:name="TITUS4HeaderFirstPage"/>
    <w:r w:rsidRPr="00D103EE">
      <w:rPr>
        <w:color w:val="000000"/>
        <w:sz w:val="17"/>
      </w:rPr>
      <w:t> </w:t>
    </w:r>
  </w:p>
  <w:bookmarkEnd w:id="23"/>
  <w:p w14:paraId="0DF87026" w14:textId="77777777" w:rsidR="00D103EE" w:rsidRDefault="00D103EE" w:rsidP="00D103EE">
    <w:pPr>
      <w:pStyle w:val="Header"/>
    </w:pPr>
  </w:p>
  <w:p w14:paraId="370484AA" w14:textId="77777777" w:rsidR="00D103EE" w:rsidRDefault="00D10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157265"/>
    <w:rsid w:val="00180632"/>
    <w:rsid w:val="0021454F"/>
    <w:rsid w:val="002161A0"/>
    <w:rsid w:val="002C3B45"/>
    <w:rsid w:val="002C41BE"/>
    <w:rsid w:val="002C458D"/>
    <w:rsid w:val="002F3C23"/>
    <w:rsid w:val="00461E0B"/>
    <w:rsid w:val="00536896"/>
    <w:rsid w:val="005D6A0C"/>
    <w:rsid w:val="006A60A5"/>
    <w:rsid w:val="006E22FC"/>
    <w:rsid w:val="007029F2"/>
    <w:rsid w:val="007162C5"/>
    <w:rsid w:val="00763CB3"/>
    <w:rsid w:val="00795C11"/>
    <w:rsid w:val="007C06EC"/>
    <w:rsid w:val="008035CF"/>
    <w:rsid w:val="00810ADD"/>
    <w:rsid w:val="00846F01"/>
    <w:rsid w:val="00881959"/>
    <w:rsid w:val="00AD68C8"/>
    <w:rsid w:val="00BB18E4"/>
    <w:rsid w:val="00BE5412"/>
    <w:rsid w:val="00BF4C98"/>
    <w:rsid w:val="00BF5574"/>
    <w:rsid w:val="00CF7B26"/>
    <w:rsid w:val="00D103EE"/>
    <w:rsid w:val="00DB65E1"/>
    <w:rsid w:val="00DE2D5D"/>
    <w:rsid w:val="00E36969"/>
    <w:rsid w:val="00E57026"/>
    <w:rsid w:val="00EF24FE"/>
    <w:rsid w:val="00F43C4D"/>
    <w:rsid w:val="00F84916"/>
    <w:rsid w:val="00FB32CF"/>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D103EE"/>
    <w:rPr>
      <w:color w:val="0563C1" w:themeColor="hyperlink"/>
      <w:u w:val="single"/>
    </w:rPr>
  </w:style>
  <w:style w:type="paragraph" w:styleId="Header">
    <w:name w:val="header"/>
    <w:basedOn w:val="Normal"/>
    <w:link w:val="HeaderChar"/>
    <w:uiPriority w:val="99"/>
    <w:unhideWhenUsed/>
    <w:rsid w:val="00D10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3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oter" Target="footer11.xml"/><Relationship Id="rId7" Type="http://schemas.openxmlformats.org/officeDocument/2006/relationships/webSettings" Target="webSettings.xml"/><Relationship Id="rId12" Type="http://schemas.openxmlformats.org/officeDocument/2006/relationships/hyperlink" Target="https://www.bbc.co.uk/news/uk-47161480%20accessed%2011th%20May%202020" TargetMode="Externa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image" Target="media/image1.png"/><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3.xml><?xml version="1.0" encoding="utf-8"?>
<ds:datastoreItem xmlns:ds="http://schemas.openxmlformats.org/officeDocument/2006/customXml" ds:itemID="{DC7599CB-1ABA-41D7-A3BA-F3F73F81DC64}">
  <ds:schemaRef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4684</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McDonnell,Paul swp6412</cp:lastModifiedBy>
  <cp:revision>3</cp:revision>
  <cp:lastPrinted>2020-03-18T12:27:00Z</cp:lastPrinted>
  <dcterms:created xsi:type="dcterms:W3CDTF">2020-08-18T12:13:00Z</dcterms:created>
  <dcterms:modified xsi:type="dcterms:W3CDTF">2020-08-18T12:16:00Z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9ff6adbc-da24-46ab-b9f8-12c822b9172a</vt:lpwstr>
  </property>
  <property fmtid="{D5CDD505-2E9C-101B-9397-08002B2CF9AE}" pid="4" name="Classification">
    <vt:lpwstr>OFFICIAL</vt:lpwstr>
  </property>
  <property fmtid="{D5CDD505-2E9C-101B-9397-08002B2CF9AE}" pid="5" name="Visibility">
    <vt:lpwstr>NOT VISIBLE</vt:lpwstr>
  </property>
</Properties>
</file>