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C2259E" w14:textId="117DBDF8" w:rsidR="006D3764" w:rsidRDefault="006D3764" w:rsidP="006D3764">
      <w:pPr>
        <w:pStyle w:val="Heading1"/>
      </w:pPr>
      <w:r w:rsidRPr="006D3764">
        <w:t>LDE Assignment 1</w:t>
      </w:r>
    </w:p>
    <w:p w14:paraId="67627D63" w14:textId="77777777" w:rsidR="006D3764" w:rsidRDefault="006D3764">
      <w:pPr>
        <w:rPr>
          <w:sz w:val="28"/>
          <w:szCs w:val="28"/>
        </w:rPr>
      </w:pPr>
    </w:p>
    <w:p w14:paraId="379D53D1" w14:textId="2A1C2087" w:rsidR="006D3764" w:rsidRDefault="006D3764">
      <w:pPr>
        <w:rPr>
          <w:b/>
          <w:bCs/>
        </w:rPr>
      </w:pPr>
      <w:r w:rsidRPr="006D3764">
        <w:rPr>
          <w:b/>
          <w:bCs/>
        </w:rPr>
        <w:t>Essential skills for study and employment in Cyber Security</w:t>
      </w:r>
    </w:p>
    <w:p w14:paraId="11CC2031" w14:textId="0284F3A0" w:rsidR="006D3764" w:rsidRDefault="006D3764">
      <w:r>
        <w:t>Careers in Cyber Security requires a wide variety of strong technical knowledge, but employers also heavily value transferable skills as well.  Cottrell makes the point that employability skills such as critical thinking, communication, teamwork</w:t>
      </w:r>
      <w:r w:rsidR="00104096">
        <w:t xml:space="preserve"> and time management are enhanced alongside subject knowledge whilst undertaking studies [1].   This is important in the Cyber Security field where analysts are expected to explain risks to non-technical staff as well as investigate them.</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0A730C" w14:paraId="7D24E78E" w14:textId="77777777" w:rsidTr="00A64B0B">
        <w:tc>
          <w:tcPr>
            <w:tcW w:w="9026" w:type="dxa"/>
            <w:gridSpan w:val="2"/>
            <w:tcBorders>
              <w:top w:val="single" w:sz="24" w:space="0" w:color="FFFFFF"/>
              <w:left w:val="single" w:sz="24" w:space="0" w:color="FFFFFF"/>
              <w:bottom w:val="single" w:sz="24" w:space="0" w:color="FFFFFF"/>
              <w:right w:val="single" w:sz="24" w:space="0" w:color="FFFFFF"/>
            </w:tcBorders>
            <w:shd w:val="clear" w:color="auto" w:fill="1E3A5F"/>
            <w:tcMar>
              <w:top w:w="100" w:type="dxa"/>
              <w:left w:w="120" w:type="dxa"/>
              <w:bottom w:w="100" w:type="dxa"/>
              <w:right w:w="120" w:type="dxa"/>
            </w:tcMar>
            <w:vAlign w:val="center"/>
          </w:tcPr>
          <w:p w14:paraId="070F9DC9" w14:textId="77777777" w:rsidR="000A730C" w:rsidRDefault="000A730C" w:rsidP="00A54A79">
            <w:r>
              <w:t>Essential Skills for Cybersecurity Careers</w:t>
            </w:r>
          </w:p>
        </w:tc>
      </w:tr>
      <w:tr w:rsidR="000A730C" w14:paraId="040F0D9A" w14:textId="77777777" w:rsidTr="00A64B0B">
        <w:tc>
          <w:tcPr>
            <w:tcW w:w="4513" w:type="dxa"/>
            <w:tcBorders>
              <w:top w:val="single" w:sz="24" w:space="0" w:color="FFFFFF"/>
              <w:left w:val="single" w:sz="24" w:space="0" w:color="FFFFFF"/>
              <w:bottom w:val="single" w:sz="24" w:space="0" w:color="FFFFFF"/>
              <w:right w:val="single" w:sz="24" w:space="0" w:color="FFFFFF"/>
            </w:tcBorders>
            <w:shd w:val="clear" w:color="auto" w:fill="0F766E"/>
            <w:tcMar>
              <w:top w:w="100" w:type="dxa"/>
              <w:left w:w="120" w:type="dxa"/>
              <w:bottom w:w="100" w:type="dxa"/>
              <w:right w:w="120" w:type="dxa"/>
            </w:tcMar>
            <w:vAlign w:val="center"/>
          </w:tcPr>
          <w:p w14:paraId="0BD433FE" w14:textId="77777777" w:rsidR="000A730C" w:rsidRDefault="000A730C" w:rsidP="00A54A79">
            <w:r>
              <w:rPr>
                <w:sz w:val="22"/>
                <w:szCs w:val="22"/>
              </w:rPr>
              <w:t>Technical Skills</w:t>
            </w:r>
          </w:p>
        </w:tc>
        <w:tc>
          <w:tcPr>
            <w:tcW w:w="4513" w:type="dxa"/>
            <w:tcBorders>
              <w:top w:val="single" w:sz="24" w:space="0" w:color="FFFFFF"/>
              <w:left w:val="single" w:sz="24" w:space="0" w:color="FFFFFF"/>
              <w:bottom w:val="single" w:sz="24" w:space="0" w:color="FFFFFF"/>
              <w:right w:val="single" w:sz="24" w:space="0" w:color="FFFFFF"/>
            </w:tcBorders>
            <w:shd w:val="clear" w:color="auto" w:fill="C2410C"/>
            <w:tcMar>
              <w:top w:w="100" w:type="dxa"/>
              <w:left w:w="120" w:type="dxa"/>
              <w:bottom w:w="100" w:type="dxa"/>
              <w:right w:w="120" w:type="dxa"/>
            </w:tcMar>
            <w:vAlign w:val="center"/>
          </w:tcPr>
          <w:p w14:paraId="66DB3F0F" w14:textId="77777777" w:rsidR="000A730C" w:rsidRDefault="000A730C" w:rsidP="00A54A79">
            <w:r>
              <w:rPr>
                <w:sz w:val="22"/>
                <w:szCs w:val="22"/>
              </w:rPr>
              <w:t>Transferable Skills</w:t>
            </w:r>
          </w:p>
        </w:tc>
      </w:tr>
      <w:tr w:rsidR="000A730C" w14:paraId="026C57E3" w14:textId="77777777" w:rsidTr="00A64B0B">
        <w:tc>
          <w:tcPr>
            <w:tcW w:w="4513" w:type="dxa"/>
            <w:tcBorders>
              <w:top w:val="single" w:sz="24" w:space="0" w:color="FFFFFF"/>
              <w:left w:val="single" w:sz="24" w:space="0" w:color="FFFFFF"/>
              <w:bottom w:val="single" w:sz="24" w:space="0" w:color="FFFFFF"/>
              <w:right w:val="single" w:sz="24" w:space="0" w:color="FFFFFF"/>
            </w:tcBorders>
            <w:shd w:val="clear" w:color="auto" w:fill="CCFBF1"/>
            <w:tcMar>
              <w:top w:w="100" w:type="dxa"/>
              <w:left w:w="120" w:type="dxa"/>
              <w:bottom w:w="100" w:type="dxa"/>
              <w:right w:w="120" w:type="dxa"/>
            </w:tcMar>
            <w:vAlign w:val="center"/>
          </w:tcPr>
          <w:p w14:paraId="508976AE" w14:textId="77777777" w:rsidR="000A730C" w:rsidRDefault="000A730C" w:rsidP="00A54A79">
            <w:r>
              <w:rPr>
                <w:color w:val="1F2937"/>
                <w:sz w:val="20"/>
                <w:szCs w:val="20"/>
              </w:rPr>
              <w:t>Networking and protocols</w:t>
            </w:r>
          </w:p>
        </w:tc>
        <w:tc>
          <w:tcPr>
            <w:tcW w:w="4513" w:type="dxa"/>
            <w:tcBorders>
              <w:top w:val="single" w:sz="24" w:space="0" w:color="FFFFFF"/>
              <w:left w:val="single" w:sz="24" w:space="0" w:color="FFFFFF"/>
              <w:bottom w:val="single" w:sz="24" w:space="0" w:color="FFFFFF"/>
              <w:right w:val="single" w:sz="24" w:space="0" w:color="FFFFFF"/>
            </w:tcBorders>
            <w:shd w:val="clear" w:color="auto" w:fill="FFEDD5"/>
            <w:tcMar>
              <w:top w:w="100" w:type="dxa"/>
              <w:left w:w="120" w:type="dxa"/>
              <w:bottom w:w="100" w:type="dxa"/>
              <w:right w:w="120" w:type="dxa"/>
            </w:tcMar>
            <w:vAlign w:val="center"/>
          </w:tcPr>
          <w:p w14:paraId="449AD1B8" w14:textId="77777777" w:rsidR="000A730C" w:rsidRDefault="000A730C" w:rsidP="00A54A79">
            <w:r>
              <w:rPr>
                <w:color w:val="1F2937"/>
                <w:sz w:val="20"/>
                <w:szCs w:val="20"/>
              </w:rPr>
              <w:t>Communication with non-technical staff</w:t>
            </w:r>
          </w:p>
        </w:tc>
      </w:tr>
      <w:tr w:rsidR="000A730C" w14:paraId="58714627" w14:textId="77777777" w:rsidTr="00A64B0B">
        <w:tc>
          <w:tcPr>
            <w:tcW w:w="4513" w:type="dxa"/>
            <w:tcBorders>
              <w:top w:val="single" w:sz="24" w:space="0" w:color="FFFFFF"/>
              <w:left w:val="single" w:sz="24" w:space="0" w:color="FFFFFF"/>
              <w:bottom w:val="single" w:sz="24" w:space="0" w:color="FFFFFF"/>
              <w:right w:val="single" w:sz="24" w:space="0" w:color="FFFFFF"/>
            </w:tcBorders>
            <w:shd w:val="clear" w:color="auto" w:fill="CCFBF1"/>
            <w:tcMar>
              <w:top w:w="100" w:type="dxa"/>
              <w:left w:w="120" w:type="dxa"/>
              <w:bottom w:w="100" w:type="dxa"/>
              <w:right w:w="120" w:type="dxa"/>
            </w:tcMar>
            <w:vAlign w:val="center"/>
          </w:tcPr>
          <w:p w14:paraId="1174635A" w14:textId="77777777" w:rsidR="000A730C" w:rsidRDefault="000A730C" w:rsidP="00A54A79">
            <w:r>
              <w:rPr>
                <w:color w:val="1F2937"/>
                <w:sz w:val="20"/>
                <w:szCs w:val="20"/>
              </w:rPr>
              <w:t>Operating systems (Linux and Windows)</w:t>
            </w:r>
          </w:p>
        </w:tc>
        <w:tc>
          <w:tcPr>
            <w:tcW w:w="4513" w:type="dxa"/>
            <w:tcBorders>
              <w:top w:val="single" w:sz="24" w:space="0" w:color="FFFFFF"/>
              <w:left w:val="single" w:sz="24" w:space="0" w:color="FFFFFF"/>
              <w:bottom w:val="single" w:sz="24" w:space="0" w:color="FFFFFF"/>
              <w:right w:val="single" w:sz="24" w:space="0" w:color="FFFFFF"/>
            </w:tcBorders>
            <w:shd w:val="clear" w:color="auto" w:fill="FFEDD5"/>
            <w:tcMar>
              <w:top w:w="100" w:type="dxa"/>
              <w:left w:w="120" w:type="dxa"/>
              <w:bottom w:w="100" w:type="dxa"/>
              <w:right w:w="120" w:type="dxa"/>
            </w:tcMar>
            <w:vAlign w:val="center"/>
          </w:tcPr>
          <w:p w14:paraId="39143CE7" w14:textId="77777777" w:rsidR="000A730C" w:rsidRDefault="000A730C" w:rsidP="00A54A79">
            <w:r>
              <w:rPr>
                <w:color w:val="1F2937"/>
                <w:sz w:val="20"/>
                <w:szCs w:val="20"/>
              </w:rPr>
              <w:t>Teamwork</w:t>
            </w:r>
          </w:p>
        </w:tc>
      </w:tr>
      <w:tr w:rsidR="000A730C" w14:paraId="67C324E0" w14:textId="77777777" w:rsidTr="00A64B0B">
        <w:tc>
          <w:tcPr>
            <w:tcW w:w="4513" w:type="dxa"/>
            <w:tcBorders>
              <w:top w:val="single" w:sz="24" w:space="0" w:color="FFFFFF"/>
              <w:left w:val="single" w:sz="24" w:space="0" w:color="FFFFFF"/>
              <w:bottom w:val="single" w:sz="24" w:space="0" w:color="FFFFFF"/>
              <w:right w:val="single" w:sz="24" w:space="0" w:color="FFFFFF"/>
            </w:tcBorders>
            <w:shd w:val="clear" w:color="auto" w:fill="CCFBF1"/>
            <w:tcMar>
              <w:top w:w="100" w:type="dxa"/>
              <w:left w:w="120" w:type="dxa"/>
              <w:bottom w:w="100" w:type="dxa"/>
              <w:right w:w="120" w:type="dxa"/>
            </w:tcMar>
            <w:vAlign w:val="center"/>
          </w:tcPr>
          <w:p w14:paraId="0C9D3703" w14:textId="77777777" w:rsidR="000A730C" w:rsidRDefault="000A730C" w:rsidP="00A54A79">
            <w:r>
              <w:rPr>
                <w:color w:val="1F2937"/>
                <w:sz w:val="20"/>
                <w:szCs w:val="20"/>
              </w:rPr>
              <w:t>Python scripting</w:t>
            </w:r>
          </w:p>
        </w:tc>
        <w:tc>
          <w:tcPr>
            <w:tcW w:w="4513" w:type="dxa"/>
            <w:tcBorders>
              <w:top w:val="single" w:sz="24" w:space="0" w:color="FFFFFF"/>
              <w:left w:val="single" w:sz="24" w:space="0" w:color="FFFFFF"/>
              <w:bottom w:val="single" w:sz="24" w:space="0" w:color="FFFFFF"/>
              <w:right w:val="single" w:sz="24" w:space="0" w:color="FFFFFF"/>
            </w:tcBorders>
            <w:shd w:val="clear" w:color="auto" w:fill="FFEDD5"/>
            <w:tcMar>
              <w:top w:w="100" w:type="dxa"/>
              <w:left w:w="120" w:type="dxa"/>
              <w:bottom w:w="100" w:type="dxa"/>
              <w:right w:w="120" w:type="dxa"/>
            </w:tcMar>
            <w:vAlign w:val="center"/>
          </w:tcPr>
          <w:p w14:paraId="065436B3" w14:textId="77777777" w:rsidR="000A730C" w:rsidRDefault="000A730C" w:rsidP="00A54A79">
            <w:r>
              <w:rPr>
                <w:color w:val="1F2937"/>
                <w:sz w:val="20"/>
                <w:szCs w:val="20"/>
              </w:rPr>
              <w:t>Critical thinking and problem-solving</w:t>
            </w:r>
          </w:p>
        </w:tc>
      </w:tr>
      <w:tr w:rsidR="000A730C" w14:paraId="04524B23" w14:textId="77777777" w:rsidTr="00A64B0B">
        <w:tc>
          <w:tcPr>
            <w:tcW w:w="4513" w:type="dxa"/>
            <w:tcBorders>
              <w:top w:val="single" w:sz="24" w:space="0" w:color="FFFFFF"/>
              <w:left w:val="single" w:sz="24" w:space="0" w:color="FFFFFF"/>
              <w:bottom w:val="single" w:sz="24" w:space="0" w:color="FFFFFF"/>
              <w:right w:val="single" w:sz="24" w:space="0" w:color="FFFFFF"/>
            </w:tcBorders>
            <w:shd w:val="clear" w:color="auto" w:fill="CCFBF1"/>
            <w:tcMar>
              <w:top w:w="100" w:type="dxa"/>
              <w:left w:w="120" w:type="dxa"/>
              <w:bottom w:w="100" w:type="dxa"/>
              <w:right w:w="120" w:type="dxa"/>
            </w:tcMar>
            <w:vAlign w:val="center"/>
          </w:tcPr>
          <w:p w14:paraId="446A99E3" w14:textId="77777777" w:rsidR="000A730C" w:rsidRDefault="000A730C" w:rsidP="00A54A79">
            <w:r>
              <w:rPr>
                <w:color w:val="1F2937"/>
                <w:sz w:val="20"/>
                <w:szCs w:val="20"/>
              </w:rPr>
              <w:t>Cloud platforms</w:t>
            </w:r>
          </w:p>
        </w:tc>
        <w:tc>
          <w:tcPr>
            <w:tcW w:w="4513" w:type="dxa"/>
            <w:tcBorders>
              <w:top w:val="single" w:sz="24" w:space="0" w:color="FFFFFF"/>
              <w:left w:val="single" w:sz="24" w:space="0" w:color="FFFFFF"/>
              <w:bottom w:val="single" w:sz="24" w:space="0" w:color="FFFFFF"/>
              <w:right w:val="single" w:sz="24" w:space="0" w:color="FFFFFF"/>
            </w:tcBorders>
            <w:shd w:val="clear" w:color="auto" w:fill="FFEDD5"/>
            <w:tcMar>
              <w:top w:w="100" w:type="dxa"/>
              <w:left w:w="120" w:type="dxa"/>
              <w:bottom w:w="100" w:type="dxa"/>
              <w:right w:w="120" w:type="dxa"/>
            </w:tcMar>
            <w:vAlign w:val="center"/>
          </w:tcPr>
          <w:p w14:paraId="489E849D" w14:textId="77777777" w:rsidR="000A730C" w:rsidRDefault="000A730C" w:rsidP="00A54A79">
            <w:r>
              <w:rPr>
                <w:color w:val="1F2937"/>
                <w:sz w:val="20"/>
                <w:szCs w:val="20"/>
              </w:rPr>
              <w:t>Adaptability</w:t>
            </w:r>
          </w:p>
        </w:tc>
      </w:tr>
      <w:tr w:rsidR="000A730C" w14:paraId="05F7299F" w14:textId="77777777" w:rsidTr="00A64B0B">
        <w:tc>
          <w:tcPr>
            <w:tcW w:w="4513" w:type="dxa"/>
            <w:tcBorders>
              <w:top w:val="single" w:sz="24" w:space="0" w:color="FFFFFF"/>
              <w:left w:val="single" w:sz="24" w:space="0" w:color="FFFFFF"/>
              <w:bottom w:val="single" w:sz="24" w:space="0" w:color="FFFFFF"/>
              <w:right w:val="single" w:sz="24" w:space="0" w:color="FFFFFF"/>
            </w:tcBorders>
            <w:shd w:val="clear" w:color="auto" w:fill="CCFBF1"/>
            <w:tcMar>
              <w:top w:w="100" w:type="dxa"/>
              <w:left w:w="120" w:type="dxa"/>
              <w:bottom w:w="100" w:type="dxa"/>
              <w:right w:w="120" w:type="dxa"/>
            </w:tcMar>
            <w:vAlign w:val="center"/>
          </w:tcPr>
          <w:p w14:paraId="641937DB" w14:textId="77777777" w:rsidR="000A730C" w:rsidRDefault="000A730C" w:rsidP="00A54A79">
            <w:r>
              <w:rPr>
                <w:color w:val="1F2937"/>
                <w:sz w:val="20"/>
                <w:szCs w:val="20"/>
              </w:rPr>
              <w:t>Log analysis and threat detection</w:t>
            </w:r>
          </w:p>
        </w:tc>
        <w:tc>
          <w:tcPr>
            <w:tcW w:w="4513" w:type="dxa"/>
            <w:tcBorders>
              <w:top w:val="single" w:sz="24" w:space="0" w:color="FFFFFF"/>
              <w:left w:val="single" w:sz="24" w:space="0" w:color="FFFFFF"/>
              <w:bottom w:val="single" w:sz="24" w:space="0" w:color="FFFFFF"/>
              <w:right w:val="single" w:sz="24" w:space="0" w:color="FFFFFF"/>
            </w:tcBorders>
            <w:shd w:val="clear" w:color="auto" w:fill="FFEDD5"/>
            <w:tcMar>
              <w:top w:w="100" w:type="dxa"/>
              <w:left w:w="120" w:type="dxa"/>
              <w:bottom w:w="100" w:type="dxa"/>
              <w:right w:w="120" w:type="dxa"/>
            </w:tcMar>
            <w:vAlign w:val="center"/>
          </w:tcPr>
          <w:p w14:paraId="3680CAF7" w14:textId="77777777" w:rsidR="000A730C" w:rsidRDefault="000A730C" w:rsidP="00A54A79">
            <w:r>
              <w:rPr>
                <w:color w:val="1F2937"/>
                <w:sz w:val="20"/>
                <w:szCs w:val="20"/>
              </w:rPr>
              <w:t>Attention to detail</w:t>
            </w:r>
          </w:p>
        </w:tc>
      </w:tr>
      <w:tr w:rsidR="000A730C" w14:paraId="14A9BE0B" w14:textId="77777777" w:rsidTr="00A64B0B">
        <w:tc>
          <w:tcPr>
            <w:tcW w:w="4513" w:type="dxa"/>
            <w:tcBorders>
              <w:top w:val="single" w:sz="24" w:space="0" w:color="FFFFFF"/>
              <w:left w:val="single" w:sz="24" w:space="0" w:color="FFFFFF"/>
              <w:bottom w:val="single" w:sz="24" w:space="0" w:color="FFFFFF"/>
              <w:right w:val="single" w:sz="24" w:space="0" w:color="FFFFFF"/>
            </w:tcBorders>
            <w:shd w:val="clear" w:color="auto" w:fill="CCFBF1"/>
            <w:tcMar>
              <w:top w:w="100" w:type="dxa"/>
              <w:left w:w="120" w:type="dxa"/>
              <w:bottom w:w="100" w:type="dxa"/>
              <w:right w:w="120" w:type="dxa"/>
            </w:tcMar>
            <w:vAlign w:val="center"/>
          </w:tcPr>
          <w:p w14:paraId="76045B9A" w14:textId="77777777" w:rsidR="000A730C" w:rsidRDefault="000A730C" w:rsidP="00A54A79">
            <w:r>
              <w:rPr>
                <w:color w:val="1F2937"/>
                <w:sz w:val="20"/>
                <w:szCs w:val="20"/>
              </w:rPr>
              <w:t>Secure coding</w:t>
            </w:r>
          </w:p>
        </w:tc>
        <w:tc>
          <w:tcPr>
            <w:tcW w:w="4513" w:type="dxa"/>
            <w:tcBorders>
              <w:top w:val="single" w:sz="24" w:space="0" w:color="FFFFFF"/>
              <w:left w:val="single" w:sz="24" w:space="0" w:color="FFFFFF"/>
              <w:bottom w:val="single" w:sz="24" w:space="0" w:color="FFFFFF"/>
              <w:right w:val="single" w:sz="24" w:space="0" w:color="FFFFFF"/>
            </w:tcBorders>
            <w:shd w:val="clear" w:color="auto" w:fill="FFEDD5"/>
            <w:tcMar>
              <w:top w:w="100" w:type="dxa"/>
              <w:left w:w="120" w:type="dxa"/>
              <w:bottom w:w="100" w:type="dxa"/>
              <w:right w:w="120" w:type="dxa"/>
            </w:tcMar>
            <w:vAlign w:val="center"/>
          </w:tcPr>
          <w:p w14:paraId="203B0E8B" w14:textId="77777777" w:rsidR="000A730C" w:rsidRDefault="000A730C" w:rsidP="00A54A79">
            <w:r>
              <w:rPr>
                <w:color w:val="1F2937"/>
                <w:sz w:val="20"/>
                <w:szCs w:val="20"/>
              </w:rPr>
              <w:t>Time management</w:t>
            </w:r>
          </w:p>
        </w:tc>
      </w:tr>
      <w:tr w:rsidR="000A730C" w14:paraId="60227394" w14:textId="77777777" w:rsidTr="00A64B0B">
        <w:tc>
          <w:tcPr>
            <w:tcW w:w="9026" w:type="dxa"/>
            <w:gridSpan w:val="2"/>
            <w:tcBorders>
              <w:top w:val="single" w:sz="24" w:space="0" w:color="FFFFFF"/>
              <w:left w:val="single" w:sz="24" w:space="0" w:color="FFFFFF"/>
              <w:bottom w:val="single" w:sz="24" w:space="0" w:color="FFFFFF"/>
              <w:right w:val="single" w:sz="24" w:space="0" w:color="FFFFFF"/>
            </w:tcBorders>
            <w:shd w:val="clear" w:color="auto" w:fill="1E3A5F"/>
            <w:tcMar>
              <w:top w:w="100" w:type="dxa"/>
              <w:left w:w="120" w:type="dxa"/>
              <w:bottom w:w="100" w:type="dxa"/>
              <w:right w:w="120" w:type="dxa"/>
            </w:tcMar>
            <w:vAlign w:val="center"/>
          </w:tcPr>
          <w:p w14:paraId="4EEC73C7" w14:textId="77777777" w:rsidR="000A730C" w:rsidRDefault="000A730C" w:rsidP="00A54A79">
            <w:r>
              <w:rPr>
                <w:sz w:val="20"/>
                <w:szCs w:val="20"/>
              </w:rPr>
              <w:t>Combined, these skills support employability and career progression</w:t>
            </w:r>
          </w:p>
        </w:tc>
      </w:tr>
    </w:tbl>
    <w:p w14:paraId="244B62D4" w14:textId="77777777" w:rsidR="002C6132" w:rsidRDefault="002C6132"/>
    <w:p w14:paraId="05F67F89" w14:textId="4426CBA5" w:rsidR="00104096" w:rsidRDefault="00104096">
      <w:r>
        <w:t xml:space="preserve">ISACA’s research says that soft skills e.g. adaptability were the biggest reported skill gap throughout Cyber Security professionals.  Employers prioritise candidates who show good communication, critical thinking, problem solving, teamwork, as well as attention to detail [2].  Saurbaugh also argues that Cyber Security </w:t>
      </w:r>
      <w:r w:rsidR="00F216E4">
        <w:t>professionals</w:t>
      </w:r>
      <w:r>
        <w:t xml:space="preserve"> </w:t>
      </w:r>
      <w:r w:rsidR="00F216E4">
        <w:t>must</w:t>
      </w:r>
      <w:r>
        <w:t xml:space="preserve"> </w:t>
      </w:r>
      <w:r w:rsidR="00F216E4">
        <w:t>stay up to date and learn new technologies, such as Python and cloud platforms while also improving and actively developing communication and teamwork skills, building networks and gaining increasing knowledge on technical fields [3].</w:t>
      </w:r>
    </w:p>
    <w:p w14:paraId="6572B87B" w14:textId="3EE391D3" w:rsidR="00F216E4" w:rsidRDefault="002D213D">
      <w:r>
        <w:lastRenderedPageBreak/>
        <w:t>These</w:t>
      </w:r>
      <w:r w:rsidR="00BC4302">
        <w:t xml:space="preserve"> skills</w:t>
      </w:r>
      <w:r>
        <w:t xml:space="preserve"> can be</w:t>
      </w:r>
      <w:r w:rsidR="00F216E4">
        <w:t xml:space="preserve"> develop</w:t>
      </w:r>
      <w:r w:rsidR="00BC4302">
        <w:t>ed</w:t>
      </w:r>
      <w:r w:rsidR="00F216E4">
        <w:t xml:space="preserve"> in several ways.  Practical labs and Capture </w:t>
      </w:r>
      <w:r w:rsidR="005741B9">
        <w:t>the</w:t>
      </w:r>
      <w:r w:rsidR="00F216E4">
        <w:t xml:space="preserve"> Flag challenges will improve analytical thinking, problem solving and adaptability.  Group projects such as the next step of this assignment will help build teamworking skills and improve communication.  Writing reports and using IEEE referencing will enhance the accuracy and clarity needed for incident reports in</w:t>
      </w:r>
      <w:r w:rsidR="00E1286A">
        <w:t xml:space="preserve"> the workplace</w:t>
      </w:r>
      <w:r w:rsidR="00F216E4">
        <w:t>.</w:t>
      </w:r>
      <w:r w:rsidR="005741B9">
        <w:t xml:space="preserve">  Planning workload</w:t>
      </w:r>
      <w:r w:rsidR="00E1286A">
        <w:t>s</w:t>
      </w:r>
      <w:r w:rsidR="005741B9">
        <w:t xml:space="preserve"> using Moodle will help build the time management required for incident response deadlines.  During this course </w:t>
      </w:r>
      <w:r w:rsidR="00F075A2">
        <w:t xml:space="preserve">students will </w:t>
      </w:r>
      <w:r w:rsidR="005741B9">
        <w:t xml:space="preserve">be working towards industry certifications </w:t>
      </w:r>
      <w:r w:rsidR="00F075A2">
        <w:t xml:space="preserve">which is why it is essential to keep a </w:t>
      </w:r>
      <w:r w:rsidR="005741B9">
        <w:t>portfolio of lab writeups.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26"/>
        <w:gridCol w:w="560"/>
        <w:gridCol w:w="1827"/>
        <w:gridCol w:w="560"/>
        <w:gridCol w:w="1840"/>
        <w:gridCol w:w="560"/>
        <w:gridCol w:w="1853"/>
      </w:tblGrid>
      <w:tr w:rsidR="00C17E3A" w14:paraId="01610CC1" w14:textId="77777777" w:rsidTr="00A64B0B">
        <w:tc>
          <w:tcPr>
            <w:tcW w:w="1940" w:type="dxa"/>
            <w:tcBorders>
              <w:top w:val="single" w:sz="24" w:space="0" w:color="FFFFFF"/>
              <w:left w:val="single" w:sz="24" w:space="0" w:color="FFFFFF"/>
              <w:bottom w:val="single" w:sz="24" w:space="0" w:color="FFFFFF"/>
              <w:right w:val="single" w:sz="24" w:space="0" w:color="FFFFFF"/>
            </w:tcBorders>
            <w:shd w:val="clear" w:color="auto" w:fill="DBEAFE"/>
            <w:tcMar>
              <w:top w:w="100" w:type="dxa"/>
              <w:left w:w="120" w:type="dxa"/>
              <w:bottom w:w="100" w:type="dxa"/>
              <w:right w:w="120" w:type="dxa"/>
            </w:tcMar>
            <w:vAlign w:val="center"/>
          </w:tcPr>
          <w:p w14:paraId="7208FEE6" w14:textId="77777777" w:rsidR="00C17E3A" w:rsidRDefault="00C17E3A" w:rsidP="00AB79CB">
            <w:r>
              <w:t>1. Study</w:t>
            </w:r>
          </w:p>
          <w:p w14:paraId="5E27B13E" w14:textId="77777777" w:rsidR="00C17E3A" w:rsidRDefault="00C17E3A" w:rsidP="00AB79CB">
            <w:r>
              <w:rPr>
                <w:color w:val="1F2937"/>
                <w:sz w:val="18"/>
                <w:szCs w:val="18"/>
              </w:rPr>
              <w:t>Lectures, labs and IEEE-referenced reports</w:t>
            </w:r>
          </w:p>
        </w:tc>
        <w:tc>
          <w:tcPr>
            <w:tcW w:w="422" w:type="dxa"/>
            <w:tcBorders>
              <w:top w:val="none" w:sz="0" w:space="0" w:color="FFFFFF"/>
              <w:left w:val="none" w:sz="0" w:space="0" w:color="FFFFFF"/>
              <w:bottom w:val="none" w:sz="0" w:space="0" w:color="FFFFFF"/>
              <w:right w:val="none" w:sz="0" w:space="0" w:color="FFFFFF"/>
            </w:tcBorders>
            <w:tcMar>
              <w:top w:w="100" w:type="dxa"/>
              <w:left w:w="120" w:type="dxa"/>
              <w:bottom w:w="100" w:type="dxa"/>
              <w:right w:w="120" w:type="dxa"/>
            </w:tcMar>
            <w:vAlign w:val="center"/>
          </w:tcPr>
          <w:p w14:paraId="33C782BF" w14:textId="77777777" w:rsidR="00C17E3A" w:rsidRDefault="00C17E3A" w:rsidP="00AB79CB">
            <w:r>
              <w:rPr>
                <w:rFonts w:ascii="Segoe UI Symbol" w:hAnsi="Segoe UI Symbol" w:cs="Segoe UI Symbol"/>
                <w:color w:val="64748B"/>
                <w:sz w:val="32"/>
                <w:szCs w:val="32"/>
              </w:rPr>
              <w:t>➜</w:t>
            </w:r>
          </w:p>
        </w:tc>
        <w:tc>
          <w:tcPr>
            <w:tcW w:w="1940" w:type="dxa"/>
            <w:tcBorders>
              <w:top w:val="single" w:sz="24" w:space="0" w:color="FFFFFF"/>
              <w:left w:val="single" w:sz="24" w:space="0" w:color="FFFFFF"/>
              <w:bottom w:val="single" w:sz="24" w:space="0" w:color="FFFFFF"/>
              <w:right w:val="single" w:sz="24" w:space="0" w:color="FFFFFF"/>
            </w:tcBorders>
            <w:shd w:val="clear" w:color="auto" w:fill="CCFBF1"/>
            <w:tcMar>
              <w:top w:w="100" w:type="dxa"/>
              <w:left w:w="120" w:type="dxa"/>
              <w:bottom w:w="100" w:type="dxa"/>
              <w:right w:w="120" w:type="dxa"/>
            </w:tcMar>
            <w:vAlign w:val="center"/>
          </w:tcPr>
          <w:p w14:paraId="07EFB075" w14:textId="77777777" w:rsidR="00C17E3A" w:rsidRDefault="00C17E3A" w:rsidP="00AB79CB">
            <w:r>
              <w:rPr>
                <w:color w:val="0F766E"/>
              </w:rPr>
              <w:t>2. Practice</w:t>
            </w:r>
          </w:p>
          <w:p w14:paraId="11512E88" w14:textId="77777777" w:rsidR="00C17E3A" w:rsidRDefault="00C17E3A" w:rsidP="00AB79CB">
            <w:r>
              <w:rPr>
                <w:color w:val="1F2937"/>
                <w:sz w:val="18"/>
                <w:szCs w:val="18"/>
              </w:rPr>
              <w:t>CTF challenges and group projects</w:t>
            </w:r>
          </w:p>
        </w:tc>
        <w:tc>
          <w:tcPr>
            <w:tcW w:w="422" w:type="dxa"/>
            <w:tcBorders>
              <w:top w:val="none" w:sz="0" w:space="0" w:color="FFFFFF"/>
              <w:left w:val="none" w:sz="0" w:space="0" w:color="FFFFFF"/>
              <w:bottom w:val="none" w:sz="0" w:space="0" w:color="FFFFFF"/>
              <w:right w:val="none" w:sz="0" w:space="0" w:color="FFFFFF"/>
            </w:tcBorders>
            <w:tcMar>
              <w:top w:w="100" w:type="dxa"/>
              <w:left w:w="120" w:type="dxa"/>
              <w:bottom w:w="100" w:type="dxa"/>
              <w:right w:w="120" w:type="dxa"/>
            </w:tcMar>
            <w:vAlign w:val="center"/>
          </w:tcPr>
          <w:p w14:paraId="7272C975" w14:textId="77777777" w:rsidR="00C17E3A" w:rsidRDefault="00C17E3A" w:rsidP="00AB79CB">
            <w:r>
              <w:rPr>
                <w:rFonts w:ascii="Segoe UI Symbol" w:hAnsi="Segoe UI Symbol" w:cs="Segoe UI Symbol"/>
                <w:color w:val="64748B"/>
                <w:sz w:val="32"/>
                <w:szCs w:val="32"/>
              </w:rPr>
              <w:t>➜</w:t>
            </w:r>
          </w:p>
        </w:tc>
        <w:tc>
          <w:tcPr>
            <w:tcW w:w="1940" w:type="dxa"/>
            <w:tcBorders>
              <w:top w:val="single" w:sz="24" w:space="0" w:color="FFFFFF"/>
              <w:left w:val="single" w:sz="24" w:space="0" w:color="FFFFFF"/>
              <w:bottom w:val="single" w:sz="24" w:space="0" w:color="FFFFFF"/>
              <w:right w:val="single" w:sz="24" w:space="0" w:color="FFFFFF"/>
            </w:tcBorders>
            <w:shd w:val="clear" w:color="auto" w:fill="FEF3C7"/>
            <w:tcMar>
              <w:top w:w="100" w:type="dxa"/>
              <w:left w:w="120" w:type="dxa"/>
              <w:bottom w:w="100" w:type="dxa"/>
              <w:right w:w="120" w:type="dxa"/>
            </w:tcMar>
            <w:vAlign w:val="center"/>
          </w:tcPr>
          <w:p w14:paraId="38A7743B" w14:textId="77777777" w:rsidR="00C17E3A" w:rsidRDefault="00C17E3A" w:rsidP="00AB79CB">
            <w:r>
              <w:rPr>
                <w:color w:val="B45309"/>
              </w:rPr>
              <w:t>3. Evidence</w:t>
            </w:r>
          </w:p>
          <w:p w14:paraId="0B22D67A" w14:textId="41EFB0A4" w:rsidR="00C17E3A" w:rsidRDefault="00AB79CB" w:rsidP="00AB79CB">
            <w:r>
              <w:rPr>
                <w:color w:val="1F2937"/>
                <w:sz w:val="18"/>
                <w:szCs w:val="18"/>
              </w:rPr>
              <w:t>Keep a Moodle</w:t>
            </w:r>
            <w:r w:rsidR="00C17E3A">
              <w:rPr>
                <w:color w:val="1F2937"/>
                <w:sz w:val="18"/>
                <w:szCs w:val="18"/>
              </w:rPr>
              <w:t xml:space="preserve"> and a lab portfolio</w:t>
            </w:r>
          </w:p>
        </w:tc>
        <w:tc>
          <w:tcPr>
            <w:tcW w:w="422" w:type="dxa"/>
            <w:tcBorders>
              <w:top w:val="none" w:sz="0" w:space="0" w:color="FFFFFF"/>
              <w:left w:val="none" w:sz="0" w:space="0" w:color="FFFFFF"/>
              <w:bottom w:val="none" w:sz="0" w:space="0" w:color="FFFFFF"/>
              <w:right w:val="none" w:sz="0" w:space="0" w:color="FFFFFF"/>
            </w:tcBorders>
            <w:tcMar>
              <w:top w:w="100" w:type="dxa"/>
              <w:left w:w="120" w:type="dxa"/>
              <w:bottom w:w="100" w:type="dxa"/>
              <w:right w:w="120" w:type="dxa"/>
            </w:tcMar>
            <w:vAlign w:val="center"/>
          </w:tcPr>
          <w:p w14:paraId="528AAE08" w14:textId="77777777" w:rsidR="00C17E3A" w:rsidRDefault="00C17E3A" w:rsidP="00AB79CB">
            <w:r>
              <w:rPr>
                <w:rFonts w:ascii="Segoe UI Symbol" w:hAnsi="Segoe UI Symbol" w:cs="Segoe UI Symbol"/>
                <w:color w:val="64748B"/>
                <w:sz w:val="32"/>
                <w:szCs w:val="32"/>
              </w:rPr>
              <w:t>➜</w:t>
            </w:r>
          </w:p>
        </w:tc>
        <w:tc>
          <w:tcPr>
            <w:tcW w:w="1940" w:type="dxa"/>
            <w:tcBorders>
              <w:top w:val="single" w:sz="24" w:space="0" w:color="FFFFFF"/>
              <w:left w:val="single" w:sz="24" w:space="0" w:color="FFFFFF"/>
              <w:bottom w:val="single" w:sz="24" w:space="0" w:color="FFFFFF"/>
              <w:right w:val="single" w:sz="24" w:space="0" w:color="FFFFFF"/>
            </w:tcBorders>
            <w:shd w:val="clear" w:color="auto" w:fill="FFEDD5"/>
            <w:tcMar>
              <w:top w:w="100" w:type="dxa"/>
              <w:left w:w="120" w:type="dxa"/>
              <w:bottom w:w="100" w:type="dxa"/>
              <w:right w:w="120" w:type="dxa"/>
            </w:tcMar>
            <w:vAlign w:val="center"/>
          </w:tcPr>
          <w:p w14:paraId="2D434D16" w14:textId="77777777" w:rsidR="00C17E3A" w:rsidRDefault="00C17E3A" w:rsidP="00AB79CB">
            <w:r>
              <w:rPr>
                <w:color w:val="C2410C"/>
              </w:rPr>
              <w:t>4. Career</w:t>
            </w:r>
          </w:p>
          <w:p w14:paraId="09F11937" w14:textId="77777777" w:rsidR="00C17E3A" w:rsidRDefault="00C17E3A" w:rsidP="00AB79CB">
            <w:r>
              <w:rPr>
                <w:color w:val="1F2937"/>
                <w:sz w:val="18"/>
                <w:szCs w:val="18"/>
              </w:rPr>
              <w:t>Graduate role in cybersecurity</w:t>
            </w:r>
          </w:p>
        </w:tc>
      </w:tr>
    </w:tbl>
    <w:p w14:paraId="36DDB22B" w14:textId="77777777" w:rsidR="00C17E3A" w:rsidRDefault="00C17E3A"/>
    <w:p w14:paraId="60113F28" w14:textId="673A3AEC" w:rsidR="005741B9" w:rsidRDefault="005741B9">
      <w:r w:rsidRPr="005741B9">
        <w:t>Generative AI is now part of professional practice. It can help explain concepts and speed up analysis, but it can produce incorrect or insecure output, and sensitive data must never be entered into public tools. I</w:t>
      </w:r>
      <w:r w:rsidR="00093D13">
        <w:t xml:space="preserve">t </w:t>
      </w:r>
      <w:r w:rsidR="003D07A8">
        <w:t>is</w:t>
      </w:r>
      <w:r w:rsidRPr="005741B9">
        <w:t xml:space="preserve"> therefore </w:t>
      </w:r>
      <w:r w:rsidR="003D07A8">
        <w:t xml:space="preserve">essential to </w:t>
      </w:r>
      <w:r w:rsidRPr="005741B9">
        <w:t>verify, acknowledge and cite its use [4].</w:t>
      </w:r>
    </w:p>
    <w:p w14:paraId="7ED0BF2A" w14:textId="4A7ADC5F" w:rsidR="005741B9" w:rsidRDefault="005741B9">
      <w:r>
        <w:t xml:space="preserve">After graduation, the skills talked about above will help </w:t>
      </w:r>
      <w:r w:rsidR="003B6961">
        <w:t xml:space="preserve">students undertaking the course </w:t>
      </w:r>
      <w:r>
        <w:t xml:space="preserve">thrive in </w:t>
      </w:r>
      <w:r w:rsidR="003D07A8">
        <w:t>the</w:t>
      </w:r>
      <w:r>
        <w:t xml:space="preserve"> chosen sector.  They will help communicate findings, work in teams under pressure, and keep up with the fats changing cyber landscape.</w:t>
      </w:r>
    </w:p>
    <w:p w14:paraId="076DE0DC" w14:textId="77777777" w:rsidR="005741B9" w:rsidRPr="005741B9" w:rsidRDefault="005741B9" w:rsidP="005741B9">
      <w:pPr>
        <w:rPr>
          <w:b/>
          <w:bCs/>
        </w:rPr>
      </w:pPr>
      <w:r w:rsidRPr="005741B9">
        <w:rPr>
          <w:b/>
          <w:bCs/>
        </w:rPr>
        <w:t>References (IEEE – numbered in order of first citation)</w:t>
      </w:r>
    </w:p>
    <w:p w14:paraId="1D5800AF" w14:textId="77777777" w:rsidR="005741B9" w:rsidRPr="005741B9" w:rsidRDefault="005741B9" w:rsidP="005741B9">
      <w:r w:rsidRPr="005741B9">
        <w:t>[1] S. Cottrell, </w:t>
      </w:r>
      <w:r w:rsidRPr="005741B9">
        <w:rPr>
          <w:i/>
          <w:iCs/>
        </w:rPr>
        <w:t>The Study Skills Handbook</w:t>
      </w:r>
      <w:r w:rsidRPr="005741B9">
        <w:t>, 5th ed. London, U.K.: Red Globe Press, 2019.</w:t>
      </w:r>
    </w:p>
    <w:p w14:paraId="541F0C38" w14:textId="77777777" w:rsidR="005741B9" w:rsidRPr="005741B9" w:rsidRDefault="005741B9" w:rsidP="005741B9">
      <w:r w:rsidRPr="005741B9">
        <w:t>[2] ISACA, "New ISACA research: 59 percent of cybersecurity teams are understaffed," ISACA, Schaumburg, IL, USA, Oct. 2, 2023. [Online]. Available: </w:t>
      </w:r>
      <w:hyperlink r:id="rId9" w:tgtFrame="_blank" w:history="1">
        <w:r w:rsidRPr="005741B9">
          <w:rPr>
            <w:rStyle w:val="Hyperlink"/>
          </w:rPr>
          <w:t>https://www.isaca.org/about-us/newsroom/press-releases/2023/new-isaca-research-59-percent-of-cybersecurity-teams-are-understaffed</w:t>
        </w:r>
      </w:hyperlink>
      <w:r w:rsidRPr="005741B9">
        <w:t>. [Accessed: Oct. 3, 2026].</w:t>
      </w:r>
    </w:p>
    <w:p w14:paraId="4624A798" w14:textId="77777777" w:rsidR="005741B9" w:rsidRPr="005741B9" w:rsidRDefault="005741B9" w:rsidP="005741B9">
      <w:r w:rsidRPr="005741B9">
        <w:t>[3] M. Saurbaugh, "Future-proofing a career in cybersecurity: The skills gap," </w:t>
      </w:r>
      <w:r w:rsidRPr="005741B9">
        <w:rPr>
          <w:i/>
          <w:iCs/>
        </w:rPr>
        <w:t>ISACA Journal</w:t>
      </w:r>
      <w:r w:rsidRPr="005741B9">
        <w:t>, vol. 6, Nov. 2018. [Online]. Available: </w:t>
      </w:r>
      <w:hyperlink r:id="rId10" w:tgtFrame="_blank" w:history="1">
        <w:r w:rsidRPr="005741B9">
          <w:rPr>
            <w:rStyle w:val="Hyperlink"/>
          </w:rPr>
          <w:t>https://www.isaca.org/resources/isaca-journal/issues/2018/volume-6/future-proofing-a-career-in-cybersecurity-the-skills-gap</w:t>
        </w:r>
      </w:hyperlink>
    </w:p>
    <w:p w14:paraId="073E579A" w14:textId="5EDC5303" w:rsidR="005741B9" w:rsidRDefault="005741B9" w:rsidP="005741B9">
      <w:r w:rsidRPr="005741B9">
        <w:t>[4] Anthropic, "Claude Sonnet 5.5," AI language model, response to prompt "</w:t>
      </w:r>
      <w:r>
        <w:t>How should I use generative AI effectively during my studies</w:t>
      </w:r>
      <w:r w:rsidRPr="005741B9">
        <w:t>," Oct. 3, 2026. [Online]. Available: </w:t>
      </w:r>
      <w:hyperlink r:id="rId11" w:tgtFrame="_blank" w:history="1">
        <w:r w:rsidRPr="005741B9">
          <w:rPr>
            <w:rStyle w:val="Hyperlink"/>
          </w:rPr>
          <w:t>https://claude.ai</w:t>
        </w:r>
      </w:hyperlink>
      <w:r w:rsidRPr="005741B9">
        <w:t>.</w:t>
      </w:r>
    </w:p>
    <w:p w14:paraId="02B779B0" w14:textId="254DAAE7" w:rsidR="0007534F" w:rsidRDefault="0007534F" w:rsidP="005741B9">
      <w:r w:rsidRPr="0007534F">
        <w:t xml:space="preserve">[5] OpenAI, "ChatGPT," OpenAI. [Online]. Available: </w:t>
      </w:r>
      <w:hyperlink r:id="rId12" w:history="1">
        <w:r w:rsidRPr="0007534F">
          <w:rPr>
            <w:rStyle w:val="Hyperlink"/>
          </w:rPr>
          <w:t>https://openai.com/chatgpt/</w:t>
        </w:r>
      </w:hyperlink>
      <w:r w:rsidRPr="0007534F">
        <w:t>. [Accessed: Oct. 6, 2026].</w:t>
      </w:r>
    </w:p>
    <w:p w14:paraId="355B915C" w14:textId="77777777" w:rsidR="0007534F" w:rsidRPr="0007534F" w:rsidRDefault="0007534F" w:rsidP="0007534F">
      <w:r w:rsidRPr="0007534F">
        <w:lastRenderedPageBreak/>
        <w:t xml:space="preserve">[6] Anthropic, "Meet Claude," Anthropic. [Online]. Available: </w:t>
      </w:r>
      <w:hyperlink r:id="rId13" w:history="1">
        <w:r w:rsidRPr="0007534F">
          <w:rPr>
            <w:rStyle w:val="Hyperlink"/>
          </w:rPr>
          <w:t>https://www.anthropic.com/claude</w:t>
        </w:r>
      </w:hyperlink>
      <w:r w:rsidRPr="0007534F">
        <w:t>. [Accessed: Oct. 6, 2026].</w:t>
      </w:r>
    </w:p>
    <w:p w14:paraId="14E44E3E" w14:textId="77777777" w:rsidR="0007534F" w:rsidRPr="0007534F" w:rsidRDefault="0007534F" w:rsidP="0007534F">
      <w:r w:rsidRPr="0007534F">
        <w:t xml:space="preserve">[7] Google, "Gemini," Google. [Online]. Available: </w:t>
      </w:r>
      <w:hyperlink r:id="rId14" w:history="1">
        <w:r w:rsidRPr="0007534F">
          <w:rPr>
            <w:rStyle w:val="Hyperlink"/>
          </w:rPr>
          <w:t>https://gemini.google.com/</w:t>
        </w:r>
      </w:hyperlink>
      <w:r w:rsidRPr="0007534F">
        <w:t>. [Accessed: Oct. 6, 2026].</w:t>
      </w:r>
    </w:p>
    <w:p w14:paraId="159A4F82" w14:textId="77777777" w:rsidR="0007534F" w:rsidRDefault="0007534F" w:rsidP="0007534F">
      <w:r w:rsidRPr="0007534F">
        <w:t xml:space="preserve">[8] Microsoft, "Microsoft Copilot," Microsoft. [Online]. Available: </w:t>
      </w:r>
      <w:hyperlink r:id="rId15" w:history="1">
        <w:r w:rsidRPr="0007534F">
          <w:rPr>
            <w:rStyle w:val="Hyperlink"/>
          </w:rPr>
          <w:t>https://www.microsoft.com/en-gb/microsoft-copilot</w:t>
        </w:r>
      </w:hyperlink>
      <w:r w:rsidRPr="0007534F">
        <w:t>. [Accessed: Oct. 6, 2026].</w:t>
      </w:r>
    </w:p>
    <w:p w14:paraId="6D86B352" w14:textId="2C247EF2" w:rsidR="001F50FE" w:rsidRPr="001F50FE" w:rsidRDefault="001F50FE" w:rsidP="001F50FE">
      <w:r w:rsidRPr="001F50FE">
        <w:t>[9] Anthropic, "Claude Opus 5.5," AI language model, response to prompt "</w:t>
      </w:r>
      <w:r w:rsidR="00C65147" w:rsidRPr="00C65147">
        <w:rPr>
          <w:rFonts w:ascii="Segoe UI" w:hAnsi="Segoe UI" w:cs="Segoe UI"/>
          <w:color w:val="0B0B0B"/>
          <w:sz w:val="23"/>
          <w:szCs w:val="23"/>
        </w:rPr>
        <w:t xml:space="preserve"> </w:t>
      </w:r>
      <w:r w:rsidR="00C65147" w:rsidRPr="00C65147">
        <w:t>try and identify any suspicious activity, for example repeated failed logins. do this part but create your own example test log</w:t>
      </w:r>
      <w:r w:rsidRPr="001F50FE">
        <w:t xml:space="preserve">," Oct. 6, 2026. [Online]. Available: </w:t>
      </w:r>
      <w:hyperlink r:id="rId16" w:history="1">
        <w:r w:rsidRPr="001F50FE">
          <w:rPr>
            <w:rStyle w:val="Hyperlink"/>
          </w:rPr>
          <w:t>https://claude.ai</w:t>
        </w:r>
      </w:hyperlink>
      <w:r w:rsidRPr="001F50FE">
        <w:t>.</w:t>
      </w:r>
    </w:p>
    <w:p w14:paraId="639A339E" w14:textId="77777777" w:rsidR="001F50FE" w:rsidRPr="001F50FE" w:rsidRDefault="001F50FE" w:rsidP="001F50FE">
      <w:r w:rsidRPr="001F50FE">
        <w:t xml:space="preserve">[10] Anthropic, "Claude Opus 5.5," AI language model, response to prompt "Analyse this server log and identify any suspicious activity," Oct. 6, 2026. [Online]. Available: </w:t>
      </w:r>
      <w:hyperlink r:id="rId17" w:history="1">
        <w:r w:rsidRPr="001F50FE">
          <w:rPr>
            <w:rStyle w:val="Hyperlink"/>
          </w:rPr>
          <w:t>https://claude.ai</w:t>
        </w:r>
      </w:hyperlink>
      <w:r w:rsidRPr="001F50FE">
        <w:t>.</w:t>
      </w:r>
    </w:p>
    <w:p w14:paraId="2DBB24B8" w14:textId="77777777" w:rsidR="001F50FE" w:rsidRPr="001F50FE" w:rsidRDefault="001F50FE" w:rsidP="001F50FE">
      <w:r w:rsidRPr="001F50FE">
        <w:t xml:space="preserve">[11] Anthropic, "Claude Opus 5.5," AI language model, response to prompt "Analyse this code for potential security flaws and suggest fixes," Oct. 6, 2026. [Online]. Available: </w:t>
      </w:r>
      <w:hyperlink r:id="rId18" w:history="1">
        <w:r w:rsidRPr="001F50FE">
          <w:rPr>
            <w:rStyle w:val="Hyperlink"/>
          </w:rPr>
          <w:t>https://claude.ai</w:t>
        </w:r>
      </w:hyperlink>
      <w:r w:rsidRPr="001F50FE">
        <w:t>.</w:t>
      </w:r>
    </w:p>
    <w:p w14:paraId="3676DFAB" w14:textId="77777777" w:rsidR="001F50FE" w:rsidRPr="0007534F" w:rsidRDefault="001F50FE" w:rsidP="0007534F"/>
    <w:p w14:paraId="42771F19" w14:textId="77777777" w:rsidR="0007534F" w:rsidRPr="005741B9" w:rsidRDefault="0007534F" w:rsidP="005741B9"/>
    <w:p w14:paraId="789E052B" w14:textId="77777777" w:rsidR="005741B9" w:rsidRPr="006D3764" w:rsidRDefault="005741B9"/>
    <w:p w14:paraId="7633A200" w14:textId="644C340A" w:rsidR="006D3764" w:rsidRDefault="00F43B58" w:rsidP="0009611F">
      <w:pPr>
        <w:rPr>
          <w:b/>
          <w:bCs/>
        </w:rPr>
      </w:pPr>
      <w:r w:rsidRPr="0009611F">
        <w:rPr>
          <w:b/>
          <w:bCs/>
        </w:rPr>
        <w:t xml:space="preserve">Analysis of </w:t>
      </w:r>
      <w:r w:rsidR="0009611F" w:rsidRPr="0009611F">
        <w:rPr>
          <w:b/>
          <w:bCs/>
        </w:rPr>
        <w:t>popular AI assistants</w:t>
      </w:r>
    </w:p>
    <w:p w14:paraId="6036EBF2" w14:textId="68C23583" w:rsidR="0009611F" w:rsidRDefault="00BF5412" w:rsidP="0009611F">
      <w:r>
        <w:t xml:space="preserve">Chat GPT (OpenAI) </w:t>
      </w:r>
      <w:r w:rsidR="00EE0028">
        <w:t xml:space="preserve">is a beginner friendly </w:t>
      </w:r>
      <w:r w:rsidR="00FA5E1C">
        <w:t>all-rounder</w:t>
      </w:r>
      <w:r w:rsidR="00EE0028">
        <w:t>.  It should mainly be used for brains</w:t>
      </w:r>
      <w:r w:rsidR="000D09A9">
        <w:t>torming, explaining different concepts, and drafting text</w:t>
      </w:r>
      <w:r w:rsidR="00211712">
        <w:t xml:space="preserve">.  Aswell as this it is generally good for basic coding </w:t>
      </w:r>
      <w:r w:rsidR="00F02458">
        <w:t xml:space="preserve">and it has a </w:t>
      </w:r>
      <w:r w:rsidR="00FA5E1C">
        <w:t>developed custom-GPT ecosystem which adds flexibility</w:t>
      </w:r>
      <w:r w:rsidR="000865A2">
        <w:t xml:space="preserve"> [5]</w:t>
      </w:r>
      <w:r w:rsidR="00FA5E1C">
        <w:t>.</w:t>
      </w:r>
    </w:p>
    <w:p w14:paraId="44AA9357" w14:textId="7C94F128" w:rsidR="00CE1DFB" w:rsidRDefault="00CE1DFB" w:rsidP="0009611F">
      <w:r>
        <w:t>Claude (Anthropic) is catered towards long</w:t>
      </w:r>
      <w:r w:rsidR="004B093D">
        <w:t xml:space="preserve">er documents and </w:t>
      </w:r>
      <w:r w:rsidR="003703C6">
        <w:t xml:space="preserve">code.  It is heavily suited towards </w:t>
      </w:r>
      <w:r w:rsidR="008D5C2B">
        <w:t>analysing reports and large log files</w:t>
      </w:r>
      <w:r w:rsidR="00A26F11">
        <w:t>, Aswell as creating high level technical writing</w:t>
      </w:r>
      <w:r w:rsidR="000865A2">
        <w:t xml:space="preserve"> [6]</w:t>
      </w:r>
      <w:r w:rsidR="00A26F11">
        <w:t>.</w:t>
      </w:r>
    </w:p>
    <w:p w14:paraId="56C04FE1" w14:textId="38FD740B" w:rsidR="00A26F11" w:rsidRDefault="00061FB2" w:rsidP="0009611F">
      <w:r>
        <w:t xml:space="preserve">Google Gemini </w:t>
      </w:r>
      <w:r w:rsidR="00943E17">
        <w:t xml:space="preserve">integrates itself withing Google Workspace </w:t>
      </w:r>
      <w:r w:rsidR="004B0110">
        <w:t xml:space="preserve">and search, so is very useful to use if you are </w:t>
      </w:r>
      <w:r w:rsidR="003D5346">
        <w:t>creating</w:t>
      </w:r>
      <w:r w:rsidR="004B0110">
        <w:t xml:space="preserve"> reports using Google docs or any other of the workplace feature purely for </w:t>
      </w:r>
      <w:r w:rsidR="003D5346">
        <w:t>convenience</w:t>
      </w:r>
      <w:r w:rsidR="000865A2">
        <w:t xml:space="preserve"> [7]</w:t>
      </w:r>
      <w:r w:rsidR="003D5346">
        <w:t>.</w:t>
      </w:r>
    </w:p>
    <w:p w14:paraId="0F1B591C" w14:textId="74E7D445" w:rsidR="003D5346" w:rsidRDefault="003D5346" w:rsidP="0009611F">
      <w:r>
        <w:t xml:space="preserve">Microsoft Copilot is integrated into </w:t>
      </w:r>
      <w:r w:rsidR="00F27DF0">
        <w:t xml:space="preserve">Windows and Microsoft 365.  Its best use is to increase productivity </w:t>
      </w:r>
      <w:r w:rsidR="00026E0A">
        <w:t>and automates tasks such as summarising Teams meetings, drafting in word or analysing and plotting data in excel</w:t>
      </w:r>
      <w:r w:rsidR="000865A2">
        <w:t xml:space="preserve"> [8]</w:t>
      </w:r>
      <w:r w:rsidR="00026E0A">
        <w:t>.</w:t>
      </w:r>
    </w:p>
    <w:p w14:paraId="6AF6C327" w14:textId="1645B591" w:rsidR="00D24577" w:rsidRDefault="00D24577" w:rsidP="0009611F">
      <w:pPr>
        <w:rPr>
          <w:b/>
          <w:bCs/>
        </w:rPr>
      </w:pPr>
      <w:r w:rsidRPr="003F6F26">
        <w:rPr>
          <w:b/>
          <w:bCs/>
        </w:rPr>
        <w:t>Chosen tool for cyber</w:t>
      </w:r>
      <w:r w:rsidR="003F6F26" w:rsidRPr="003F6F26">
        <w:rPr>
          <w:b/>
          <w:bCs/>
        </w:rPr>
        <w:t>security</w:t>
      </w:r>
    </w:p>
    <w:p w14:paraId="11645B6C" w14:textId="144A1ABC" w:rsidR="003F6F26" w:rsidRDefault="000D504F" w:rsidP="0009611F">
      <w:r>
        <w:lastRenderedPageBreak/>
        <w:t xml:space="preserve">The tool that I find is the most suited for my studies </w:t>
      </w:r>
      <w:r w:rsidR="00F53594">
        <w:t>Aswell</w:t>
      </w:r>
      <w:r>
        <w:t xml:space="preserve"> as when I go further into the Cyber Security space is Claude</w:t>
      </w:r>
      <w:r w:rsidR="00F53594">
        <w:t xml:space="preserve">.  To show the benefits I asked Claude </w:t>
      </w:r>
      <w:r w:rsidR="000351BE">
        <w:t>to explain a vulnerability type, in this case a SQL injection, Aswell as how to prevent it</w:t>
      </w:r>
      <w:r w:rsidR="00BA7E9B">
        <w:t xml:space="preserve"> </w:t>
      </w:r>
      <w:r w:rsidR="000865A2">
        <w:t>/1/</w:t>
      </w:r>
      <w:r w:rsidR="00BA7E9B">
        <w:t>.  The second step was</w:t>
      </w:r>
      <w:r w:rsidR="001D0903">
        <w:t xml:space="preserve"> to give a test server log and asked Claude to try and identify any suspicious activity</w:t>
      </w:r>
      <w:r w:rsidR="004541E9">
        <w:t xml:space="preserve">, for example repeated failed logins </w:t>
      </w:r>
      <w:r w:rsidR="000865A2">
        <w:t>/2/</w:t>
      </w:r>
      <w:r w:rsidR="004541E9">
        <w:t xml:space="preserve">.  Finally, I asked Claude to </w:t>
      </w:r>
      <w:r w:rsidR="00600678">
        <w:t xml:space="preserve">analyse a short piece of code for potential security flaws and </w:t>
      </w:r>
      <w:r w:rsidR="009E6FFB">
        <w:t xml:space="preserve">suggestions on how to fix them </w:t>
      </w:r>
      <w:r w:rsidR="000865A2">
        <w:t>/3/</w:t>
      </w:r>
      <w:r w:rsidR="009E6FFB">
        <w:t>.</w:t>
      </w:r>
    </w:p>
    <w:p w14:paraId="6BE57101" w14:textId="77777777" w:rsidR="009E6FFB" w:rsidRDefault="009E6FFB" w:rsidP="0009611F"/>
    <w:p w14:paraId="58B89185" w14:textId="221BA085" w:rsidR="00B8244F" w:rsidRPr="00D50170" w:rsidRDefault="00B8244F" w:rsidP="00D50170">
      <w:pPr>
        <w:jc w:val="center"/>
        <w:rPr>
          <w:b/>
          <w:bCs/>
        </w:rPr>
      </w:pPr>
      <w:r w:rsidRPr="00D50170">
        <w:rPr>
          <w:b/>
          <w:bCs/>
        </w:rPr>
        <w:t xml:space="preserve">Screenshots of </w:t>
      </w:r>
      <w:r w:rsidR="00D50170" w:rsidRPr="00D50170">
        <w:rPr>
          <w:b/>
          <w:bCs/>
        </w:rPr>
        <w:t>Claude responses</w:t>
      </w:r>
    </w:p>
    <w:tbl>
      <w:tblPr>
        <w:tblStyle w:val="TableGrid"/>
        <w:tblW w:w="0" w:type="auto"/>
        <w:tblLook w:val="04A0" w:firstRow="1" w:lastRow="0" w:firstColumn="1" w:lastColumn="0" w:noHBand="0" w:noVBand="1"/>
      </w:tblPr>
      <w:tblGrid>
        <w:gridCol w:w="2380"/>
        <w:gridCol w:w="6636"/>
      </w:tblGrid>
      <w:tr w:rsidR="009E6FFB" w14:paraId="21A4A6C4" w14:textId="77777777" w:rsidTr="003033A2">
        <w:tc>
          <w:tcPr>
            <w:tcW w:w="4508" w:type="dxa"/>
          </w:tcPr>
          <w:p w14:paraId="3A7F1CE5" w14:textId="7BB62A16" w:rsidR="009E6FFB" w:rsidRDefault="000865A2" w:rsidP="0009611F">
            <w:r>
              <w:t>/</w:t>
            </w:r>
            <w:r w:rsidR="00D23F42">
              <w:t>1</w:t>
            </w:r>
            <w:r>
              <w:t>/</w:t>
            </w:r>
            <w:r w:rsidR="006F2077">
              <w:t xml:space="preserve"> [9]</w:t>
            </w:r>
          </w:p>
        </w:tc>
        <w:tc>
          <w:tcPr>
            <w:tcW w:w="4508" w:type="dxa"/>
          </w:tcPr>
          <w:p w14:paraId="39844054" w14:textId="73542D9A" w:rsidR="009E6FFB" w:rsidRDefault="009E49BE" w:rsidP="0009611F">
            <w:r w:rsidRPr="009E49BE">
              <w:rPr>
                <w:noProof/>
              </w:rPr>
              <w:drawing>
                <wp:inline distT="0" distB="0" distL="0" distR="0" wp14:anchorId="7F666653" wp14:editId="25AD8DF4">
                  <wp:extent cx="3703516" cy="3286125"/>
                  <wp:effectExtent l="0" t="0" r="0" b="0"/>
                  <wp:docPr id="1475428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428157" name=""/>
                          <pic:cNvPicPr/>
                        </pic:nvPicPr>
                        <pic:blipFill>
                          <a:blip r:embed="rId19"/>
                          <a:stretch>
                            <a:fillRect/>
                          </a:stretch>
                        </pic:blipFill>
                        <pic:spPr>
                          <a:xfrm>
                            <a:off x="0" y="0"/>
                            <a:ext cx="3711305" cy="3293037"/>
                          </a:xfrm>
                          <a:prstGeom prst="rect">
                            <a:avLst/>
                          </a:prstGeom>
                        </pic:spPr>
                      </pic:pic>
                    </a:graphicData>
                  </a:graphic>
                </wp:inline>
              </w:drawing>
            </w:r>
          </w:p>
        </w:tc>
      </w:tr>
      <w:tr w:rsidR="009E6FFB" w14:paraId="2104AB6D" w14:textId="77777777" w:rsidTr="003033A2">
        <w:tc>
          <w:tcPr>
            <w:tcW w:w="4508" w:type="dxa"/>
          </w:tcPr>
          <w:p w14:paraId="449E7549" w14:textId="2878F7DF" w:rsidR="009E6FFB" w:rsidRDefault="000865A2" w:rsidP="0009611F">
            <w:r>
              <w:lastRenderedPageBreak/>
              <w:t>/2/</w:t>
            </w:r>
            <w:r w:rsidR="006F2077">
              <w:t xml:space="preserve"> [10]</w:t>
            </w:r>
          </w:p>
        </w:tc>
        <w:tc>
          <w:tcPr>
            <w:tcW w:w="4508" w:type="dxa"/>
          </w:tcPr>
          <w:p w14:paraId="0E064152" w14:textId="77176733" w:rsidR="009E6FFB" w:rsidRDefault="001926FC" w:rsidP="0009611F">
            <w:r w:rsidRPr="001926FC">
              <w:rPr>
                <w:noProof/>
              </w:rPr>
              <w:drawing>
                <wp:inline distT="0" distB="0" distL="0" distR="0" wp14:anchorId="57DF053D" wp14:editId="2E19E3B5">
                  <wp:extent cx="3905250" cy="3436091"/>
                  <wp:effectExtent l="0" t="0" r="0" b="0"/>
                  <wp:docPr id="1578985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985871" name=""/>
                          <pic:cNvPicPr/>
                        </pic:nvPicPr>
                        <pic:blipFill>
                          <a:blip r:embed="rId20"/>
                          <a:stretch>
                            <a:fillRect/>
                          </a:stretch>
                        </pic:blipFill>
                        <pic:spPr>
                          <a:xfrm>
                            <a:off x="0" y="0"/>
                            <a:ext cx="3913159" cy="3443050"/>
                          </a:xfrm>
                          <a:prstGeom prst="rect">
                            <a:avLst/>
                          </a:prstGeom>
                        </pic:spPr>
                      </pic:pic>
                    </a:graphicData>
                  </a:graphic>
                </wp:inline>
              </w:drawing>
            </w:r>
          </w:p>
        </w:tc>
      </w:tr>
      <w:tr w:rsidR="009E6FFB" w14:paraId="5D191D5C" w14:textId="77777777" w:rsidTr="003033A2">
        <w:tc>
          <w:tcPr>
            <w:tcW w:w="4508" w:type="dxa"/>
          </w:tcPr>
          <w:p w14:paraId="4B3136C2" w14:textId="2F2F158B" w:rsidR="009E6FFB" w:rsidRDefault="000865A2" w:rsidP="0009611F">
            <w:r>
              <w:t>/3/</w:t>
            </w:r>
            <w:r w:rsidR="006F2077">
              <w:t xml:space="preserve"> [11]</w:t>
            </w:r>
          </w:p>
        </w:tc>
        <w:tc>
          <w:tcPr>
            <w:tcW w:w="4508" w:type="dxa"/>
          </w:tcPr>
          <w:p w14:paraId="3A0E993A" w14:textId="162E616A" w:rsidR="009E6FFB" w:rsidRDefault="00B8244F" w:rsidP="0009611F">
            <w:r w:rsidRPr="00B8244F">
              <w:rPr>
                <w:noProof/>
              </w:rPr>
              <w:drawing>
                <wp:inline distT="0" distB="0" distL="0" distR="0" wp14:anchorId="0C5BCDBE" wp14:editId="4180DEBD">
                  <wp:extent cx="4076700" cy="3888357"/>
                  <wp:effectExtent l="0" t="0" r="0" b="0"/>
                  <wp:docPr id="2011088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088819" name=""/>
                          <pic:cNvPicPr/>
                        </pic:nvPicPr>
                        <pic:blipFill>
                          <a:blip r:embed="rId21"/>
                          <a:stretch>
                            <a:fillRect/>
                          </a:stretch>
                        </pic:blipFill>
                        <pic:spPr>
                          <a:xfrm>
                            <a:off x="0" y="0"/>
                            <a:ext cx="4081268" cy="3892714"/>
                          </a:xfrm>
                          <a:prstGeom prst="rect">
                            <a:avLst/>
                          </a:prstGeom>
                        </pic:spPr>
                      </pic:pic>
                    </a:graphicData>
                  </a:graphic>
                </wp:inline>
              </w:drawing>
            </w:r>
          </w:p>
        </w:tc>
      </w:tr>
    </w:tbl>
    <w:p w14:paraId="4D708FCD" w14:textId="77777777" w:rsidR="009E6FFB" w:rsidRPr="003F6F26" w:rsidRDefault="009E6FFB" w:rsidP="0009611F"/>
    <w:p w14:paraId="284DCA80" w14:textId="77777777" w:rsidR="006D3764" w:rsidRDefault="006D3764"/>
    <w:sectPr w:rsidR="006D37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CA9BC" w14:textId="77777777" w:rsidR="002A39FD" w:rsidRDefault="002A39FD" w:rsidP="00B8244F">
      <w:pPr>
        <w:spacing w:after="0" w:line="240" w:lineRule="auto"/>
      </w:pPr>
      <w:r>
        <w:separator/>
      </w:r>
    </w:p>
  </w:endnote>
  <w:endnote w:type="continuationSeparator" w:id="0">
    <w:p w14:paraId="7DC14456" w14:textId="77777777" w:rsidR="002A39FD" w:rsidRDefault="002A39FD" w:rsidP="00B824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BDEBDE" w14:textId="77777777" w:rsidR="002A39FD" w:rsidRDefault="002A39FD" w:rsidP="00B8244F">
      <w:pPr>
        <w:spacing w:after="0" w:line="240" w:lineRule="auto"/>
      </w:pPr>
      <w:r>
        <w:separator/>
      </w:r>
    </w:p>
  </w:footnote>
  <w:footnote w:type="continuationSeparator" w:id="0">
    <w:p w14:paraId="0CBF95C1" w14:textId="77777777" w:rsidR="002A39FD" w:rsidRDefault="002A39FD" w:rsidP="00B824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764"/>
    <w:rsid w:val="00026E0A"/>
    <w:rsid w:val="000351BE"/>
    <w:rsid w:val="00061FB2"/>
    <w:rsid w:val="0007534F"/>
    <w:rsid w:val="000865A2"/>
    <w:rsid w:val="00093D13"/>
    <w:rsid w:val="0009611F"/>
    <w:rsid w:val="000A730C"/>
    <w:rsid w:val="000D09A9"/>
    <w:rsid w:val="000D504F"/>
    <w:rsid w:val="00104096"/>
    <w:rsid w:val="001926FC"/>
    <w:rsid w:val="001D0903"/>
    <w:rsid w:val="001F50FE"/>
    <w:rsid w:val="00211712"/>
    <w:rsid w:val="002A39FD"/>
    <w:rsid w:val="002A73E8"/>
    <w:rsid w:val="002C6132"/>
    <w:rsid w:val="002D213D"/>
    <w:rsid w:val="003033A2"/>
    <w:rsid w:val="003703C6"/>
    <w:rsid w:val="003B6961"/>
    <w:rsid w:val="003D07A8"/>
    <w:rsid w:val="003D5346"/>
    <w:rsid w:val="003F6F26"/>
    <w:rsid w:val="004541E9"/>
    <w:rsid w:val="004B0110"/>
    <w:rsid w:val="004B093D"/>
    <w:rsid w:val="005741B9"/>
    <w:rsid w:val="005D7D9C"/>
    <w:rsid w:val="00600678"/>
    <w:rsid w:val="00611D76"/>
    <w:rsid w:val="006D3764"/>
    <w:rsid w:val="006F2077"/>
    <w:rsid w:val="008D5C2B"/>
    <w:rsid w:val="00912D2E"/>
    <w:rsid w:val="00943E17"/>
    <w:rsid w:val="009E49BE"/>
    <w:rsid w:val="009E6FFB"/>
    <w:rsid w:val="00A26F11"/>
    <w:rsid w:val="00A40943"/>
    <w:rsid w:val="00A54A79"/>
    <w:rsid w:val="00AB79CB"/>
    <w:rsid w:val="00B8244F"/>
    <w:rsid w:val="00BA7E9B"/>
    <w:rsid w:val="00BC4302"/>
    <w:rsid w:val="00BF5412"/>
    <w:rsid w:val="00C17E3A"/>
    <w:rsid w:val="00C65147"/>
    <w:rsid w:val="00CB187D"/>
    <w:rsid w:val="00CE1DFB"/>
    <w:rsid w:val="00D23F42"/>
    <w:rsid w:val="00D24577"/>
    <w:rsid w:val="00D50170"/>
    <w:rsid w:val="00E1286A"/>
    <w:rsid w:val="00EE0028"/>
    <w:rsid w:val="00F02458"/>
    <w:rsid w:val="00F075A2"/>
    <w:rsid w:val="00F216E4"/>
    <w:rsid w:val="00F27DF0"/>
    <w:rsid w:val="00F43B58"/>
    <w:rsid w:val="00F53594"/>
    <w:rsid w:val="00FA5E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186D46"/>
  <w15:chartTrackingRefBased/>
  <w15:docId w15:val="{E5E2792D-D6A4-4B93-87D1-477DB5A228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37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37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37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37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37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37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37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37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37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7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37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37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37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37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37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37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37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3764"/>
    <w:rPr>
      <w:rFonts w:eastAsiaTheme="majorEastAsia" w:cstheme="majorBidi"/>
      <w:color w:val="272727" w:themeColor="text1" w:themeTint="D8"/>
    </w:rPr>
  </w:style>
  <w:style w:type="paragraph" w:styleId="Title">
    <w:name w:val="Title"/>
    <w:basedOn w:val="Normal"/>
    <w:next w:val="Normal"/>
    <w:link w:val="TitleChar"/>
    <w:uiPriority w:val="10"/>
    <w:qFormat/>
    <w:rsid w:val="006D37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37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37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37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3764"/>
    <w:pPr>
      <w:spacing w:before="160"/>
      <w:jc w:val="center"/>
    </w:pPr>
    <w:rPr>
      <w:i/>
      <w:iCs/>
      <w:color w:val="404040" w:themeColor="text1" w:themeTint="BF"/>
    </w:rPr>
  </w:style>
  <w:style w:type="character" w:customStyle="1" w:styleId="QuoteChar">
    <w:name w:val="Quote Char"/>
    <w:basedOn w:val="DefaultParagraphFont"/>
    <w:link w:val="Quote"/>
    <w:uiPriority w:val="29"/>
    <w:rsid w:val="006D3764"/>
    <w:rPr>
      <w:i/>
      <w:iCs/>
      <w:color w:val="404040" w:themeColor="text1" w:themeTint="BF"/>
    </w:rPr>
  </w:style>
  <w:style w:type="paragraph" w:styleId="ListParagraph">
    <w:name w:val="List Paragraph"/>
    <w:basedOn w:val="Normal"/>
    <w:uiPriority w:val="34"/>
    <w:qFormat/>
    <w:rsid w:val="006D3764"/>
    <w:pPr>
      <w:ind w:left="720"/>
      <w:contextualSpacing/>
    </w:pPr>
  </w:style>
  <w:style w:type="character" w:styleId="IntenseEmphasis">
    <w:name w:val="Intense Emphasis"/>
    <w:basedOn w:val="DefaultParagraphFont"/>
    <w:uiPriority w:val="21"/>
    <w:qFormat/>
    <w:rsid w:val="006D3764"/>
    <w:rPr>
      <w:i/>
      <w:iCs/>
      <w:color w:val="0F4761" w:themeColor="accent1" w:themeShade="BF"/>
    </w:rPr>
  </w:style>
  <w:style w:type="paragraph" w:styleId="IntenseQuote">
    <w:name w:val="Intense Quote"/>
    <w:basedOn w:val="Normal"/>
    <w:next w:val="Normal"/>
    <w:link w:val="IntenseQuoteChar"/>
    <w:uiPriority w:val="30"/>
    <w:qFormat/>
    <w:rsid w:val="006D37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3764"/>
    <w:rPr>
      <w:i/>
      <w:iCs/>
      <w:color w:val="0F4761" w:themeColor="accent1" w:themeShade="BF"/>
    </w:rPr>
  </w:style>
  <w:style w:type="character" w:styleId="IntenseReference">
    <w:name w:val="Intense Reference"/>
    <w:basedOn w:val="DefaultParagraphFont"/>
    <w:uiPriority w:val="32"/>
    <w:qFormat/>
    <w:rsid w:val="006D3764"/>
    <w:rPr>
      <w:b/>
      <w:bCs/>
      <w:smallCaps/>
      <w:color w:val="0F4761" w:themeColor="accent1" w:themeShade="BF"/>
      <w:spacing w:val="5"/>
    </w:rPr>
  </w:style>
  <w:style w:type="character" w:styleId="Hyperlink">
    <w:name w:val="Hyperlink"/>
    <w:basedOn w:val="DefaultParagraphFont"/>
    <w:uiPriority w:val="99"/>
    <w:unhideWhenUsed/>
    <w:rsid w:val="005741B9"/>
    <w:rPr>
      <w:color w:val="467886" w:themeColor="hyperlink"/>
      <w:u w:val="single"/>
    </w:rPr>
  </w:style>
  <w:style w:type="character" w:styleId="UnresolvedMention">
    <w:name w:val="Unresolved Mention"/>
    <w:basedOn w:val="DefaultParagraphFont"/>
    <w:uiPriority w:val="99"/>
    <w:semiHidden/>
    <w:unhideWhenUsed/>
    <w:rsid w:val="005741B9"/>
    <w:rPr>
      <w:color w:val="605E5C"/>
      <w:shd w:val="clear" w:color="auto" w:fill="E1DFDD"/>
    </w:rPr>
  </w:style>
  <w:style w:type="table" w:styleId="TableGrid">
    <w:name w:val="Table Grid"/>
    <w:basedOn w:val="TableNormal"/>
    <w:uiPriority w:val="39"/>
    <w:rsid w:val="009E6F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82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44F"/>
  </w:style>
  <w:style w:type="paragraph" w:styleId="Footer">
    <w:name w:val="footer"/>
    <w:basedOn w:val="Normal"/>
    <w:link w:val="FooterChar"/>
    <w:uiPriority w:val="99"/>
    <w:unhideWhenUsed/>
    <w:rsid w:val="00B82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4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nthropic.com/claude" TargetMode="External"/><Relationship Id="rId18" Type="http://schemas.openxmlformats.org/officeDocument/2006/relationships/hyperlink" Target="https://claude.ai" TargetMode="Externa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footnotes" Target="footnotes.xml"/><Relationship Id="rId12" Type="http://schemas.openxmlformats.org/officeDocument/2006/relationships/hyperlink" Target="https://openai.com/chatgpt/" TargetMode="External"/><Relationship Id="rId17" Type="http://schemas.openxmlformats.org/officeDocument/2006/relationships/hyperlink" Target="https://claude.ai" TargetMode="External"/><Relationship Id="rId2" Type="http://schemas.openxmlformats.org/officeDocument/2006/relationships/customXml" Target="../customXml/item2.xml"/><Relationship Id="rId16" Type="http://schemas.openxmlformats.org/officeDocument/2006/relationships/hyperlink" Target="https://claude.ai"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laude.ai/" TargetMode="External"/><Relationship Id="rId5" Type="http://schemas.openxmlformats.org/officeDocument/2006/relationships/settings" Target="settings.xml"/><Relationship Id="rId15" Type="http://schemas.openxmlformats.org/officeDocument/2006/relationships/hyperlink" Target="https://www.microsoft.com/en-gb/microsoft-copilot" TargetMode="External"/><Relationship Id="rId23" Type="http://schemas.openxmlformats.org/officeDocument/2006/relationships/theme" Target="theme/theme1.xml"/><Relationship Id="rId10" Type="http://schemas.openxmlformats.org/officeDocument/2006/relationships/hyperlink" Target="https://www.isaca.org/resources/isaca-journal/issues/2018/volume-6/future-proofing-a-career-in-cybersecurity-the-skills-gap" TargetMode="External"/><Relationship Id="rId19" Type="http://schemas.openxmlformats.org/officeDocument/2006/relationships/image" Target="media/image1.png"/><Relationship Id="rId4" Type="http://schemas.openxmlformats.org/officeDocument/2006/relationships/styles" Target="styles.xml"/><Relationship Id="rId9" Type="http://schemas.openxmlformats.org/officeDocument/2006/relationships/hyperlink" Target="https://www.isaca.org/about-us/newsroom/press-releases/2023/new-isaca-research-59-percent-of-cybersecurity-teams-are-understaffed" TargetMode="External"/><Relationship Id="rId14" Type="http://schemas.openxmlformats.org/officeDocument/2006/relationships/hyperlink" Target="https://gemini.google.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CAF38596F6224C85994D82B7D04C5E" ma:contentTypeVersion="8" ma:contentTypeDescription="Create a new document." ma:contentTypeScope="" ma:versionID="e4969e25fcda9bc7791c18a309573b37">
  <xsd:schema xmlns:xsd="http://www.w3.org/2001/XMLSchema" xmlns:xs="http://www.w3.org/2001/XMLSchema" xmlns:p="http://schemas.microsoft.com/office/2006/metadata/properties" xmlns:ns3="5a96fd87-d65e-4250-a0f3-23014b7624a5" targetNamespace="http://schemas.microsoft.com/office/2006/metadata/properties" ma:root="true" ma:fieldsID="25fc99b51aca2c22e9b9f02151ff44a6" ns3:_="">
    <xsd:import namespace="5a96fd87-d65e-4250-a0f3-23014b7624a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96fd87-d65e-4250-a0f3-23014b7624a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D76857-0450-46E3-AE9B-8BC6F8C62F1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B7E6109-6E5E-402E-A46E-EC94CA2DE5B0}">
  <ds:schemaRefs>
    <ds:schemaRef ds:uri="http://schemas.microsoft.com/sharepoint/v3/contenttype/forms"/>
  </ds:schemaRefs>
</ds:datastoreItem>
</file>

<file path=customXml/itemProps3.xml><?xml version="1.0" encoding="utf-8"?>
<ds:datastoreItem xmlns:ds="http://schemas.openxmlformats.org/officeDocument/2006/customXml" ds:itemID="{A80D562C-9E72-4ABA-9B54-9CDCE0243B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96fd87-d65e-4250-a0f3-23014b7624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5</Pages>
  <Words>1073</Words>
  <Characters>6117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Evans (2524376)</dc:creator>
  <cp:keywords/>
  <dc:description/>
  <cp:lastModifiedBy>Ioan Evans (2524376)</cp:lastModifiedBy>
  <cp:revision>56</cp:revision>
  <dcterms:created xsi:type="dcterms:W3CDTF">2026-10-03T17:50:00Z</dcterms:created>
  <dcterms:modified xsi:type="dcterms:W3CDTF">2026-10-06T11:31:00Z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0x010100ABCAF38596F6224C85994D82B7D04C5E</vt:lpwstr>
  </property>
</Properties>
</file>