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b/>
          <w:bCs/>
          <w:sz w:val="24"/>
          <w:szCs w:val="24"/>
        </w:rPr>
      </w:pPr>
    </w:p>
    <w:p>
      <w:pPr>
        <w:spacing w:line="360" w:lineRule="auto"/>
        <w:jc w:val="center"/>
        <w:rPr>
          <w:rFonts w:ascii="Times New Roman" w:hAnsi="Times New Roman" w:cs="Times New Roman"/>
          <w:b/>
          <w:bCs/>
          <w:sz w:val="24"/>
          <w:szCs w:val="24"/>
        </w:rPr>
      </w:pPr>
    </w:p>
    <w:p>
      <w:pPr>
        <w:spacing w:line="360" w:lineRule="auto"/>
        <w:jc w:val="center"/>
        <w:rPr>
          <w:rFonts w:ascii="Times New Roman" w:hAnsi="Times New Roman" w:cs="Times New Roman"/>
          <w:b/>
          <w:bCs/>
          <w:sz w:val="24"/>
          <w:szCs w:val="24"/>
        </w:rPr>
      </w:pPr>
    </w:p>
    <w:p>
      <w:pPr>
        <w:spacing w:line="360" w:lineRule="auto"/>
        <w:jc w:val="center"/>
        <w:rPr>
          <w:rFonts w:ascii="Times New Roman" w:hAnsi="Times New Roman" w:cs="Times New Roman"/>
          <w:b/>
          <w:bCs/>
          <w:sz w:val="24"/>
          <w:szCs w:val="24"/>
        </w:rPr>
      </w:pPr>
    </w:p>
    <w:p>
      <w:pPr>
        <w:spacing w:line="360" w:lineRule="auto"/>
        <w:jc w:val="center"/>
        <w:rPr>
          <w:rFonts w:ascii="Times New Roman" w:hAnsi="Times New Roman" w:cs="Times New Roman"/>
          <w:b/>
          <w:bCs/>
          <w:sz w:val="24"/>
          <w:szCs w:val="24"/>
        </w:rPr>
      </w:pPr>
    </w:p>
    <w:p>
      <w:pPr>
        <w:spacing w:line="360" w:lineRule="auto"/>
        <w:jc w:val="center"/>
        <w:rPr>
          <w:rFonts w:ascii="Times New Roman" w:hAnsi="Times New Roman" w:cs="Times New Roman"/>
          <w:b/>
          <w:bCs/>
          <w:sz w:val="24"/>
          <w:szCs w:val="24"/>
        </w:rPr>
      </w:pPr>
    </w:p>
    <w:p>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Community Engagement Assignment</w:t>
      </w:r>
    </w:p>
    <w:p>
      <w:pPr>
        <w:spacing w:line="360" w:lineRule="auto"/>
        <w:jc w:val="center"/>
        <w:rPr>
          <w:rFonts w:hint="default" w:ascii="Times New Roman" w:hAnsi="Times New Roman" w:cs="Times New Roman"/>
          <w:b/>
          <w:bCs/>
          <w:sz w:val="24"/>
          <w:szCs w:val="24"/>
          <w:lang w:val="en-US"/>
        </w:rPr>
      </w:pPr>
      <w:r>
        <w:rPr>
          <w:rFonts w:ascii="Times New Roman" w:hAnsi="Times New Roman" w:cs="Times New Roman"/>
          <w:b/>
          <w:bCs/>
          <w:sz w:val="24"/>
          <w:szCs w:val="24"/>
        </w:rPr>
        <w:t>Student</w:t>
      </w:r>
      <w:r>
        <w:rPr>
          <w:rFonts w:hint="default" w:ascii="Times New Roman" w:hAnsi="Times New Roman" w:cs="Times New Roman"/>
          <w:b/>
          <w:bCs/>
          <w:sz w:val="24"/>
          <w:szCs w:val="24"/>
          <w:lang w:val="en-US"/>
        </w:rPr>
        <w:t xml:space="preserve"> ID: 2028785</w:t>
      </w:r>
    </w:p>
    <w:p>
      <w:pPr>
        <w:spacing w:line="360" w:lineRule="auto"/>
        <w:jc w:val="center"/>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Student Name: Petya Petrova Zlatkova</w:t>
      </w:r>
    </w:p>
    <w:p>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br w:type="page"/>
      </w:r>
      <w:bookmarkStart w:id="25" w:name="_GoBack"/>
      <w:bookmarkEnd w:id="25"/>
    </w:p>
    <w:sdt>
      <w:sdtPr>
        <w:rPr>
          <w:rFonts w:ascii="Times New Roman" w:hAnsi="Times New Roman" w:cs="Times New Roman"/>
          <w:color w:val="auto"/>
          <w:sz w:val="24"/>
          <w:szCs w:val="24"/>
        </w:rPr>
        <w:id w:val="-1419482300"/>
        <w:docPartObj>
          <w:docPartGallery w:val="Table of Contents"/>
          <w:docPartUnique/>
        </w:docPartObj>
      </w:sdtPr>
      <w:sdtEndPr>
        <w:rPr>
          <w:rFonts w:ascii="Times New Roman" w:hAnsi="Times New Roman" w:cs="Times New Roman" w:eastAsiaTheme="minorHAnsi"/>
          <w:b/>
          <w:bCs/>
          <w:color w:val="auto"/>
          <w:sz w:val="24"/>
          <w:szCs w:val="24"/>
          <w:lang w:val="en-GB"/>
        </w:rPr>
      </w:sdtEndPr>
      <w:sdtContent>
        <w:p>
          <w:pPr>
            <w:pStyle w:val="13"/>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Table of Contents</w:t>
          </w:r>
        </w:p>
        <w:p>
          <w:pPr>
            <w:pStyle w:val="9"/>
            <w:tabs>
              <w:tab w:val="right" w:leader="dot" w:pos="9350"/>
            </w:tabs>
            <w:spacing w:line="360" w:lineRule="auto"/>
            <w:rPr>
              <w:rFonts w:ascii="Times New Roman" w:hAnsi="Times New Roman" w:cs="Times New Roman" w:eastAsiaTheme="minorEastAsia"/>
              <w:sz w:val="24"/>
              <w:szCs w:val="24"/>
              <w:lang w:val="en-US"/>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"_Toc80875698" </w:instrText>
          </w:r>
          <w:r>
            <w:fldChar w:fldCharType="separate"/>
          </w:r>
          <w:r>
            <w:rPr>
              <w:rStyle w:val="8"/>
              <w:rFonts w:ascii="Times New Roman" w:hAnsi="Times New Roman" w:cs="Times New Roman"/>
              <w:sz w:val="24"/>
              <w:szCs w:val="24"/>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_Toc80875698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spacing w:line="360" w:lineRule="auto"/>
            <w:rPr>
              <w:rFonts w:ascii="Times New Roman" w:hAnsi="Times New Roman" w:cs="Times New Roman" w:eastAsiaTheme="minorEastAsia"/>
              <w:sz w:val="24"/>
              <w:szCs w:val="24"/>
              <w:lang w:val="en-US"/>
            </w:rPr>
          </w:pPr>
          <w:r>
            <w:fldChar w:fldCharType="begin"/>
          </w:r>
          <w:r>
            <w:instrText xml:space="preserve"> HYPERLINK \l "_Toc80875699" </w:instrText>
          </w:r>
          <w:r>
            <w:fldChar w:fldCharType="separate"/>
          </w:r>
          <w:r>
            <w:rPr>
              <w:rStyle w:val="8"/>
              <w:rFonts w:ascii="Times New Roman" w:hAnsi="Times New Roman" w:cs="Times New Roman"/>
              <w:sz w:val="24"/>
              <w:szCs w:val="24"/>
            </w:rPr>
            <w:t>Early Leaning communities (ELC) programme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_Toc80875699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350"/>
            </w:tabs>
            <w:spacing w:line="360" w:lineRule="auto"/>
            <w:rPr>
              <w:rFonts w:ascii="Times New Roman" w:hAnsi="Times New Roman" w:cs="Times New Roman" w:eastAsiaTheme="minorEastAsia"/>
              <w:sz w:val="24"/>
              <w:szCs w:val="24"/>
              <w:lang w:val="en-US"/>
            </w:rPr>
          </w:pPr>
          <w:r>
            <w:fldChar w:fldCharType="begin"/>
          </w:r>
          <w:r>
            <w:instrText xml:space="preserve"> HYPERLINK \l "_Toc80875700" </w:instrText>
          </w:r>
          <w:r>
            <w:fldChar w:fldCharType="separate"/>
          </w:r>
          <w:r>
            <w:rPr>
              <w:rStyle w:val="8"/>
              <w:rFonts w:ascii="Times New Roman" w:hAnsi="Times New Roman" w:cs="Times New Roman"/>
              <w:sz w:val="24"/>
              <w:szCs w:val="24"/>
            </w:rPr>
            <w:t>Benefits of stakeholders’ participation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_Toc80875700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350"/>
            </w:tabs>
            <w:spacing w:line="360" w:lineRule="auto"/>
            <w:rPr>
              <w:rFonts w:ascii="Times New Roman" w:hAnsi="Times New Roman" w:cs="Times New Roman" w:eastAsiaTheme="minorEastAsia"/>
              <w:sz w:val="24"/>
              <w:szCs w:val="24"/>
              <w:lang w:val="en-US"/>
            </w:rPr>
          </w:pPr>
          <w:r>
            <w:fldChar w:fldCharType="begin"/>
          </w:r>
          <w:r>
            <w:instrText xml:space="preserve"> HYPERLINK \l "_Toc80875701" </w:instrText>
          </w:r>
          <w:r>
            <w:fldChar w:fldCharType="separate"/>
          </w:r>
          <w:r>
            <w:rPr>
              <w:rStyle w:val="8"/>
              <w:rFonts w:ascii="Times New Roman" w:hAnsi="Times New Roman" w:cs="Times New Roman"/>
              <w:sz w:val="24"/>
              <w:szCs w:val="24"/>
            </w:rPr>
            <w:t>Principles and standards that guide ELC Programme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_Toc80875701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350"/>
            </w:tabs>
            <w:spacing w:line="360" w:lineRule="auto"/>
            <w:rPr>
              <w:rFonts w:ascii="Times New Roman" w:hAnsi="Times New Roman" w:cs="Times New Roman" w:eastAsiaTheme="minorEastAsia"/>
              <w:sz w:val="24"/>
              <w:szCs w:val="24"/>
              <w:lang w:val="en-US"/>
            </w:rPr>
          </w:pPr>
          <w:r>
            <w:fldChar w:fldCharType="begin"/>
          </w:r>
          <w:r>
            <w:instrText xml:space="preserve"> HYPERLINK \l "_Toc80875702" </w:instrText>
          </w:r>
          <w:r>
            <w:fldChar w:fldCharType="separate"/>
          </w:r>
          <w:r>
            <w:rPr>
              <w:rStyle w:val="8"/>
              <w:rFonts w:ascii="Times New Roman" w:hAnsi="Times New Roman" w:cs="Times New Roman"/>
              <w:sz w:val="24"/>
              <w:szCs w:val="24"/>
            </w:rPr>
            <w:t>Building relationship between the stakeholders and ELC using social media platforms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_Toc80875702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350"/>
            </w:tabs>
            <w:spacing w:line="360" w:lineRule="auto"/>
            <w:rPr>
              <w:rFonts w:ascii="Times New Roman" w:hAnsi="Times New Roman" w:cs="Times New Roman" w:eastAsiaTheme="minorEastAsia"/>
              <w:sz w:val="24"/>
              <w:szCs w:val="24"/>
              <w:lang w:val="en-US"/>
            </w:rPr>
          </w:pPr>
          <w:r>
            <w:fldChar w:fldCharType="begin"/>
          </w:r>
          <w:r>
            <w:instrText xml:space="preserve"> HYPERLINK \l "_Toc80875703" </w:instrText>
          </w:r>
          <w:r>
            <w:fldChar w:fldCharType="separate"/>
          </w:r>
          <w:r>
            <w:rPr>
              <w:rStyle w:val="8"/>
              <w:rFonts w:ascii="Times New Roman" w:hAnsi="Times New Roman" w:cs="Times New Roman"/>
              <w:sz w:val="24"/>
              <w:szCs w:val="24"/>
            </w:rPr>
            <w:t>Use of social media as a tool for stakeholder engagement: Facebook and Instagram</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_Toc80875703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10"/>
            <w:tabs>
              <w:tab w:val="right" w:leader="dot" w:pos="9350"/>
            </w:tabs>
            <w:spacing w:line="360" w:lineRule="auto"/>
            <w:rPr>
              <w:rFonts w:ascii="Times New Roman" w:hAnsi="Times New Roman" w:cs="Times New Roman" w:eastAsiaTheme="minorEastAsia"/>
              <w:sz w:val="24"/>
              <w:szCs w:val="24"/>
              <w:lang w:val="en-US"/>
            </w:rPr>
          </w:pPr>
          <w:r>
            <w:fldChar w:fldCharType="begin"/>
          </w:r>
          <w:r>
            <w:instrText xml:space="preserve"> HYPERLINK \l "_Toc80875704" </w:instrText>
          </w:r>
          <w:r>
            <w:fldChar w:fldCharType="separate"/>
          </w:r>
          <w:r>
            <w:rPr>
              <w:rStyle w:val="8"/>
              <w:rFonts w:ascii="Times New Roman" w:hAnsi="Times New Roman" w:cs="Times New Roman"/>
              <w:sz w:val="24"/>
              <w:szCs w:val="24"/>
            </w:rPr>
            <w:t>Conclusion and recommendations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_Toc80875704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pStyle w:val="9"/>
            <w:tabs>
              <w:tab w:val="right" w:leader="dot" w:pos="9350"/>
            </w:tabs>
            <w:spacing w:line="360" w:lineRule="auto"/>
            <w:rPr>
              <w:rFonts w:ascii="Times New Roman" w:hAnsi="Times New Roman" w:cs="Times New Roman" w:eastAsiaTheme="minorEastAsia"/>
              <w:sz w:val="24"/>
              <w:szCs w:val="24"/>
              <w:lang w:val="en-US"/>
            </w:rPr>
          </w:pPr>
          <w:r>
            <w:fldChar w:fldCharType="begin"/>
          </w:r>
          <w:r>
            <w:instrText xml:space="preserve"> HYPERLINK \l "_Toc80875705" </w:instrText>
          </w:r>
          <w:r>
            <w:fldChar w:fldCharType="separate"/>
          </w:r>
          <w:r>
            <w:rPr>
              <w:rStyle w:val="8"/>
              <w:rFonts w:ascii="Times New Roman" w:hAnsi="Times New Roman" w:cs="Times New Roman"/>
              <w:sz w:val="24"/>
              <w:szCs w:val="24"/>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_Toc80875705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pPr>
            <w:spacing w:line="360" w:lineRule="auto"/>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spacing w:line="360" w:lineRule="auto"/>
        <w:jc w:val="both"/>
        <w:rPr>
          <w:rFonts w:ascii="Times New Roman" w:hAnsi="Times New Roman" w:cs="Times New Roman"/>
          <w:b/>
          <w:bCs/>
          <w:sz w:val="24"/>
          <w:szCs w:val="24"/>
        </w:rPr>
      </w:pP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pPr>
        <w:pStyle w:val="2"/>
        <w:spacing w:line="360" w:lineRule="auto"/>
        <w:jc w:val="center"/>
        <w:rPr>
          <w:rFonts w:ascii="Times New Roman" w:hAnsi="Times New Roman" w:cs="Times New Roman"/>
          <w:b/>
          <w:bCs/>
          <w:color w:val="auto"/>
          <w:sz w:val="24"/>
          <w:szCs w:val="24"/>
        </w:rPr>
      </w:pPr>
      <w:bookmarkStart w:id="0" w:name="_Toc80875698"/>
      <w:r>
        <w:rPr>
          <w:rFonts w:ascii="Times New Roman" w:hAnsi="Times New Roman" w:cs="Times New Roman"/>
          <w:b/>
          <w:bCs/>
          <w:color w:val="auto"/>
          <w:sz w:val="24"/>
          <w:szCs w:val="24"/>
        </w:rPr>
        <w:t>Introduction</w:t>
      </w:r>
      <w:bookmarkEnd w:id="0"/>
    </w:p>
    <w:p>
      <w:pPr>
        <w:spacing w:line="360" w:lineRule="auto"/>
        <w:jc w:val="both"/>
        <w:rPr>
          <w:rFonts w:ascii="Times New Roman" w:hAnsi="Times New Roman" w:cs="Times New Roman"/>
          <w:b/>
          <w:bCs/>
          <w:sz w:val="24"/>
          <w:szCs w:val="24"/>
        </w:rPr>
      </w:pPr>
      <w:r>
        <w:rPr>
          <w:rFonts w:ascii="Times New Roman" w:hAnsi="Times New Roman" w:cs="Times New Roman"/>
          <w:sz w:val="24"/>
          <w:szCs w:val="24"/>
        </w:rPr>
        <w:t>Every child deserves to have a good start and a better chance for a brighter future.  This can be made possible by supporting children in providing them with good health, food, cloth and shelter to grow socially, physically and mentally fit.  However, this is not the case in many parts of the globe. Children from poor families mostly suffer as they always lack necessities ranging from clean water, food and other basic needs. According to Grantham-McGregor et al. (2012), cross to 200 million children globally fails to attain their potential in cognitive development due to various factors such as poverty, inadequate care and poor health. The high level of poverty leads to increased famine and health issues for children growing in poverty. In turn, these children are affected where they are unable to attend school since parents cannot fully cater for fees, food, and other basic needs. As explained by Wang and Wang (2015), early cognitive development is a key factor that determines school performance and progress of children in the later stage of their lives.  Besides, children who participate in early childhood education generally remain in school and are unlikely to repeat any grade while their performance is better compared to those that never attended pre-school programmes.</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UK has long struggled with the poverty issue where the covid-19 crisis has made life even harder for many after thousands of people were left unemployed losing their main sources of income (Westwater, 2021).  Thus, with the increased rate of unemployment and the growing cost of childcare poor families feels the pressure and struggle to keep afloat. In the end, poverty harms children’s physical health and their mental well-being thus undermining their learning ability. To ensure all children get equal rights and access to education and good life Save the Children has introduced the Early Learning Communities Programme to close the early learning gap between well-off children and those growing up in poverty. As such this paper evaluates how the Early Learning Communities programme, run by Save The Children project based in the UK, is improving and transforming the lives of children living in poverty across the country. </w:t>
      </w:r>
    </w:p>
    <w:p>
      <w:pPr>
        <w:pStyle w:val="2"/>
        <w:spacing w:line="360" w:lineRule="auto"/>
        <w:jc w:val="center"/>
        <w:rPr>
          <w:rFonts w:ascii="Times New Roman" w:hAnsi="Times New Roman" w:cs="Times New Roman"/>
          <w:b/>
          <w:bCs/>
          <w:color w:val="auto"/>
          <w:sz w:val="24"/>
          <w:szCs w:val="24"/>
        </w:rPr>
      </w:pPr>
      <w:bookmarkStart w:id="1" w:name="_Toc80875699"/>
      <w:r>
        <w:rPr>
          <w:rFonts w:ascii="Times New Roman" w:hAnsi="Times New Roman" w:cs="Times New Roman"/>
          <w:b/>
          <w:bCs/>
          <w:color w:val="auto"/>
          <w:sz w:val="24"/>
          <w:szCs w:val="24"/>
        </w:rPr>
        <w:t>Early Leaning communities (ELC) programme</w:t>
      </w:r>
      <w:bookmarkEnd w:id="1"/>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Early learning communities (ELC) is a community engagement programme run by Save the Children Organisation to improve early learning outcomes for all children growing up in poverty in the UK (Save the Children, 2021). The ELC focus on securing a sustainable reduction in the number of children living in poverty thus narrowing the early learning gap between better-off and children growing in poverty. In turn, when all children are provided with equal opportunity to learn and grow, a community can narrow the gap between the rate of unemployment and the employed, reduces homeless and poverty rate. The ELC Programme is built on the evidence and knowledge derived from four main communities in Wales and England including Margate, Sheffield, Bettws in Wales and Feltham in West London (Save the Children, 2019). Save the Children ensures they trace all children’s cases in these four communities to ensure none is left at home. </w:t>
      </w:r>
    </w:p>
    <w:p>
      <w:pPr>
        <w:pStyle w:val="3"/>
        <w:spacing w:line="360" w:lineRule="auto"/>
        <w:jc w:val="center"/>
        <w:rPr>
          <w:rFonts w:ascii="Times New Roman" w:hAnsi="Times New Roman" w:cs="Times New Roman"/>
          <w:b/>
          <w:bCs/>
          <w:color w:val="auto"/>
          <w:sz w:val="24"/>
          <w:szCs w:val="24"/>
        </w:rPr>
      </w:pPr>
      <w:bookmarkStart w:id="2" w:name="_Toc80875700"/>
      <w:r>
        <w:rPr>
          <w:rFonts w:ascii="Times New Roman" w:hAnsi="Times New Roman" w:cs="Times New Roman"/>
          <w:b/>
          <w:bCs/>
          <w:color w:val="auto"/>
          <w:sz w:val="24"/>
          <w:szCs w:val="24"/>
        </w:rPr>
        <w:t>Benefits of stakeholders’ participation</w:t>
      </w:r>
      <w:bookmarkEnd w:id="2"/>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successfully run the ELC Programme, the Save the Children organisation has teamed up with several partners to effectively collect reliable data and evaluate needy causes in the four named communities. In partnership with Oxford and Plymouth Universities, </w:t>
      </w:r>
      <w:bookmarkStart w:id="3" w:name="_Hlk80796638"/>
      <w:r>
        <w:rPr>
          <w:rFonts w:ascii="Times New Roman" w:hAnsi="Times New Roman" w:cs="Times New Roman"/>
          <w:sz w:val="24"/>
          <w:szCs w:val="24"/>
        </w:rPr>
        <w:t>Dartington Service Design Lab</w:t>
      </w:r>
      <w:bookmarkEnd w:id="3"/>
      <w:r>
        <w:rPr>
          <w:rFonts w:ascii="Times New Roman" w:hAnsi="Times New Roman" w:cs="Times New Roman"/>
          <w:sz w:val="24"/>
          <w:szCs w:val="24"/>
        </w:rPr>
        <w:t xml:space="preserve">, local partners and communities the ELC programme has designed a toolkit that provides step by step process to improve children’s early learning outcomes </w:t>
      </w:r>
      <w:bookmarkStart w:id="4" w:name="_Hlk80871816"/>
      <w:r>
        <w:rPr>
          <w:rFonts w:ascii="Times New Roman" w:hAnsi="Times New Roman" w:cs="Times New Roman"/>
          <w:sz w:val="24"/>
          <w:szCs w:val="24"/>
        </w:rPr>
        <w:t xml:space="preserve">(Save the Children, 2019). </w:t>
      </w:r>
      <w:bookmarkEnd w:id="4"/>
      <w:r>
        <w:rPr>
          <w:rFonts w:ascii="Times New Roman" w:hAnsi="Times New Roman" w:cs="Times New Roman"/>
          <w:sz w:val="24"/>
          <w:szCs w:val="24"/>
        </w:rPr>
        <w:t xml:space="preserve">The toolkit is a combination of academic research, experiences from the local communities, expertise from local professionals which forms a system that helps early learning outcomes of children living in poverty.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Munthali, Mvula and Silo (2014) notes, the early years of any child are crucial whereby evidence shows children who gets quality education at an early age has a high probability to have a better life and career opportunities in future. Thus, the Early Learning Communities Programme works together in the four named communities through the help of a toolkit system. The toolkit is designed in a way that engages all partners and the locals in sharing and using knowledge and creativity to help identify needy children in the community (Save the Children, 2019). Hence, through the ELC programme children are provided access to good healthcare, they are protected from abuse and neglect thus ensuring they have a good environment to grow, learn and develop.  Besides, the ELC programme trains preschools teachers to incorporate play-based math and reading activities to increase school readiness and potential for success in elementary school.  </w:t>
      </w:r>
    </w:p>
    <w:p>
      <w:pPr>
        <w:pStyle w:val="3"/>
        <w:spacing w:line="360" w:lineRule="auto"/>
        <w:jc w:val="center"/>
        <w:rPr>
          <w:rFonts w:ascii="Times New Roman" w:hAnsi="Times New Roman" w:cs="Times New Roman"/>
          <w:b/>
          <w:bCs/>
          <w:color w:val="auto"/>
          <w:sz w:val="24"/>
          <w:szCs w:val="24"/>
        </w:rPr>
      </w:pPr>
      <w:bookmarkStart w:id="5" w:name="_Toc80875701"/>
      <w:r>
        <w:rPr>
          <w:rFonts w:ascii="Times New Roman" w:hAnsi="Times New Roman" w:cs="Times New Roman"/>
          <w:b/>
          <w:bCs/>
          <w:color w:val="auto"/>
          <w:sz w:val="24"/>
          <w:szCs w:val="24"/>
        </w:rPr>
        <w:t>Principles and standards that guide ELC Programme</w:t>
      </w:r>
      <w:bookmarkEnd w:id="5"/>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principle of the ELC Programme is promoting the best interest of all children and especially those growing in poverty.  Thus, while handling any case of a child from a poor family Save the Children charity ensures the child rights are protected (Save the Children, 2020). The parents and the community at large are engaged to discuss issues preventing them from taking their kids to pre-schools.  Besides, Save the Children through its ELC programme supports meaningful and quality children’s participation which gives children genuine chances for expressing themselves. It is also the responsibility of the ELC Programme to ensure all its initiatives do not harm the community.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running the early learning communities programme Save the Children staff ensures children are protected from any form of violence, exploitation, manipulation and exploitation. Through its various forum, the ELC programme ensures the community, children and other stakeholders participate without discrimination (Save the Children, 2020). Moreover, ELC Programme is run through an ethical approach of transparency, accountability and honesty. Children and the community involved are provided with access to relevant information regarding their engagement and participation in the development of successful early learning outcomes. </w:t>
      </w:r>
    </w:p>
    <w:p>
      <w:pPr>
        <w:pStyle w:val="3"/>
        <w:spacing w:line="360" w:lineRule="auto"/>
        <w:jc w:val="center"/>
        <w:rPr>
          <w:rFonts w:ascii="Times New Roman" w:hAnsi="Times New Roman" w:cs="Times New Roman"/>
          <w:b/>
          <w:bCs/>
          <w:color w:val="auto"/>
          <w:sz w:val="24"/>
          <w:szCs w:val="24"/>
        </w:rPr>
      </w:pPr>
      <w:bookmarkStart w:id="6" w:name="_Toc80875702"/>
      <w:r>
        <w:rPr>
          <w:rFonts w:ascii="Times New Roman" w:hAnsi="Times New Roman" w:cs="Times New Roman"/>
          <w:b/>
          <w:bCs/>
          <w:color w:val="auto"/>
          <w:sz w:val="24"/>
          <w:szCs w:val="24"/>
        </w:rPr>
        <w:t>Building relationship between the stakeholders and ELC using social media platforms</w:t>
      </w:r>
      <w:bookmarkEnd w:id="6"/>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the ELC has partnered with several stakeholders including the locals in various communities in the UK, it is, therefore, important to have effective communication and collaborations. Social media platforms including the use of Facebook, YouTube and Instagram when used strategically and regularly it can enhance communication and collaboration needed to run ELC Programme.  Social media provides a means where people in the community can engage in discussion, giving views and feedback from all stakeholders in any community engagement programme (Hou and Lampe, 2015).  Besides, through social media platforms, the Early Learning Communities programme can effectively educate families on the importance of early learning.  Below is a discussion of various use of social media platforms to enhance the success of the ELC Programme. </w:t>
      </w:r>
    </w:p>
    <w:p>
      <w:pPr>
        <w:pStyle w:val="3"/>
        <w:spacing w:line="360" w:lineRule="auto"/>
        <w:rPr>
          <w:rFonts w:ascii="Times New Roman" w:hAnsi="Times New Roman" w:cs="Times New Roman"/>
          <w:b/>
          <w:bCs/>
          <w:color w:val="auto"/>
          <w:sz w:val="24"/>
          <w:szCs w:val="24"/>
        </w:rPr>
      </w:pPr>
      <w:bookmarkStart w:id="7" w:name="_Toc80875703"/>
      <w:r>
        <w:rPr>
          <w:rFonts w:ascii="Times New Roman" w:hAnsi="Times New Roman" w:cs="Times New Roman"/>
          <w:b/>
          <w:bCs/>
          <w:color w:val="auto"/>
          <w:sz w:val="24"/>
          <w:szCs w:val="24"/>
        </w:rPr>
        <w:t>Use of social media as a tool for stakeholder engagement: Facebook and Instagram</w:t>
      </w:r>
      <w:bookmarkEnd w:id="7"/>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Facebook is one of the biggest social media platforms across the globe with more than two billion people having an account there.  More than sixty-five million businesses are using Facebook (Cottrell, 2020). Thus, using Facebook as a tool for communication and engaging people from different communities in Wales and England will help promote early learning communities programme achieve its objectives.  Facebook as a social media platform is easy to open and all form of content works great including videos, success stories, texts and images (Cho, Schweickart and Haase, 2014). In partnership with the local organisations such as schools, early years health providers and the local authorities together with families and children, ELC Programme can use Facebook to enlighten all stakeholders on the importance of early learning outcomes. Save the children can use Facebook as one of the suitable media to allow all the stakeholders to tell stories and share ideas. In turn, this will help people in the communities involved to point out needy children. Besides, some of the stakeholders who include the well-wishers and organisations in the community may offer help in form of monetary, idea and strategy to be used to ensure all children from poor families gets an equal chance for learning at an early age (Matthews, 2021). Communication in Facebook can be customised where the locals can use a common language to communicate.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Instagram is a video and photo-sharing social media channel that allows one to share a wide range of content ranging from live videos, photos and stories (Huey and Yazdanifard, 2014). Thus, Instagram is the other key social media platform that can be used as an outreach to support ELC Programme.  The Early Learning Communities programme can incorporate the use of Instagram to enlighten the people in the communities on the importance of early learning for children. This may include creating live videos for children in pre-schools to encourage others at home. Besides, videos and stories uploaded on Instagram can be used to share relevant information with all stakeholders in the ELC programme. Moreover, the ELC Programme can leverage the use of Instagram to solicit donations, advocate for support, sharing their mission and show progress and developmental impacts of the programme (Matthews, 2021).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through the use of both Instagram and Facebook ELC Programme can build a strong relationship between them and their stakeholders.  Save the Children should ensure to run social media campaigns on Facebook and Instagram media platforms. The campaign ads should entirely focus on families with young children.  The massage should be clear and convincing on the need for early learning for all children. ELC Programme may include success stories and videos of the benefits of attending pre-school programmes. Besides, through sponsorship and donations from the social media well-wishers ELC Programme it meets its objectives effectively (Matthews, 2021). ECL Programme can also provide training sessions to pre-school teachers through Facebook and Instagram videos to enlighten them on the benefits of early learning for their children. </w:t>
      </w:r>
    </w:p>
    <w:p>
      <w:pPr>
        <w:pStyle w:val="3"/>
        <w:spacing w:line="360" w:lineRule="auto"/>
        <w:jc w:val="center"/>
        <w:rPr>
          <w:rFonts w:ascii="Times New Roman" w:hAnsi="Times New Roman" w:cs="Times New Roman"/>
          <w:b/>
          <w:bCs/>
          <w:color w:val="auto"/>
          <w:sz w:val="24"/>
          <w:szCs w:val="24"/>
        </w:rPr>
      </w:pPr>
      <w:bookmarkStart w:id="8" w:name="_Toc80875704"/>
      <w:r>
        <w:rPr>
          <w:rFonts w:ascii="Times New Roman" w:hAnsi="Times New Roman" w:cs="Times New Roman"/>
          <w:b/>
          <w:bCs/>
          <w:color w:val="auto"/>
          <w:sz w:val="24"/>
          <w:szCs w:val="24"/>
        </w:rPr>
        <w:t>Conclusion and recommendations</w:t>
      </w:r>
      <w:bookmarkEnd w:id="8"/>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Community engagement gives a better understanding of communities’ aspirations and needs. it enables organisations to allocate their resources and time effectively to ensure the needs of the community are met. As discussed in this report early learning is a key factor for growth and the chance of performing better in school for children. However, most children growing in poverty do not always get their right to education. Most children will miss pre-school programmes which becomes hard for them to perform better in school and may result in falling from school.  However, the Save the Children Organisation through its Early Learning Communities (ELC) Programme has committed itself to ensure children from poor families get an equal learning opportunity at an early age to enhance their early learning outcomes same with well-off children. The ELC programme partners with several schools, local authorities, universities, locals and children in different communities in Wales and England.  To promote community participation, inclusion and collaboration this report has proposed engaging all stakeholders of the ELC Programme through social media platforms including Facebook and Instagram.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will also provide further recommendations to ensure the ELC Programme successfully run events in future and improves community engagement. The first recommendation is that ELC programme organisers (Save the Children organisation) should offer incentives to encourage community participation. Giving out prizes such as iPad, Laptops, school bags, clothes and food can help the locals participates in other upcoming community-based events run by the ECL programme.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recommendation is leveraging community groups to ensure effective community engagement. Community groups and neighbourhood leaders always have wider networks. Thus, when planning for an event ELC programme leaders should ensure to reach out to them to help champion the objective of the event.  The leaders and community groups can actively engage people in the community enlightening them on the need for early learning. </w:t>
      </w:r>
    </w:p>
    <w:p>
      <w:pPr>
        <w:spacing w:line="360" w:lineRule="auto"/>
        <w:jc w:val="both"/>
        <w:rPr>
          <w:rFonts w:ascii="Times New Roman" w:hAnsi="Times New Roman" w:cs="Times New Roman"/>
          <w:sz w:val="24"/>
          <w:szCs w:val="24"/>
        </w:rPr>
      </w:pPr>
      <w:r>
        <w:rPr>
          <w:rFonts w:ascii="Times New Roman" w:hAnsi="Times New Roman" w:cs="Times New Roman"/>
          <w:sz w:val="24"/>
          <w:szCs w:val="24"/>
        </w:rPr>
        <w:t>The other recommendation that ELC Programme can employ to plan and coordinate a successful future event that fully engages the community is the integration of a wide variety of both digital and traditional media channels. This may involve the use of different outlets including press releases, radio, television, websites and newspaper to promote public participation to a wider audience.</w:t>
      </w:r>
    </w:p>
    <w:p>
      <w:pPr>
        <w:pStyle w:val="2"/>
        <w:spacing w:line="360" w:lineRule="auto"/>
        <w:jc w:val="center"/>
        <w:rPr>
          <w:rFonts w:ascii="Times New Roman" w:hAnsi="Times New Roman" w:cs="Times New Roman"/>
          <w:b/>
          <w:bCs/>
          <w:color w:val="auto"/>
          <w:sz w:val="24"/>
          <w:szCs w:val="24"/>
        </w:rPr>
      </w:pPr>
      <w:bookmarkStart w:id="9" w:name="_Toc80875705"/>
      <w:r>
        <w:rPr>
          <w:rFonts w:ascii="Times New Roman" w:hAnsi="Times New Roman" w:cs="Times New Roman"/>
          <w:b/>
          <w:bCs/>
          <w:color w:val="auto"/>
          <w:sz w:val="24"/>
          <w:szCs w:val="24"/>
        </w:rPr>
        <w:t>References</w:t>
      </w:r>
      <w:bookmarkEnd w:id="9"/>
    </w:p>
    <w:p>
      <w:pPr>
        <w:spacing w:line="360" w:lineRule="auto"/>
        <w:ind w:left="720" w:hanging="720"/>
        <w:rPr>
          <w:rFonts w:ascii="Times New Roman" w:hAnsi="Times New Roman" w:cs="Times New Roman"/>
          <w:sz w:val="24"/>
          <w:szCs w:val="24"/>
          <w:shd w:val="clear" w:color="auto" w:fill="FFFFFF"/>
        </w:rPr>
      </w:pPr>
      <w:bookmarkStart w:id="10" w:name="_Hlk80873995"/>
      <w:r>
        <w:rPr>
          <w:rFonts w:ascii="Times New Roman" w:hAnsi="Times New Roman" w:cs="Times New Roman"/>
          <w:sz w:val="24"/>
          <w:szCs w:val="24"/>
          <w:shd w:val="clear" w:color="auto" w:fill="FFFFFF"/>
        </w:rPr>
        <w:t xml:space="preserve">Cho, M., Schweickart, T. and Haase, A. (2014). </w:t>
      </w:r>
      <w:bookmarkEnd w:id="10"/>
      <w:r>
        <w:rPr>
          <w:rFonts w:ascii="Times New Roman" w:hAnsi="Times New Roman" w:cs="Times New Roman"/>
          <w:sz w:val="24"/>
          <w:szCs w:val="24"/>
          <w:shd w:val="clear" w:color="auto" w:fill="FFFFFF"/>
        </w:rPr>
        <w:t>Public engagement with nonprofit organizations on Facebook. </w:t>
      </w:r>
      <w:r>
        <w:rPr>
          <w:rFonts w:ascii="Times New Roman" w:hAnsi="Times New Roman" w:cs="Times New Roman"/>
          <w:i/>
          <w:iCs/>
          <w:sz w:val="24"/>
          <w:szCs w:val="24"/>
          <w:shd w:val="clear" w:color="auto" w:fill="FFFFFF"/>
        </w:rPr>
        <w:t>Public Relations Review</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40</w:t>
      </w:r>
      <w:r>
        <w:rPr>
          <w:rFonts w:ascii="Times New Roman" w:hAnsi="Times New Roman" w:cs="Times New Roman"/>
          <w:sz w:val="24"/>
          <w:szCs w:val="24"/>
          <w:shd w:val="clear" w:color="auto" w:fill="FFFFFF"/>
        </w:rPr>
        <w:t>(3), pp.565-567.</w:t>
      </w:r>
    </w:p>
    <w:p>
      <w:pPr>
        <w:spacing w:line="360" w:lineRule="auto"/>
        <w:ind w:left="720" w:hanging="720"/>
        <w:rPr>
          <w:rFonts w:ascii="Times New Roman" w:hAnsi="Times New Roman" w:cs="Times New Roman"/>
          <w:sz w:val="24"/>
          <w:szCs w:val="24"/>
        </w:rPr>
      </w:pPr>
      <w:bookmarkStart w:id="11" w:name="_Hlk80873548"/>
      <w:r>
        <w:rPr>
          <w:rFonts w:ascii="Times New Roman" w:hAnsi="Times New Roman" w:cs="Times New Roman"/>
          <w:sz w:val="24"/>
          <w:szCs w:val="24"/>
        </w:rPr>
        <w:t xml:space="preserve">Cottrell. S. (2020). </w:t>
      </w:r>
      <w:bookmarkEnd w:id="11"/>
      <w:r>
        <w:rPr>
          <w:rFonts w:ascii="Times New Roman" w:hAnsi="Times New Roman" w:cs="Times New Roman"/>
          <w:sz w:val="24"/>
          <w:szCs w:val="24"/>
        </w:rPr>
        <w:t xml:space="preserve">Community Engagement and Social Media [Online] Available at: </w:t>
      </w:r>
      <w:r>
        <w:fldChar w:fldCharType="begin"/>
      </w:r>
      <w:r>
        <w:instrText xml:space="preserve"> HYPERLINK "https://medium.com/the-guide-to-remote-community-engagement/community-engagement-and-social-media-8b5164a8486f" </w:instrText>
      </w:r>
      <w:r>
        <w:fldChar w:fldCharType="separate"/>
      </w:r>
      <w:r>
        <w:rPr>
          <w:rStyle w:val="8"/>
          <w:rFonts w:ascii="Times New Roman" w:hAnsi="Times New Roman" w:cs="Times New Roman"/>
          <w:color w:val="auto"/>
          <w:sz w:val="24"/>
          <w:szCs w:val="24"/>
        </w:rPr>
        <w:t>https://medium.com/the-guide-to-remote-community-engagement/community-engagement-and-social-media-8b5164a8486f</w:t>
      </w:r>
      <w:r>
        <w:rPr>
          <w:rStyle w:val="8"/>
          <w:rFonts w:ascii="Times New Roman" w:hAnsi="Times New Roman" w:cs="Times New Roman"/>
          <w:color w:val="auto"/>
          <w:sz w:val="24"/>
          <w:szCs w:val="24"/>
        </w:rPr>
        <w:fldChar w:fldCharType="end"/>
      </w:r>
      <w:r>
        <w:rPr>
          <w:rFonts w:ascii="Times New Roman" w:hAnsi="Times New Roman" w:cs="Times New Roman"/>
          <w:sz w:val="24"/>
          <w:szCs w:val="24"/>
        </w:rPr>
        <w:t xml:space="preserve"> [Accessed on 26th Aug 2021].</w:t>
      </w:r>
    </w:p>
    <w:p>
      <w:pPr>
        <w:spacing w:line="360" w:lineRule="auto"/>
        <w:ind w:left="720" w:hanging="720"/>
        <w:rPr>
          <w:rFonts w:ascii="Times New Roman" w:hAnsi="Times New Roman" w:cs="Times New Roman"/>
          <w:sz w:val="24"/>
          <w:szCs w:val="24"/>
          <w:shd w:val="clear" w:color="auto" w:fill="FFFFFF"/>
        </w:rPr>
      </w:pPr>
      <w:bookmarkStart w:id="12" w:name="_Hlk80864233"/>
      <w:r>
        <w:rPr>
          <w:rFonts w:ascii="Times New Roman" w:hAnsi="Times New Roman" w:cs="Times New Roman"/>
          <w:sz w:val="24"/>
          <w:szCs w:val="24"/>
          <w:shd w:val="clear" w:color="auto" w:fill="FFFFFF"/>
        </w:rPr>
        <w:t xml:space="preserve">Grantham-McGregor, </w:t>
      </w:r>
      <w:bookmarkEnd w:id="12"/>
      <w:r>
        <w:rPr>
          <w:rFonts w:ascii="Times New Roman" w:hAnsi="Times New Roman" w:cs="Times New Roman"/>
          <w:sz w:val="24"/>
          <w:szCs w:val="24"/>
          <w:shd w:val="clear" w:color="auto" w:fill="FFFFFF"/>
        </w:rPr>
        <w:t>S., Cheung, Y.B., Cueto, S., Glewwe, P., Richter, L., Strupp, B. and International Child Development Steering Group. (2012). Developmental potential in the first 5 years for children in developing countries. </w:t>
      </w:r>
      <w:r>
        <w:rPr>
          <w:rFonts w:ascii="Times New Roman" w:hAnsi="Times New Roman" w:cs="Times New Roman"/>
          <w:i/>
          <w:iCs/>
          <w:sz w:val="24"/>
          <w:szCs w:val="24"/>
          <w:shd w:val="clear" w:color="auto" w:fill="FFFFFF"/>
        </w:rPr>
        <w:t>The lancet</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369</w:t>
      </w:r>
      <w:r>
        <w:rPr>
          <w:rFonts w:ascii="Times New Roman" w:hAnsi="Times New Roman" w:cs="Times New Roman"/>
          <w:sz w:val="24"/>
          <w:szCs w:val="24"/>
          <w:shd w:val="clear" w:color="auto" w:fill="FFFFFF"/>
        </w:rPr>
        <w:t>(9555), pp.60-70.</w:t>
      </w:r>
    </w:p>
    <w:p>
      <w:pPr>
        <w:spacing w:line="360" w:lineRule="auto"/>
        <w:ind w:left="720" w:hanging="720"/>
        <w:rPr>
          <w:rFonts w:ascii="Times New Roman" w:hAnsi="Times New Roman" w:cs="Times New Roman"/>
          <w:sz w:val="24"/>
          <w:szCs w:val="24"/>
          <w:shd w:val="clear" w:color="auto" w:fill="FFFFFF"/>
        </w:rPr>
      </w:pPr>
      <w:bookmarkStart w:id="13" w:name="_Hlk80873516"/>
      <w:r>
        <w:rPr>
          <w:rFonts w:ascii="Times New Roman" w:hAnsi="Times New Roman" w:cs="Times New Roman"/>
          <w:sz w:val="24"/>
          <w:szCs w:val="24"/>
          <w:shd w:val="clear" w:color="auto" w:fill="FFFFFF"/>
        </w:rPr>
        <w:t>Hou, Y. and Lampe, C. (2015</w:t>
      </w:r>
      <w:bookmarkEnd w:id="13"/>
      <w:r>
        <w:rPr>
          <w:rFonts w:ascii="Times New Roman" w:hAnsi="Times New Roman" w:cs="Times New Roman"/>
          <w:sz w:val="24"/>
          <w:szCs w:val="24"/>
          <w:shd w:val="clear" w:color="auto" w:fill="FFFFFF"/>
        </w:rPr>
        <w:t>). Social media effectiveness for public engagement: Example of small nonprofits. In </w:t>
      </w:r>
      <w:r>
        <w:rPr>
          <w:rFonts w:ascii="Times New Roman" w:hAnsi="Times New Roman" w:cs="Times New Roman"/>
          <w:i/>
          <w:iCs/>
          <w:sz w:val="24"/>
          <w:szCs w:val="24"/>
          <w:shd w:val="clear" w:color="auto" w:fill="FFFFFF"/>
        </w:rPr>
        <w:t>Proceedings of the 33rd annual ACM conference on human factors in computing systems</w:t>
      </w:r>
      <w:r>
        <w:rPr>
          <w:rFonts w:ascii="Times New Roman" w:hAnsi="Times New Roman" w:cs="Times New Roman"/>
          <w:sz w:val="24"/>
          <w:szCs w:val="24"/>
          <w:shd w:val="clear" w:color="auto" w:fill="FFFFFF"/>
        </w:rPr>
        <w:t> (pp. 3107-3116).</w:t>
      </w:r>
    </w:p>
    <w:p>
      <w:pPr>
        <w:spacing w:line="360" w:lineRule="auto"/>
        <w:ind w:left="720" w:hanging="720"/>
        <w:rPr>
          <w:rFonts w:ascii="Times New Roman" w:hAnsi="Times New Roman" w:cs="Times New Roman"/>
          <w:sz w:val="24"/>
          <w:szCs w:val="24"/>
        </w:rPr>
      </w:pPr>
      <w:bookmarkStart w:id="14" w:name="_Hlk80874171"/>
      <w:r>
        <w:rPr>
          <w:rFonts w:ascii="Times New Roman" w:hAnsi="Times New Roman" w:cs="Times New Roman"/>
          <w:sz w:val="24"/>
          <w:szCs w:val="24"/>
          <w:shd w:val="clear" w:color="auto" w:fill="FFFFFF"/>
        </w:rPr>
        <w:t>Huey, L.S. and Yazdanifard, R. (2014</w:t>
      </w:r>
      <w:bookmarkEnd w:id="14"/>
      <w:r>
        <w:rPr>
          <w:rFonts w:ascii="Times New Roman" w:hAnsi="Times New Roman" w:cs="Times New Roman"/>
          <w:sz w:val="24"/>
          <w:szCs w:val="24"/>
          <w:shd w:val="clear" w:color="auto" w:fill="FFFFFF"/>
        </w:rPr>
        <w:t>). How Instagram can be used as a tool in social network marketing. </w:t>
      </w:r>
      <w:r>
        <w:rPr>
          <w:rFonts w:ascii="Times New Roman" w:hAnsi="Times New Roman" w:cs="Times New Roman"/>
          <w:i/>
          <w:iCs/>
          <w:sz w:val="24"/>
          <w:szCs w:val="24"/>
          <w:shd w:val="clear" w:color="auto" w:fill="FFFFFF"/>
        </w:rPr>
        <w:t>Center for Southern New Hampshire University (SNHU)</w:t>
      </w:r>
      <w:r>
        <w:rPr>
          <w:rFonts w:ascii="Times New Roman" w:hAnsi="Times New Roman" w:cs="Times New Roman"/>
          <w:sz w:val="24"/>
          <w:szCs w:val="24"/>
          <w:shd w:val="clear" w:color="auto" w:fill="FFFFFF"/>
        </w:rPr>
        <w:t>.</w:t>
      </w:r>
    </w:p>
    <w:p>
      <w:pPr>
        <w:spacing w:line="360" w:lineRule="auto"/>
        <w:ind w:left="720" w:hanging="720"/>
        <w:rPr>
          <w:rFonts w:ascii="Times New Roman" w:hAnsi="Times New Roman" w:cs="Times New Roman"/>
          <w:sz w:val="24"/>
          <w:szCs w:val="24"/>
        </w:rPr>
      </w:pPr>
      <w:bookmarkStart w:id="15" w:name="_Hlk80874209"/>
      <w:bookmarkStart w:id="16" w:name="_Hlk80873946"/>
      <w:r>
        <w:rPr>
          <w:rFonts w:ascii="Times New Roman" w:hAnsi="Times New Roman" w:cs="Times New Roman"/>
          <w:sz w:val="24"/>
          <w:szCs w:val="24"/>
        </w:rPr>
        <w:t>Matthews. B. (2021</w:t>
      </w:r>
      <w:bookmarkEnd w:id="15"/>
      <w:r>
        <w:rPr>
          <w:rFonts w:ascii="Times New Roman" w:hAnsi="Times New Roman" w:cs="Times New Roman"/>
          <w:sz w:val="24"/>
          <w:szCs w:val="24"/>
        </w:rPr>
        <w:t xml:space="preserve">). </w:t>
      </w:r>
      <w:bookmarkEnd w:id="16"/>
      <w:r>
        <w:rPr>
          <w:rFonts w:ascii="Times New Roman" w:hAnsi="Times New Roman" w:cs="Times New Roman"/>
          <w:sz w:val="24"/>
          <w:szCs w:val="24"/>
        </w:rPr>
        <w:t xml:space="preserve">Free Facebook Tools for Charities and Non-profits [Online] Available at: </w:t>
      </w:r>
      <w:r>
        <w:fldChar w:fldCharType="begin"/>
      </w:r>
      <w:r>
        <w:instrText xml:space="preserve"> HYPERLINK "https://empower.agency/free-facebook-tools-charities-nonprofits/" </w:instrText>
      </w:r>
      <w:r>
        <w:fldChar w:fldCharType="separate"/>
      </w:r>
      <w:r>
        <w:rPr>
          <w:rStyle w:val="8"/>
          <w:rFonts w:ascii="Times New Roman" w:hAnsi="Times New Roman" w:cs="Times New Roman"/>
          <w:color w:val="auto"/>
          <w:sz w:val="24"/>
          <w:szCs w:val="24"/>
        </w:rPr>
        <w:t>https://empower.agency/free-facebook-tools-charities-nonprofits/</w:t>
      </w:r>
      <w:r>
        <w:rPr>
          <w:rStyle w:val="8"/>
          <w:rFonts w:ascii="Times New Roman" w:hAnsi="Times New Roman" w:cs="Times New Roman"/>
          <w:color w:val="auto"/>
          <w:sz w:val="24"/>
          <w:szCs w:val="24"/>
        </w:rPr>
        <w:fldChar w:fldCharType="end"/>
      </w:r>
      <w:r>
        <w:rPr>
          <w:rFonts w:ascii="Times New Roman" w:hAnsi="Times New Roman" w:cs="Times New Roman"/>
          <w:sz w:val="24"/>
          <w:szCs w:val="24"/>
        </w:rPr>
        <w:t>[Accessed on 26th Aug 2021].</w:t>
      </w:r>
    </w:p>
    <w:p>
      <w:pPr>
        <w:spacing w:line="360" w:lineRule="auto"/>
        <w:ind w:left="720" w:hanging="720"/>
        <w:rPr>
          <w:rFonts w:ascii="Times New Roman" w:hAnsi="Times New Roman" w:cs="Times New Roman"/>
          <w:sz w:val="24"/>
          <w:szCs w:val="24"/>
          <w:shd w:val="clear" w:color="auto" w:fill="FFFFFF"/>
        </w:rPr>
      </w:pPr>
      <w:bookmarkStart w:id="17" w:name="_Hlk80871773"/>
      <w:r>
        <w:rPr>
          <w:rFonts w:ascii="Times New Roman" w:hAnsi="Times New Roman" w:cs="Times New Roman"/>
          <w:sz w:val="24"/>
          <w:szCs w:val="24"/>
          <w:shd w:val="clear" w:color="auto" w:fill="FFFFFF"/>
        </w:rPr>
        <w:t>Munthali, A.C., Mvula, P.M. and Silo, L. (2014</w:t>
      </w:r>
      <w:bookmarkEnd w:id="17"/>
      <w:r>
        <w:rPr>
          <w:rFonts w:ascii="Times New Roman" w:hAnsi="Times New Roman" w:cs="Times New Roman"/>
          <w:sz w:val="24"/>
          <w:szCs w:val="24"/>
          <w:shd w:val="clear" w:color="auto" w:fill="FFFFFF"/>
        </w:rPr>
        <w:t>). Early childhood development: the role of community based childcare centres in Malawi. </w:t>
      </w:r>
      <w:r>
        <w:rPr>
          <w:rFonts w:ascii="Times New Roman" w:hAnsi="Times New Roman" w:cs="Times New Roman"/>
          <w:i/>
          <w:iCs/>
          <w:sz w:val="24"/>
          <w:szCs w:val="24"/>
          <w:shd w:val="clear" w:color="auto" w:fill="FFFFFF"/>
        </w:rPr>
        <w:t>SpringerPlus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w:t>
      </w:r>
      <w:r>
        <w:rPr>
          <w:rFonts w:ascii="Times New Roman" w:hAnsi="Times New Roman" w:cs="Times New Roman"/>
          <w:sz w:val="24"/>
          <w:szCs w:val="24"/>
          <w:shd w:val="clear" w:color="auto" w:fill="FFFFFF"/>
        </w:rPr>
        <w:t>(1), pp.1-10. B</w:t>
      </w:r>
    </w:p>
    <w:p>
      <w:pPr>
        <w:spacing w:line="360" w:lineRule="auto"/>
        <w:ind w:left="720" w:hanging="720"/>
        <w:rPr>
          <w:rFonts w:ascii="Times New Roman" w:hAnsi="Times New Roman" w:cs="Times New Roman"/>
          <w:sz w:val="24"/>
          <w:szCs w:val="24"/>
        </w:rPr>
      </w:pPr>
      <w:bookmarkStart w:id="18" w:name="_Hlk80871706"/>
      <w:r>
        <w:rPr>
          <w:rFonts w:ascii="Times New Roman" w:hAnsi="Times New Roman" w:cs="Times New Roman"/>
          <w:sz w:val="24"/>
          <w:szCs w:val="24"/>
        </w:rPr>
        <w:t xml:space="preserve">Save the Children, 2019. </w:t>
      </w:r>
      <w:bookmarkEnd w:id="18"/>
      <w:r>
        <w:rPr>
          <w:rFonts w:ascii="Times New Roman" w:hAnsi="Times New Roman" w:cs="Times New Roman"/>
          <w:sz w:val="24"/>
          <w:szCs w:val="24"/>
        </w:rPr>
        <w:t xml:space="preserve">Early Childhood Development [Online] Available at: </w:t>
      </w:r>
      <w:r>
        <w:fldChar w:fldCharType="begin"/>
      </w:r>
      <w:r>
        <w:instrText xml:space="preserve"> HYPERLINK "https://www.savethechildren.org/us/what-we-do/education/early-childhood-development" </w:instrText>
      </w:r>
      <w:r>
        <w:fldChar w:fldCharType="separate"/>
      </w:r>
      <w:r>
        <w:rPr>
          <w:rStyle w:val="8"/>
          <w:rFonts w:ascii="Times New Roman" w:hAnsi="Times New Roman" w:cs="Times New Roman"/>
          <w:color w:val="auto"/>
          <w:sz w:val="24"/>
          <w:szCs w:val="24"/>
        </w:rPr>
        <w:t>https://www.savethechildren.org/us/what-we-do/education/early-childhood-development</w:t>
      </w:r>
      <w:r>
        <w:rPr>
          <w:rStyle w:val="8"/>
          <w:rFonts w:ascii="Times New Roman" w:hAnsi="Times New Roman" w:cs="Times New Roman"/>
          <w:color w:val="auto"/>
          <w:sz w:val="24"/>
          <w:szCs w:val="24"/>
        </w:rPr>
        <w:fldChar w:fldCharType="end"/>
      </w:r>
      <w:r>
        <w:rPr>
          <w:rFonts w:ascii="Times New Roman" w:hAnsi="Times New Roman" w:cs="Times New Roman"/>
          <w:sz w:val="24"/>
          <w:szCs w:val="24"/>
        </w:rPr>
        <w:t>[Accessed on 26th Aug 2021].</w:t>
      </w:r>
    </w:p>
    <w:p>
      <w:pPr>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Save the Children, 2020. Practice Standards in Children’s Participation </w:t>
      </w:r>
      <w:bookmarkStart w:id="19" w:name="_Hlk80874633"/>
      <w:r>
        <w:rPr>
          <w:rFonts w:ascii="Times New Roman" w:hAnsi="Times New Roman" w:cs="Times New Roman"/>
          <w:sz w:val="24"/>
          <w:szCs w:val="24"/>
        </w:rPr>
        <w:t xml:space="preserve">[Online] Available at: </w:t>
      </w:r>
      <w:bookmarkEnd w:id="19"/>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"https://resourcecentre.savethechildren.net/sites/default/files/documents/3017.pdf" </w:instrText>
      </w:r>
      <w:r>
        <w:rPr>
          <w:rFonts w:ascii="Times New Roman" w:hAnsi="Times New Roman" w:cs="Times New Roman"/>
          <w:sz w:val="24"/>
          <w:szCs w:val="24"/>
        </w:rPr>
        <w:fldChar w:fldCharType="separate"/>
      </w:r>
      <w:r>
        <w:rPr>
          <w:rStyle w:val="8"/>
          <w:rFonts w:ascii="Times New Roman" w:hAnsi="Times New Roman" w:cs="Times New Roman"/>
          <w:color w:val="auto"/>
          <w:sz w:val="24"/>
          <w:szCs w:val="24"/>
        </w:rPr>
        <w:t>https://resourcecentre.savethechildren.net/sites/default/files/documents/3017.pdf</w:t>
      </w:r>
      <w:r>
        <w:rPr>
          <w:rFonts w:ascii="Times New Roman" w:hAnsi="Times New Roman" w:cs="Times New Roman"/>
          <w:sz w:val="24"/>
          <w:szCs w:val="24"/>
        </w:rPr>
        <w:fldChar w:fldCharType="end"/>
      </w:r>
      <w:r>
        <w:rPr>
          <w:rFonts w:ascii="Times New Roman" w:hAnsi="Times New Roman" w:cs="Times New Roman"/>
          <w:sz w:val="24"/>
          <w:szCs w:val="24"/>
        </w:rPr>
        <w:t xml:space="preserve"> </w:t>
      </w:r>
      <w:bookmarkStart w:id="20" w:name="_Hlk80874769"/>
      <w:bookmarkStart w:id="21" w:name="_Hlk80874848"/>
      <w:r>
        <w:rPr>
          <w:rFonts w:ascii="Times New Roman" w:hAnsi="Times New Roman" w:cs="Times New Roman"/>
          <w:sz w:val="24"/>
          <w:szCs w:val="24"/>
        </w:rPr>
        <w:t>[Accessed on 26th Aug 2021].</w:t>
      </w:r>
      <w:bookmarkEnd w:id="20"/>
    </w:p>
    <w:bookmarkEnd w:id="21"/>
    <w:p>
      <w:pPr>
        <w:spacing w:line="360" w:lineRule="auto"/>
        <w:ind w:left="720" w:hanging="720"/>
        <w:rPr>
          <w:rFonts w:ascii="Times New Roman" w:hAnsi="Times New Roman" w:cs="Times New Roman"/>
          <w:sz w:val="24"/>
          <w:szCs w:val="24"/>
        </w:rPr>
      </w:pPr>
      <w:bookmarkStart w:id="22" w:name="_Hlk80864788"/>
      <w:r>
        <w:rPr>
          <w:rFonts w:ascii="Times New Roman" w:hAnsi="Times New Roman" w:cs="Times New Roman"/>
          <w:sz w:val="24"/>
          <w:szCs w:val="24"/>
        </w:rPr>
        <w:t xml:space="preserve">Save the Children. (2021). </w:t>
      </w:r>
      <w:bookmarkEnd w:id="22"/>
      <w:r>
        <w:rPr>
          <w:rFonts w:ascii="Times New Roman" w:hAnsi="Times New Roman" w:cs="Times New Roman"/>
          <w:sz w:val="24"/>
          <w:szCs w:val="24"/>
        </w:rPr>
        <w:t>Save the children publishes new toolkit for communities to improve children’s early learning [Online] Available at: https://www.savethechildren.org.uk/news/media-centre/press-releases/new-toolkit-to-improve-early-learning [Accessed on 26th Aug 2021].</w:t>
      </w:r>
    </w:p>
    <w:p>
      <w:pPr>
        <w:spacing w:line="360" w:lineRule="auto"/>
        <w:ind w:left="720" w:hanging="720"/>
        <w:rPr>
          <w:rFonts w:ascii="Times New Roman" w:hAnsi="Times New Roman" w:cs="Times New Roman"/>
          <w:sz w:val="24"/>
          <w:szCs w:val="24"/>
          <w:shd w:val="clear" w:color="auto" w:fill="FFFFFF"/>
        </w:rPr>
      </w:pPr>
      <w:bookmarkStart w:id="23" w:name="_Hlk80864435"/>
      <w:r>
        <w:rPr>
          <w:rFonts w:ascii="Times New Roman" w:hAnsi="Times New Roman" w:cs="Times New Roman"/>
          <w:sz w:val="24"/>
          <w:szCs w:val="24"/>
          <w:shd w:val="clear" w:color="auto" w:fill="FFFFFF"/>
        </w:rPr>
        <w:t xml:space="preserve">Wang, Z. and Wang, L. (2015). </w:t>
      </w:r>
      <w:bookmarkEnd w:id="23"/>
      <w:r>
        <w:rPr>
          <w:rFonts w:ascii="Times New Roman" w:hAnsi="Times New Roman" w:cs="Times New Roman"/>
          <w:sz w:val="24"/>
          <w:szCs w:val="24"/>
          <w:shd w:val="clear" w:color="auto" w:fill="FFFFFF"/>
        </w:rPr>
        <w:t>Cognitive development: Child education. </w:t>
      </w:r>
      <w:r>
        <w:rPr>
          <w:rFonts w:ascii="Times New Roman" w:hAnsi="Times New Roman" w:cs="Times New Roman"/>
          <w:i/>
          <w:iCs/>
          <w:sz w:val="24"/>
          <w:szCs w:val="24"/>
          <w:shd w:val="clear" w:color="auto" w:fill="FFFFFF"/>
        </w:rPr>
        <w:t>International encyclopedia of the social &amp; behavioral sciences</w:t>
      </w:r>
      <w:r>
        <w:rPr>
          <w:rFonts w:ascii="Times New Roman" w:hAnsi="Times New Roman" w:cs="Times New Roman"/>
          <w:sz w:val="24"/>
          <w:szCs w:val="24"/>
          <w:shd w:val="clear" w:color="auto" w:fill="FFFFFF"/>
        </w:rPr>
        <w:t>, pp.38-42.</w:t>
      </w:r>
    </w:p>
    <w:p>
      <w:pPr>
        <w:spacing w:line="360" w:lineRule="auto"/>
        <w:ind w:left="720" w:hanging="720"/>
        <w:rPr>
          <w:rFonts w:ascii="Times New Roman" w:hAnsi="Times New Roman" w:cs="Times New Roman"/>
          <w:sz w:val="24"/>
          <w:szCs w:val="24"/>
        </w:rPr>
      </w:pPr>
      <w:bookmarkStart w:id="24" w:name="_Hlk80864584"/>
      <w:r>
        <w:rPr>
          <w:rFonts w:ascii="Times New Roman" w:hAnsi="Times New Roman" w:cs="Times New Roman"/>
          <w:sz w:val="24"/>
          <w:szCs w:val="24"/>
        </w:rPr>
        <w:t xml:space="preserve">Westwater. H. (2021). </w:t>
      </w:r>
      <w:bookmarkEnd w:id="24"/>
      <w:r>
        <w:rPr>
          <w:rFonts w:ascii="Times New Roman" w:hAnsi="Times New Roman" w:cs="Times New Roman"/>
          <w:sz w:val="24"/>
          <w:szCs w:val="24"/>
        </w:rPr>
        <w:t xml:space="preserve">UK poverty: the facts, figures and effects [Online] Available at: </w:t>
      </w:r>
      <w:r>
        <w:fldChar w:fldCharType="begin"/>
      </w:r>
      <w:r>
        <w:instrText xml:space="preserve"> HYPERLINK "https://www.bigissue.com/latest/uk-poverty-the-facts-figures-and-effects/" </w:instrText>
      </w:r>
      <w:r>
        <w:fldChar w:fldCharType="separate"/>
      </w:r>
      <w:r>
        <w:rPr>
          <w:rStyle w:val="8"/>
          <w:rFonts w:ascii="Times New Roman" w:hAnsi="Times New Roman" w:cs="Times New Roman"/>
          <w:color w:val="auto"/>
          <w:sz w:val="24"/>
          <w:szCs w:val="24"/>
        </w:rPr>
        <w:t>https://www.bigissue.com/latest/uk-poverty-the-facts-figures-and-effects/</w:t>
      </w:r>
      <w:r>
        <w:rPr>
          <w:rStyle w:val="8"/>
          <w:rFonts w:ascii="Times New Roman" w:hAnsi="Times New Roman" w:cs="Times New Roman"/>
          <w:color w:val="auto"/>
          <w:sz w:val="24"/>
          <w:szCs w:val="24"/>
        </w:rPr>
        <w:fldChar w:fldCharType="end"/>
      </w:r>
      <w:r>
        <w:rPr>
          <w:rFonts w:ascii="Times New Roman" w:hAnsi="Times New Roman" w:cs="Times New Roman"/>
          <w:sz w:val="24"/>
          <w:szCs w:val="24"/>
        </w:rPr>
        <w:t>[Accessed on 26th Aug 2021].</w:t>
      </w:r>
    </w:p>
    <w:p>
      <w:pPr>
        <w:spacing w:line="360" w:lineRule="auto"/>
        <w:jc w:val="both"/>
        <w:rPr>
          <w:rFonts w:ascii="Times New Roman" w:hAnsi="Times New Roman" w:cs="Times New Roman"/>
          <w:sz w:val="24"/>
          <w:szCs w:val="24"/>
        </w:rPr>
      </w:pPr>
    </w:p>
    <w:sectPr>
      <w:head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670262530"/>
      <w:docPartObj>
        <w:docPartGallery w:val="AutoText"/>
      </w:docPartObj>
    </w:sdtPr>
    <w:sdtEndPr>
      <w:rPr>
        <w:rFonts w:ascii="Times New Roman" w:hAnsi="Times New Roman" w:cs="Times New Roman"/>
        <w:sz w:val="24"/>
        <w:szCs w:val="24"/>
      </w:rPr>
    </w:sdtEndPr>
    <w:sdtContent>
      <w:p>
        <w:pPr>
          <w:pStyle w:val="7"/>
          <w:jc w:val="right"/>
          <w:rPr>
            <w:rFonts w:ascii="Times New Roman" w:hAnsi="Times New Roman" w:cs="Times New Roman"/>
            <w:sz w:val="24"/>
            <w:szCs w:val="24"/>
          </w:rPr>
        </w:pPr>
        <w:r>
          <w:rPr>
            <w:rFonts w:ascii="Times New Roman" w:hAnsi="Times New Roman" w:cs="Times New Roman"/>
            <w:sz w:val="24"/>
            <w:szCs w:val="24"/>
          </w:rPr>
          <w:t xml:space="preserve">Community Engagement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p>
    </w:sdtContent>
  </w:sdt>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G0tLQwNjExNDU2NDNU0lEKTi0uzszPAykwqgUAIoBNmCwAAAA="/>
  </w:docVars>
  <w:rsids>
    <w:rsidRoot w:val="00161EFB"/>
    <w:rsid w:val="0003012C"/>
    <w:rsid w:val="00036F5A"/>
    <w:rsid w:val="00060625"/>
    <w:rsid w:val="00080E95"/>
    <w:rsid w:val="000972BD"/>
    <w:rsid w:val="000B0110"/>
    <w:rsid w:val="000C09AE"/>
    <w:rsid w:val="000C47FF"/>
    <w:rsid w:val="000D6468"/>
    <w:rsid w:val="000E1F3A"/>
    <w:rsid w:val="000E7A61"/>
    <w:rsid w:val="000F056C"/>
    <w:rsid w:val="000F3EC4"/>
    <w:rsid w:val="00112BFA"/>
    <w:rsid w:val="00112EF0"/>
    <w:rsid w:val="00122A34"/>
    <w:rsid w:val="00153706"/>
    <w:rsid w:val="00154751"/>
    <w:rsid w:val="00156B15"/>
    <w:rsid w:val="00161EFB"/>
    <w:rsid w:val="00172BC5"/>
    <w:rsid w:val="001D31CB"/>
    <w:rsid w:val="001E4445"/>
    <w:rsid w:val="001F139E"/>
    <w:rsid w:val="002252D9"/>
    <w:rsid w:val="0024213B"/>
    <w:rsid w:val="00243636"/>
    <w:rsid w:val="00250F4B"/>
    <w:rsid w:val="00266B3B"/>
    <w:rsid w:val="00287FE4"/>
    <w:rsid w:val="002930ED"/>
    <w:rsid w:val="002B2FB8"/>
    <w:rsid w:val="00306E62"/>
    <w:rsid w:val="00314459"/>
    <w:rsid w:val="00323C42"/>
    <w:rsid w:val="003607E9"/>
    <w:rsid w:val="003959AF"/>
    <w:rsid w:val="00491E54"/>
    <w:rsid w:val="00496B6C"/>
    <w:rsid w:val="00496CB9"/>
    <w:rsid w:val="00497E06"/>
    <w:rsid w:val="004D61FD"/>
    <w:rsid w:val="00506735"/>
    <w:rsid w:val="00510A10"/>
    <w:rsid w:val="00513B17"/>
    <w:rsid w:val="0051556C"/>
    <w:rsid w:val="00573F2F"/>
    <w:rsid w:val="005C0EE6"/>
    <w:rsid w:val="005F1C2C"/>
    <w:rsid w:val="00652D66"/>
    <w:rsid w:val="00661816"/>
    <w:rsid w:val="006822DA"/>
    <w:rsid w:val="0068730A"/>
    <w:rsid w:val="00695510"/>
    <w:rsid w:val="0069737C"/>
    <w:rsid w:val="006B20E9"/>
    <w:rsid w:val="006E1BB0"/>
    <w:rsid w:val="006E5E32"/>
    <w:rsid w:val="006F1006"/>
    <w:rsid w:val="007247F9"/>
    <w:rsid w:val="0072587E"/>
    <w:rsid w:val="00752B20"/>
    <w:rsid w:val="00757FA2"/>
    <w:rsid w:val="00781AE4"/>
    <w:rsid w:val="0078501C"/>
    <w:rsid w:val="0079561C"/>
    <w:rsid w:val="007C03F4"/>
    <w:rsid w:val="007C0ECA"/>
    <w:rsid w:val="007F0829"/>
    <w:rsid w:val="007F3596"/>
    <w:rsid w:val="00826CE5"/>
    <w:rsid w:val="008369ED"/>
    <w:rsid w:val="00837B6C"/>
    <w:rsid w:val="00863724"/>
    <w:rsid w:val="00872A52"/>
    <w:rsid w:val="0087347C"/>
    <w:rsid w:val="008778E7"/>
    <w:rsid w:val="008927E6"/>
    <w:rsid w:val="008A6667"/>
    <w:rsid w:val="008B509A"/>
    <w:rsid w:val="008C441C"/>
    <w:rsid w:val="008F1986"/>
    <w:rsid w:val="008F579B"/>
    <w:rsid w:val="009111CC"/>
    <w:rsid w:val="00940AF5"/>
    <w:rsid w:val="0095444B"/>
    <w:rsid w:val="0096224F"/>
    <w:rsid w:val="009746F9"/>
    <w:rsid w:val="00A02CD7"/>
    <w:rsid w:val="00A12D8D"/>
    <w:rsid w:val="00A24EB1"/>
    <w:rsid w:val="00A261E6"/>
    <w:rsid w:val="00A306B9"/>
    <w:rsid w:val="00A72A06"/>
    <w:rsid w:val="00A916CC"/>
    <w:rsid w:val="00AB2971"/>
    <w:rsid w:val="00AC4479"/>
    <w:rsid w:val="00AC66E6"/>
    <w:rsid w:val="00AE064E"/>
    <w:rsid w:val="00AF508E"/>
    <w:rsid w:val="00B1049D"/>
    <w:rsid w:val="00B3450A"/>
    <w:rsid w:val="00BA2984"/>
    <w:rsid w:val="00BB40EA"/>
    <w:rsid w:val="00BB5ECB"/>
    <w:rsid w:val="00BB7D5C"/>
    <w:rsid w:val="00BC2B20"/>
    <w:rsid w:val="00C23329"/>
    <w:rsid w:val="00C33837"/>
    <w:rsid w:val="00C51002"/>
    <w:rsid w:val="00C60B2B"/>
    <w:rsid w:val="00CD028A"/>
    <w:rsid w:val="00CD0E6A"/>
    <w:rsid w:val="00D00E30"/>
    <w:rsid w:val="00D24207"/>
    <w:rsid w:val="00D27160"/>
    <w:rsid w:val="00D57E44"/>
    <w:rsid w:val="00D70AD3"/>
    <w:rsid w:val="00DA373C"/>
    <w:rsid w:val="00DB241D"/>
    <w:rsid w:val="00DE6D57"/>
    <w:rsid w:val="00E009E8"/>
    <w:rsid w:val="00E32BEE"/>
    <w:rsid w:val="00E65BAD"/>
    <w:rsid w:val="00EE1800"/>
    <w:rsid w:val="00EF5CFE"/>
    <w:rsid w:val="00F422B3"/>
    <w:rsid w:val="00F444B3"/>
    <w:rsid w:val="00F62AFA"/>
    <w:rsid w:val="00F7097B"/>
    <w:rsid w:val="00F85C90"/>
    <w:rsid w:val="00FB121C"/>
    <w:rsid w:val="00FD7337"/>
    <w:rsid w:val="00FE31A0"/>
    <w:rsid w:val="00FF6E66"/>
    <w:rsid w:val="054970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1"/>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5"/>
    <w:unhideWhenUsed/>
    <w:uiPriority w:val="99"/>
    <w:pPr>
      <w:tabs>
        <w:tab w:val="center" w:pos="4680"/>
        <w:tab w:val="right" w:pos="9360"/>
      </w:tabs>
      <w:spacing w:after="0" w:line="240" w:lineRule="auto"/>
    </w:pPr>
  </w:style>
  <w:style w:type="paragraph" w:styleId="7">
    <w:name w:val="header"/>
    <w:basedOn w:val="1"/>
    <w:link w:val="14"/>
    <w:unhideWhenUsed/>
    <w:qFormat/>
    <w:uiPriority w:val="99"/>
    <w:pPr>
      <w:tabs>
        <w:tab w:val="center" w:pos="4680"/>
        <w:tab w:val="right" w:pos="9360"/>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toc 1"/>
    <w:basedOn w:val="1"/>
    <w:next w:val="1"/>
    <w:unhideWhenUsed/>
    <w:uiPriority w:val="39"/>
    <w:pPr>
      <w:spacing w:after="100"/>
    </w:pPr>
  </w:style>
  <w:style w:type="paragraph" w:styleId="10">
    <w:name w:val="toc 2"/>
    <w:basedOn w:val="1"/>
    <w:next w:val="1"/>
    <w:unhideWhenUsed/>
    <w:qFormat/>
    <w:uiPriority w:val="39"/>
    <w:pPr>
      <w:spacing w:after="100"/>
      <w:ind w:left="220"/>
    </w:pPr>
  </w:style>
  <w:style w:type="character" w:customStyle="1" w:styleId="11">
    <w:name w:val="Heading 1 Char"/>
    <w:basedOn w:val="4"/>
    <w:link w:val="2"/>
    <w:uiPriority w:val="9"/>
    <w:rPr>
      <w:rFonts w:asciiTheme="majorHAnsi" w:hAnsiTheme="majorHAnsi" w:eastAsiaTheme="majorEastAsia" w:cstheme="majorBidi"/>
      <w:color w:val="2F5597" w:themeColor="accent1" w:themeShade="BF"/>
      <w:sz w:val="32"/>
      <w:szCs w:val="32"/>
      <w:lang w:val="en-GB"/>
    </w:rPr>
  </w:style>
  <w:style w:type="character" w:customStyle="1" w:styleId="12">
    <w:name w:val="Heading 2 Char"/>
    <w:basedOn w:val="4"/>
    <w:link w:val="3"/>
    <w:uiPriority w:val="9"/>
    <w:rPr>
      <w:rFonts w:asciiTheme="majorHAnsi" w:hAnsiTheme="majorHAnsi" w:eastAsiaTheme="majorEastAsia" w:cstheme="majorBidi"/>
      <w:color w:val="2F5597" w:themeColor="accent1" w:themeShade="BF"/>
      <w:sz w:val="26"/>
      <w:szCs w:val="26"/>
      <w:lang w:val="en-GB"/>
    </w:rPr>
  </w:style>
  <w:style w:type="paragraph" w:customStyle="1" w:styleId="13">
    <w:name w:val="TOC Heading"/>
    <w:basedOn w:val="2"/>
    <w:next w:val="1"/>
    <w:unhideWhenUsed/>
    <w:qFormat/>
    <w:uiPriority w:val="39"/>
    <w:pPr>
      <w:outlineLvl w:val="9"/>
    </w:pPr>
    <w:rPr>
      <w:lang w:val="en-US"/>
    </w:rPr>
  </w:style>
  <w:style w:type="character" w:customStyle="1" w:styleId="14">
    <w:name w:val="Header Char"/>
    <w:basedOn w:val="4"/>
    <w:link w:val="7"/>
    <w:uiPriority w:val="99"/>
    <w:rPr>
      <w:lang w:val="en-GB"/>
    </w:rPr>
  </w:style>
  <w:style w:type="character" w:customStyle="1" w:styleId="15">
    <w:name w:val="Footer Char"/>
    <w:basedOn w:val="4"/>
    <w:link w:val="6"/>
    <w:qFormat/>
    <w:uiPriority w:val="99"/>
    <w:rPr>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28B9CE-DE7C-4D56-9AD0-E01260D6B5E9}">
  <ds:schemaRefs/>
</ds:datastoreItem>
</file>

<file path=docProps/app.xml><?xml version="1.0" encoding="utf-8"?>
<Properties xmlns="http://schemas.openxmlformats.org/officeDocument/2006/extended-properties" xmlns:vt="http://schemas.openxmlformats.org/officeDocument/2006/docPropsVTypes">
  <Template>Normal</Template>
  <Pages>9</Pages>
  <Words>2519</Words>
  <Characters>14360</Characters>
  <Lines>119</Lines>
  <Paragraphs>33</Paragraphs>
  <TotalTime>3361</TotalTime>
  <ScaleCrop>false</ScaleCrop>
  <LinksUpToDate>false</LinksUpToDate>
  <CharactersWithSpaces>16846</CharactersWithSpaces>
  <Application>WPS Office_11.2.0.10265_F1E327BC-269C-435d-A152-05C5408002CA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2021-08-23T13:43:00Z</dcterms:created>
  <dc:creator>User</dc:creator>
  <cp:lastModifiedBy>User</cp:lastModifiedBy>
  <dcterms:modified xsi:type="dcterms:W3CDTF">2021-08-30T20:35:57Z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1033-11.2.0.10265</vt:lpwstr>
  </property>
  <property fmtid="{D5CDD505-2E9C-101B-9397-08002B2CF9AE}" pid="3" name="ICV">
    <vt:lpwstr>59213B6C12894EB2A4937292B52760BB</vt:lpwstr>
  </property>
</Properties>
</file>