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7066B" w14:textId="69BB9522" w:rsidR="00201F71" w:rsidRPr="00AE2E7F" w:rsidRDefault="00201F71" w:rsidP="00201F71">
      <w:pPr>
        <w:snapToGrid w:val="0"/>
        <w:spacing w:line="480" w:lineRule="auto"/>
        <w:jc w:val="center"/>
        <w:outlineLvl w:val="0"/>
        <w:rPr>
          <w:b/>
          <w:bCs/>
          <w:sz w:val="24"/>
        </w:rPr>
      </w:pPr>
      <w:r w:rsidRPr="00AE2E7F">
        <w:rPr>
          <w:b/>
          <w:bCs/>
          <w:sz w:val="28"/>
          <w:szCs w:val="28"/>
        </w:rPr>
        <w:t>Strategic Management Assignment</w:t>
      </w:r>
      <w:r w:rsidRPr="00AE2E7F">
        <w:rPr>
          <w:b/>
          <w:bCs/>
          <w:sz w:val="28"/>
          <w:szCs w:val="28"/>
        </w:rPr>
        <w:br/>
        <w:t>Keep Disney strong</w:t>
      </w:r>
    </w:p>
    <w:p w14:paraId="039E1F8D" w14:textId="77777777" w:rsidR="00201F71" w:rsidRPr="00174A1B" w:rsidRDefault="00201F71" w:rsidP="00201F71">
      <w:pPr>
        <w:snapToGrid w:val="0"/>
        <w:spacing w:line="480" w:lineRule="auto"/>
        <w:jc w:val="center"/>
        <w:rPr>
          <w:sz w:val="24"/>
        </w:rPr>
      </w:pPr>
      <w:r w:rsidRPr="007A04A4">
        <w:rPr>
          <w:noProof/>
          <w:sz w:val="24"/>
        </w:rPr>
        <w:drawing>
          <wp:inline distT="0" distB="0" distL="0" distR="0" wp14:anchorId="20BEB831" wp14:editId="4FACFA6E">
            <wp:extent cx="2900499" cy="2774390"/>
            <wp:effectExtent l="0" t="0" r="0" b="698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12737" cy="2786096"/>
                    </a:xfrm>
                    <a:prstGeom prst="rect">
                      <a:avLst/>
                    </a:prstGeom>
                  </pic:spPr>
                </pic:pic>
              </a:graphicData>
            </a:graphic>
          </wp:inline>
        </w:drawing>
      </w:r>
    </w:p>
    <w:p w14:paraId="642D0E41" w14:textId="77777777" w:rsidR="00201F71" w:rsidRDefault="00201F71" w:rsidP="00201F71">
      <w:pPr>
        <w:snapToGrid w:val="0"/>
        <w:spacing w:line="480" w:lineRule="auto"/>
        <w:jc w:val="center"/>
        <w:outlineLvl w:val="0"/>
        <w:rPr>
          <w:sz w:val="28"/>
          <w:szCs w:val="28"/>
        </w:rPr>
      </w:pPr>
      <w:r w:rsidRPr="007A04A4">
        <w:rPr>
          <w:sz w:val="28"/>
          <w:szCs w:val="28"/>
        </w:rPr>
        <w:t>December 2022</w:t>
      </w:r>
    </w:p>
    <w:p w14:paraId="2F88CFFF" w14:textId="77777777" w:rsidR="00201F71" w:rsidRDefault="00201F71" w:rsidP="00201F71">
      <w:pPr>
        <w:pStyle w:val="a0"/>
      </w:pPr>
    </w:p>
    <w:p w14:paraId="2EA03132" w14:textId="77777777" w:rsidR="00201F71" w:rsidRDefault="00201F71" w:rsidP="00201F71">
      <w:pPr>
        <w:pStyle w:val="a0"/>
      </w:pPr>
    </w:p>
    <w:p w14:paraId="528C108C" w14:textId="77777777" w:rsidR="00201F71" w:rsidRDefault="00201F71" w:rsidP="00201F71">
      <w:pPr>
        <w:pStyle w:val="a0"/>
      </w:pPr>
    </w:p>
    <w:p w14:paraId="6263AC57" w14:textId="77777777" w:rsidR="00201F71" w:rsidRPr="007A04A4" w:rsidRDefault="00201F71" w:rsidP="00201F71">
      <w:pPr>
        <w:pStyle w:val="a0"/>
      </w:pPr>
    </w:p>
    <w:p w14:paraId="24D76B83" w14:textId="77777777" w:rsidR="00201F71" w:rsidRDefault="00201F71" w:rsidP="00201F71">
      <w:pPr>
        <w:pStyle w:val="a0"/>
        <w:snapToGrid w:val="0"/>
        <w:spacing w:line="480" w:lineRule="auto"/>
        <w:rPr>
          <w:sz w:val="24"/>
        </w:rPr>
      </w:pPr>
    </w:p>
    <w:p w14:paraId="77443543" w14:textId="4D960A23" w:rsidR="00201F71" w:rsidRPr="007A04A4" w:rsidRDefault="00201F71" w:rsidP="00201F71">
      <w:pPr>
        <w:pStyle w:val="a0"/>
        <w:snapToGrid w:val="0"/>
        <w:spacing w:line="276" w:lineRule="auto"/>
        <w:rPr>
          <w:sz w:val="24"/>
        </w:rPr>
      </w:pPr>
      <w:r w:rsidRPr="007A04A4">
        <w:rPr>
          <w:sz w:val="24"/>
        </w:rPr>
        <w:t xml:space="preserve">MOUDLE NAME: </w:t>
      </w:r>
      <w:r w:rsidR="00975ACB" w:rsidRPr="00975ACB">
        <w:rPr>
          <w:sz w:val="24"/>
        </w:rPr>
        <w:t>Strategic Management</w:t>
      </w:r>
      <w:r w:rsidRPr="007A04A4">
        <w:rPr>
          <w:sz w:val="24"/>
        </w:rPr>
        <w:t xml:space="preserve"> (</w:t>
      </w:r>
      <w:r w:rsidR="00975ACB" w:rsidRPr="00975ACB">
        <w:rPr>
          <w:bCs/>
          <w:sz w:val="24"/>
        </w:rPr>
        <w:t>BMMB7013</w:t>
      </w:r>
      <w:r w:rsidRPr="007A04A4">
        <w:rPr>
          <w:sz w:val="24"/>
        </w:rPr>
        <w:t>)</w:t>
      </w:r>
    </w:p>
    <w:p w14:paraId="0EBC3FC8" w14:textId="77777777" w:rsidR="00201F71" w:rsidRPr="007A04A4" w:rsidRDefault="00201F71" w:rsidP="00201F71">
      <w:pPr>
        <w:pStyle w:val="a0"/>
        <w:snapToGrid w:val="0"/>
        <w:spacing w:line="276" w:lineRule="auto"/>
        <w:rPr>
          <w:sz w:val="24"/>
        </w:rPr>
      </w:pPr>
      <w:r w:rsidRPr="007A04A4">
        <w:rPr>
          <w:sz w:val="24"/>
        </w:rPr>
        <w:t>STUDENT NAME: Wenlong Wang</w:t>
      </w:r>
    </w:p>
    <w:p w14:paraId="66E7999F" w14:textId="77777777" w:rsidR="00201F71" w:rsidRPr="007A04A4" w:rsidRDefault="00201F71" w:rsidP="00201F71">
      <w:pPr>
        <w:pStyle w:val="a0"/>
        <w:snapToGrid w:val="0"/>
        <w:spacing w:line="276" w:lineRule="auto"/>
        <w:rPr>
          <w:sz w:val="24"/>
        </w:rPr>
      </w:pPr>
      <w:r w:rsidRPr="007A04A4">
        <w:rPr>
          <w:sz w:val="24"/>
        </w:rPr>
        <w:t>STUDENT NUMBER:2218783</w:t>
      </w:r>
    </w:p>
    <w:p w14:paraId="5DFD4AEB" w14:textId="77777777" w:rsidR="00201F71" w:rsidRDefault="00201F71" w:rsidP="00201F71">
      <w:pPr>
        <w:pStyle w:val="a0"/>
        <w:snapToGrid w:val="0"/>
        <w:spacing w:line="480" w:lineRule="auto"/>
        <w:rPr>
          <w:rFonts w:ascii="Arial" w:hAnsi="Arial" w:cs="Arial"/>
          <w:sz w:val="24"/>
        </w:rPr>
      </w:pPr>
    </w:p>
    <w:p w14:paraId="592FF143" w14:textId="5C553B20" w:rsidR="00201F71" w:rsidRDefault="00201F71" w:rsidP="00201F71">
      <w:pPr>
        <w:pStyle w:val="a0"/>
        <w:snapToGrid w:val="0"/>
        <w:spacing w:line="480" w:lineRule="auto"/>
        <w:rPr>
          <w:rFonts w:ascii="Arial" w:hAnsi="Arial" w:cs="Arial"/>
          <w:sz w:val="24"/>
        </w:rPr>
      </w:pPr>
    </w:p>
    <w:p w14:paraId="4CCA2B8B" w14:textId="02F54313" w:rsidR="00201F71" w:rsidRDefault="00201F71" w:rsidP="00201F71">
      <w:pPr>
        <w:pStyle w:val="a0"/>
        <w:snapToGrid w:val="0"/>
        <w:spacing w:line="480" w:lineRule="auto"/>
        <w:rPr>
          <w:rFonts w:ascii="Arial" w:hAnsi="Arial" w:cs="Arial"/>
          <w:sz w:val="24"/>
        </w:rPr>
      </w:pPr>
    </w:p>
    <w:p w14:paraId="161ADFA2" w14:textId="77777777" w:rsidR="00201F71" w:rsidRDefault="00201F71" w:rsidP="00201F71">
      <w:pPr>
        <w:pStyle w:val="a0"/>
        <w:snapToGrid w:val="0"/>
        <w:spacing w:line="480" w:lineRule="auto"/>
        <w:rPr>
          <w:rFonts w:ascii="Arial" w:hAnsi="Arial" w:cs="Arial"/>
          <w:sz w:val="24"/>
        </w:rPr>
      </w:pPr>
    </w:p>
    <w:p w14:paraId="1F4773A7" w14:textId="77777777" w:rsidR="00201F71" w:rsidRDefault="00201F71" w:rsidP="00201F71">
      <w:pPr>
        <w:pStyle w:val="a0"/>
        <w:snapToGrid w:val="0"/>
        <w:spacing w:line="480" w:lineRule="auto"/>
        <w:rPr>
          <w:rFonts w:ascii="Arial" w:hAnsi="Arial" w:cs="Arial"/>
          <w:sz w:val="24"/>
        </w:rPr>
      </w:pPr>
    </w:p>
    <w:p w14:paraId="132C9F1E" w14:textId="77777777" w:rsidR="00201F71" w:rsidRDefault="00201F71" w:rsidP="00201F71">
      <w:pPr>
        <w:pStyle w:val="a0"/>
      </w:pPr>
    </w:p>
    <w:sdt>
      <w:sdtPr>
        <w:rPr>
          <w:rFonts w:ascii="宋体" w:hAnsi="宋体"/>
          <w:sz w:val="22"/>
          <w:szCs w:val="28"/>
        </w:rPr>
        <w:id w:val="494662619"/>
        <w15:color w:val="DBDBDB"/>
        <w:docPartObj>
          <w:docPartGallery w:val="Table of Contents"/>
          <w:docPartUnique/>
        </w:docPartObj>
      </w:sdtPr>
      <w:sdtEndPr>
        <w:rPr>
          <w:rFonts w:ascii="Times New Roman" w:hAnsi="Times New Roman"/>
          <w:sz w:val="20"/>
          <w:szCs w:val="20"/>
        </w:rPr>
      </w:sdtEndPr>
      <w:sdtContent>
        <w:p w14:paraId="6AEE39E9" w14:textId="77777777" w:rsidR="0058492E" w:rsidRPr="00201F71" w:rsidRDefault="00000000">
          <w:pPr>
            <w:jc w:val="center"/>
            <w:rPr>
              <w:b/>
              <w:bCs/>
              <w:sz w:val="28"/>
              <w:szCs w:val="28"/>
              <w:lang w:eastAsia="zh-Hans"/>
            </w:rPr>
          </w:pPr>
          <w:r w:rsidRPr="00201F71">
            <w:rPr>
              <w:b/>
              <w:bCs/>
              <w:sz w:val="28"/>
              <w:szCs w:val="28"/>
              <w:lang w:eastAsia="zh-Hans"/>
            </w:rPr>
            <w:t>CONTENTS</w:t>
          </w:r>
        </w:p>
        <w:p w14:paraId="50308CD0" w14:textId="77777777" w:rsidR="0058492E" w:rsidRPr="00201F71" w:rsidRDefault="00000000">
          <w:pPr>
            <w:pStyle w:val="WPSOffice1"/>
            <w:tabs>
              <w:tab w:val="right" w:leader="dot" w:pos="8306"/>
            </w:tabs>
          </w:pPr>
          <w:r w:rsidRPr="00201F71">
            <w:fldChar w:fldCharType="begin"/>
          </w:r>
          <w:r w:rsidRPr="00201F71">
            <w:instrText xml:space="preserve">TOC \o "1-1" \h \u </w:instrText>
          </w:r>
          <w:r w:rsidRPr="00201F71">
            <w:fldChar w:fldCharType="separate"/>
          </w:r>
          <w:hyperlink w:anchor="_Toc1852278316" w:history="1">
            <w:r w:rsidRPr="00201F71">
              <w:rPr>
                <w:sz w:val="24"/>
                <w:szCs w:val="40"/>
              </w:rPr>
              <w:t>1Executive summary</w:t>
            </w:r>
            <w:r w:rsidRPr="00201F71">
              <w:tab/>
            </w:r>
            <w:r w:rsidRPr="00201F71">
              <w:rPr>
                <w:sz w:val="24"/>
                <w:szCs w:val="24"/>
              </w:rPr>
              <w:fldChar w:fldCharType="begin"/>
            </w:r>
            <w:r w:rsidRPr="00201F71">
              <w:rPr>
                <w:sz w:val="24"/>
                <w:szCs w:val="24"/>
              </w:rPr>
              <w:instrText xml:space="preserve"> PAGEREF _Toc1852278316 \h </w:instrText>
            </w:r>
            <w:r w:rsidRPr="00201F71">
              <w:rPr>
                <w:sz w:val="24"/>
                <w:szCs w:val="24"/>
              </w:rPr>
            </w:r>
            <w:r w:rsidRPr="00201F71">
              <w:rPr>
                <w:sz w:val="24"/>
                <w:szCs w:val="24"/>
              </w:rPr>
              <w:fldChar w:fldCharType="separate"/>
            </w:r>
            <w:r w:rsidRPr="00201F71">
              <w:rPr>
                <w:sz w:val="24"/>
                <w:szCs w:val="24"/>
              </w:rPr>
              <w:t>1</w:t>
            </w:r>
            <w:r w:rsidRPr="00201F71">
              <w:rPr>
                <w:sz w:val="24"/>
                <w:szCs w:val="24"/>
              </w:rPr>
              <w:fldChar w:fldCharType="end"/>
            </w:r>
          </w:hyperlink>
        </w:p>
        <w:p w14:paraId="7196FA6D" w14:textId="77777777" w:rsidR="0058492E" w:rsidRPr="00201F71" w:rsidRDefault="00000000">
          <w:pPr>
            <w:pStyle w:val="WPSOffice1"/>
            <w:tabs>
              <w:tab w:val="right" w:leader="dot" w:pos="8306"/>
            </w:tabs>
            <w:rPr>
              <w:sz w:val="24"/>
              <w:szCs w:val="24"/>
            </w:rPr>
          </w:pPr>
          <w:hyperlink w:anchor="_Toc1318710100" w:history="1">
            <w:r w:rsidRPr="00201F71">
              <w:rPr>
                <w:sz w:val="24"/>
                <w:szCs w:val="24"/>
              </w:rPr>
              <w:t>2Introduction</w:t>
            </w:r>
            <w:r w:rsidRPr="00201F71">
              <w:rPr>
                <w:sz w:val="24"/>
                <w:szCs w:val="24"/>
              </w:rPr>
              <w:tab/>
            </w:r>
            <w:r w:rsidRPr="00201F71">
              <w:rPr>
                <w:sz w:val="24"/>
                <w:szCs w:val="24"/>
              </w:rPr>
              <w:fldChar w:fldCharType="begin"/>
            </w:r>
            <w:r w:rsidRPr="00201F71">
              <w:rPr>
                <w:sz w:val="24"/>
                <w:szCs w:val="24"/>
              </w:rPr>
              <w:instrText xml:space="preserve"> PAGEREF _Toc1318710100 \h </w:instrText>
            </w:r>
            <w:r w:rsidRPr="00201F71">
              <w:rPr>
                <w:sz w:val="24"/>
                <w:szCs w:val="24"/>
              </w:rPr>
            </w:r>
            <w:r w:rsidRPr="00201F71">
              <w:rPr>
                <w:sz w:val="24"/>
                <w:szCs w:val="24"/>
              </w:rPr>
              <w:fldChar w:fldCharType="separate"/>
            </w:r>
            <w:r w:rsidRPr="00201F71">
              <w:rPr>
                <w:sz w:val="24"/>
                <w:szCs w:val="24"/>
              </w:rPr>
              <w:t>2</w:t>
            </w:r>
            <w:r w:rsidRPr="00201F71">
              <w:rPr>
                <w:sz w:val="24"/>
                <w:szCs w:val="24"/>
              </w:rPr>
              <w:fldChar w:fldCharType="end"/>
            </w:r>
          </w:hyperlink>
        </w:p>
        <w:p w14:paraId="481212E5" w14:textId="77777777" w:rsidR="0058492E" w:rsidRPr="00201F71" w:rsidRDefault="00000000">
          <w:pPr>
            <w:pStyle w:val="WPSOffice1"/>
            <w:tabs>
              <w:tab w:val="right" w:leader="dot" w:pos="8306"/>
            </w:tabs>
            <w:rPr>
              <w:sz w:val="24"/>
              <w:szCs w:val="24"/>
            </w:rPr>
          </w:pPr>
          <w:hyperlink w:anchor="_Toc1529413660" w:history="1">
            <w:r w:rsidRPr="00201F71">
              <w:rPr>
                <w:sz w:val="24"/>
                <w:szCs w:val="24"/>
              </w:rPr>
              <w:t>3Disney's past and present</w:t>
            </w:r>
            <w:r w:rsidRPr="00201F71">
              <w:rPr>
                <w:sz w:val="24"/>
                <w:szCs w:val="24"/>
              </w:rPr>
              <w:tab/>
            </w:r>
            <w:r w:rsidRPr="00201F71">
              <w:rPr>
                <w:sz w:val="24"/>
                <w:szCs w:val="24"/>
              </w:rPr>
              <w:fldChar w:fldCharType="begin"/>
            </w:r>
            <w:r w:rsidRPr="00201F71">
              <w:rPr>
                <w:sz w:val="24"/>
                <w:szCs w:val="24"/>
              </w:rPr>
              <w:instrText xml:space="preserve"> PAGEREF _Toc1529413660 \h </w:instrText>
            </w:r>
            <w:r w:rsidRPr="00201F71">
              <w:rPr>
                <w:sz w:val="24"/>
                <w:szCs w:val="24"/>
              </w:rPr>
            </w:r>
            <w:r w:rsidRPr="00201F71">
              <w:rPr>
                <w:sz w:val="24"/>
                <w:szCs w:val="24"/>
              </w:rPr>
              <w:fldChar w:fldCharType="separate"/>
            </w:r>
            <w:r w:rsidRPr="00201F71">
              <w:rPr>
                <w:sz w:val="24"/>
                <w:szCs w:val="24"/>
              </w:rPr>
              <w:t>2</w:t>
            </w:r>
            <w:r w:rsidRPr="00201F71">
              <w:rPr>
                <w:sz w:val="24"/>
                <w:szCs w:val="24"/>
              </w:rPr>
              <w:fldChar w:fldCharType="end"/>
            </w:r>
          </w:hyperlink>
        </w:p>
        <w:p w14:paraId="786BB939" w14:textId="77777777" w:rsidR="0058492E" w:rsidRPr="00201F71" w:rsidRDefault="00000000">
          <w:pPr>
            <w:pStyle w:val="WPSOffice1"/>
            <w:tabs>
              <w:tab w:val="right" w:leader="dot" w:pos="8306"/>
            </w:tabs>
            <w:rPr>
              <w:sz w:val="24"/>
              <w:szCs w:val="24"/>
            </w:rPr>
          </w:pPr>
          <w:hyperlink w:anchor="_Toc1623612677" w:history="1">
            <w:r w:rsidRPr="00201F71">
              <w:rPr>
                <w:sz w:val="24"/>
                <w:szCs w:val="24"/>
              </w:rPr>
              <w:t>4Conclusions</w:t>
            </w:r>
            <w:r w:rsidRPr="00201F71">
              <w:rPr>
                <w:sz w:val="24"/>
                <w:szCs w:val="24"/>
              </w:rPr>
              <w:tab/>
            </w:r>
            <w:r w:rsidRPr="00201F71">
              <w:rPr>
                <w:sz w:val="24"/>
                <w:szCs w:val="24"/>
              </w:rPr>
              <w:fldChar w:fldCharType="begin"/>
            </w:r>
            <w:r w:rsidRPr="00201F71">
              <w:rPr>
                <w:sz w:val="24"/>
                <w:szCs w:val="24"/>
              </w:rPr>
              <w:instrText xml:space="preserve"> PAGEREF _Toc1623612677 \h </w:instrText>
            </w:r>
            <w:r w:rsidRPr="00201F71">
              <w:rPr>
                <w:sz w:val="24"/>
                <w:szCs w:val="24"/>
              </w:rPr>
            </w:r>
            <w:r w:rsidRPr="00201F71">
              <w:rPr>
                <w:sz w:val="24"/>
                <w:szCs w:val="24"/>
              </w:rPr>
              <w:fldChar w:fldCharType="separate"/>
            </w:r>
            <w:r w:rsidRPr="00201F71">
              <w:rPr>
                <w:sz w:val="24"/>
                <w:szCs w:val="24"/>
              </w:rPr>
              <w:t>8</w:t>
            </w:r>
            <w:r w:rsidRPr="00201F71">
              <w:rPr>
                <w:sz w:val="24"/>
                <w:szCs w:val="24"/>
              </w:rPr>
              <w:fldChar w:fldCharType="end"/>
            </w:r>
          </w:hyperlink>
        </w:p>
        <w:p w14:paraId="57ADBE56" w14:textId="77777777" w:rsidR="0058492E" w:rsidRPr="00201F71" w:rsidRDefault="00000000">
          <w:pPr>
            <w:pStyle w:val="WPSOffice1"/>
            <w:tabs>
              <w:tab w:val="right" w:leader="dot" w:pos="8306"/>
            </w:tabs>
            <w:rPr>
              <w:sz w:val="24"/>
              <w:szCs w:val="24"/>
            </w:rPr>
          </w:pPr>
          <w:hyperlink w:anchor="_Toc2131043557" w:history="1">
            <w:r w:rsidRPr="00201F71">
              <w:rPr>
                <w:sz w:val="24"/>
                <w:szCs w:val="24"/>
              </w:rPr>
              <w:t>5Recommendations</w:t>
            </w:r>
            <w:r w:rsidRPr="00201F71">
              <w:rPr>
                <w:sz w:val="24"/>
                <w:szCs w:val="24"/>
              </w:rPr>
              <w:tab/>
            </w:r>
            <w:r w:rsidRPr="00201F71">
              <w:rPr>
                <w:sz w:val="24"/>
                <w:szCs w:val="24"/>
              </w:rPr>
              <w:fldChar w:fldCharType="begin"/>
            </w:r>
            <w:r w:rsidRPr="00201F71">
              <w:rPr>
                <w:sz w:val="24"/>
                <w:szCs w:val="24"/>
              </w:rPr>
              <w:instrText xml:space="preserve"> PAGEREF _Toc2131043557 \h </w:instrText>
            </w:r>
            <w:r w:rsidRPr="00201F71">
              <w:rPr>
                <w:sz w:val="24"/>
                <w:szCs w:val="24"/>
              </w:rPr>
            </w:r>
            <w:r w:rsidRPr="00201F71">
              <w:rPr>
                <w:sz w:val="24"/>
                <w:szCs w:val="24"/>
              </w:rPr>
              <w:fldChar w:fldCharType="separate"/>
            </w:r>
            <w:r w:rsidRPr="00201F71">
              <w:rPr>
                <w:sz w:val="24"/>
                <w:szCs w:val="24"/>
              </w:rPr>
              <w:t>9</w:t>
            </w:r>
            <w:r w:rsidRPr="00201F71">
              <w:rPr>
                <w:sz w:val="24"/>
                <w:szCs w:val="24"/>
              </w:rPr>
              <w:fldChar w:fldCharType="end"/>
            </w:r>
          </w:hyperlink>
        </w:p>
        <w:p w14:paraId="626BB093" w14:textId="77777777" w:rsidR="0058492E" w:rsidRPr="00201F71" w:rsidRDefault="00000000">
          <w:pPr>
            <w:pStyle w:val="WPSOffice1"/>
            <w:tabs>
              <w:tab w:val="right" w:leader="dot" w:pos="8306"/>
            </w:tabs>
            <w:rPr>
              <w:sz w:val="24"/>
              <w:szCs w:val="24"/>
            </w:rPr>
          </w:pPr>
          <w:hyperlink w:anchor="_Toc1186842530" w:history="1">
            <w:r w:rsidRPr="00201F71">
              <w:rPr>
                <w:sz w:val="24"/>
                <w:szCs w:val="24"/>
              </w:rPr>
              <w:t>6 References</w:t>
            </w:r>
            <w:r w:rsidRPr="00201F71">
              <w:rPr>
                <w:sz w:val="24"/>
                <w:szCs w:val="24"/>
              </w:rPr>
              <w:tab/>
            </w:r>
            <w:r w:rsidRPr="00201F71">
              <w:rPr>
                <w:sz w:val="24"/>
                <w:szCs w:val="24"/>
              </w:rPr>
              <w:fldChar w:fldCharType="begin"/>
            </w:r>
            <w:r w:rsidRPr="00201F71">
              <w:rPr>
                <w:sz w:val="24"/>
                <w:szCs w:val="24"/>
              </w:rPr>
              <w:instrText xml:space="preserve"> PAGEREF _Toc1186842530 \h </w:instrText>
            </w:r>
            <w:r w:rsidRPr="00201F71">
              <w:rPr>
                <w:sz w:val="24"/>
                <w:szCs w:val="24"/>
              </w:rPr>
            </w:r>
            <w:r w:rsidRPr="00201F71">
              <w:rPr>
                <w:sz w:val="24"/>
                <w:szCs w:val="24"/>
              </w:rPr>
              <w:fldChar w:fldCharType="separate"/>
            </w:r>
            <w:r w:rsidRPr="00201F71">
              <w:rPr>
                <w:sz w:val="24"/>
                <w:szCs w:val="24"/>
              </w:rPr>
              <w:t>12</w:t>
            </w:r>
            <w:r w:rsidRPr="00201F71">
              <w:rPr>
                <w:sz w:val="24"/>
                <w:szCs w:val="24"/>
              </w:rPr>
              <w:fldChar w:fldCharType="end"/>
            </w:r>
          </w:hyperlink>
        </w:p>
        <w:p w14:paraId="5861ED6A" w14:textId="247B2D6C" w:rsidR="0058492E" w:rsidRPr="00201F71" w:rsidRDefault="00000000">
          <w:r w:rsidRPr="00201F71">
            <w:fldChar w:fldCharType="end"/>
          </w:r>
        </w:p>
      </w:sdtContent>
    </w:sdt>
    <w:p w14:paraId="3FDDD892" w14:textId="77777777" w:rsidR="0058492E" w:rsidRDefault="0058492E">
      <w:pPr>
        <w:jc w:val="center"/>
        <w:outlineLvl w:val="0"/>
        <w:rPr>
          <w:rFonts w:ascii="Times New Roman Regular" w:hAnsi="Times New Roman Regular" w:cs="Times New Roman Regular" w:hint="eastAsia"/>
          <w:sz w:val="28"/>
          <w:szCs w:val="28"/>
        </w:rPr>
        <w:sectPr w:rsidR="0058492E">
          <w:headerReference w:type="even" r:id="rId10"/>
          <w:headerReference w:type="default" r:id="rId11"/>
          <w:pgSz w:w="11906" w:h="16838"/>
          <w:pgMar w:top="1440" w:right="1800" w:bottom="1440" w:left="1800" w:header="851" w:footer="992" w:gutter="0"/>
          <w:cols w:space="425"/>
          <w:docGrid w:type="lines" w:linePitch="312"/>
        </w:sectPr>
      </w:pPr>
      <w:bookmarkStart w:id="0" w:name="_Toc1852278316"/>
    </w:p>
    <w:p w14:paraId="3CCA2372" w14:textId="3CDFFA1D" w:rsidR="0058492E" w:rsidRPr="00F13A66" w:rsidRDefault="00000000" w:rsidP="00201F71">
      <w:pPr>
        <w:outlineLvl w:val="0"/>
        <w:rPr>
          <w:rFonts w:ascii="Times New Roman Regular" w:hAnsi="Times New Roman Regular" w:cs="Times New Roman Regular" w:hint="eastAsia"/>
          <w:b/>
          <w:bCs/>
          <w:sz w:val="28"/>
          <w:szCs w:val="28"/>
        </w:rPr>
      </w:pPr>
      <w:r w:rsidRPr="00F13A66">
        <w:rPr>
          <w:rFonts w:ascii="Times New Roman Regular" w:hAnsi="Times New Roman Regular" w:cs="Times New Roman Regular"/>
          <w:b/>
          <w:bCs/>
          <w:sz w:val="28"/>
          <w:szCs w:val="28"/>
        </w:rPr>
        <w:lastRenderedPageBreak/>
        <w:t>1</w:t>
      </w:r>
      <w:r w:rsidR="00AE2E7F" w:rsidRPr="00F13A66">
        <w:rPr>
          <w:rFonts w:ascii="Times New Roman Regular" w:hAnsi="Times New Roman Regular" w:cs="Times New Roman Regular"/>
          <w:b/>
          <w:bCs/>
          <w:sz w:val="28"/>
          <w:szCs w:val="28"/>
        </w:rPr>
        <w:t xml:space="preserve"> </w:t>
      </w:r>
      <w:r w:rsidRPr="00F13A66">
        <w:rPr>
          <w:rFonts w:ascii="Times New Roman Regular" w:hAnsi="Times New Roman Regular" w:cs="Times New Roman Regular"/>
          <w:b/>
          <w:bCs/>
          <w:sz w:val="28"/>
          <w:szCs w:val="28"/>
        </w:rPr>
        <w:t>Executive summary</w:t>
      </w:r>
      <w:bookmarkEnd w:id="0"/>
    </w:p>
    <w:p w14:paraId="31BE8E0D"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Disney's two businesses: theme park business and streaming media business are both affected by the epidemic and competitors, and the overall profit level is low. However, with the relaxation of epidemic prevention policies around the world and China's epidemic prevention policies from the "national 20" to the "national 10", gradually liberalized the protection against the epidemic, no longer check nucleic acid negative, health code, trip code, and no longer pull away positive patients for centralized isolation treatment, but more choose to take home treatment, catering, retail, tourism and other industries are gradually repairing, and related stocks are also rising rapidly. Disney can improve its profitability by complying with market demand, balancing park business and streaming media business, cross-border cooperation and increasing the stickiness of old customers in the wind of world economic growth.</w:t>
      </w:r>
    </w:p>
    <w:p w14:paraId="765C670E" w14:textId="7B78C1BF" w:rsidR="0058492E" w:rsidRDefault="00000000">
      <w:pPr>
        <w:rPr>
          <w:rFonts w:ascii="Times New Roman Regular" w:hAnsi="Times New Roman Regular" w:cs="Times New Roman Regular" w:hint="eastAsia"/>
          <w:sz w:val="28"/>
          <w:szCs w:val="28"/>
        </w:rPr>
      </w:pPr>
      <w:bookmarkStart w:id="1" w:name="_Toc1318710100"/>
      <w:r>
        <w:rPr>
          <w:rFonts w:ascii="Times New Roman Regular" w:hAnsi="Times New Roman Regular" w:cs="Times New Roman Regular"/>
          <w:sz w:val="28"/>
          <w:szCs w:val="28"/>
        </w:rPr>
        <w:br w:type="page"/>
      </w:r>
    </w:p>
    <w:p w14:paraId="51EA7839" w14:textId="7AA8E82D" w:rsidR="0058492E" w:rsidRPr="00201F71" w:rsidRDefault="00000000" w:rsidP="00AE2E7F">
      <w:pPr>
        <w:adjustRightInd w:val="0"/>
        <w:snapToGrid w:val="0"/>
        <w:outlineLvl w:val="0"/>
        <w:rPr>
          <w:rFonts w:ascii="Times New Roman Regular" w:hAnsi="Times New Roman Regular" w:cs="Times New Roman Regular" w:hint="eastAsia"/>
          <w:b/>
          <w:bCs/>
          <w:sz w:val="28"/>
          <w:szCs w:val="28"/>
        </w:rPr>
      </w:pPr>
      <w:r w:rsidRPr="00201F71">
        <w:rPr>
          <w:rFonts w:ascii="Times New Roman Regular" w:hAnsi="Times New Roman Regular" w:cs="Times New Roman Regular"/>
          <w:b/>
          <w:bCs/>
          <w:sz w:val="28"/>
          <w:szCs w:val="28"/>
        </w:rPr>
        <w:lastRenderedPageBreak/>
        <w:t>2</w:t>
      </w:r>
      <w:r w:rsidR="00AE2E7F">
        <w:rPr>
          <w:rFonts w:ascii="Times New Roman Regular" w:hAnsi="Times New Roman Regular" w:cs="Times New Roman Regular"/>
          <w:b/>
          <w:bCs/>
          <w:sz w:val="28"/>
          <w:szCs w:val="28"/>
        </w:rPr>
        <w:t xml:space="preserve"> </w:t>
      </w:r>
      <w:r w:rsidRPr="00201F71">
        <w:rPr>
          <w:rFonts w:ascii="Times New Roman Regular" w:hAnsi="Times New Roman Regular" w:cs="Times New Roman Regular"/>
          <w:b/>
          <w:bCs/>
          <w:sz w:val="28"/>
          <w:szCs w:val="28"/>
        </w:rPr>
        <w:t>Introduction</w:t>
      </w:r>
      <w:bookmarkEnd w:id="1"/>
    </w:p>
    <w:p w14:paraId="2B131187"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 xml:space="preserve">With the development of economy, consumers have more and more budgets for tourism, and they are more and more willing to spend time to purify their mind and body. People's travel has also evolved from a simple visit to the classics to a sentimental cultural tourism vacation mode. The global tourism market is weak under the impact of the epidemic. As the largest tourism consumer in the world, China's tourism economy has been impacted greatly. However, with the liberalization of China's epidemic policy, consumers' willingness to travel has been fully released, and consumers' </w:t>
      </w:r>
      <w:proofErr w:type="gramStart"/>
      <w:r>
        <w:rPr>
          <w:rFonts w:ascii="Times New Roman Regular" w:hAnsi="Times New Roman Regular" w:cs="Times New Roman Regular"/>
          <w:sz w:val="24"/>
          <w:szCs w:val="24"/>
        </w:rPr>
        <w:t>pent up</w:t>
      </w:r>
      <w:proofErr w:type="gramEnd"/>
      <w:r>
        <w:rPr>
          <w:rFonts w:ascii="Times New Roman Regular" w:hAnsi="Times New Roman Regular" w:cs="Times New Roman Regular"/>
          <w:sz w:val="24"/>
          <w:szCs w:val="24"/>
        </w:rPr>
        <w:t xml:space="preserve"> impulse to travel has begun to erupt.</w:t>
      </w:r>
    </w:p>
    <w:p w14:paraId="15943453"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At present, the most popular travel choice is the theme park with complete facilities, which has both advanced planning and a full range of regional resources matching capabilities. In international shopping malls, the park economy is also developing rapidly. According to the 2021 Global Park Market Report released by The Business Research Company in July 2021, the global park market is expected to grow from 51.67 billion dollars in 2020 to 63.89 billion dollars in 2021, and it is expected that the market will reach 89.17 billion dollars by 2025.</w:t>
      </w:r>
    </w:p>
    <w:p w14:paraId="71A8042E" w14:textId="578D5C18"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The role of park economy in China should not be underestimated. According to the report released by Southern Newspaper Group in May 2021, "From supporting the city to driving the industry, from integrating resources to radiating around, the butterfly effect of" paradise economy "plays a significant role in driving the urban economy. Its strong attraction will divert people to the location, integrate the economic pattern, drive economic development and enhance the competitiveness of the city." Paradise economy still plays a very high role in China's tourism market, and consumers are more inclined to visit theme parks such as Disney.</w:t>
      </w:r>
      <w:r w:rsidR="00AE2E7F">
        <w:rPr>
          <w:rFonts w:ascii="Times New Roman Regular" w:hAnsi="Times New Roman Regular" w:cs="Times New Roman Regular"/>
          <w:sz w:val="24"/>
          <w:szCs w:val="24"/>
        </w:rPr>
        <w:br/>
      </w:r>
    </w:p>
    <w:p w14:paraId="55B5431C" w14:textId="33DB2F0E" w:rsidR="0058492E" w:rsidRPr="00201F71" w:rsidRDefault="00000000" w:rsidP="00AE2E7F">
      <w:pPr>
        <w:adjustRightInd w:val="0"/>
        <w:snapToGrid w:val="0"/>
        <w:spacing w:line="276" w:lineRule="auto"/>
        <w:outlineLvl w:val="0"/>
        <w:rPr>
          <w:rFonts w:ascii="Times New Roman Regular" w:hAnsi="Times New Roman Regular" w:cs="Times New Roman Regular" w:hint="eastAsia"/>
          <w:b/>
          <w:bCs/>
          <w:sz w:val="28"/>
          <w:szCs w:val="28"/>
        </w:rPr>
      </w:pPr>
      <w:bookmarkStart w:id="2" w:name="_Toc1529413660"/>
      <w:r w:rsidRPr="00201F71">
        <w:rPr>
          <w:rFonts w:ascii="Times New Roman Regular" w:hAnsi="Times New Roman Regular" w:cs="Times New Roman Regular"/>
          <w:b/>
          <w:bCs/>
          <w:sz w:val="28"/>
          <w:szCs w:val="28"/>
        </w:rPr>
        <w:t>3</w:t>
      </w:r>
      <w:r w:rsidR="00AE2E7F">
        <w:rPr>
          <w:rFonts w:ascii="Times New Roman Regular" w:hAnsi="Times New Roman Regular" w:cs="Times New Roman Regular"/>
          <w:b/>
          <w:bCs/>
          <w:sz w:val="28"/>
          <w:szCs w:val="28"/>
        </w:rPr>
        <w:t xml:space="preserve"> </w:t>
      </w:r>
      <w:r w:rsidRPr="00201F71">
        <w:rPr>
          <w:rFonts w:ascii="Times New Roman Regular" w:hAnsi="Times New Roman Regular" w:cs="Times New Roman Regular"/>
          <w:b/>
          <w:bCs/>
          <w:sz w:val="28"/>
          <w:szCs w:val="28"/>
        </w:rPr>
        <w:t>Disney's past and present</w:t>
      </w:r>
      <w:bookmarkEnd w:id="2"/>
    </w:p>
    <w:p w14:paraId="25DC6051"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Disneyland has a great influence on the local area. From its past development track, we can see that the largest Disneyland, Walt Disney World, drives the local economic development, promotes Orlando's business from barren to prosperous, and helps the local income center change from citrus planting to high-value industry driven by tourism economy.</w:t>
      </w:r>
    </w:p>
    <w:p w14:paraId="1267C06C"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 xml:space="preserve">The park economy also plays a strong role in promoting the local market in China, such as Guangzhou </w:t>
      </w:r>
      <w:proofErr w:type="spellStart"/>
      <w:r>
        <w:rPr>
          <w:rFonts w:ascii="Times New Roman Regular" w:hAnsi="Times New Roman Regular" w:cs="Times New Roman Regular"/>
          <w:sz w:val="24"/>
          <w:szCs w:val="24"/>
        </w:rPr>
        <w:t>Chimelong</w:t>
      </w:r>
      <w:proofErr w:type="spellEnd"/>
      <w:r>
        <w:rPr>
          <w:rFonts w:ascii="Times New Roman Regular" w:hAnsi="Times New Roman Regular" w:cs="Times New Roman Regular"/>
          <w:sz w:val="24"/>
          <w:szCs w:val="24"/>
        </w:rPr>
        <w:t>. It attracts 20 million tourists every year, brings hundreds of millions of yuan of tax revenue to Guangzhou, affects the scale of the crony economy of more than 50 billion yuan, provides more than 20000 jobs in general, and drives more than 100000 industrial jobs. (Data source: Ai Media Report | 2019-2022 Global and China Theme Park Operation Big Data and Industry Upgrading Trend Report)</w:t>
      </w:r>
    </w:p>
    <w:p w14:paraId="314D9D2B"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 xml:space="preserve">The average annual income of Disney in Shanghai is about </w:t>
      </w:r>
      <w:proofErr w:type="gramStart"/>
      <w:r>
        <w:rPr>
          <w:rFonts w:ascii="Times New Roman Regular" w:hAnsi="Times New Roman Regular" w:cs="Times New Roman Regular"/>
          <w:sz w:val="24"/>
          <w:szCs w:val="24"/>
        </w:rPr>
        <w:t>19.5 billion yuan</w:t>
      </w:r>
      <w:proofErr w:type="gramEnd"/>
      <w:r>
        <w:rPr>
          <w:rFonts w:ascii="Times New Roman Regular" w:hAnsi="Times New Roman Regular" w:cs="Times New Roman Regular"/>
          <w:sz w:val="24"/>
          <w:szCs w:val="24"/>
        </w:rPr>
        <w:t>, accounting for about 6.5% of the overall tourism income in Shanghai, which is a huge figure. According to the economic benefits and social values generated by the park, the park can not only continuously attract visitors, but also help a large number of industrial people live and work in peace and contentment around the park.</w:t>
      </w:r>
    </w:p>
    <w:p w14:paraId="09933B5D" w14:textId="082FFBCA"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lastRenderedPageBreak/>
        <w:t>However, with the change of the world economic situation and the global epidemic policy (especially in China), the world has ushered in the opening of the tourism economy. Disney's adherence to the previous route is no different from being complacent. It should further expand the scale of the tourism economy by combining Disney's own strong IP advantages.</w:t>
      </w:r>
      <w:r w:rsidR="00AE2E7F">
        <w:rPr>
          <w:rFonts w:ascii="Times New Roman Regular" w:hAnsi="Times New Roman Regular" w:cs="Times New Roman Regular"/>
          <w:sz w:val="24"/>
          <w:szCs w:val="24"/>
        </w:rPr>
        <w:br/>
      </w:r>
    </w:p>
    <w:p w14:paraId="70590FDC" w14:textId="77777777" w:rsidR="0058492E" w:rsidRPr="00F13A66" w:rsidRDefault="00000000" w:rsidP="00AE2E7F">
      <w:pPr>
        <w:adjustRightInd w:val="0"/>
        <w:snapToGrid w:val="0"/>
        <w:rPr>
          <w:rFonts w:ascii="Times New Roman Regular" w:hAnsi="Times New Roman Regular" w:cs="Times New Roman Regular" w:hint="eastAsia"/>
          <w:b/>
          <w:bCs/>
          <w:sz w:val="24"/>
          <w:szCs w:val="24"/>
        </w:rPr>
      </w:pPr>
      <w:r w:rsidRPr="00F13A66">
        <w:rPr>
          <w:rFonts w:ascii="Times New Roman Regular" w:hAnsi="Times New Roman Regular" w:cs="Times New Roman Regular"/>
          <w:b/>
          <w:bCs/>
          <w:sz w:val="24"/>
          <w:szCs w:val="24"/>
        </w:rPr>
        <w:t>3.1 Initial centering</w:t>
      </w:r>
    </w:p>
    <w:p w14:paraId="23C26A27"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According to the statistics:</w:t>
      </w:r>
    </w:p>
    <w:p w14:paraId="746F1E20"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Since 2021, with the change of epidemic prevention and control policies in various countries, especially in China in 2022, the global tourism industry has begun to recover, and the economic scale of the theme park has increased accordingly. According to the 2021 Global Theme Parks and Museums Report jointly released by AECOM and TEA, the number of visitors to the top 25 theme parks in the world will exceed 140 million in 2021, an increase of 70% compared with the data in 2020, and 56% compared with the tourism market in 2019.</w:t>
      </w:r>
    </w:p>
    <w:p w14:paraId="65E3A829"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 xml:space="preserve">Among the 25 theme parks listed in the world in 2021, the number of theme parks in the United States is the largest, with a total of 9. There are 6 in China and 4 in Japan. Among the top 25 theme parks in the world in 2021, there are 6 theme parks in China, of which Shanghai Disneyland and </w:t>
      </w:r>
      <w:proofErr w:type="spellStart"/>
      <w:r>
        <w:rPr>
          <w:rFonts w:ascii="Times New Roman Regular" w:hAnsi="Times New Roman Regular" w:cs="Times New Roman Regular"/>
          <w:sz w:val="24"/>
          <w:szCs w:val="24"/>
        </w:rPr>
        <w:t>Hengqin</w:t>
      </w:r>
      <w:proofErr w:type="spellEnd"/>
      <w:r>
        <w:rPr>
          <w:rFonts w:ascii="Times New Roman Regular" w:hAnsi="Times New Roman Regular" w:cs="Times New Roman Regular"/>
          <w:sz w:val="24"/>
          <w:szCs w:val="24"/>
        </w:rPr>
        <w:t xml:space="preserve"> </w:t>
      </w:r>
      <w:proofErr w:type="spellStart"/>
      <w:r>
        <w:rPr>
          <w:rFonts w:ascii="Times New Roman Regular" w:hAnsi="Times New Roman Regular" w:cs="Times New Roman Regular"/>
          <w:sz w:val="24"/>
          <w:szCs w:val="24"/>
        </w:rPr>
        <w:t>Chimelong</w:t>
      </w:r>
      <w:proofErr w:type="spellEnd"/>
      <w:r>
        <w:rPr>
          <w:rFonts w:ascii="Times New Roman Regular" w:hAnsi="Times New Roman Regular" w:cs="Times New Roman Regular"/>
          <w:sz w:val="24"/>
          <w:szCs w:val="24"/>
        </w:rPr>
        <w:t xml:space="preserve"> Ocean Kingdom are the largest, ranking among the top ten. In 2021, the number of tourists will be 8.48 million and 7.45 million respectively.</w:t>
      </w:r>
    </w:p>
    <w:p w14:paraId="69B71485"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 xml:space="preserve">There are 25 theme parks, but the number of Disney companies is 11, accounting for 44%. Universal Studios has 4 theme parks on the list, and </w:t>
      </w:r>
      <w:proofErr w:type="spellStart"/>
      <w:r>
        <w:rPr>
          <w:rFonts w:ascii="Times New Roman Regular" w:hAnsi="Times New Roman Regular" w:cs="Times New Roman Regular"/>
          <w:sz w:val="24"/>
          <w:szCs w:val="24"/>
        </w:rPr>
        <w:t>Chimelong</w:t>
      </w:r>
      <w:proofErr w:type="spellEnd"/>
      <w:r>
        <w:rPr>
          <w:rFonts w:ascii="Times New Roman Regular" w:hAnsi="Times New Roman Regular" w:cs="Times New Roman Regular"/>
          <w:sz w:val="24"/>
          <w:szCs w:val="24"/>
        </w:rPr>
        <w:t xml:space="preserve"> has 2 theme parks on the list.</w:t>
      </w:r>
    </w:p>
    <w:p w14:paraId="2F9B142D"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The largest of the three companies is Disney Company, whose overall revenue shows a dynamic trend in the fiscal year 2019-2022. After the sharp decline of financial year fluctuations in 2020, Disney's revenue continued to reach two years. In fiscal year 2022, the company's total revenue reached $82.722.1 billion, an increase of 23% over fiscal year 2021.</w:t>
      </w:r>
    </w:p>
    <w:p w14:paraId="6B61BE5D"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To sum up, in 2021, the total number of tourists from the top 25 theme parks in the world will exceed 140 million, with a year-on-year growth of 70%. Disney ranks first in the number of tourists and dominates the world.</w:t>
      </w:r>
    </w:p>
    <w:p w14:paraId="1FD0E295"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Disney has five corporate values: 1. Innovation Disney has always adhered to the tradition of innovation. 2. Quality - Disney constantly strives to achieve high quality standards to achieve excellence. In all products of Disney brand, high quality must be guaranteed. 3. Sharing - Disney has always created a positive and inclusive attitude towards families. The entertainment created by Disney can be shared by all generations. 4. Stories - Storytelling Every Disney product will tell a story. The eternal story always brings joy and inspiration to people. Optimism - Optimism Disney entertainment experience always promotes hope, desire and optimistic determination to people. 5. Respect Disney respects everyone. Disney's fun is based on its own experience and does not make fun of others.</w:t>
      </w:r>
    </w:p>
    <w:p w14:paraId="2B913E14"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 xml:space="preserve">The process of deconstruction and reconstruction of heroes by using artistic forms such as animation performance essentially caters to the trend that religious </w:t>
      </w:r>
      <w:r>
        <w:rPr>
          <w:rFonts w:ascii="Times New Roman Regular" w:hAnsi="Times New Roman Regular" w:cs="Times New Roman Regular"/>
          <w:sz w:val="24"/>
          <w:szCs w:val="24"/>
        </w:rPr>
        <w:lastRenderedPageBreak/>
        <w:t>worship from primitive society gradually evolves into collective unconsciousness in modern society. By adopting diversified narrative means, Disney Animation makes the animated films show the characteristics of popularity and entertainment while dispelling the special significance of heroes, so that the audience can release themselves by the power of images in the imaginative plot construction.</w:t>
      </w:r>
    </w:p>
    <w:p w14:paraId="7E0757D5"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Disney Animation attaches great importance to the creation of visual pleasure, making use of diversified audio-visual experience and routinized narrative structure to make up for the lack of story content, so that the audience is used to being attracted by the tortuous adventures of heroes in the movie watching process, and is deeply fascinated by this. This feeling is like magic hypnosis, which makes people focus on the stories on the screen and intentionally ignore all other troubles.</w:t>
      </w:r>
    </w:p>
    <w:p w14:paraId="7AC18D06"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Secularization affirms people's natural desire, affirms the fun of secular life, liberates people from the shackles of modern superstition and dogmatism, and sublates false emptiness and false loftiness, which is undoubtedly a great progress. Under the banner of secularization, Disney Company is committed to integrating its products into popular culture, and its animation works do their best to meet the needs of the consumer era.</w:t>
      </w:r>
    </w:p>
    <w:p w14:paraId="6E4C08C0"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Disney Animation is deeply influenced by American popular culture. In addition to promoting and disseminating American popular culture and its derivatives, its ultimate purpose is to meet the audience's expectations of watching movies and at the same time promote consumerism culture and universal values to the world.</w:t>
      </w:r>
    </w:p>
    <w:p w14:paraId="75F8AB67"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As for the deep meaning of Disney animated films, we can regard it as an encounter between animated films and history, popular culture, animation aesthetics and film industry. After the rise of consumer culture, as a special consumer product, the makers of animated film products no longer have the modern 'enlightenment' anxiety of the creators. Cultural consumer products are just to meet the audience's audio-visual satisfaction and pleasure, and the viewers complete the fantasy travel again and again in the experience similar to drug abuse.</w:t>
      </w:r>
    </w:p>
    <w:p w14:paraId="5FD47FC8" w14:textId="567245E3" w:rsidR="0058492E" w:rsidRDefault="00000000">
      <w:pPr>
        <w:ind w:firstLineChars="200" w:firstLine="480"/>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Disney is known as the dream factory of modern society. The reason why the audience is intoxicated with the hero myth depicted by Disney animation is that the film creates a fantasy about heroes. Under the heavy pressure brought by the busy life, people have chosen to go into the cinema to relax. In the "daydream" created by the film, the audience can temporarily put aside the heaviness and unhappiness of their hearts and seek temporary sensory satisfaction and release of pressure.</w:t>
      </w:r>
    </w:p>
    <w:p w14:paraId="3A42BCD4" w14:textId="77777777" w:rsidR="00AE2E7F" w:rsidRPr="00AE2E7F" w:rsidRDefault="00AE2E7F" w:rsidP="00AE2E7F">
      <w:pPr>
        <w:pStyle w:val="a0"/>
      </w:pPr>
    </w:p>
    <w:p w14:paraId="7637151D" w14:textId="77777777" w:rsidR="0058492E" w:rsidRPr="00F13A66" w:rsidRDefault="00000000" w:rsidP="00AE2E7F">
      <w:pPr>
        <w:snapToGrid w:val="0"/>
        <w:rPr>
          <w:rFonts w:ascii="Times New Roman Regular" w:hAnsi="Times New Roman Regular" w:cs="Times New Roman Regular" w:hint="eastAsia"/>
          <w:b/>
          <w:bCs/>
          <w:sz w:val="24"/>
          <w:szCs w:val="24"/>
        </w:rPr>
      </w:pPr>
      <w:r w:rsidRPr="00F13A66">
        <w:rPr>
          <w:rFonts w:ascii="Times New Roman Regular" w:hAnsi="Times New Roman Regular" w:cs="Times New Roman Regular"/>
          <w:b/>
          <w:bCs/>
          <w:sz w:val="24"/>
          <w:szCs w:val="24"/>
        </w:rPr>
        <w:t>3.2 Present</w:t>
      </w:r>
    </w:p>
    <w:p w14:paraId="3A31E43C"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According to the report of the Wall Street Journal on November 21, 2022, Disney has entered a complex period of industrial transformation, and former CEO Igor can lead the company through this critical period. The British Daily Mail said that this decision was made against the background of a sharp decline in Disney's performance. As of November 18, Disney's share price has fallen by about 41% in 2022.</w:t>
      </w:r>
    </w:p>
    <w:p w14:paraId="270D9E73"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 xml:space="preserve">Disney will have a series of adjustments next, including requiring guests to book for theme parks, and moving about 2000 employees from California to Florida. The </w:t>
      </w:r>
      <w:r>
        <w:rPr>
          <w:rFonts w:ascii="Times New Roman Regular" w:hAnsi="Times New Roman Regular" w:cs="Times New Roman Regular"/>
          <w:sz w:val="24"/>
          <w:szCs w:val="24"/>
        </w:rPr>
        <w:lastRenderedPageBreak/>
        <w:t>major reform of Disney lies in the change of profit focus. Disney must focus on the profitability of streaming media business, rather than just increasing subscribers. Affected by the overall operation in 2022, Disney's share price is low throughout the year. According to the fourth fiscal quarter results of fiscal year 2022 announced by Disney in November, Disney's sales and profit margin are lower than Wall Street's expectations under the dual impact of advertising revenue and streaming media business losses.</w:t>
      </w:r>
    </w:p>
    <w:p w14:paraId="508474A6"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 xml:space="preserve">This time Disney changed back to Robert Eger as the CEO of Disney. He worked for Disney for more than 47 years and served as CEO from 2005 to 2020. During his tenure as CEO, Disney completed a series of acquisition projects including the acquisition of Pixar Animation, Lucas Film, Marvel Entertainment and 21st Century Fox. Another great achievement of Igor during his tenure was to expand the Chinese market for Disney, especially the promotion and implementation of Shanghai Disneyland project. </w:t>
      </w:r>
      <w:proofErr w:type="gramStart"/>
      <w:r>
        <w:rPr>
          <w:rFonts w:ascii="Times New Roman Regular" w:hAnsi="Times New Roman Regular" w:cs="Times New Roman Regular"/>
          <w:sz w:val="24"/>
          <w:szCs w:val="24"/>
        </w:rPr>
        <w:t>So</w:t>
      </w:r>
      <w:proofErr w:type="gramEnd"/>
      <w:r>
        <w:rPr>
          <w:rFonts w:ascii="Times New Roman Regular" w:hAnsi="Times New Roman Regular" w:cs="Times New Roman Regular"/>
          <w:sz w:val="24"/>
          <w:szCs w:val="24"/>
        </w:rPr>
        <w:t xml:space="preserve"> this time he returned to Disney, and his attention to the Chinese market will not be reduced.</w:t>
      </w:r>
    </w:p>
    <w:p w14:paraId="047BDA1A" w14:textId="2D52DC18" w:rsidR="0058492E" w:rsidRDefault="00000000">
      <w:pPr>
        <w:ind w:firstLineChars="200" w:firstLine="480"/>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 xml:space="preserve">Judging from Disney's overall performance and the feedback from the capital market, this will be excusable. In the fourth fiscal quarter financial report of Disney in early November, the revenue of Disney's popular streaming media business increased by 8% year on year, and the profit and loss of this business expanded to $1.474 billion. The total number of users of the </w:t>
      </w:r>
      <w:proofErr w:type="spellStart"/>
      <w:r>
        <w:rPr>
          <w:rFonts w:ascii="Times New Roman Regular" w:hAnsi="Times New Roman Regular" w:cs="Times New Roman Regular"/>
          <w:sz w:val="24"/>
          <w:szCs w:val="24"/>
        </w:rPr>
        <w:t>Disney+project</w:t>
      </w:r>
      <w:proofErr w:type="spellEnd"/>
      <w:r>
        <w:rPr>
          <w:rFonts w:ascii="Times New Roman Regular" w:hAnsi="Times New Roman Regular" w:cs="Times New Roman Regular"/>
          <w:sz w:val="24"/>
          <w:szCs w:val="24"/>
        </w:rPr>
        <w:t xml:space="preserve"> will reach 164 million in October 2022, and the number of users of the entire platform will exceed the 223 million of Netflix and reach 236 million. However, the expansion of the user scale has doubled the loss of the business. The huge loss of streaming media has directly damaged Disney's strong performance in the theme park and consumer goods business. Influenced by the epidemic, the stock prices of international media giants in the capital market all performed poorly. Netflix fell by 50% this year, more than 40% of Disney</w:t>
      </w:r>
    </w:p>
    <w:p w14:paraId="1CFC8281" w14:textId="77777777" w:rsidR="00AE2E7F" w:rsidRPr="00AE2E7F" w:rsidRDefault="00AE2E7F" w:rsidP="00AE2E7F">
      <w:pPr>
        <w:pStyle w:val="a0"/>
      </w:pPr>
    </w:p>
    <w:p w14:paraId="1E6ACA19" w14:textId="77777777" w:rsidR="0058492E" w:rsidRPr="00F13A66" w:rsidRDefault="00000000" w:rsidP="00097F43">
      <w:pPr>
        <w:snapToGrid w:val="0"/>
        <w:rPr>
          <w:rFonts w:ascii="Times New Roman Regular" w:hAnsi="Times New Roman Regular" w:cs="Times New Roman Regular" w:hint="eastAsia"/>
          <w:b/>
          <w:bCs/>
          <w:sz w:val="24"/>
          <w:szCs w:val="24"/>
        </w:rPr>
      </w:pPr>
      <w:r w:rsidRPr="00F13A66">
        <w:rPr>
          <w:rFonts w:ascii="Times New Roman Regular" w:hAnsi="Times New Roman Regular" w:cs="Times New Roman Regular"/>
          <w:b/>
          <w:bCs/>
          <w:sz w:val="24"/>
          <w:szCs w:val="24"/>
        </w:rPr>
        <w:t>3.3 Take precautions and worry about the contents of Disney</w:t>
      </w:r>
    </w:p>
    <w:p w14:paraId="01D7F2D5"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Disney has a lot of advantages in park management. However, with the continuous expansion of the Internet economy, Disney needs to make great efforts to explore film content and streaming media, and actively adjust its current business strategy to solve the current situation of huge losses.</w:t>
      </w:r>
    </w:p>
    <w:p w14:paraId="548B8F5F"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In the direction of Internet layout, Disney is faced with new film projects that are not warm and hot, and lacks market shock freshness and dominance for the audience.</w:t>
      </w:r>
    </w:p>
    <w:p w14:paraId="09081FFC"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Since 2020, Disney has produced animation works such as Half of the Magic, Spiritual Strange Journey, Dragon Hunting Legend, Sunny Summer Friends, Full House of Magic, Metamorphosis of Youth, and True Story of Light Year. Among the numerous works, the feedback of "Strange Journey of the Mind" in the market is good, and "The House of Magic" won the 94th Academy Award. However, it has failed to create a new IP to enhance Disney's commercial competitiveness.</w:t>
      </w:r>
    </w:p>
    <w:p w14:paraId="17BFC351" w14:textId="688716B1"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 xml:space="preserve">The Light Year Story was originally a film Disney had high hopes for, but it is estimated that the production budget will exceed 200 million dollars. The comprehensive evaluation of the box office will reach 600 million dollars before the </w:t>
      </w:r>
      <w:r>
        <w:rPr>
          <w:rFonts w:ascii="Times New Roman Regular" w:hAnsi="Times New Roman Regular" w:cs="Times New Roman Regular"/>
          <w:sz w:val="24"/>
          <w:szCs w:val="24"/>
        </w:rPr>
        <w:lastRenderedPageBreak/>
        <w:t>cost can be recovered, but this is not a distant figure. In the end, its box office only accumulated to 226 million dollars, the market feedback was not successful, and the word of mouth also collapsed, bringing some pressure to Disney's operation.</w:t>
      </w:r>
    </w:p>
    <w:p w14:paraId="217E85DB" w14:textId="77777777" w:rsidR="00201F71" w:rsidRPr="00201F71" w:rsidRDefault="00201F71" w:rsidP="00201F71">
      <w:pPr>
        <w:pStyle w:val="a0"/>
      </w:pPr>
    </w:p>
    <w:p w14:paraId="3FDD87A8" w14:textId="34E8E148" w:rsidR="00201F71" w:rsidRPr="00F13A66" w:rsidRDefault="00000000" w:rsidP="00097F43">
      <w:pPr>
        <w:adjustRightInd w:val="0"/>
        <w:snapToGrid w:val="0"/>
        <w:rPr>
          <w:sz w:val="18"/>
          <w:szCs w:val="18"/>
        </w:rPr>
      </w:pPr>
      <w:r w:rsidRPr="00F13A66">
        <w:rPr>
          <w:rFonts w:ascii="Times New Roman Regular" w:hAnsi="Times New Roman Regular" w:cs="Times New Roman Regular"/>
          <w:b/>
          <w:bCs/>
          <w:sz w:val="24"/>
          <w:szCs w:val="24"/>
        </w:rPr>
        <w:t>3.4 Content and streaming media, the focus of Eger's work during his two-year term</w:t>
      </w:r>
    </w:p>
    <w:p w14:paraId="5A495407"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Disney started from the core layer of creative content in 1923, formed a brand and gradually expanded to the industrial base. In the way of modern industrial assembly line production, animation was produced in large quantities and sold all over the world. In 1929, brand licensing began. During the period from 1923 to the eve of World War I, Disney's brand positioning gradually became clear. It successfully established a business model that linked animation image with brand product sales, and gradually became the world's largest brand consumer product licensor.</w:t>
      </w:r>
    </w:p>
    <w:p w14:paraId="4A2966DC"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When Robert Eger bought Pixar from Steve Jobs to Disney, he once described the situation as follows: Eger recalled the opening ceremony of Disney in Hong Kong, where floats drove by one after another, including the characters in Snow White, Cinderella, Lion King and Aladdin... But "almost none of the characters Disney created in the past ten years have appeared". At that time, Pixar was at the peak of the frontier of creativity and technology - Toy Story, Worm Crisis, Monster Power Company, Finding Nemo, Superman Story</w:t>
      </w:r>
    </w:p>
    <w:p w14:paraId="315BE95A"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 xml:space="preserve">Of course, it is a well-known story that Disney has successively realized the mergers and acquisitions of Pixar, Marvel and Lucas Film, and has become a giant in the IP entertainment industry. However, after nearly a decade of brilliance, Disney is facing a bottleneck in content output. Disney, as a company profiting from IP, can better survive in the market only by creating high-quality animation characters and animation world. At present, Disney has not launched movies with satisfactory market effect in recent </w:t>
      </w:r>
      <w:proofErr w:type="spellStart"/>
      <w:proofErr w:type="gramStart"/>
      <w:r>
        <w:rPr>
          <w:rFonts w:ascii="Times New Roman Regular" w:hAnsi="Times New Roman Regular" w:cs="Times New Roman Regular"/>
          <w:sz w:val="24"/>
          <w:szCs w:val="24"/>
        </w:rPr>
        <w:t>years.This</w:t>
      </w:r>
      <w:proofErr w:type="spellEnd"/>
      <w:proofErr w:type="gramEnd"/>
      <w:r>
        <w:rPr>
          <w:rFonts w:ascii="Times New Roman Regular" w:hAnsi="Times New Roman Regular" w:cs="Times New Roman Regular"/>
          <w:sz w:val="24"/>
          <w:szCs w:val="24"/>
        </w:rPr>
        <w:t xml:space="preserve"> is terrible for Disney,</w:t>
      </w:r>
    </w:p>
    <w:p w14:paraId="2E13FCF6"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Therefore, Disney's next important task is to establish whether there are problems with the current content output model and how to adjust it to achieve the goal of continuous output value. Film and television content creation is a particularly complex industry. The output of content is more dependent on the director artists, while the platform seems to have a weak voice. Large companies cannot always play an all-round role, which can be seen from the failure of the DC film industry next door and the confrontation between directors and executives. Therefore, the reason why Iger took over at this important moment is that his ability to handle interpersonal relationships may also be an important factor considered by the Board of Directors.</w:t>
      </w:r>
    </w:p>
    <w:p w14:paraId="4FDC25FC" w14:textId="7E28711E"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In the process of acquiring Pixar, Marvel, and Lucas Pictures, Igor's emphasis on personal relations played a huge role - for example, Apple's Steve Jobs was an influential figure on Disney's board of directors at that time, but Jobs himself was dismissive of comics, but he continued to help Igor promote the acquisition of Marvel IP, which shows that Igor's unique personal charm helped Disney.</w:t>
      </w:r>
    </w:p>
    <w:p w14:paraId="70887E03" w14:textId="3F572B81" w:rsidR="00201F71" w:rsidRDefault="00201F71" w:rsidP="00201F71">
      <w:pPr>
        <w:pStyle w:val="a0"/>
      </w:pPr>
    </w:p>
    <w:p w14:paraId="4CDAE2D2" w14:textId="651747BE" w:rsidR="00201F71" w:rsidRPr="00F13A66" w:rsidRDefault="00000000" w:rsidP="00097F43">
      <w:pPr>
        <w:adjustRightInd w:val="0"/>
        <w:snapToGrid w:val="0"/>
        <w:rPr>
          <w:sz w:val="18"/>
          <w:szCs w:val="18"/>
        </w:rPr>
      </w:pPr>
      <w:r w:rsidRPr="00F13A66">
        <w:rPr>
          <w:rFonts w:ascii="Times New Roman Regular" w:hAnsi="Times New Roman Regular" w:cs="Times New Roman Regular"/>
          <w:b/>
          <w:bCs/>
          <w:sz w:val="24"/>
          <w:szCs w:val="24"/>
        </w:rPr>
        <w:lastRenderedPageBreak/>
        <w:t>3.5 How to position the future strategy of Disney+, which is in the limelight, while sorting out the content control products?</w:t>
      </w:r>
    </w:p>
    <w:p w14:paraId="55A92121"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 xml:space="preserve">The most direct reason why </w:t>
      </w:r>
      <w:proofErr w:type="spellStart"/>
      <w:r>
        <w:rPr>
          <w:rFonts w:ascii="Times New Roman Regular" w:hAnsi="Times New Roman Regular" w:cs="Times New Roman Regular"/>
          <w:sz w:val="24"/>
          <w:szCs w:val="24"/>
        </w:rPr>
        <w:t>Disney+can</w:t>
      </w:r>
      <w:proofErr w:type="spellEnd"/>
      <w:r>
        <w:rPr>
          <w:rFonts w:ascii="Times New Roman Regular" w:hAnsi="Times New Roman Regular" w:cs="Times New Roman Regular"/>
          <w:sz w:val="24"/>
          <w:szCs w:val="24"/>
        </w:rPr>
        <w:t xml:space="preserve"> rise rapidly is that Disney has strong IP reserves and spare no effort to invest. </w:t>
      </w:r>
      <w:proofErr w:type="spellStart"/>
      <w:r>
        <w:rPr>
          <w:rFonts w:ascii="Times New Roman Regular" w:hAnsi="Times New Roman Regular" w:cs="Times New Roman Regular"/>
          <w:sz w:val="24"/>
          <w:szCs w:val="24"/>
        </w:rPr>
        <w:t>Disney+has</w:t>
      </w:r>
      <w:proofErr w:type="spellEnd"/>
      <w:r>
        <w:rPr>
          <w:rFonts w:ascii="Times New Roman Regular" w:hAnsi="Times New Roman Regular" w:cs="Times New Roman Regular"/>
          <w:sz w:val="24"/>
          <w:szCs w:val="24"/>
        </w:rPr>
        <w:t xml:space="preserve"> been able to quickly establish content reserves, but at the same time, it has also led to huge losses and the aforementioned new IP works are mixed. At the same time, with the rise of </w:t>
      </w:r>
      <w:proofErr w:type="spellStart"/>
      <w:r>
        <w:rPr>
          <w:rFonts w:ascii="Times New Roman Regular" w:hAnsi="Times New Roman Regular" w:cs="Times New Roman Regular"/>
          <w:sz w:val="24"/>
          <w:szCs w:val="24"/>
        </w:rPr>
        <w:t>Disney+as</w:t>
      </w:r>
      <w:proofErr w:type="spellEnd"/>
      <w:r>
        <w:rPr>
          <w:rFonts w:ascii="Times New Roman Regular" w:hAnsi="Times New Roman Regular" w:cs="Times New Roman Regular"/>
          <w:sz w:val="24"/>
          <w:szCs w:val="24"/>
        </w:rPr>
        <w:t xml:space="preserve"> a signal, the international streaming media market has also entered a new stage where Netflix is no longer dominant. Netflix has gradually focused on increasing revenue and profits. On the contrary, Hollywood giants are still competing to bring in new media at any loss -- Disney and Warner are the same.</w:t>
      </w:r>
    </w:p>
    <w:p w14:paraId="5468C48E"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This is very similar to the Chinese video platform market three or four years ago. In order to rapidly improve its scale, the video platform at that time spent a huge amount of content costs year after year, which to some extent also contributed to the cost increase and the decline of the average level of works in the upstream of the content industry chain. Until "cost reduction and efficiency increase" became the mainstream in the past two years, the profit gradually came near, and the top products in the market increased rather than decreased.</w:t>
      </w:r>
    </w:p>
    <w:p w14:paraId="5249660F"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Netflix has never tried to participate in the worldwide competition of streaming media by reducing prices and expanding content regardless of cost. Instead, it has been increasing prices and advertising packages when faced with growth bottlenecks. This is obviously a way to support long-term investment. Warner Pictures will make a huge loss in the year of streaming media premiere in 2021. The loss strategy of more than 8 billion yuan on Disney's streaming media competition strategy has achieved rapid results, but it is bound to be unsustainable.</w:t>
      </w:r>
    </w:p>
    <w:p w14:paraId="64DD2B8F"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 xml:space="preserve">We can't predict the competition result of international streaming media, but Disney has unique advantages in competition. Disney has a better business layout, which only needs to be adjusted and repositioned. According to media reports, Walt Disney Company has launched an advertising version of the </w:t>
      </w:r>
      <w:proofErr w:type="spellStart"/>
      <w:r>
        <w:rPr>
          <w:rFonts w:ascii="Times New Roman Regular" w:hAnsi="Times New Roman Regular" w:cs="Times New Roman Regular"/>
          <w:sz w:val="24"/>
          <w:szCs w:val="24"/>
        </w:rPr>
        <w:t>Disney+new</w:t>
      </w:r>
      <w:proofErr w:type="spellEnd"/>
      <w:r>
        <w:rPr>
          <w:rFonts w:ascii="Times New Roman Regular" w:hAnsi="Times New Roman Regular" w:cs="Times New Roman Regular"/>
          <w:sz w:val="24"/>
          <w:szCs w:val="24"/>
        </w:rPr>
        <w:t xml:space="preserve"> subscription program, and plans to promote it internationally in 2023, which will bring new revenue to its streaming media services.</w:t>
      </w:r>
    </w:p>
    <w:p w14:paraId="13DCEC30"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 xml:space="preserve">It is reported that Disney will charge $7.99 per month for the advertising version of Disney+. The advertising free version of </w:t>
      </w:r>
      <w:proofErr w:type="spellStart"/>
      <w:r>
        <w:rPr>
          <w:rFonts w:ascii="Times New Roman Regular" w:hAnsi="Times New Roman Regular" w:cs="Times New Roman Regular"/>
          <w:sz w:val="24"/>
          <w:szCs w:val="24"/>
        </w:rPr>
        <w:t>Disney+will</w:t>
      </w:r>
      <w:proofErr w:type="spellEnd"/>
      <w:r>
        <w:rPr>
          <w:rFonts w:ascii="Times New Roman Regular" w:hAnsi="Times New Roman Regular" w:cs="Times New Roman Regular"/>
          <w:sz w:val="24"/>
          <w:szCs w:val="24"/>
        </w:rPr>
        <w:t xml:space="preserve"> now charge $10.99 a month, up from $7.99. Disney said that more than 100 advertisers have participated in the new program, bringing more than 10 different advertising categories, including retail, clothing, automotive, financial services, catering, technology, telecommunications, consumer goods and tourism.</w:t>
      </w:r>
    </w:p>
    <w:p w14:paraId="1D5D9BBF"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Disney said that most of the advertisements would appear before and during the broadcast, and promised that they would not be broadcast for more than four minutes per hour, nor would they include alcohol or political campaign advertisements. In addition, content for preschool children or children under the age of 7 will not be included, and users under the age of 17 will not become targeted advertising targets. Disney believes that this measure is the "cornerstone" of the company's goal of reaching 230 million to 260 million long-term users by 2024.</w:t>
      </w:r>
    </w:p>
    <w:p w14:paraId="2B2CAB9B"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 xml:space="preserve">Disney's streaming services, including Disney+, had a revenue of 21.5 billion US dollars (about HK $167.7 billion) in the latest quarter, accounting for 23% of the </w:t>
      </w:r>
      <w:r>
        <w:rPr>
          <w:rFonts w:ascii="Times New Roman Regular" w:hAnsi="Times New Roman Regular" w:cs="Times New Roman Regular"/>
          <w:sz w:val="24"/>
          <w:szCs w:val="24"/>
        </w:rPr>
        <w:lastRenderedPageBreak/>
        <w:t xml:space="preserve">group's internal revenue. Rebecca Campbell, Disney's global head of content and operations, pointed out that the key to </w:t>
      </w:r>
      <w:proofErr w:type="spellStart"/>
      <w:r>
        <w:rPr>
          <w:rFonts w:ascii="Times New Roman Regular" w:hAnsi="Times New Roman Regular" w:cs="Times New Roman Regular"/>
          <w:sz w:val="24"/>
          <w:szCs w:val="24"/>
        </w:rPr>
        <w:t>Disney+'s</w:t>
      </w:r>
      <w:proofErr w:type="spellEnd"/>
      <w:r>
        <w:rPr>
          <w:rFonts w:ascii="Times New Roman Regular" w:hAnsi="Times New Roman Regular" w:cs="Times New Roman Regular"/>
          <w:sz w:val="24"/>
          <w:szCs w:val="24"/>
        </w:rPr>
        <w:t xml:space="preserve"> ability to seize market share in a short time is strategic localization and content localization. In response to the market situation in different regions, Disney's sales channel deployment will also be adjusted according to local conditions, not uniformly based on the </w:t>
      </w:r>
      <w:proofErr w:type="spellStart"/>
      <w:r>
        <w:rPr>
          <w:rFonts w:ascii="Times New Roman Regular" w:hAnsi="Times New Roman Regular" w:cs="Times New Roman Regular"/>
          <w:sz w:val="24"/>
          <w:szCs w:val="24"/>
        </w:rPr>
        <w:t>Disney+brand</w:t>
      </w:r>
      <w:proofErr w:type="spellEnd"/>
      <w:r>
        <w:rPr>
          <w:rFonts w:ascii="Times New Roman Regular" w:hAnsi="Times New Roman Regular" w:cs="Times New Roman Regular"/>
          <w:sz w:val="24"/>
          <w:szCs w:val="24"/>
        </w:rPr>
        <w:t>.</w:t>
      </w:r>
    </w:p>
    <w:p w14:paraId="6BC01C24" w14:textId="3AA0B2F1" w:rsidR="0058492E" w:rsidRDefault="00000000">
      <w:pPr>
        <w:ind w:firstLineChars="200" w:firstLine="480"/>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 xml:space="preserve">The company is under pressure to make its streaming media business profitable, with </w:t>
      </w:r>
      <w:proofErr w:type="spellStart"/>
      <w:r>
        <w:rPr>
          <w:rFonts w:ascii="Times New Roman Regular" w:hAnsi="Times New Roman Regular" w:cs="Times New Roman Regular"/>
          <w:sz w:val="24"/>
          <w:szCs w:val="24"/>
        </w:rPr>
        <w:t>Disney+losing</w:t>
      </w:r>
      <w:proofErr w:type="spellEnd"/>
      <w:r>
        <w:rPr>
          <w:rFonts w:ascii="Times New Roman Regular" w:hAnsi="Times New Roman Regular" w:cs="Times New Roman Regular"/>
          <w:sz w:val="24"/>
          <w:szCs w:val="24"/>
        </w:rPr>
        <w:t xml:space="preserve"> nearly $1.5 billion in the latest quarter. Investors were dissatisfied with the deepening losses, which led to the decline of Disney's share price. Investors and media executives are also increasingly aware that it will be more difficult to increase users as streaming media becomes more competitive. It is reported that a survey of 11435 streaming media users in the United States also found that one quarter of </w:t>
      </w:r>
      <w:proofErr w:type="spellStart"/>
      <w:r>
        <w:rPr>
          <w:rFonts w:ascii="Times New Roman Regular" w:hAnsi="Times New Roman Regular" w:cs="Times New Roman Regular"/>
          <w:sz w:val="24"/>
          <w:szCs w:val="24"/>
        </w:rPr>
        <w:t>Disney+users</w:t>
      </w:r>
      <w:proofErr w:type="spellEnd"/>
      <w:r>
        <w:rPr>
          <w:rFonts w:ascii="Times New Roman Regular" w:hAnsi="Times New Roman Regular" w:cs="Times New Roman Regular"/>
          <w:sz w:val="24"/>
          <w:szCs w:val="24"/>
        </w:rPr>
        <w:t xml:space="preserve"> would like to watch the new version of ads in exchange for lower prices. Disney's other streaming media services, Hulu and ESPN+, have successfully distributed commercial advertisements. Perhaps out of self-defense, Netflix also launched a cheap subscription version with commercial advertisements.</w:t>
      </w:r>
    </w:p>
    <w:p w14:paraId="41FDA42A" w14:textId="77777777" w:rsidR="00097F43" w:rsidRPr="00097F43" w:rsidRDefault="00097F43" w:rsidP="00097F43">
      <w:pPr>
        <w:pStyle w:val="a0"/>
      </w:pPr>
    </w:p>
    <w:p w14:paraId="4404922E" w14:textId="2220C440" w:rsidR="0058492E" w:rsidRPr="00201F71" w:rsidRDefault="00000000" w:rsidP="00097F43">
      <w:pPr>
        <w:snapToGrid w:val="0"/>
        <w:outlineLvl w:val="0"/>
        <w:rPr>
          <w:rFonts w:ascii="Times New Roman Regular" w:hAnsi="Times New Roman Regular" w:cs="Times New Roman Regular" w:hint="eastAsia"/>
          <w:b/>
          <w:bCs/>
          <w:sz w:val="28"/>
          <w:szCs w:val="28"/>
        </w:rPr>
      </w:pPr>
      <w:bookmarkStart w:id="3" w:name="_Toc1623612677"/>
      <w:bookmarkStart w:id="4" w:name="_Hlk122042814"/>
      <w:r w:rsidRPr="00201F71">
        <w:rPr>
          <w:rFonts w:ascii="Times New Roman Regular" w:hAnsi="Times New Roman Regular" w:cs="Times New Roman Regular"/>
          <w:b/>
          <w:bCs/>
          <w:sz w:val="28"/>
          <w:szCs w:val="28"/>
        </w:rPr>
        <w:t>4</w:t>
      </w:r>
      <w:r w:rsidR="00097F43">
        <w:rPr>
          <w:rFonts w:ascii="Times New Roman Regular" w:hAnsi="Times New Roman Regular" w:cs="Times New Roman Regular"/>
          <w:b/>
          <w:bCs/>
          <w:sz w:val="28"/>
          <w:szCs w:val="28"/>
        </w:rPr>
        <w:t xml:space="preserve"> </w:t>
      </w:r>
      <w:r w:rsidRPr="00201F71">
        <w:rPr>
          <w:rFonts w:ascii="Times New Roman Regular" w:hAnsi="Times New Roman Regular" w:cs="Times New Roman Regular"/>
          <w:b/>
          <w:bCs/>
          <w:sz w:val="28"/>
          <w:szCs w:val="28"/>
        </w:rPr>
        <w:t>Conclusions</w:t>
      </w:r>
      <w:bookmarkEnd w:id="3"/>
      <w:r w:rsidRPr="00201F71">
        <w:rPr>
          <w:rFonts w:ascii="Times New Roman Regular" w:hAnsi="Times New Roman Regular" w:cs="Times New Roman Regular"/>
          <w:b/>
          <w:bCs/>
          <w:sz w:val="28"/>
          <w:szCs w:val="28"/>
        </w:rPr>
        <w:t xml:space="preserve"> </w:t>
      </w:r>
    </w:p>
    <w:bookmarkEnd w:id="4"/>
    <w:p w14:paraId="7E68C759"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With the support of the streaming media market strategy, Disney needs to find the psychological commonalities between contemporary adults and children, and change the way of being close to children's audience from "subtraction" to the way of using the creation mode and essence of fairy tales to explore the solution of the confusion of contemporary children's unconscious mind, thus achieving the ideal psychological state of children entering the image world.</w:t>
      </w:r>
    </w:p>
    <w:p w14:paraId="14B49CF7" w14:textId="77777777" w:rsidR="0058492E" w:rsidRDefault="00000000">
      <w:pPr>
        <w:ind w:firstLineChars="200" w:firstLine="480"/>
        <w:rPr>
          <w:rFonts w:ascii="Times New Roman Regular" w:hAnsi="Times New Roman Regular" w:cs="Times New Roman Regular" w:hint="eastAsia"/>
          <w:sz w:val="24"/>
        </w:rPr>
      </w:pPr>
      <w:proofErr w:type="spellStart"/>
      <w:r>
        <w:rPr>
          <w:rFonts w:ascii="Times New Roman Regular" w:hAnsi="Times New Roman Regular" w:cs="Times New Roman Regular"/>
          <w:sz w:val="24"/>
          <w:szCs w:val="24"/>
        </w:rPr>
        <w:t>Disney+has</w:t>
      </w:r>
      <w:proofErr w:type="spellEnd"/>
      <w:r>
        <w:rPr>
          <w:rFonts w:ascii="Times New Roman Regular" w:hAnsi="Times New Roman Regular" w:cs="Times New Roman Regular"/>
          <w:sz w:val="24"/>
          <w:szCs w:val="24"/>
        </w:rPr>
        <w:t xml:space="preserve"> only been launched for 3 years, but it has surpassed the achievements of Netflix's hard work for 15 years, which is a miracle. At the same time, in the third quarter of Disney's revenue, the revenue from streaming services accounted for 23%, which shows that this business has played a decisive role in the group.</w:t>
      </w:r>
    </w:p>
    <w:p w14:paraId="6FF67E7A"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 xml:space="preserve">In terms of content localization, Disney will also produce corresponding local content for the four major regional markets. It is estimated that 210 local works will be launched by the end of 2022. Because the company knows that even if </w:t>
      </w:r>
      <w:proofErr w:type="spellStart"/>
      <w:r>
        <w:rPr>
          <w:rFonts w:ascii="Times New Roman Regular" w:hAnsi="Times New Roman Regular" w:cs="Times New Roman Regular"/>
          <w:sz w:val="24"/>
          <w:szCs w:val="24"/>
        </w:rPr>
        <w:t>Disney+has</w:t>
      </w:r>
      <w:proofErr w:type="spellEnd"/>
      <w:r>
        <w:rPr>
          <w:rFonts w:ascii="Times New Roman Regular" w:hAnsi="Times New Roman Regular" w:cs="Times New Roman Regular"/>
          <w:sz w:val="24"/>
          <w:szCs w:val="24"/>
        </w:rPr>
        <w:t xml:space="preserve"> Disney, Marvel, Star Wars, Pixar and other pillar content, after stepping out of the United States, the global audience may not have profound resonance with </w:t>
      </w:r>
      <w:proofErr w:type="gramStart"/>
      <w:r>
        <w:rPr>
          <w:rFonts w:ascii="Times New Roman Regular" w:hAnsi="Times New Roman Regular" w:cs="Times New Roman Regular"/>
          <w:sz w:val="24"/>
          <w:szCs w:val="24"/>
        </w:rPr>
        <w:t>these content</w:t>
      </w:r>
      <w:proofErr w:type="gramEnd"/>
      <w:r>
        <w:rPr>
          <w:rFonts w:ascii="Times New Roman Regular" w:hAnsi="Times New Roman Regular" w:cs="Times New Roman Regular"/>
          <w:sz w:val="24"/>
          <w:szCs w:val="24"/>
        </w:rPr>
        <w:t>.</w:t>
      </w:r>
    </w:p>
    <w:p w14:paraId="5E5F0ADA"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From the perspective of Disney's internal operation, it has fallen into a situation of unbalanced business expenditure. The content of competitors is not bad. For example, in the latest financial report, Netflix let the market see again that good content can reverse the decline. However, the turnaround will turn around. At least, the company's operating expenses should not give up the profit side in order to pursue quality. Such losses will only become bigger and bigger.</w:t>
      </w:r>
    </w:p>
    <w:p w14:paraId="7F3022D6"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 xml:space="preserve">Disney is trying a new member program, a new member program, to provide consumers with discounts, exclusive services, etc. For example, food discounts, free delivery, and monthly and annual fees for streaming media services encourage users to spend more on streaming media, theme parks, resorts and commodities. This </w:t>
      </w:r>
      <w:r>
        <w:rPr>
          <w:rFonts w:ascii="Times New Roman Regular" w:hAnsi="Times New Roman Regular" w:cs="Times New Roman Regular"/>
          <w:sz w:val="24"/>
          <w:szCs w:val="24"/>
        </w:rPr>
        <w:lastRenderedPageBreak/>
        <w:t>strategy is really what Disney should think about. It has so many users, but with more users, its profitability is even worse. How to do well in the content, we also need to find a suitable balance point to stop the hole of increasing losses.</w:t>
      </w:r>
    </w:p>
    <w:p w14:paraId="1381F491" w14:textId="77777777" w:rsidR="00097F43" w:rsidRDefault="00000000" w:rsidP="00097F43">
      <w:pPr>
        <w:snapToGrid w:val="0"/>
        <w:ind w:firstLineChars="200" w:firstLine="480"/>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Disney's comprehensive business environment is highly competitive, so it is very important to return to the right track through strategic adjustment in the fierce market competition. Disney needs to find the right way to gain greater market share and improve profit margins.</w:t>
      </w:r>
      <w:bookmarkStart w:id="5" w:name="_Toc2131043557"/>
    </w:p>
    <w:p w14:paraId="608B3A0C" w14:textId="77777777" w:rsidR="00097F43" w:rsidRDefault="00097F43" w:rsidP="00097F43">
      <w:pPr>
        <w:snapToGrid w:val="0"/>
        <w:rPr>
          <w:rFonts w:ascii="Times New Roman Regular" w:hAnsi="Times New Roman Regular" w:cs="Times New Roman Regular" w:hint="eastAsia"/>
          <w:sz w:val="24"/>
          <w:szCs w:val="24"/>
        </w:rPr>
      </w:pPr>
    </w:p>
    <w:p w14:paraId="6CC4AE36" w14:textId="268D9CAF" w:rsidR="0058492E" w:rsidRPr="00201F71" w:rsidRDefault="00000000" w:rsidP="00097F43">
      <w:pPr>
        <w:snapToGrid w:val="0"/>
        <w:outlineLvl w:val="0"/>
        <w:rPr>
          <w:rFonts w:ascii="Times New Roman Regular" w:hAnsi="Times New Roman Regular" w:cs="Times New Roman Regular" w:hint="eastAsia"/>
          <w:b/>
          <w:bCs/>
          <w:sz w:val="28"/>
          <w:szCs w:val="28"/>
        </w:rPr>
      </w:pPr>
      <w:r w:rsidRPr="00201F71">
        <w:rPr>
          <w:rFonts w:ascii="Times New Roman Regular" w:hAnsi="Times New Roman Regular" w:cs="Times New Roman Regular"/>
          <w:b/>
          <w:bCs/>
          <w:sz w:val="28"/>
          <w:szCs w:val="28"/>
        </w:rPr>
        <w:t>5</w:t>
      </w:r>
      <w:r w:rsidR="00097F43">
        <w:rPr>
          <w:rFonts w:ascii="Times New Roman Regular" w:hAnsi="Times New Roman Regular" w:cs="Times New Roman Regular"/>
          <w:b/>
          <w:bCs/>
          <w:sz w:val="28"/>
          <w:szCs w:val="28"/>
        </w:rPr>
        <w:t xml:space="preserve"> </w:t>
      </w:r>
      <w:r w:rsidRPr="00201F71">
        <w:rPr>
          <w:rFonts w:ascii="Times New Roman Regular" w:hAnsi="Times New Roman Regular" w:cs="Times New Roman Regular"/>
          <w:b/>
          <w:bCs/>
          <w:sz w:val="28"/>
          <w:szCs w:val="28"/>
        </w:rPr>
        <w:t>Recommendations</w:t>
      </w:r>
      <w:bookmarkEnd w:id="5"/>
    </w:p>
    <w:p w14:paraId="505C3B3D" w14:textId="3353F2CE" w:rsidR="0058492E" w:rsidRDefault="00000000">
      <w:pPr>
        <w:ind w:firstLineChars="200" w:firstLine="480"/>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 xml:space="preserve">Streaming media is an area that Disney needs to lay out, but the operation of theme parks cannot be lost. The "main battlefield" of the future world theme park must be in China. As the world's most promising market for theme parks, China has attracted many international theme parks to settle in recent years. In addition to Disney Paradise and Universal Studios, the accelerated layout of Lego Paradise in the Chinese market can also be described as "aggressive". According to relevant research data, at least five parks will be located in China in the future. In addition to the innovative development of local characteristic parks, such as Happy Valley and </w:t>
      </w:r>
      <w:proofErr w:type="spellStart"/>
      <w:r>
        <w:rPr>
          <w:rFonts w:ascii="Times New Roman Regular" w:hAnsi="Times New Roman Regular" w:cs="Times New Roman Regular"/>
          <w:sz w:val="24"/>
          <w:szCs w:val="24"/>
        </w:rPr>
        <w:t>Fangte</w:t>
      </w:r>
      <w:proofErr w:type="spellEnd"/>
      <w:r>
        <w:rPr>
          <w:rFonts w:ascii="Times New Roman Regular" w:hAnsi="Times New Roman Regular" w:cs="Times New Roman Regular"/>
          <w:sz w:val="24"/>
          <w:szCs w:val="24"/>
        </w:rPr>
        <w:t xml:space="preserve"> theme parks, the market competition of theme parks will become more intense in the future.</w:t>
      </w:r>
    </w:p>
    <w:p w14:paraId="7A07C45E" w14:textId="77777777" w:rsidR="00097F43" w:rsidRDefault="00097F43" w:rsidP="00AE2E7F">
      <w:pPr>
        <w:adjustRightInd w:val="0"/>
        <w:snapToGrid w:val="0"/>
        <w:rPr>
          <w:rFonts w:ascii="Times New Roman Regular" w:hAnsi="Times New Roman Regular" w:cs="Times New Roman Regular" w:hint="eastAsia"/>
          <w:b/>
          <w:bCs/>
          <w:sz w:val="28"/>
          <w:szCs w:val="28"/>
        </w:rPr>
      </w:pPr>
    </w:p>
    <w:p w14:paraId="7D59631B" w14:textId="583EBDE4" w:rsidR="0058492E" w:rsidRPr="00F13A66" w:rsidRDefault="00000000" w:rsidP="00AE2E7F">
      <w:pPr>
        <w:adjustRightInd w:val="0"/>
        <w:snapToGrid w:val="0"/>
        <w:rPr>
          <w:rFonts w:ascii="Times New Roman Regular" w:hAnsi="Times New Roman Regular" w:cs="Times New Roman Regular" w:hint="eastAsia"/>
          <w:b/>
          <w:bCs/>
          <w:sz w:val="24"/>
          <w:szCs w:val="24"/>
        </w:rPr>
      </w:pPr>
      <w:r w:rsidRPr="00F13A66">
        <w:rPr>
          <w:rFonts w:ascii="Times New Roman Regular" w:hAnsi="Times New Roman Regular" w:cs="Times New Roman Regular"/>
          <w:b/>
          <w:bCs/>
          <w:sz w:val="24"/>
          <w:szCs w:val="24"/>
        </w:rPr>
        <w:t>5</w:t>
      </w:r>
      <w:r w:rsidRPr="00F13A66">
        <w:rPr>
          <w:rFonts w:ascii="Times New Roman Regular" w:hAnsi="Times New Roman Regular" w:cs="Times New Roman Regular" w:hint="eastAsia"/>
          <w:b/>
          <w:bCs/>
          <w:sz w:val="24"/>
          <w:szCs w:val="24"/>
          <w:lang w:eastAsia="zh-Hans"/>
        </w:rPr>
        <w:t>.</w:t>
      </w:r>
      <w:r w:rsidRPr="00F13A66">
        <w:rPr>
          <w:rFonts w:ascii="Times New Roman Regular" w:hAnsi="Times New Roman Regular" w:cs="Times New Roman Regular"/>
          <w:b/>
          <w:bCs/>
          <w:sz w:val="24"/>
          <w:szCs w:val="24"/>
        </w:rPr>
        <w:t>1 Conform to the market</w:t>
      </w:r>
    </w:p>
    <w:p w14:paraId="693BFBBE" w14:textId="1E274DBB" w:rsidR="0058492E" w:rsidRDefault="00000000">
      <w:pPr>
        <w:ind w:firstLineChars="200" w:firstLine="480"/>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The market is the orientation of the industry development, and the market demand determines the final development direction of the industry. With the high development of economy, highly commercial popular cultural products will inevitably expand in the world with the economic globalization. Therefore, in the current historical development period, the animation market is a market oriented historical development stage. At present, animation films in China still focus on artistry and skills, ignoring commercial laws. We must clearly recognize that animated films are special commodities, and only when they take root in the market can they radiate vitality. To develop animation industry, industrialization is the way out. At present, China's animation industry chain is broken and has not formed a complete industry chain. Although many companies are trying, they have not formed an industry chain with Chinese characteristics. Building China's animation industry cluster and integrating advantageous resources is also an indispensable step to make China's animation industry bigger and stronger.</w:t>
      </w:r>
    </w:p>
    <w:p w14:paraId="64DDC19E" w14:textId="77777777" w:rsidR="00AE2E7F" w:rsidRPr="00AE2E7F" w:rsidRDefault="00AE2E7F" w:rsidP="00AE2E7F">
      <w:pPr>
        <w:pStyle w:val="a0"/>
      </w:pPr>
    </w:p>
    <w:p w14:paraId="3D358875" w14:textId="77777777" w:rsidR="0058492E" w:rsidRPr="00F13A66" w:rsidRDefault="00000000" w:rsidP="00097F43">
      <w:pPr>
        <w:snapToGrid w:val="0"/>
        <w:rPr>
          <w:rFonts w:ascii="Times New Roman Regular" w:hAnsi="Times New Roman Regular" w:cs="Times New Roman Regular" w:hint="eastAsia"/>
          <w:b/>
          <w:bCs/>
          <w:sz w:val="24"/>
          <w:szCs w:val="24"/>
        </w:rPr>
      </w:pPr>
      <w:r w:rsidRPr="00F13A66">
        <w:rPr>
          <w:rFonts w:ascii="Times New Roman Regular" w:hAnsi="Times New Roman Regular" w:cs="Times New Roman Regular"/>
          <w:b/>
          <w:bCs/>
          <w:sz w:val="24"/>
          <w:szCs w:val="24"/>
        </w:rPr>
        <w:t>5</w:t>
      </w:r>
      <w:r w:rsidRPr="00F13A66">
        <w:rPr>
          <w:rFonts w:ascii="Times New Roman Regular" w:hAnsi="Times New Roman Regular" w:cs="Times New Roman Regular" w:hint="eastAsia"/>
          <w:b/>
          <w:bCs/>
          <w:sz w:val="24"/>
          <w:szCs w:val="24"/>
          <w:lang w:eastAsia="zh-Hans"/>
        </w:rPr>
        <w:t>.</w:t>
      </w:r>
      <w:r w:rsidRPr="00F13A66">
        <w:rPr>
          <w:rFonts w:ascii="Times New Roman Regular" w:hAnsi="Times New Roman Regular" w:cs="Times New Roman Regular"/>
          <w:b/>
          <w:bCs/>
          <w:sz w:val="24"/>
          <w:szCs w:val="24"/>
        </w:rPr>
        <w:t>2 Balance between streaming media and high-quality content</w:t>
      </w:r>
    </w:p>
    <w:p w14:paraId="49C0C193"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 xml:space="preserve">Netflix Co CEO </w:t>
      </w:r>
      <w:proofErr w:type="spellStart"/>
      <w:r>
        <w:rPr>
          <w:rFonts w:ascii="Times New Roman Regular" w:hAnsi="Times New Roman Regular" w:cs="Times New Roman Regular"/>
          <w:sz w:val="24"/>
          <w:szCs w:val="24"/>
        </w:rPr>
        <w:t>Salados</w:t>
      </w:r>
      <w:proofErr w:type="spellEnd"/>
      <w:r>
        <w:rPr>
          <w:rFonts w:ascii="Times New Roman Regular" w:hAnsi="Times New Roman Regular" w:cs="Times New Roman Regular"/>
          <w:sz w:val="24"/>
          <w:szCs w:val="24"/>
        </w:rPr>
        <w:t xml:space="preserve"> has repeatedly said that as competitors stop investing and focus on profitability, the streaming media industry will undergo significant transformation. "It is difficult to build a large-scale and profitable streaming media business. We expect that all other competitors will lose money in the streaming media business. This year, the operating loss of the entire streaming media industry will exceed $10 billion, while Netflix can achieve an operating profit of $5 billion to $6 billion."</w:t>
      </w:r>
    </w:p>
    <w:p w14:paraId="02CF12C7" w14:textId="28418233" w:rsidR="0058492E" w:rsidRDefault="00000000">
      <w:pPr>
        <w:ind w:firstLineChars="200" w:firstLine="480"/>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lastRenderedPageBreak/>
        <w:t xml:space="preserve">So next, we should regain the dominance of Disney movies and animation, and at the same time, quickly change </w:t>
      </w:r>
      <w:proofErr w:type="spellStart"/>
      <w:r>
        <w:rPr>
          <w:rFonts w:ascii="Times New Roman Regular" w:hAnsi="Times New Roman Regular" w:cs="Times New Roman Regular"/>
          <w:sz w:val="24"/>
          <w:szCs w:val="24"/>
        </w:rPr>
        <w:t>Disney+from</w:t>
      </w:r>
      <w:proofErr w:type="spellEnd"/>
      <w:r>
        <w:rPr>
          <w:rFonts w:ascii="Times New Roman Regular" w:hAnsi="Times New Roman Regular" w:cs="Times New Roman Regular"/>
          <w:sz w:val="24"/>
          <w:szCs w:val="24"/>
        </w:rPr>
        <w:t xml:space="preserve"> "barbaric investment" to "balance of payments" mode.</w:t>
      </w:r>
    </w:p>
    <w:p w14:paraId="742C9945" w14:textId="77777777" w:rsidR="00097F43" w:rsidRPr="00097F43" w:rsidRDefault="00097F43" w:rsidP="00097F43">
      <w:pPr>
        <w:pStyle w:val="a0"/>
      </w:pPr>
    </w:p>
    <w:p w14:paraId="5D0FFEC2" w14:textId="77777777" w:rsidR="0058492E" w:rsidRPr="00F13A66" w:rsidRDefault="00000000" w:rsidP="00097F43">
      <w:pPr>
        <w:snapToGrid w:val="0"/>
        <w:rPr>
          <w:rFonts w:ascii="Times New Roman Regular" w:hAnsi="Times New Roman Regular" w:cs="Times New Roman Regular" w:hint="eastAsia"/>
          <w:b/>
          <w:bCs/>
          <w:sz w:val="24"/>
          <w:szCs w:val="24"/>
        </w:rPr>
      </w:pPr>
      <w:r w:rsidRPr="00F13A66">
        <w:rPr>
          <w:rFonts w:ascii="Times New Roman Regular" w:hAnsi="Times New Roman Regular" w:cs="Times New Roman Regular"/>
          <w:b/>
          <w:bCs/>
          <w:sz w:val="24"/>
          <w:szCs w:val="24"/>
        </w:rPr>
        <w:t>5</w:t>
      </w:r>
      <w:r w:rsidRPr="00F13A66">
        <w:rPr>
          <w:rFonts w:ascii="Times New Roman Regular" w:hAnsi="Times New Roman Regular" w:cs="Times New Roman Regular" w:hint="eastAsia"/>
          <w:b/>
          <w:bCs/>
          <w:sz w:val="24"/>
          <w:szCs w:val="24"/>
          <w:lang w:eastAsia="zh-Hans"/>
        </w:rPr>
        <w:t>.</w:t>
      </w:r>
      <w:r w:rsidRPr="00F13A66">
        <w:rPr>
          <w:rFonts w:ascii="Times New Roman Regular" w:hAnsi="Times New Roman Regular" w:cs="Times New Roman Regular"/>
          <w:b/>
          <w:bCs/>
          <w:sz w:val="24"/>
          <w:szCs w:val="24"/>
        </w:rPr>
        <w:t>3 Cross border cooperation</w:t>
      </w:r>
    </w:p>
    <w:p w14:paraId="49AD4799"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No matter how Disney's strategy is adjusted, getting new customers at a lower price is always the king's way. In the era of fragmented information, users' attention is too distracted, and all major brands are making every effort to advertise themselves and try to break out of layers of encirclement. However, the brand alone has always had limited influence, even staying in the bottleneck period. If you can understand cross-border marketing and get warm with other brands, you may be able to maximize the value of both brands.</w:t>
      </w:r>
    </w:p>
    <w:p w14:paraId="17A09160"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For the cooperation between brands, the purpose of cooperation is clear, precise and complementary. It is necessary to consider the consistency of target consumer groups, and hope that the other party's brand characteristics, including tonality, crowd and other related things can be connected to their own brands to associate with their own brands. Complementarity is not functional complementarity, but user experience complementarity.</w:t>
      </w:r>
    </w:p>
    <w:p w14:paraId="05F5CCB8"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Find the target customers of Disney and map the brands used by customers in a day. Disney's target customers and other brands may be potential partners. Brand cooperation that is similar to or the same as the target users is to exchange resources and attract users from different fields and ages to break through barriers.</w:t>
      </w:r>
    </w:p>
    <w:p w14:paraId="41BB7534" w14:textId="3ACA1E5B" w:rsidR="0058492E" w:rsidRDefault="00000000">
      <w:pPr>
        <w:ind w:firstLineChars="200" w:firstLine="480"/>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Some brand cooperation seems to be quite different and not closely related, but in fact, the two give full play to their respective advantages and perfectly complement each other's cooperation mode. Through circle fermentation, they accurately reach the majority of users, producing a brand superposition resonance effect.</w:t>
      </w:r>
    </w:p>
    <w:p w14:paraId="76FB6CA3" w14:textId="77777777" w:rsidR="00097F43" w:rsidRPr="00097F43" w:rsidRDefault="00097F43" w:rsidP="00097F43">
      <w:pPr>
        <w:pStyle w:val="a0"/>
      </w:pPr>
    </w:p>
    <w:p w14:paraId="4F8C14DF" w14:textId="77777777" w:rsidR="0058492E" w:rsidRPr="00F13A66" w:rsidRDefault="00000000" w:rsidP="00097F43">
      <w:pPr>
        <w:snapToGrid w:val="0"/>
        <w:rPr>
          <w:rFonts w:ascii="Times New Roman Regular" w:hAnsi="Times New Roman Regular" w:cs="Times New Roman Regular" w:hint="eastAsia"/>
          <w:b/>
          <w:bCs/>
          <w:sz w:val="24"/>
          <w:szCs w:val="24"/>
        </w:rPr>
      </w:pPr>
      <w:r w:rsidRPr="00F13A66">
        <w:rPr>
          <w:rFonts w:ascii="Times New Roman Regular" w:hAnsi="Times New Roman Regular" w:cs="Times New Roman Regular"/>
          <w:b/>
          <w:bCs/>
          <w:sz w:val="24"/>
          <w:szCs w:val="24"/>
        </w:rPr>
        <w:t>5</w:t>
      </w:r>
      <w:r w:rsidRPr="00F13A66">
        <w:rPr>
          <w:rFonts w:ascii="Times New Roman Regular" w:hAnsi="Times New Roman Regular" w:cs="Times New Roman Regular" w:hint="eastAsia"/>
          <w:b/>
          <w:bCs/>
          <w:sz w:val="24"/>
          <w:szCs w:val="24"/>
          <w:lang w:eastAsia="zh-Hans"/>
        </w:rPr>
        <w:t>.</w:t>
      </w:r>
      <w:r w:rsidRPr="00F13A66">
        <w:rPr>
          <w:rFonts w:ascii="Times New Roman Regular" w:hAnsi="Times New Roman Regular" w:cs="Times New Roman Regular"/>
          <w:b/>
          <w:bCs/>
          <w:sz w:val="24"/>
          <w:szCs w:val="24"/>
        </w:rPr>
        <w:t>4 Retain old customers</w:t>
      </w:r>
    </w:p>
    <w:p w14:paraId="4C0985B4"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To retain old customers, we need to improve customer stickiness. Meet customer needs and expectations, effectively eliminate and prevent customer complaints and complaints, constantly improve customer satisfaction, promote customer loyalty, strengthen demand and trust, and establish a "value chain" and "ecological chain" of mutual trust, interdependence, long-term cooperation and permanent cooperation between Disney and customers.</w:t>
      </w:r>
    </w:p>
    <w:p w14:paraId="245B2A4D"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 xml:space="preserve">Successful customer </w:t>
      </w:r>
      <w:proofErr w:type="spellStart"/>
      <w:r>
        <w:rPr>
          <w:rFonts w:ascii="Times New Roman Regular" w:hAnsi="Times New Roman Regular" w:cs="Times New Roman Regular"/>
          <w:sz w:val="24"/>
          <w:szCs w:val="24"/>
        </w:rPr>
        <w:t>relationshipIn</w:t>
      </w:r>
      <w:proofErr w:type="spellEnd"/>
      <w:r>
        <w:rPr>
          <w:rFonts w:ascii="Times New Roman Regular" w:hAnsi="Times New Roman Regular" w:cs="Times New Roman Regular"/>
          <w:sz w:val="24"/>
          <w:szCs w:val="24"/>
        </w:rPr>
        <w:t xml:space="preserve"> modern marketing activities, the marketing concept is the basis for the formation of Disney strategy. The theory of customer loyalty marketing advocates taking customers as the center. Disney's marketing activities must focus on this center, pay attention to customers' evaluation of Disney, and pursue high customer satisfaction and loyalty. This is the improvement and development of the marketing concept.</w:t>
      </w:r>
    </w:p>
    <w:p w14:paraId="587292A1"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 xml:space="preserve">The theory of customer loyalty marketing requires Disney to regard customers as an important resource of the enterprise, systematically manage Disney's customers, obtain customer related information with the help of the application of customer relationship management software, and take it as the basis for enterprise strategic </w:t>
      </w:r>
      <w:r>
        <w:rPr>
          <w:rFonts w:ascii="Times New Roman Regular" w:hAnsi="Times New Roman Regular" w:cs="Times New Roman Regular"/>
          <w:sz w:val="24"/>
          <w:szCs w:val="24"/>
        </w:rPr>
        <w:lastRenderedPageBreak/>
        <w:t>decisions. Practice has proved that the core competitiveness formed by advocating customer loyalty will be reflected in the business activities of enterprises.</w:t>
      </w:r>
    </w:p>
    <w:p w14:paraId="3E700F58"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Good stickiness means stable customer sources. We know that the development of private houses mainly depends on online promotion and referral, so if you master the traffic password, you will have customers, and it is particularly important to retain these customers for future development. So how to increase customer stickiness and let customers form certain consumption habits, you need to do the following four things:</w:t>
      </w:r>
    </w:p>
    <w:p w14:paraId="6C09692D" w14:textId="4737689A" w:rsidR="0058492E" w:rsidRPr="00201F71" w:rsidRDefault="00000000">
      <w:pPr>
        <w:ind w:firstLineChars="200" w:firstLine="482"/>
        <w:outlineLvl w:val="0"/>
        <w:rPr>
          <w:rFonts w:ascii="Times New Roman Regular" w:hAnsi="Times New Roman Regular" w:cs="Times New Roman Regular" w:hint="eastAsia"/>
          <w:b/>
          <w:bCs/>
          <w:sz w:val="24"/>
        </w:rPr>
      </w:pPr>
      <w:bookmarkStart w:id="6" w:name="_Toc716797833"/>
      <w:r w:rsidRPr="00201F71">
        <w:rPr>
          <w:rFonts w:ascii="Times New Roman Regular" w:hAnsi="Times New Roman Regular" w:cs="Times New Roman Regular"/>
          <w:b/>
          <w:bCs/>
          <w:sz w:val="24"/>
          <w:szCs w:val="24"/>
        </w:rPr>
        <w:t>① Customer:</w:t>
      </w:r>
      <w:bookmarkEnd w:id="6"/>
    </w:p>
    <w:p w14:paraId="4014C4C1"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Treat customers sincerely, warmly and patiently. Remember the needs and preferences of different customers. People are emotional. You can properly do some small things to make customers moved. Finally, you should interact more. But you should understand that customers' temperament and personality interact, such as chatting occasionally, comments and likes from friends. If you turn strangers into new customers and you can introduce friends for you, then the customer will be very successful.</w:t>
      </w:r>
    </w:p>
    <w:p w14:paraId="77CCFF0B" w14:textId="00BEFFFF" w:rsidR="0058492E" w:rsidRPr="00201F71" w:rsidRDefault="00000000">
      <w:pPr>
        <w:ind w:firstLineChars="200" w:firstLine="482"/>
        <w:outlineLvl w:val="0"/>
        <w:rPr>
          <w:rFonts w:ascii="Times New Roman Regular" w:hAnsi="Times New Roman Regular" w:cs="Times New Roman Regular" w:hint="eastAsia"/>
          <w:b/>
          <w:bCs/>
          <w:sz w:val="24"/>
        </w:rPr>
      </w:pPr>
      <w:bookmarkStart w:id="7" w:name="_Toc1985403208"/>
      <w:r w:rsidRPr="00201F71">
        <w:rPr>
          <w:rFonts w:ascii="Times New Roman Regular" w:hAnsi="Times New Roman Regular" w:cs="Times New Roman Regular"/>
          <w:b/>
          <w:bCs/>
          <w:sz w:val="24"/>
          <w:szCs w:val="24"/>
        </w:rPr>
        <w:t>② Product:</w:t>
      </w:r>
      <w:bookmarkEnd w:id="7"/>
    </w:p>
    <w:p w14:paraId="0E614E86"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Quality and taste are the basis. If you want to stand out, you should consider the cost performance ratio. People like to spend the least money to buy the most things, and you should find ways to make customers feel that they are worth it; People are visual animals, and beauty is justice. Good looking packaging will also add color to desserts and increase product exposure; The last is innovation. Only by continuous innovation can customers have the desire to buy.</w:t>
      </w:r>
    </w:p>
    <w:p w14:paraId="460E122B" w14:textId="492A11F2" w:rsidR="0058492E" w:rsidRPr="00201F71" w:rsidRDefault="00000000">
      <w:pPr>
        <w:ind w:firstLineChars="200" w:firstLine="482"/>
        <w:outlineLvl w:val="0"/>
        <w:rPr>
          <w:rFonts w:ascii="Times New Roman Regular" w:hAnsi="Times New Roman Regular" w:cs="Times New Roman Regular" w:hint="eastAsia"/>
          <w:b/>
          <w:bCs/>
          <w:sz w:val="24"/>
        </w:rPr>
      </w:pPr>
      <w:bookmarkStart w:id="8" w:name="_Toc1070809770"/>
      <w:r w:rsidRPr="00201F71">
        <w:rPr>
          <w:rFonts w:ascii="Times New Roman Regular" w:hAnsi="Times New Roman Regular" w:cs="Times New Roman Regular"/>
          <w:b/>
          <w:bCs/>
          <w:sz w:val="24"/>
          <w:szCs w:val="24"/>
        </w:rPr>
        <w:t>③ Service:</w:t>
      </w:r>
      <w:bookmarkEnd w:id="8"/>
    </w:p>
    <w:p w14:paraId="24DBCAE6"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 xml:space="preserve">The pre-sales service attitude is very important. Why many customers didn't make a second purchase? It is likely that the after-sales service is not up to standard. If things are not good, most people choose not to say and will not buy them. </w:t>
      </w:r>
      <w:proofErr w:type="gramStart"/>
      <w:r>
        <w:rPr>
          <w:rFonts w:ascii="Times New Roman Regular" w:hAnsi="Times New Roman Regular" w:cs="Times New Roman Regular"/>
          <w:sz w:val="24"/>
          <w:szCs w:val="24"/>
        </w:rPr>
        <w:t>So</w:t>
      </w:r>
      <w:proofErr w:type="gramEnd"/>
      <w:r>
        <w:rPr>
          <w:rFonts w:ascii="Times New Roman Regular" w:hAnsi="Times New Roman Regular" w:cs="Times New Roman Regular"/>
          <w:sz w:val="24"/>
          <w:szCs w:val="24"/>
        </w:rPr>
        <w:t xml:space="preserve"> we must listen to the customer's suggestions and make timely compensation when problems occur, so that the customer feels that buying things is guaranteed and can place an order without concern. In the future, customers will be willing to try new products.</w:t>
      </w:r>
    </w:p>
    <w:p w14:paraId="1F0393C7" w14:textId="77777777" w:rsidR="0058492E" w:rsidRPr="00201F71" w:rsidRDefault="00000000">
      <w:pPr>
        <w:ind w:firstLineChars="200" w:firstLine="482"/>
        <w:rPr>
          <w:rFonts w:ascii="Times New Roman Regular" w:hAnsi="Times New Roman Regular" w:cs="Times New Roman Regular" w:hint="eastAsia"/>
          <w:b/>
          <w:bCs/>
          <w:sz w:val="24"/>
        </w:rPr>
      </w:pPr>
      <w:r w:rsidRPr="00201F71">
        <w:rPr>
          <w:rFonts w:ascii="Times New Roman Regular" w:hAnsi="Times New Roman Regular" w:cs="Times New Roman Regular"/>
          <w:b/>
          <w:bCs/>
          <w:sz w:val="24"/>
          <w:szCs w:val="24"/>
        </w:rPr>
        <w:t>④ Favorable policies and activities</w:t>
      </w:r>
    </w:p>
    <w:p w14:paraId="6748F1F0" w14:textId="77777777" w:rsidR="0058492E" w:rsidRDefault="00000000">
      <w:pPr>
        <w:ind w:firstLineChars="200" w:firstLine="480"/>
        <w:rPr>
          <w:rFonts w:ascii="Times New Roman Regular" w:hAnsi="Times New Roman Regular" w:cs="Times New Roman Regular" w:hint="eastAsia"/>
          <w:sz w:val="24"/>
        </w:rPr>
      </w:pPr>
      <w:r>
        <w:rPr>
          <w:rFonts w:ascii="Times New Roman Regular" w:hAnsi="Times New Roman Regular" w:cs="Times New Roman Regular"/>
          <w:sz w:val="24"/>
          <w:szCs w:val="24"/>
        </w:rPr>
        <w:t>We should give customers real benefits, such as discounts for old customers, new gifts for old customers, and discounts for referrals; Secondly, appropriate activities should be carried out, such as irregular second killing, holiday discounts, new product experience, and recharge gifts. The former is an affirmation of customers' long-term consumption, while the latter is the motivation to attract customers to continue spending.</w:t>
      </w:r>
    </w:p>
    <w:p w14:paraId="74766A50" w14:textId="77777777" w:rsidR="0058492E" w:rsidRDefault="00000000">
      <w:pPr>
        <w:rPr>
          <w:rFonts w:ascii="Times New Roman Regular" w:hAnsi="Times New Roman Regular" w:cs="Times New Roman Regular" w:hint="eastAsia"/>
          <w:sz w:val="28"/>
          <w:szCs w:val="28"/>
        </w:rPr>
      </w:pPr>
      <w:r>
        <w:rPr>
          <w:rFonts w:ascii="Times New Roman Regular" w:hAnsi="Times New Roman Regular" w:cs="Times New Roman Regular"/>
          <w:sz w:val="28"/>
          <w:szCs w:val="28"/>
        </w:rPr>
        <w:br w:type="page"/>
      </w:r>
    </w:p>
    <w:p w14:paraId="7DD96F00" w14:textId="77777777" w:rsidR="0058492E" w:rsidRPr="00F13A66" w:rsidRDefault="00000000" w:rsidP="00201F71">
      <w:pPr>
        <w:adjustRightInd w:val="0"/>
        <w:snapToGrid w:val="0"/>
        <w:outlineLvl w:val="0"/>
        <w:rPr>
          <w:b/>
          <w:bCs/>
          <w:sz w:val="28"/>
          <w:szCs w:val="28"/>
        </w:rPr>
      </w:pPr>
      <w:bookmarkStart w:id="9" w:name="_Toc1186842530"/>
      <w:r w:rsidRPr="00F13A66">
        <w:rPr>
          <w:b/>
          <w:bCs/>
          <w:sz w:val="28"/>
          <w:szCs w:val="28"/>
        </w:rPr>
        <w:lastRenderedPageBreak/>
        <w:t>6 References</w:t>
      </w:r>
      <w:bookmarkEnd w:id="9"/>
    </w:p>
    <w:p w14:paraId="19846197" w14:textId="77777777" w:rsidR="0058492E" w:rsidRPr="00201F71" w:rsidRDefault="00000000" w:rsidP="00201F71">
      <w:pPr>
        <w:adjustRightInd w:val="0"/>
        <w:snapToGrid w:val="0"/>
        <w:spacing w:line="276" w:lineRule="auto"/>
        <w:ind w:left="480" w:hangingChars="200" w:hanging="480"/>
        <w:rPr>
          <w:sz w:val="24"/>
          <w:szCs w:val="24"/>
        </w:rPr>
      </w:pPr>
      <w:r w:rsidRPr="00201F71">
        <w:rPr>
          <w:sz w:val="24"/>
          <w:szCs w:val="24"/>
        </w:rPr>
        <w:t xml:space="preserve">“Introduction: Feeling </w:t>
      </w:r>
      <w:proofErr w:type="spellStart"/>
      <w:r w:rsidRPr="00201F71">
        <w:rPr>
          <w:sz w:val="24"/>
          <w:szCs w:val="24"/>
        </w:rPr>
        <w:t>disney</w:t>
      </w:r>
      <w:proofErr w:type="spellEnd"/>
      <w:r w:rsidRPr="00201F71">
        <w:rPr>
          <w:sz w:val="24"/>
          <w:szCs w:val="24"/>
        </w:rPr>
        <w:t xml:space="preserve">, buying Disney, being Disney” (2016) Disney, </w:t>
      </w:r>
      <w:r w:rsidRPr="00201F71">
        <w:rPr>
          <w:i/>
          <w:iCs/>
          <w:sz w:val="24"/>
          <w:szCs w:val="24"/>
        </w:rPr>
        <w:t>Culture</w:t>
      </w:r>
      <w:r w:rsidRPr="00201F71">
        <w:rPr>
          <w:sz w:val="24"/>
          <w:szCs w:val="24"/>
        </w:rPr>
        <w:t xml:space="preserve">, and Curriculum, pp. 31–58. Available at: https://doi.org/10.4324/9781315661599-11. </w:t>
      </w:r>
    </w:p>
    <w:p w14:paraId="06A0AAD0" w14:textId="77777777" w:rsidR="0058492E" w:rsidRPr="00201F71" w:rsidRDefault="00000000" w:rsidP="00201F71">
      <w:pPr>
        <w:adjustRightInd w:val="0"/>
        <w:snapToGrid w:val="0"/>
        <w:spacing w:line="276" w:lineRule="auto"/>
        <w:ind w:left="480" w:hangingChars="200" w:hanging="480"/>
        <w:rPr>
          <w:sz w:val="24"/>
          <w:szCs w:val="24"/>
        </w:rPr>
      </w:pPr>
      <w:proofErr w:type="spellStart"/>
      <w:r w:rsidRPr="00201F71">
        <w:rPr>
          <w:sz w:val="24"/>
          <w:szCs w:val="24"/>
        </w:rPr>
        <w:t>Osatinski</w:t>
      </w:r>
      <w:proofErr w:type="spellEnd"/>
      <w:r w:rsidRPr="00201F71">
        <w:rPr>
          <w:sz w:val="24"/>
          <w:szCs w:val="24"/>
        </w:rPr>
        <w:t xml:space="preserve">, A.S. (2019) “The Disney Way,” </w:t>
      </w:r>
      <w:r w:rsidRPr="00201F71">
        <w:rPr>
          <w:i/>
          <w:iCs/>
          <w:sz w:val="24"/>
          <w:szCs w:val="24"/>
        </w:rPr>
        <w:t>Disney Theatrical Productions</w:t>
      </w:r>
      <w:r w:rsidRPr="00201F71">
        <w:rPr>
          <w:sz w:val="24"/>
          <w:szCs w:val="24"/>
        </w:rPr>
        <w:t xml:space="preserve">, pp. 47–67. Available at: https://doi.org/10.4324/9780429023361-4. </w:t>
      </w:r>
    </w:p>
    <w:p w14:paraId="5CC58F94" w14:textId="77777777" w:rsidR="0058492E" w:rsidRPr="00201F71" w:rsidRDefault="00000000" w:rsidP="00201F71">
      <w:pPr>
        <w:adjustRightInd w:val="0"/>
        <w:snapToGrid w:val="0"/>
        <w:spacing w:line="276" w:lineRule="auto"/>
        <w:ind w:left="480" w:hangingChars="200" w:hanging="480"/>
        <w:rPr>
          <w:sz w:val="24"/>
          <w:szCs w:val="24"/>
        </w:rPr>
      </w:pPr>
      <w:proofErr w:type="spellStart"/>
      <w:r w:rsidRPr="00201F71">
        <w:rPr>
          <w:sz w:val="24"/>
          <w:szCs w:val="24"/>
        </w:rPr>
        <w:t>D’Oliveiro</w:t>
      </w:r>
      <w:proofErr w:type="spellEnd"/>
      <w:r w:rsidRPr="00201F71">
        <w:rPr>
          <w:sz w:val="24"/>
          <w:szCs w:val="24"/>
        </w:rPr>
        <w:t xml:space="preserve">, M. (2019) “Live Streaming Media,” </w:t>
      </w:r>
      <w:r w:rsidRPr="00201F71">
        <w:rPr>
          <w:i/>
          <w:iCs/>
          <w:sz w:val="24"/>
          <w:szCs w:val="24"/>
        </w:rPr>
        <w:t>The Streaming Media Guide</w:t>
      </w:r>
      <w:r w:rsidRPr="00201F71">
        <w:rPr>
          <w:sz w:val="24"/>
          <w:szCs w:val="24"/>
        </w:rPr>
        <w:t xml:space="preserve">, pp. 138–148. Available at: https://doi.org/10.4324/9780429429750-9. </w:t>
      </w:r>
    </w:p>
    <w:p w14:paraId="22220C71" w14:textId="77777777" w:rsidR="0058492E" w:rsidRPr="00201F71" w:rsidRDefault="00000000" w:rsidP="00201F71">
      <w:pPr>
        <w:adjustRightInd w:val="0"/>
        <w:snapToGrid w:val="0"/>
        <w:spacing w:line="276" w:lineRule="auto"/>
        <w:ind w:left="480" w:hangingChars="200" w:hanging="480"/>
        <w:rPr>
          <w:sz w:val="24"/>
          <w:szCs w:val="24"/>
        </w:rPr>
      </w:pPr>
      <w:proofErr w:type="spellStart"/>
      <w:r w:rsidRPr="00201F71">
        <w:rPr>
          <w:sz w:val="24"/>
          <w:szCs w:val="24"/>
        </w:rPr>
        <w:t>D’Oliveiro</w:t>
      </w:r>
      <w:proofErr w:type="spellEnd"/>
      <w:r w:rsidRPr="00201F71">
        <w:rPr>
          <w:sz w:val="24"/>
          <w:szCs w:val="24"/>
        </w:rPr>
        <w:t xml:space="preserve">, M. (2019) “Streaming Media Technology Today,” </w:t>
      </w:r>
      <w:r w:rsidRPr="00201F71">
        <w:rPr>
          <w:i/>
          <w:iCs/>
          <w:sz w:val="24"/>
          <w:szCs w:val="24"/>
        </w:rPr>
        <w:t>The Streaming Media Guide</w:t>
      </w:r>
      <w:r w:rsidRPr="00201F71">
        <w:rPr>
          <w:sz w:val="24"/>
          <w:szCs w:val="24"/>
        </w:rPr>
        <w:t xml:space="preserve">, pp. 24–48. Available at: https://doi.org/10.4324/9780429429750-3. </w:t>
      </w:r>
    </w:p>
    <w:p w14:paraId="0F43FF34" w14:textId="77777777" w:rsidR="0058492E" w:rsidRPr="00201F71" w:rsidRDefault="00000000" w:rsidP="00201F71">
      <w:pPr>
        <w:adjustRightInd w:val="0"/>
        <w:snapToGrid w:val="0"/>
        <w:spacing w:line="276" w:lineRule="auto"/>
        <w:ind w:left="480" w:hangingChars="200" w:hanging="480"/>
        <w:rPr>
          <w:sz w:val="24"/>
          <w:szCs w:val="24"/>
        </w:rPr>
      </w:pPr>
      <w:r w:rsidRPr="00201F71">
        <w:rPr>
          <w:sz w:val="24"/>
          <w:szCs w:val="24"/>
        </w:rPr>
        <w:t xml:space="preserve">“Media Education, media industry, mass media theory: Interrelations and conflict of interests” (2019) </w:t>
      </w:r>
      <w:r w:rsidRPr="00201F71">
        <w:rPr>
          <w:i/>
          <w:iCs/>
          <w:sz w:val="24"/>
          <w:szCs w:val="24"/>
        </w:rPr>
        <w:t>Media Education</w:t>
      </w:r>
      <w:r w:rsidRPr="00201F71">
        <w:rPr>
          <w:sz w:val="24"/>
          <w:szCs w:val="24"/>
        </w:rPr>
        <w:t xml:space="preserve"> (</w:t>
      </w:r>
      <w:proofErr w:type="spellStart"/>
      <w:r w:rsidRPr="00201F71">
        <w:rPr>
          <w:sz w:val="24"/>
          <w:szCs w:val="24"/>
        </w:rPr>
        <w:t>Mediaobrazovanie</w:t>
      </w:r>
      <w:proofErr w:type="spellEnd"/>
      <w:r w:rsidRPr="00201F71">
        <w:rPr>
          <w:sz w:val="24"/>
          <w:szCs w:val="24"/>
        </w:rPr>
        <w:t xml:space="preserve">), 59(2). Available at: https://doi.org/10.13187/me.2019.2.269. </w:t>
      </w:r>
    </w:p>
    <w:p w14:paraId="3EA2318D" w14:textId="77777777" w:rsidR="0058492E" w:rsidRPr="00201F71" w:rsidRDefault="00000000" w:rsidP="00201F71">
      <w:pPr>
        <w:adjustRightInd w:val="0"/>
        <w:snapToGrid w:val="0"/>
        <w:spacing w:line="276" w:lineRule="auto"/>
        <w:ind w:left="480" w:hangingChars="200" w:hanging="480"/>
        <w:rPr>
          <w:sz w:val="24"/>
          <w:szCs w:val="24"/>
        </w:rPr>
      </w:pPr>
      <w:r w:rsidRPr="00201F71">
        <w:rPr>
          <w:sz w:val="24"/>
          <w:szCs w:val="24"/>
        </w:rPr>
        <w:t xml:space="preserve">Russell, M.J. (2014) “Learning &amp;amp; development: Superhero play - superkids - the </w:t>
      </w:r>
      <w:proofErr w:type="gramStart"/>
      <w:r w:rsidRPr="00201F71">
        <w:rPr>
          <w:sz w:val="24"/>
          <w:szCs w:val="24"/>
        </w:rPr>
        <w:t>movie!,</w:t>
      </w:r>
      <w:proofErr w:type="gramEnd"/>
      <w:r w:rsidRPr="00201F71">
        <w:rPr>
          <w:sz w:val="24"/>
          <w:szCs w:val="24"/>
        </w:rPr>
        <w:t xml:space="preserve">” </w:t>
      </w:r>
      <w:r w:rsidRPr="00201F71">
        <w:rPr>
          <w:i/>
          <w:iCs/>
          <w:sz w:val="24"/>
          <w:szCs w:val="24"/>
        </w:rPr>
        <w:t>Nursery World</w:t>
      </w:r>
      <w:r w:rsidRPr="00201F71">
        <w:rPr>
          <w:sz w:val="24"/>
          <w:szCs w:val="24"/>
        </w:rPr>
        <w:t xml:space="preserve">, 2014(4). Available at: https://doi.org/10.12968/nuwa.2014.21.4.1143538. </w:t>
      </w:r>
    </w:p>
    <w:p w14:paraId="6F53C8E2" w14:textId="77777777" w:rsidR="0058492E" w:rsidRPr="00201F71" w:rsidRDefault="00000000" w:rsidP="00201F71">
      <w:pPr>
        <w:adjustRightInd w:val="0"/>
        <w:snapToGrid w:val="0"/>
        <w:spacing w:line="276" w:lineRule="auto"/>
        <w:ind w:left="480" w:hangingChars="200" w:hanging="480"/>
        <w:rPr>
          <w:sz w:val="24"/>
          <w:szCs w:val="24"/>
        </w:rPr>
      </w:pPr>
      <w:proofErr w:type="spellStart"/>
      <w:r w:rsidRPr="00201F71">
        <w:rPr>
          <w:sz w:val="24"/>
          <w:szCs w:val="24"/>
        </w:rPr>
        <w:t>Budiharjo</w:t>
      </w:r>
      <w:proofErr w:type="spellEnd"/>
      <w:r w:rsidRPr="00201F71">
        <w:rPr>
          <w:sz w:val="24"/>
          <w:szCs w:val="24"/>
        </w:rPr>
        <w:t xml:space="preserve">, B. (2019) “English in subscene’s Indonesian subtitle of superhero movie: How does it affect the </w:t>
      </w:r>
      <w:proofErr w:type="gramStart"/>
      <w:r w:rsidRPr="00201F71">
        <w:rPr>
          <w:sz w:val="24"/>
          <w:szCs w:val="24"/>
        </w:rPr>
        <w:t>audience?,</w:t>
      </w:r>
      <w:proofErr w:type="gramEnd"/>
      <w:r w:rsidRPr="00201F71">
        <w:rPr>
          <w:sz w:val="24"/>
          <w:szCs w:val="24"/>
        </w:rPr>
        <w:t xml:space="preserve">” Proceedings of the UNNES International Conference on English Language Teaching, </w:t>
      </w:r>
      <w:r w:rsidRPr="00201F71">
        <w:rPr>
          <w:i/>
          <w:iCs/>
          <w:sz w:val="24"/>
          <w:szCs w:val="24"/>
        </w:rPr>
        <w:t>Literature</w:t>
      </w:r>
      <w:r w:rsidRPr="00201F71">
        <w:rPr>
          <w:sz w:val="24"/>
          <w:szCs w:val="24"/>
        </w:rPr>
        <w:t xml:space="preserve">, and Translation (ELTLT 2018) [Preprint]. Available at: https://doi.org/10.2991/eltlt-18.2019.4. </w:t>
      </w:r>
    </w:p>
    <w:p w14:paraId="7C4E7E0F" w14:textId="77777777" w:rsidR="0058492E" w:rsidRPr="00201F71" w:rsidRDefault="00000000" w:rsidP="00201F71">
      <w:pPr>
        <w:adjustRightInd w:val="0"/>
        <w:snapToGrid w:val="0"/>
        <w:spacing w:line="276" w:lineRule="auto"/>
        <w:ind w:left="480" w:hangingChars="200" w:hanging="480"/>
        <w:rPr>
          <w:sz w:val="24"/>
          <w:szCs w:val="24"/>
        </w:rPr>
      </w:pPr>
      <w:proofErr w:type="spellStart"/>
      <w:r w:rsidRPr="00201F71">
        <w:rPr>
          <w:sz w:val="24"/>
          <w:szCs w:val="24"/>
          <w:lang w:eastAsia="zh-Hans"/>
        </w:rPr>
        <w:t>Paudyal</w:t>
      </w:r>
      <w:proofErr w:type="spellEnd"/>
      <w:r w:rsidRPr="00201F71">
        <w:rPr>
          <w:sz w:val="24"/>
          <w:szCs w:val="24"/>
          <w:lang w:eastAsia="zh-Hans"/>
        </w:rPr>
        <w:t>, N.Y. (</w:t>
      </w:r>
      <w:proofErr w:type="gramStart"/>
      <w:r w:rsidRPr="00201F71">
        <w:rPr>
          <w:sz w:val="24"/>
          <w:szCs w:val="24"/>
          <w:lang w:eastAsia="zh-Hans"/>
        </w:rPr>
        <w:t>2014)</w:t>
      </w:r>
      <w:r w:rsidRPr="00201F71">
        <w:rPr>
          <w:sz w:val="24"/>
          <w:szCs w:val="24"/>
        </w:rPr>
        <w:t>“</w:t>
      </w:r>
      <w:proofErr w:type="gramEnd"/>
      <w:r w:rsidRPr="00201F71">
        <w:rPr>
          <w:sz w:val="24"/>
          <w:szCs w:val="24"/>
        </w:rPr>
        <w:t xml:space="preserve">Parables that teach and portray business strategy” </w:t>
      </w:r>
      <w:r w:rsidRPr="00201F71">
        <w:rPr>
          <w:i/>
          <w:iCs/>
          <w:sz w:val="24"/>
          <w:szCs w:val="24"/>
        </w:rPr>
        <w:t>Business Strategy</w:t>
      </w:r>
      <w:r w:rsidRPr="00201F71">
        <w:rPr>
          <w:sz w:val="24"/>
          <w:szCs w:val="24"/>
        </w:rPr>
        <w:t xml:space="preserve">, pp. 53–54. Available at: https://doi.org/10.1002/9781118896006.part2. </w:t>
      </w:r>
    </w:p>
    <w:p w14:paraId="6A46FE4E" w14:textId="77777777" w:rsidR="0058492E" w:rsidRPr="00201F71" w:rsidRDefault="00000000" w:rsidP="00201F71">
      <w:pPr>
        <w:adjustRightInd w:val="0"/>
        <w:snapToGrid w:val="0"/>
        <w:spacing w:line="276" w:lineRule="auto"/>
        <w:ind w:left="480" w:hangingChars="200" w:hanging="480"/>
        <w:rPr>
          <w:sz w:val="24"/>
          <w:szCs w:val="24"/>
        </w:rPr>
      </w:pPr>
      <w:r w:rsidRPr="00201F71">
        <w:rPr>
          <w:sz w:val="24"/>
          <w:szCs w:val="24"/>
        </w:rPr>
        <w:t>Lindgren, P. (</w:t>
      </w:r>
      <w:proofErr w:type="gramStart"/>
      <w:r w:rsidRPr="00201F71">
        <w:rPr>
          <w:sz w:val="24"/>
          <w:szCs w:val="24"/>
        </w:rPr>
        <w:t>2018)</w:t>
      </w:r>
      <w:r w:rsidRPr="00201F71">
        <w:rPr>
          <w:sz w:val="24"/>
          <w:szCs w:val="24"/>
          <w:lang w:eastAsia="zh-Hans"/>
        </w:rPr>
        <w:t>“</w:t>
      </w:r>
      <w:proofErr w:type="gramEnd"/>
      <w:r w:rsidRPr="00201F71">
        <w:rPr>
          <w:sz w:val="24"/>
          <w:szCs w:val="24"/>
        </w:rPr>
        <w:t>The Multi Business Model Innovation Approach</w:t>
      </w:r>
      <w:r w:rsidRPr="00201F71">
        <w:rPr>
          <w:sz w:val="24"/>
          <w:szCs w:val="24"/>
          <w:lang w:eastAsia="zh-Hans"/>
        </w:rPr>
        <w:t>”</w:t>
      </w:r>
      <w:r w:rsidRPr="00201F71">
        <w:rPr>
          <w:sz w:val="24"/>
          <w:szCs w:val="24"/>
        </w:rPr>
        <w:t xml:space="preserve">, pp. 1–244. Available at: https://doi.org/10.13052/rp-9788793609655. </w:t>
      </w:r>
    </w:p>
    <w:p w14:paraId="4096F617" w14:textId="77777777" w:rsidR="0058492E" w:rsidRPr="00201F71" w:rsidRDefault="00000000" w:rsidP="00201F71">
      <w:pPr>
        <w:adjustRightInd w:val="0"/>
        <w:snapToGrid w:val="0"/>
        <w:spacing w:line="276" w:lineRule="auto"/>
        <w:ind w:left="480" w:hangingChars="200" w:hanging="480"/>
        <w:rPr>
          <w:sz w:val="24"/>
          <w:szCs w:val="24"/>
        </w:rPr>
      </w:pPr>
      <w:proofErr w:type="spellStart"/>
      <w:r w:rsidRPr="00201F71">
        <w:rPr>
          <w:sz w:val="24"/>
          <w:szCs w:val="24"/>
        </w:rPr>
        <w:t>Molenaar</w:t>
      </w:r>
      <w:proofErr w:type="spellEnd"/>
      <w:r w:rsidRPr="00201F71">
        <w:rPr>
          <w:sz w:val="24"/>
          <w:szCs w:val="24"/>
        </w:rPr>
        <w:t xml:space="preserve">, C. (2022) “Building a demand-driven business </w:t>
      </w:r>
      <w:proofErr w:type="spellStart"/>
      <w:r w:rsidRPr="00201F71">
        <w:rPr>
          <w:sz w:val="24"/>
          <w:szCs w:val="24"/>
        </w:rPr>
        <w:t>model</w:t>
      </w:r>
      <w:proofErr w:type="gramStart"/>
      <w:r w:rsidRPr="00201F71">
        <w:rPr>
          <w:sz w:val="24"/>
          <w:szCs w:val="24"/>
        </w:rPr>
        <w:t>,”</w:t>
      </w:r>
      <w:r w:rsidRPr="00201F71">
        <w:rPr>
          <w:i/>
          <w:iCs/>
          <w:sz w:val="24"/>
          <w:szCs w:val="24"/>
        </w:rPr>
        <w:t>Demand</w:t>
      </w:r>
      <w:proofErr w:type="spellEnd"/>
      <w:proofErr w:type="gramEnd"/>
      <w:r w:rsidRPr="00201F71">
        <w:rPr>
          <w:i/>
          <w:iCs/>
          <w:sz w:val="24"/>
          <w:szCs w:val="24"/>
        </w:rPr>
        <w:t>-Driven Business Strategy</w:t>
      </w:r>
      <w:r w:rsidRPr="00201F71">
        <w:rPr>
          <w:sz w:val="24"/>
          <w:szCs w:val="24"/>
        </w:rPr>
        <w:t xml:space="preserve">, pp. 71–82. Available at: https://doi.org/10.4324/9781003226161-7. </w:t>
      </w:r>
    </w:p>
    <w:p w14:paraId="7A6B9E94" w14:textId="77777777" w:rsidR="0058492E" w:rsidRPr="00201F71" w:rsidRDefault="00000000" w:rsidP="00201F71">
      <w:pPr>
        <w:adjustRightInd w:val="0"/>
        <w:snapToGrid w:val="0"/>
        <w:spacing w:line="276" w:lineRule="auto"/>
        <w:ind w:left="480" w:hangingChars="200" w:hanging="480"/>
        <w:rPr>
          <w:sz w:val="24"/>
          <w:szCs w:val="24"/>
        </w:rPr>
      </w:pPr>
      <w:proofErr w:type="spellStart"/>
      <w:r w:rsidRPr="00201F71">
        <w:rPr>
          <w:sz w:val="24"/>
          <w:szCs w:val="24"/>
        </w:rPr>
        <w:t>Abeyratne</w:t>
      </w:r>
      <w:proofErr w:type="spellEnd"/>
      <w:r w:rsidRPr="00201F71">
        <w:rPr>
          <w:sz w:val="24"/>
          <w:szCs w:val="24"/>
        </w:rPr>
        <w:t xml:space="preserve">, R.I.R. (2018) “Competition rules in commercial aviation,” </w:t>
      </w:r>
      <w:r w:rsidRPr="00201F71">
        <w:rPr>
          <w:i/>
          <w:iCs/>
          <w:sz w:val="24"/>
          <w:szCs w:val="24"/>
        </w:rPr>
        <w:t>Emergent Commercial Trends and Aviation Safety</w:t>
      </w:r>
      <w:r w:rsidRPr="00201F71">
        <w:rPr>
          <w:sz w:val="24"/>
          <w:szCs w:val="24"/>
        </w:rPr>
        <w:t xml:space="preserve">, pp. 3–47. Available at: https://doi.org/10.4324/9780429460104-1. </w:t>
      </w:r>
    </w:p>
    <w:p w14:paraId="0DAF85E3" w14:textId="77777777" w:rsidR="0058492E" w:rsidRPr="00201F71" w:rsidRDefault="00000000" w:rsidP="00201F71">
      <w:pPr>
        <w:adjustRightInd w:val="0"/>
        <w:snapToGrid w:val="0"/>
        <w:spacing w:line="276" w:lineRule="auto"/>
        <w:ind w:left="480" w:hangingChars="200" w:hanging="480"/>
        <w:rPr>
          <w:sz w:val="24"/>
          <w:szCs w:val="24"/>
        </w:rPr>
      </w:pPr>
      <w:r w:rsidRPr="00201F71">
        <w:rPr>
          <w:sz w:val="24"/>
          <w:szCs w:val="24"/>
        </w:rPr>
        <w:t xml:space="preserve">“Business-to-business market segmentation” (2022) </w:t>
      </w:r>
      <w:r w:rsidRPr="00201F71">
        <w:rPr>
          <w:i/>
          <w:iCs/>
          <w:sz w:val="24"/>
          <w:szCs w:val="24"/>
        </w:rPr>
        <w:t>Handbook of Business-to-Business Marketing</w:t>
      </w:r>
      <w:r w:rsidRPr="00201F71">
        <w:rPr>
          <w:sz w:val="24"/>
          <w:szCs w:val="24"/>
        </w:rPr>
        <w:t xml:space="preserve">, pp. 185–204. Available at: https://doi.org/10.4337/9781800376878.00020. </w:t>
      </w:r>
    </w:p>
    <w:p w14:paraId="21AFFB28" w14:textId="77777777" w:rsidR="0058492E" w:rsidRPr="00201F71" w:rsidRDefault="00000000" w:rsidP="00201F71">
      <w:pPr>
        <w:adjustRightInd w:val="0"/>
        <w:snapToGrid w:val="0"/>
        <w:spacing w:line="276" w:lineRule="auto"/>
        <w:ind w:left="480" w:hangingChars="200" w:hanging="480"/>
        <w:rPr>
          <w:sz w:val="24"/>
          <w:szCs w:val="24"/>
        </w:rPr>
      </w:pPr>
      <w:r w:rsidRPr="00201F71">
        <w:rPr>
          <w:sz w:val="24"/>
          <w:szCs w:val="24"/>
        </w:rPr>
        <w:t xml:space="preserve">“Commercial and legal certainty” (2020) Competition, </w:t>
      </w:r>
      <w:r w:rsidRPr="00201F71">
        <w:rPr>
          <w:i/>
          <w:iCs/>
          <w:sz w:val="24"/>
          <w:szCs w:val="24"/>
        </w:rPr>
        <w:t>Effects and Predictability</w:t>
      </w:r>
      <w:r w:rsidRPr="00201F71">
        <w:rPr>
          <w:sz w:val="24"/>
          <w:szCs w:val="24"/>
        </w:rPr>
        <w:t xml:space="preserve"> [Preprint]. Available at: https://doi.org/10.5040/9781509926084.ch-006. </w:t>
      </w:r>
    </w:p>
    <w:p w14:paraId="7742EF04" w14:textId="77777777" w:rsidR="0058492E" w:rsidRPr="00201F71" w:rsidRDefault="00000000" w:rsidP="00201F71">
      <w:pPr>
        <w:adjustRightInd w:val="0"/>
        <w:snapToGrid w:val="0"/>
        <w:spacing w:line="276" w:lineRule="auto"/>
        <w:ind w:left="480" w:hangingChars="200" w:hanging="480"/>
        <w:rPr>
          <w:sz w:val="24"/>
          <w:szCs w:val="24"/>
        </w:rPr>
      </w:pPr>
      <w:r w:rsidRPr="00201F71">
        <w:rPr>
          <w:sz w:val="24"/>
          <w:szCs w:val="24"/>
        </w:rPr>
        <w:t xml:space="preserve">Costello, L. (2017) “Demand-driven acquisitions,” </w:t>
      </w:r>
      <w:r w:rsidRPr="00201F71">
        <w:rPr>
          <w:i/>
          <w:iCs/>
          <w:sz w:val="24"/>
          <w:szCs w:val="24"/>
        </w:rPr>
        <w:t>Evaluating Demand-Driven Acquisitions</w:t>
      </w:r>
      <w:r w:rsidRPr="00201F71">
        <w:rPr>
          <w:sz w:val="24"/>
          <w:szCs w:val="24"/>
        </w:rPr>
        <w:t xml:space="preserve">, pp. 21–41. Available at: https://doi.org/10.1016/b978-0-08-100946-8.00002-8. </w:t>
      </w:r>
    </w:p>
    <w:p w14:paraId="5DD86337" w14:textId="77777777" w:rsidR="0058492E" w:rsidRPr="00201F71" w:rsidRDefault="00000000" w:rsidP="00201F71">
      <w:pPr>
        <w:adjustRightInd w:val="0"/>
        <w:snapToGrid w:val="0"/>
        <w:spacing w:line="276" w:lineRule="auto"/>
        <w:ind w:left="480" w:hangingChars="200" w:hanging="480"/>
        <w:rPr>
          <w:sz w:val="24"/>
          <w:szCs w:val="24"/>
        </w:rPr>
      </w:pPr>
      <w:r w:rsidRPr="00201F71">
        <w:rPr>
          <w:sz w:val="24"/>
          <w:szCs w:val="24"/>
        </w:rPr>
        <w:t xml:space="preserve">“Driven by real demand” (2014) </w:t>
      </w:r>
      <w:r w:rsidRPr="00201F71">
        <w:rPr>
          <w:i/>
          <w:iCs/>
          <w:sz w:val="24"/>
          <w:szCs w:val="24"/>
        </w:rPr>
        <w:t>Protean Supply Chains</w:t>
      </w:r>
      <w:r w:rsidRPr="00201F71">
        <w:rPr>
          <w:sz w:val="24"/>
          <w:szCs w:val="24"/>
        </w:rPr>
        <w:t xml:space="preserve">, pp. 13–33. Available at: https://doi.org/10.1002/9781118759721.ch2. </w:t>
      </w:r>
    </w:p>
    <w:p w14:paraId="51630B13" w14:textId="77777777" w:rsidR="0058492E" w:rsidRPr="00201F71" w:rsidRDefault="00000000" w:rsidP="00201F71">
      <w:pPr>
        <w:adjustRightInd w:val="0"/>
        <w:snapToGrid w:val="0"/>
        <w:spacing w:line="276" w:lineRule="auto"/>
        <w:ind w:left="480" w:hangingChars="200" w:hanging="480"/>
        <w:rPr>
          <w:sz w:val="24"/>
          <w:szCs w:val="24"/>
        </w:rPr>
      </w:pPr>
      <w:proofErr w:type="spellStart"/>
      <w:r w:rsidRPr="00201F71">
        <w:rPr>
          <w:sz w:val="24"/>
          <w:szCs w:val="24"/>
        </w:rPr>
        <w:t>Molenaar</w:t>
      </w:r>
      <w:proofErr w:type="spellEnd"/>
      <w:r w:rsidRPr="00201F71">
        <w:rPr>
          <w:sz w:val="24"/>
          <w:szCs w:val="24"/>
        </w:rPr>
        <w:t xml:space="preserve">, C. (2022) “Demand-driven versus supply-driven,” </w:t>
      </w:r>
      <w:r w:rsidRPr="00201F71">
        <w:rPr>
          <w:i/>
          <w:iCs/>
          <w:sz w:val="24"/>
          <w:szCs w:val="24"/>
        </w:rPr>
        <w:t>Demand-Driven Business Strategy</w:t>
      </w:r>
      <w:r w:rsidRPr="00201F71">
        <w:rPr>
          <w:sz w:val="24"/>
          <w:szCs w:val="24"/>
        </w:rPr>
        <w:t xml:space="preserve">, pp. 9–16. Available at: https://doi.org/10.4324/9781003226161-2. </w:t>
      </w:r>
    </w:p>
    <w:p w14:paraId="5FACA66D" w14:textId="77777777" w:rsidR="0058492E" w:rsidRPr="00201F71" w:rsidRDefault="00000000" w:rsidP="00201F71">
      <w:pPr>
        <w:adjustRightInd w:val="0"/>
        <w:snapToGrid w:val="0"/>
        <w:spacing w:line="276" w:lineRule="auto"/>
        <w:ind w:left="480" w:hangingChars="200" w:hanging="480"/>
        <w:rPr>
          <w:sz w:val="24"/>
          <w:szCs w:val="24"/>
        </w:rPr>
      </w:pPr>
      <w:proofErr w:type="spellStart"/>
      <w:r w:rsidRPr="00201F71">
        <w:rPr>
          <w:sz w:val="24"/>
          <w:szCs w:val="24"/>
        </w:rPr>
        <w:lastRenderedPageBreak/>
        <w:t>Molenaar</w:t>
      </w:r>
      <w:proofErr w:type="spellEnd"/>
      <w:r w:rsidRPr="00201F71">
        <w:rPr>
          <w:sz w:val="24"/>
          <w:szCs w:val="24"/>
        </w:rPr>
        <w:t xml:space="preserve">, C. (2022) “Shifting from a supply-driven to a demand-driven economy,” </w:t>
      </w:r>
      <w:r w:rsidRPr="00201F71">
        <w:rPr>
          <w:i/>
          <w:iCs/>
          <w:sz w:val="24"/>
          <w:szCs w:val="24"/>
        </w:rPr>
        <w:t>Demand-Driven Business Strategy</w:t>
      </w:r>
      <w:r w:rsidRPr="00201F71">
        <w:rPr>
          <w:sz w:val="24"/>
          <w:szCs w:val="24"/>
        </w:rPr>
        <w:t xml:space="preserve">, pp. 17–30. Available at: https://doi.org/10.4324/9781003226161-3. </w:t>
      </w:r>
    </w:p>
    <w:p w14:paraId="7D798B38" w14:textId="77777777" w:rsidR="0058492E" w:rsidRPr="00201F71" w:rsidRDefault="00000000" w:rsidP="00201F71">
      <w:pPr>
        <w:adjustRightInd w:val="0"/>
        <w:snapToGrid w:val="0"/>
        <w:spacing w:line="276" w:lineRule="auto"/>
        <w:ind w:left="480" w:hangingChars="200" w:hanging="480"/>
        <w:rPr>
          <w:sz w:val="24"/>
          <w:szCs w:val="24"/>
        </w:rPr>
      </w:pPr>
      <w:proofErr w:type="spellStart"/>
      <w:r w:rsidRPr="00201F71">
        <w:rPr>
          <w:sz w:val="24"/>
          <w:szCs w:val="24"/>
        </w:rPr>
        <w:t>Molenaar</w:t>
      </w:r>
      <w:proofErr w:type="spellEnd"/>
      <w:r w:rsidRPr="00201F71">
        <w:rPr>
          <w:sz w:val="24"/>
          <w:szCs w:val="24"/>
        </w:rPr>
        <w:t xml:space="preserve">, C. (2022) “Transforming existing business to succeed in a demand-driven economy,” </w:t>
      </w:r>
      <w:r w:rsidRPr="00201F71">
        <w:rPr>
          <w:i/>
          <w:iCs/>
          <w:sz w:val="24"/>
          <w:szCs w:val="24"/>
        </w:rPr>
        <w:t>Demand-Driven Business Strategy</w:t>
      </w:r>
      <w:r w:rsidRPr="00201F71">
        <w:rPr>
          <w:sz w:val="24"/>
          <w:szCs w:val="24"/>
        </w:rPr>
        <w:t xml:space="preserve">, pp. 60–70. Available at: https://doi.org/10.4324/9781003226161-6. </w:t>
      </w:r>
    </w:p>
    <w:p w14:paraId="3ADEEB90" w14:textId="77777777" w:rsidR="0058492E" w:rsidRPr="00201F71" w:rsidRDefault="00000000" w:rsidP="00201F71">
      <w:pPr>
        <w:adjustRightInd w:val="0"/>
        <w:snapToGrid w:val="0"/>
        <w:spacing w:line="276" w:lineRule="auto"/>
        <w:ind w:left="480" w:hangingChars="200" w:hanging="480"/>
        <w:rPr>
          <w:sz w:val="24"/>
          <w:szCs w:val="24"/>
        </w:rPr>
      </w:pPr>
      <w:proofErr w:type="spellStart"/>
      <w:r w:rsidRPr="00201F71">
        <w:rPr>
          <w:sz w:val="24"/>
          <w:szCs w:val="24"/>
        </w:rPr>
        <w:t>Nebbia</w:t>
      </w:r>
      <w:proofErr w:type="spellEnd"/>
      <w:r w:rsidRPr="00201F71">
        <w:rPr>
          <w:sz w:val="24"/>
          <w:szCs w:val="24"/>
        </w:rPr>
        <w:t xml:space="preserve">, P. (2020) “9. competition law and consumer protection against unfair commercial practices: A more- than- complementary </w:t>
      </w:r>
      <w:proofErr w:type="gramStart"/>
      <w:r w:rsidRPr="00201F71">
        <w:rPr>
          <w:sz w:val="24"/>
          <w:szCs w:val="24"/>
        </w:rPr>
        <w:t>relationship?,</w:t>
      </w:r>
      <w:proofErr w:type="gramEnd"/>
      <w:r w:rsidRPr="00201F71">
        <w:rPr>
          <w:sz w:val="24"/>
          <w:szCs w:val="24"/>
        </w:rPr>
        <w:t xml:space="preserve">” </w:t>
      </w:r>
      <w:r w:rsidRPr="00201F71">
        <w:rPr>
          <w:i/>
          <w:iCs/>
          <w:sz w:val="24"/>
          <w:szCs w:val="24"/>
        </w:rPr>
        <w:t>The Global Limits of Competition Law</w:t>
      </w:r>
      <w:r w:rsidRPr="00201F71">
        <w:rPr>
          <w:sz w:val="24"/>
          <w:szCs w:val="24"/>
        </w:rPr>
        <w:t xml:space="preserve">, pp. 127–138. Available at: https://doi.org/10.1515/9780804782678-012. </w:t>
      </w:r>
    </w:p>
    <w:p w14:paraId="14FFD5D9" w14:textId="77777777" w:rsidR="0058492E" w:rsidRPr="00201F71" w:rsidRDefault="00000000" w:rsidP="00201F71">
      <w:pPr>
        <w:adjustRightInd w:val="0"/>
        <w:snapToGrid w:val="0"/>
        <w:spacing w:line="276" w:lineRule="auto"/>
        <w:ind w:left="480" w:hangingChars="200" w:hanging="480"/>
        <w:rPr>
          <w:sz w:val="24"/>
          <w:szCs w:val="24"/>
        </w:rPr>
      </w:pPr>
      <w:proofErr w:type="spellStart"/>
      <w:r w:rsidRPr="00201F71">
        <w:rPr>
          <w:sz w:val="24"/>
          <w:szCs w:val="24"/>
        </w:rPr>
        <w:t>Soyoung</w:t>
      </w:r>
      <w:proofErr w:type="spellEnd"/>
      <w:r w:rsidRPr="00201F71">
        <w:rPr>
          <w:sz w:val="24"/>
          <w:szCs w:val="24"/>
        </w:rPr>
        <w:t xml:space="preserve"> Cho (2017) “A constitutional study of advertisement regulation - centering around commercial advertisement -,” </w:t>
      </w:r>
      <w:r w:rsidRPr="00201F71">
        <w:rPr>
          <w:i/>
          <w:iCs/>
          <w:sz w:val="24"/>
          <w:szCs w:val="24"/>
        </w:rPr>
        <w:t>Public Law Journal</w:t>
      </w:r>
      <w:r w:rsidRPr="00201F71">
        <w:rPr>
          <w:sz w:val="24"/>
          <w:szCs w:val="24"/>
        </w:rPr>
        <w:t xml:space="preserve">, 18(3), pp. 225–251. Available at: https://doi.org/10.31779/plj.18.3.201708.009. </w:t>
      </w:r>
    </w:p>
    <w:p w14:paraId="35BB93D7" w14:textId="77777777" w:rsidR="0058492E" w:rsidRPr="00201F71" w:rsidRDefault="00000000" w:rsidP="00201F71">
      <w:pPr>
        <w:adjustRightInd w:val="0"/>
        <w:snapToGrid w:val="0"/>
        <w:spacing w:line="276" w:lineRule="auto"/>
        <w:ind w:left="480" w:hangingChars="200" w:hanging="480"/>
        <w:rPr>
          <w:sz w:val="24"/>
          <w:szCs w:val="24"/>
        </w:rPr>
      </w:pPr>
      <w:r w:rsidRPr="00201F71">
        <w:rPr>
          <w:sz w:val="24"/>
          <w:szCs w:val="24"/>
        </w:rPr>
        <w:t xml:space="preserve">Bakken, C. (2011) “Analyzing data from the Park,” </w:t>
      </w:r>
      <w:r w:rsidRPr="00201F71">
        <w:rPr>
          <w:i/>
          <w:iCs/>
          <w:sz w:val="24"/>
          <w:szCs w:val="24"/>
        </w:rPr>
        <w:t>Amusement Park Physics</w:t>
      </w:r>
      <w:r w:rsidRPr="00201F71">
        <w:rPr>
          <w:sz w:val="24"/>
          <w:szCs w:val="24"/>
        </w:rPr>
        <w:t xml:space="preserve">, pp. 43–54. Available at: https://doi.org/10.1063/9780735420427_003. </w:t>
      </w:r>
    </w:p>
    <w:p w14:paraId="782366CF" w14:textId="77777777" w:rsidR="0058492E" w:rsidRPr="00201F71" w:rsidRDefault="00000000" w:rsidP="00201F71">
      <w:pPr>
        <w:adjustRightInd w:val="0"/>
        <w:snapToGrid w:val="0"/>
        <w:spacing w:line="276" w:lineRule="auto"/>
        <w:ind w:left="480" w:hangingChars="200" w:hanging="480"/>
        <w:rPr>
          <w:sz w:val="24"/>
          <w:szCs w:val="24"/>
        </w:rPr>
      </w:pPr>
      <w:r w:rsidRPr="00201F71">
        <w:rPr>
          <w:sz w:val="24"/>
          <w:szCs w:val="24"/>
        </w:rPr>
        <w:t xml:space="preserve">Bakken, C. (2011) “Taking a class to physics day,” </w:t>
      </w:r>
      <w:r w:rsidRPr="00201F71">
        <w:rPr>
          <w:i/>
          <w:iCs/>
          <w:sz w:val="24"/>
          <w:szCs w:val="24"/>
        </w:rPr>
        <w:t>Amusement Park Physics</w:t>
      </w:r>
      <w:r w:rsidRPr="00201F71">
        <w:rPr>
          <w:sz w:val="24"/>
          <w:szCs w:val="24"/>
        </w:rPr>
        <w:t xml:space="preserve">, pp. 55–97. Available at: https://doi.org/10.1063/9780735420427_004. </w:t>
      </w:r>
    </w:p>
    <w:p w14:paraId="012C0CE3" w14:textId="77777777" w:rsidR="0058492E" w:rsidRPr="00201F71" w:rsidRDefault="00000000" w:rsidP="00201F71">
      <w:pPr>
        <w:adjustRightInd w:val="0"/>
        <w:snapToGrid w:val="0"/>
        <w:spacing w:line="276" w:lineRule="auto"/>
        <w:ind w:left="480" w:hangingChars="200" w:hanging="480"/>
        <w:rPr>
          <w:sz w:val="24"/>
          <w:szCs w:val="24"/>
        </w:rPr>
      </w:pPr>
      <w:r w:rsidRPr="00201F71">
        <w:rPr>
          <w:sz w:val="24"/>
          <w:szCs w:val="24"/>
        </w:rPr>
        <w:t xml:space="preserve">Hsu, Y.W. et al. (2008) “Research on recognition of graphic symbols in Amusement Park: A case study of </w:t>
      </w:r>
      <w:proofErr w:type="spellStart"/>
      <w:r w:rsidRPr="00201F71">
        <w:rPr>
          <w:sz w:val="24"/>
          <w:szCs w:val="24"/>
        </w:rPr>
        <w:t>taiwan’s</w:t>
      </w:r>
      <w:proofErr w:type="spellEnd"/>
      <w:r w:rsidRPr="00201F71">
        <w:rPr>
          <w:sz w:val="24"/>
          <w:szCs w:val="24"/>
        </w:rPr>
        <w:t xml:space="preserve"> Theme Amusement Park,”</w:t>
      </w:r>
      <w:r w:rsidRPr="00201F71">
        <w:rPr>
          <w:i/>
          <w:iCs/>
          <w:sz w:val="24"/>
          <w:szCs w:val="24"/>
        </w:rPr>
        <w:t xml:space="preserve"> Asian Journal on Quality</w:t>
      </w:r>
      <w:r w:rsidRPr="00201F71">
        <w:rPr>
          <w:sz w:val="24"/>
          <w:szCs w:val="24"/>
        </w:rPr>
        <w:t xml:space="preserve">, 9(2), pp. 79–89. Available at: https://doi.org/10.1108/15982688200800018. </w:t>
      </w:r>
    </w:p>
    <w:p w14:paraId="11F71358" w14:textId="77777777" w:rsidR="0058492E" w:rsidRPr="00201F71" w:rsidRDefault="00000000" w:rsidP="00201F71">
      <w:pPr>
        <w:adjustRightInd w:val="0"/>
        <w:snapToGrid w:val="0"/>
        <w:spacing w:line="276" w:lineRule="auto"/>
        <w:ind w:left="480" w:hangingChars="200" w:hanging="480"/>
        <w:rPr>
          <w:sz w:val="24"/>
          <w:szCs w:val="24"/>
        </w:rPr>
      </w:pPr>
      <w:r w:rsidRPr="00201F71">
        <w:rPr>
          <w:sz w:val="24"/>
          <w:szCs w:val="24"/>
        </w:rPr>
        <w:t>Nathan, A. (2014) “</w:t>
      </w:r>
      <w:proofErr w:type="gramStart"/>
      <w:r w:rsidRPr="00201F71">
        <w:rPr>
          <w:sz w:val="24"/>
          <w:szCs w:val="24"/>
        </w:rPr>
        <w:t>Gwynn Oak Amusement park</w:t>
      </w:r>
      <w:proofErr w:type="gramEnd"/>
      <w:r w:rsidRPr="00201F71">
        <w:rPr>
          <w:sz w:val="24"/>
          <w:szCs w:val="24"/>
        </w:rPr>
        <w:t xml:space="preserve"> protest movement,” </w:t>
      </w:r>
      <w:r w:rsidRPr="00201F71">
        <w:rPr>
          <w:i/>
          <w:iCs/>
          <w:sz w:val="24"/>
          <w:szCs w:val="24"/>
        </w:rPr>
        <w:t>African American Studies Center</w:t>
      </w:r>
      <w:r w:rsidRPr="00201F71">
        <w:rPr>
          <w:sz w:val="24"/>
          <w:szCs w:val="24"/>
        </w:rPr>
        <w:t xml:space="preserve"> [Preprint]. Available at: https://doi.org/10.1093/acref/9780195301731.013.50380. </w:t>
      </w:r>
    </w:p>
    <w:p w14:paraId="4EADD742" w14:textId="77777777" w:rsidR="0058492E" w:rsidRPr="00201F71" w:rsidRDefault="00000000" w:rsidP="00201F71">
      <w:pPr>
        <w:adjustRightInd w:val="0"/>
        <w:snapToGrid w:val="0"/>
        <w:spacing w:line="276" w:lineRule="auto"/>
        <w:ind w:left="480" w:hangingChars="200" w:hanging="480"/>
        <w:rPr>
          <w:sz w:val="24"/>
          <w:szCs w:val="24"/>
        </w:rPr>
      </w:pPr>
      <w:r w:rsidRPr="00201F71">
        <w:rPr>
          <w:sz w:val="24"/>
          <w:szCs w:val="24"/>
        </w:rPr>
        <w:t xml:space="preserve">Wood, J. and </w:t>
      </w:r>
      <w:proofErr w:type="spellStart"/>
      <w:r w:rsidRPr="00201F71">
        <w:rPr>
          <w:sz w:val="24"/>
          <w:szCs w:val="24"/>
        </w:rPr>
        <w:t>Öz</w:t>
      </w:r>
      <w:proofErr w:type="spellEnd"/>
      <w:r w:rsidRPr="00201F71">
        <w:rPr>
          <w:sz w:val="24"/>
          <w:szCs w:val="24"/>
        </w:rPr>
        <w:t xml:space="preserve">, B.N. (2017) “The Turkish Amusement Park,” </w:t>
      </w:r>
      <w:r w:rsidRPr="00201F71">
        <w:rPr>
          <w:i/>
          <w:iCs/>
          <w:sz w:val="24"/>
          <w:szCs w:val="24"/>
        </w:rPr>
        <w:t>The Amusement Park</w:t>
      </w:r>
      <w:r w:rsidRPr="00201F71">
        <w:rPr>
          <w:sz w:val="24"/>
          <w:szCs w:val="24"/>
        </w:rPr>
        <w:t xml:space="preserve">, pp. 98–119. Available at: https://doi.org/10.4324/9781315612409-5. </w:t>
      </w:r>
    </w:p>
    <w:p w14:paraId="7E27DE78" w14:textId="77777777" w:rsidR="0058492E" w:rsidRPr="00201F71" w:rsidRDefault="00000000" w:rsidP="00201F71">
      <w:pPr>
        <w:adjustRightInd w:val="0"/>
        <w:snapToGrid w:val="0"/>
        <w:spacing w:line="276" w:lineRule="auto"/>
        <w:ind w:left="480" w:hangingChars="200" w:hanging="480"/>
        <w:rPr>
          <w:sz w:val="24"/>
          <w:szCs w:val="24"/>
        </w:rPr>
      </w:pPr>
      <w:r w:rsidRPr="00201F71">
        <w:rPr>
          <w:sz w:val="24"/>
          <w:szCs w:val="24"/>
        </w:rPr>
        <w:t xml:space="preserve">“Brochures, World Heritage Sites in China and responsible tourism: The Tourism Services Perspective” (2009) </w:t>
      </w:r>
      <w:r w:rsidRPr="00201F71">
        <w:rPr>
          <w:i/>
          <w:iCs/>
          <w:sz w:val="24"/>
          <w:szCs w:val="24"/>
        </w:rPr>
        <w:t>Tourism in China</w:t>
      </w:r>
      <w:r w:rsidRPr="00201F71">
        <w:rPr>
          <w:sz w:val="24"/>
          <w:szCs w:val="24"/>
        </w:rPr>
        <w:t xml:space="preserve">, pp. 231–242. Available at: https://doi.org/10.4324/9780203886366-23. </w:t>
      </w:r>
    </w:p>
    <w:p w14:paraId="5A8EA1DF" w14:textId="77777777" w:rsidR="0058492E" w:rsidRPr="00201F71" w:rsidRDefault="00000000" w:rsidP="00201F71">
      <w:pPr>
        <w:adjustRightInd w:val="0"/>
        <w:snapToGrid w:val="0"/>
        <w:spacing w:line="276" w:lineRule="auto"/>
        <w:ind w:left="480" w:hangingChars="200" w:hanging="480"/>
        <w:rPr>
          <w:sz w:val="24"/>
          <w:szCs w:val="24"/>
        </w:rPr>
      </w:pPr>
      <w:r w:rsidRPr="00201F71">
        <w:rPr>
          <w:sz w:val="24"/>
          <w:szCs w:val="24"/>
        </w:rPr>
        <w:t xml:space="preserve">Li, M., Liu, T. and </w:t>
      </w:r>
      <w:proofErr w:type="spellStart"/>
      <w:r w:rsidRPr="00201F71">
        <w:rPr>
          <w:sz w:val="24"/>
          <w:szCs w:val="24"/>
        </w:rPr>
        <w:t>Qiu</w:t>
      </w:r>
      <w:proofErr w:type="spellEnd"/>
      <w:r w:rsidRPr="00201F71">
        <w:rPr>
          <w:sz w:val="24"/>
          <w:szCs w:val="24"/>
        </w:rPr>
        <w:t xml:space="preserve">, S. (2019) “Governance of Sustainable Tourism Development in China,” </w:t>
      </w:r>
      <w:r w:rsidRPr="00201F71">
        <w:rPr>
          <w:i/>
          <w:iCs/>
          <w:sz w:val="24"/>
          <w:szCs w:val="24"/>
        </w:rPr>
        <w:t>Journal of China Tourism Research</w:t>
      </w:r>
      <w:r w:rsidRPr="00201F71">
        <w:rPr>
          <w:sz w:val="24"/>
          <w:szCs w:val="24"/>
        </w:rPr>
        <w:t xml:space="preserve">, 16(2), pp. 261–278. Available at: https://doi.org/10.1080/19388160.2019.1637317. </w:t>
      </w:r>
    </w:p>
    <w:p w14:paraId="2CE4C0A7" w14:textId="77777777" w:rsidR="0058492E" w:rsidRPr="00201F71" w:rsidRDefault="00000000" w:rsidP="00201F71">
      <w:pPr>
        <w:adjustRightInd w:val="0"/>
        <w:snapToGrid w:val="0"/>
        <w:spacing w:line="276" w:lineRule="auto"/>
        <w:ind w:left="480" w:hangingChars="200" w:hanging="480"/>
        <w:rPr>
          <w:sz w:val="24"/>
          <w:szCs w:val="24"/>
        </w:rPr>
      </w:pPr>
      <w:r w:rsidRPr="00201F71">
        <w:rPr>
          <w:sz w:val="24"/>
          <w:szCs w:val="24"/>
        </w:rPr>
        <w:t>Wu, T.-P. (2019) “Does tourism affect house prices? evidence from China,”</w:t>
      </w:r>
      <w:r w:rsidRPr="00201F71">
        <w:rPr>
          <w:i/>
          <w:iCs/>
          <w:sz w:val="24"/>
          <w:szCs w:val="24"/>
        </w:rPr>
        <w:t xml:space="preserve"> Journal of China Tourism Research</w:t>
      </w:r>
      <w:r w:rsidRPr="00201F71">
        <w:rPr>
          <w:sz w:val="24"/>
          <w:szCs w:val="24"/>
        </w:rPr>
        <w:t xml:space="preserve">, 15(4), pp. 490–502. Available at: https://doi.org/10.1080/19388160.2019.1582449. </w:t>
      </w:r>
    </w:p>
    <w:p w14:paraId="5EBF9BEF" w14:textId="77777777" w:rsidR="0058492E" w:rsidRPr="00201F71" w:rsidRDefault="00000000" w:rsidP="00201F71">
      <w:pPr>
        <w:adjustRightInd w:val="0"/>
        <w:snapToGrid w:val="0"/>
        <w:spacing w:line="276" w:lineRule="auto"/>
        <w:ind w:left="480" w:hangingChars="200" w:hanging="480"/>
        <w:rPr>
          <w:sz w:val="24"/>
          <w:szCs w:val="24"/>
        </w:rPr>
      </w:pPr>
      <w:r w:rsidRPr="00201F71">
        <w:rPr>
          <w:sz w:val="24"/>
          <w:szCs w:val="24"/>
        </w:rPr>
        <w:t xml:space="preserve">Yang, J. and Xu, H. (2022) “Tourism Higher Education Collaboration in China,” </w:t>
      </w:r>
      <w:r w:rsidRPr="00201F71">
        <w:rPr>
          <w:i/>
          <w:iCs/>
          <w:sz w:val="24"/>
          <w:szCs w:val="24"/>
        </w:rPr>
        <w:t>Journal of China Tourism Research</w:t>
      </w:r>
      <w:r w:rsidRPr="00201F71">
        <w:rPr>
          <w:sz w:val="24"/>
          <w:szCs w:val="24"/>
        </w:rPr>
        <w:t xml:space="preserve">, pp. 1–24. Available at: https://doi.org/10.1080/19388160.2022.2085833. </w:t>
      </w:r>
    </w:p>
    <w:p w14:paraId="77CE14C9" w14:textId="77777777" w:rsidR="0058492E" w:rsidRPr="00201F71" w:rsidRDefault="00000000" w:rsidP="00201F71">
      <w:pPr>
        <w:adjustRightInd w:val="0"/>
        <w:snapToGrid w:val="0"/>
        <w:spacing w:line="276" w:lineRule="auto"/>
        <w:ind w:left="480" w:hangingChars="200" w:hanging="480"/>
        <w:rPr>
          <w:sz w:val="24"/>
          <w:szCs w:val="24"/>
        </w:rPr>
      </w:pPr>
      <w:r w:rsidRPr="00201F71">
        <w:rPr>
          <w:sz w:val="24"/>
          <w:szCs w:val="24"/>
        </w:rPr>
        <w:t xml:space="preserve">Zhang, J. (2015) “Tourism research co-authorship networks in China,” </w:t>
      </w:r>
      <w:r w:rsidRPr="00201F71">
        <w:rPr>
          <w:i/>
          <w:iCs/>
          <w:sz w:val="24"/>
          <w:szCs w:val="24"/>
        </w:rPr>
        <w:t>Journal of China Tourism Research</w:t>
      </w:r>
      <w:r w:rsidRPr="00201F71">
        <w:rPr>
          <w:sz w:val="24"/>
          <w:szCs w:val="24"/>
        </w:rPr>
        <w:t xml:space="preserve">, 11(4), pp. 424–439. Available at: https://doi.org/10.1080/19388160.2015.1108889. </w:t>
      </w:r>
    </w:p>
    <w:sectPr w:rsidR="0058492E" w:rsidRPr="00201F71">
      <w:footerReference w:type="default" r:id="rId12"/>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D9A7A" w14:textId="77777777" w:rsidR="00475332" w:rsidRDefault="00475332">
      <w:r>
        <w:separator/>
      </w:r>
    </w:p>
  </w:endnote>
  <w:endnote w:type="continuationSeparator" w:id="0">
    <w:p w14:paraId="0E1D7379" w14:textId="77777777" w:rsidR="00475332" w:rsidRDefault="00475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Regular">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8272770"/>
      <w:docPartObj>
        <w:docPartGallery w:val="Page Numbers (Bottom of Page)"/>
        <w:docPartUnique/>
      </w:docPartObj>
    </w:sdtPr>
    <w:sdtContent>
      <w:p w14:paraId="126340D8" w14:textId="1F8E963F" w:rsidR="00AE2E7F" w:rsidRDefault="00AE2E7F">
        <w:pPr>
          <w:pStyle w:val="a5"/>
          <w:jc w:val="center"/>
        </w:pPr>
        <w:r>
          <w:fldChar w:fldCharType="begin"/>
        </w:r>
        <w:r>
          <w:instrText>PAGE   \* MERGEFORMAT</w:instrText>
        </w:r>
        <w:r>
          <w:fldChar w:fldCharType="separate"/>
        </w:r>
        <w:r>
          <w:rPr>
            <w:lang w:val="zh-CN"/>
          </w:rPr>
          <w:t>2</w:t>
        </w:r>
        <w:r>
          <w:fldChar w:fldCharType="end"/>
        </w:r>
      </w:p>
    </w:sdtContent>
  </w:sdt>
  <w:p w14:paraId="5B54C1A4" w14:textId="17B2871F" w:rsidR="0058492E" w:rsidRDefault="0058492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ADE8E" w14:textId="77777777" w:rsidR="00475332" w:rsidRDefault="00475332">
      <w:r>
        <w:separator/>
      </w:r>
    </w:p>
  </w:footnote>
  <w:footnote w:type="continuationSeparator" w:id="0">
    <w:p w14:paraId="452D5BB2" w14:textId="77777777" w:rsidR="00475332" w:rsidRDefault="004753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B1A7B" w14:textId="77777777" w:rsidR="00975ACB" w:rsidRDefault="00975ACB" w:rsidP="00975ACB">
    <w:pPr>
      <w:pStyle w:val="a7"/>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4F5A7" w14:textId="77777777" w:rsidR="00975ACB" w:rsidRDefault="00975ACB" w:rsidP="00975ACB">
    <w:pPr>
      <w:pStyle w:val="a7"/>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DC4644E"/>
    <w:lvl w:ilvl="0">
      <w:start w:val="1"/>
      <w:numFmt w:val="decimal"/>
      <w:lvlText w:val="%1."/>
      <w:lvlJc w:val="left"/>
      <w:pPr>
        <w:tabs>
          <w:tab w:val="num" w:pos="2040"/>
        </w:tabs>
        <w:ind w:leftChars="800" w:left="2040" w:hangingChars="200" w:hanging="360"/>
      </w:pPr>
    </w:lvl>
  </w:abstractNum>
  <w:abstractNum w:abstractNumId="1" w15:restartNumberingAfterBreak="0">
    <w:nsid w:val="FFFFFF7D"/>
    <w:multiLevelType w:val="singleLevel"/>
    <w:tmpl w:val="7B225A42"/>
    <w:lvl w:ilvl="0">
      <w:start w:val="1"/>
      <w:numFmt w:val="decimal"/>
      <w:lvlText w:val="%1."/>
      <w:lvlJc w:val="left"/>
      <w:pPr>
        <w:tabs>
          <w:tab w:val="num" w:pos="1620"/>
        </w:tabs>
        <w:ind w:leftChars="600" w:left="1620" w:hangingChars="200" w:hanging="360"/>
      </w:pPr>
    </w:lvl>
  </w:abstractNum>
  <w:abstractNum w:abstractNumId="2" w15:restartNumberingAfterBreak="0">
    <w:nsid w:val="FFFFFF7E"/>
    <w:multiLevelType w:val="singleLevel"/>
    <w:tmpl w:val="1AB84910"/>
    <w:lvl w:ilvl="0">
      <w:start w:val="1"/>
      <w:numFmt w:val="decimal"/>
      <w:lvlText w:val="%1."/>
      <w:lvlJc w:val="left"/>
      <w:pPr>
        <w:tabs>
          <w:tab w:val="num" w:pos="1200"/>
        </w:tabs>
        <w:ind w:leftChars="400" w:left="1200" w:hangingChars="200" w:hanging="360"/>
      </w:pPr>
    </w:lvl>
  </w:abstractNum>
  <w:abstractNum w:abstractNumId="3" w15:restartNumberingAfterBreak="0">
    <w:nsid w:val="FFFFFF7F"/>
    <w:multiLevelType w:val="singleLevel"/>
    <w:tmpl w:val="091A6CFA"/>
    <w:lvl w:ilvl="0">
      <w:start w:val="1"/>
      <w:numFmt w:val="decimal"/>
      <w:lvlText w:val="%1."/>
      <w:lvlJc w:val="left"/>
      <w:pPr>
        <w:tabs>
          <w:tab w:val="num" w:pos="780"/>
        </w:tabs>
        <w:ind w:leftChars="200" w:left="780" w:hangingChars="200" w:hanging="360"/>
      </w:pPr>
    </w:lvl>
  </w:abstractNum>
  <w:abstractNum w:abstractNumId="4" w15:restartNumberingAfterBreak="0">
    <w:nsid w:val="FFFFFF80"/>
    <w:multiLevelType w:val="singleLevel"/>
    <w:tmpl w:val="B0147A34"/>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5" w15:restartNumberingAfterBreak="0">
    <w:nsid w:val="FFFFFF81"/>
    <w:multiLevelType w:val="singleLevel"/>
    <w:tmpl w:val="01B83084"/>
    <w:lvl w:ilvl="0">
      <w:start w:val="1"/>
      <w:numFmt w:val="bullet"/>
      <w:lvlText w:val=""/>
      <w:lvlJc w:val="left"/>
      <w:pPr>
        <w:tabs>
          <w:tab w:val="num" w:pos="1620"/>
        </w:tabs>
        <w:ind w:leftChars="600" w:left="1620" w:hangingChars="200" w:hanging="360"/>
      </w:pPr>
      <w:rPr>
        <w:rFonts w:ascii="Wingdings" w:hAnsi="Wingdings" w:hint="default"/>
      </w:rPr>
    </w:lvl>
  </w:abstractNum>
  <w:abstractNum w:abstractNumId="6" w15:restartNumberingAfterBreak="0">
    <w:nsid w:val="FFFFFF82"/>
    <w:multiLevelType w:val="singleLevel"/>
    <w:tmpl w:val="D774F71E"/>
    <w:lvl w:ilvl="0">
      <w:start w:val="1"/>
      <w:numFmt w:val="bullet"/>
      <w:lvlText w:val=""/>
      <w:lvlJc w:val="left"/>
      <w:pPr>
        <w:tabs>
          <w:tab w:val="num" w:pos="1200"/>
        </w:tabs>
        <w:ind w:leftChars="400" w:left="1200" w:hangingChars="200" w:hanging="360"/>
      </w:pPr>
      <w:rPr>
        <w:rFonts w:ascii="Wingdings" w:hAnsi="Wingdings" w:hint="default"/>
      </w:rPr>
    </w:lvl>
  </w:abstractNum>
  <w:abstractNum w:abstractNumId="7" w15:restartNumberingAfterBreak="0">
    <w:nsid w:val="FFFFFF83"/>
    <w:multiLevelType w:val="singleLevel"/>
    <w:tmpl w:val="1FB4C55C"/>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8" w15:restartNumberingAfterBreak="0">
    <w:nsid w:val="FFFFFF88"/>
    <w:multiLevelType w:val="singleLevel"/>
    <w:tmpl w:val="A1780CA2"/>
    <w:lvl w:ilvl="0">
      <w:start w:val="1"/>
      <w:numFmt w:val="decimal"/>
      <w:lvlText w:val="%1."/>
      <w:lvlJc w:val="left"/>
      <w:pPr>
        <w:tabs>
          <w:tab w:val="num" w:pos="360"/>
        </w:tabs>
        <w:ind w:left="360" w:hangingChars="200" w:hanging="360"/>
      </w:pPr>
    </w:lvl>
  </w:abstractNum>
  <w:abstractNum w:abstractNumId="9" w15:restartNumberingAfterBreak="0">
    <w:nsid w:val="FFFFFF89"/>
    <w:multiLevelType w:val="singleLevel"/>
    <w:tmpl w:val="79AC2E00"/>
    <w:lvl w:ilvl="0">
      <w:start w:val="1"/>
      <w:numFmt w:val="bullet"/>
      <w:lvlText w:val=""/>
      <w:lvlJc w:val="left"/>
      <w:pPr>
        <w:tabs>
          <w:tab w:val="num" w:pos="360"/>
        </w:tabs>
        <w:ind w:left="360" w:hangingChars="200" w:hanging="360"/>
      </w:pPr>
      <w:rPr>
        <w:rFonts w:ascii="Wingdings" w:hAnsi="Wingdings" w:hint="default"/>
      </w:rPr>
    </w:lvl>
  </w:abstractNum>
  <w:num w:numId="1" w16cid:durableId="1896158109">
    <w:abstractNumId w:val="8"/>
  </w:num>
  <w:num w:numId="2" w16cid:durableId="404113184">
    <w:abstractNumId w:val="3"/>
  </w:num>
  <w:num w:numId="3" w16cid:durableId="1662006789">
    <w:abstractNumId w:val="2"/>
  </w:num>
  <w:num w:numId="4" w16cid:durableId="1428427565">
    <w:abstractNumId w:val="1"/>
  </w:num>
  <w:num w:numId="5" w16cid:durableId="864442475">
    <w:abstractNumId w:val="0"/>
  </w:num>
  <w:num w:numId="6" w16cid:durableId="467209946">
    <w:abstractNumId w:val="9"/>
  </w:num>
  <w:num w:numId="7" w16cid:durableId="183590378">
    <w:abstractNumId w:val="7"/>
  </w:num>
  <w:num w:numId="8" w16cid:durableId="1992323482">
    <w:abstractNumId w:val="6"/>
  </w:num>
  <w:num w:numId="9" w16cid:durableId="831599404">
    <w:abstractNumId w:val="5"/>
  </w:num>
  <w:num w:numId="10" w16cid:durableId="13931188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FFBEFB4"/>
    <w:rsid w:val="ABF79511"/>
    <w:rsid w:val="C7778620"/>
    <w:rsid w:val="DBBDCC53"/>
    <w:rsid w:val="E90B393C"/>
    <w:rsid w:val="FFB73C39"/>
    <w:rsid w:val="00097F43"/>
    <w:rsid w:val="00201F71"/>
    <w:rsid w:val="003F2B1B"/>
    <w:rsid w:val="00475332"/>
    <w:rsid w:val="0058492E"/>
    <w:rsid w:val="006651B7"/>
    <w:rsid w:val="00975ACB"/>
    <w:rsid w:val="00AE2E7F"/>
    <w:rsid w:val="00EE75EE"/>
    <w:rsid w:val="00F13A66"/>
    <w:rsid w:val="1F7F6BB8"/>
    <w:rsid w:val="1FFFAD95"/>
    <w:rsid w:val="35F17908"/>
    <w:rsid w:val="3EF3E95E"/>
    <w:rsid w:val="3FBAAA27"/>
    <w:rsid w:val="3FFBEFB4"/>
    <w:rsid w:val="457FA5E7"/>
    <w:rsid w:val="6687DECD"/>
    <w:rsid w:val="6EBF49F1"/>
    <w:rsid w:val="7F3980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2ADCD8"/>
  <w15:docId w15:val="{3E024AED-ADB1-44FA-952C-1F7FA1937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semiHidden="1" w:uiPriority="99" w:unhideWhenUsed="1" w:qFormat="1"/>
    <w:lsdException w:name="footer" w:semiHidden="1" w:uiPriority="99" w:unhideWhenUsed="1" w:qFormat="1"/>
    <w:lsdException w:name="caption" w:semiHidden="1" w:unhideWhenUsed="1" w:qFormat="1"/>
    <w:lsdException w:name="Title" w:qFormat="1"/>
    <w:lsdException w:name="Default Paragraph Font" w:semiHidden="1" w:qFormat="1"/>
    <w:lsdException w:name="Body Text" w:uiPriority="99" w:unhideWhenUsed="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rsid w:val="00097F43"/>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unhideWhenUsed/>
    <w:qFormat/>
    <w:pPr>
      <w:spacing w:after="120"/>
    </w:pPr>
  </w:style>
  <w:style w:type="paragraph" w:styleId="a5">
    <w:name w:val="footer"/>
    <w:basedOn w:val="a"/>
    <w:link w:val="a6"/>
    <w:uiPriority w:val="99"/>
    <w:unhideWhenUsed/>
    <w:qFormat/>
    <w:pPr>
      <w:tabs>
        <w:tab w:val="center" w:pos="4153"/>
        <w:tab w:val="right" w:pos="8306"/>
      </w:tabs>
      <w:snapToGrid w:val="0"/>
    </w:pPr>
    <w:rPr>
      <w:sz w:val="18"/>
    </w:rPr>
  </w:style>
  <w:style w:type="paragraph" w:styleId="a7">
    <w:name w:val="header"/>
    <w:basedOn w:val="a"/>
    <w:link w:val="a8"/>
    <w:uiPriority w:val="99"/>
    <w:unhideWhenUsed/>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a9">
    <w:name w:val="Normal (Web)"/>
    <w:basedOn w:val="a"/>
    <w:qFormat/>
    <w:pPr>
      <w:spacing w:beforeAutospacing="1" w:afterAutospacing="1"/>
    </w:pPr>
    <w:rPr>
      <w:sz w:val="24"/>
    </w:rPr>
  </w:style>
  <w:style w:type="paragraph" w:customStyle="1" w:styleId="WPSOffice1">
    <w:name w:val="WPSOffice手动目录 1"/>
  </w:style>
  <w:style w:type="paragraph" w:styleId="TOC1">
    <w:name w:val="toc 1"/>
    <w:basedOn w:val="a"/>
    <w:next w:val="a"/>
    <w:autoRedefine/>
    <w:uiPriority w:val="39"/>
    <w:rsid w:val="00975ACB"/>
  </w:style>
  <w:style w:type="character" w:styleId="aa">
    <w:name w:val="Hyperlink"/>
    <w:basedOn w:val="a1"/>
    <w:uiPriority w:val="99"/>
    <w:unhideWhenUsed/>
    <w:rsid w:val="00975ACB"/>
    <w:rPr>
      <w:color w:val="0563C1" w:themeColor="hyperlink"/>
      <w:u w:val="single"/>
    </w:rPr>
  </w:style>
  <w:style w:type="character" w:styleId="ab">
    <w:name w:val="line number"/>
    <w:basedOn w:val="a1"/>
    <w:rsid w:val="00975ACB"/>
  </w:style>
  <w:style w:type="character" w:customStyle="1" w:styleId="a6">
    <w:name w:val="页脚 字符"/>
    <w:basedOn w:val="a1"/>
    <w:link w:val="a5"/>
    <w:uiPriority w:val="99"/>
    <w:rsid w:val="00AE2E7F"/>
    <w:rPr>
      <w:sz w:val="18"/>
    </w:rPr>
  </w:style>
  <w:style w:type="character" w:customStyle="1" w:styleId="a8">
    <w:name w:val="页眉 字符"/>
    <w:basedOn w:val="a1"/>
    <w:link w:val="a7"/>
    <w:uiPriority w:val="99"/>
    <w:rsid w:val="00AE2E7F"/>
    <w:rPr>
      <w:sz w:val="18"/>
    </w:rPr>
  </w:style>
  <w:style w:type="character" w:customStyle="1" w:styleId="a4">
    <w:name w:val="正文文本 字符"/>
    <w:basedOn w:val="a1"/>
    <w:link w:val="a0"/>
    <w:uiPriority w:val="99"/>
    <w:rsid w:val="00097F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9925060-232D-4B98-BFE5-55821085E96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5701</Words>
  <Characters>32501</Characters>
  <Application>Microsoft Office Word</Application>
  <DocSecurity>0</DocSecurity>
  <Lines>270</Lines>
  <Paragraphs>76</Paragraphs>
  <ScaleCrop>false</ScaleCrop>
  <Company/>
  <LinksUpToDate>false</LinksUpToDate>
  <CharactersWithSpaces>38126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Chuck</dc:creator>
  <cp:lastModifiedBy>Wenlong Wang (2218783)</cp:lastModifiedBy>
  <cp:revision>5</cp:revision>
  <dcterms:created xsi:type="dcterms:W3CDTF">2022-12-15T16:10:00Z</dcterms:created>
  <dcterms:modified xsi:type="dcterms:W3CDTF">2022-12-15T16:51:00Z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2052-4.4.1.7360</vt:lpwstr>
  </property>
  <property fmtid="{D5CDD505-2E9C-101B-9397-08002B2CF9AE}" pid="3" name="ICV">
    <vt:lpwstr>7D88A64332FF713060B094632B3B81D2</vt:lpwstr>
  </property>
</Properties>
</file>