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41AE0" w14:textId="77777777" w:rsidR="00722ABC" w:rsidRPr="00425F60" w:rsidRDefault="00722ABC" w:rsidP="00425F60">
      <w:pPr>
        <w:spacing w:line="360" w:lineRule="auto"/>
        <w:rPr>
          <w:rFonts w:ascii="Arial" w:hAnsi="Arial" w:cs="Arial"/>
          <w:sz w:val="28"/>
          <w:szCs w:val="28"/>
        </w:rPr>
      </w:pPr>
    </w:p>
    <w:p w14:paraId="6CE2A877" w14:textId="68DD0048"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r>
        <w:rPr>
          <w:noProof/>
        </w:rPr>
        <w:drawing>
          <wp:inline distT="0" distB="0" distL="0" distR="0" wp14:anchorId="0160BD8D" wp14:editId="46A50A83">
            <wp:extent cx="3260723" cy="1238250"/>
            <wp:effectExtent l="0" t="0" r="0" b="0"/>
            <wp:docPr id="3074" name="Picture 2" descr="University of wales Logos">
              <a:extLst xmlns:a="http://schemas.openxmlformats.org/drawingml/2006/main">
                <a:ext uri="{FF2B5EF4-FFF2-40B4-BE49-F238E27FC236}">
                  <a16:creationId xmlns:a16="http://schemas.microsoft.com/office/drawing/2014/main" id="{EB2DB8C7-FBDE-53E9-BABD-14CE3F53CB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University of wales Logos">
                      <a:extLst>
                        <a:ext uri="{FF2B5EF4-FFF2-40B4-BE49-F238E27FC236}">
                          <a16:creationId xmlns:a16="http://schemas.microsoft.com/office/drawing/2014/main" id="{EB2DB8C7-FBDE-53E9-BABD-14CE3F53CB2E}"/>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7003" cy="1244432"/>
                    </a:xfrm>
                    <a:prstGeom prst="rect">
                      <a:avLst/>
                    </a:prstGeom>
                    <a:noFill/>
                  </pic:spPr>
                </pic:pic>
              </a:graphicData>
            </a:graphic>
          </wp:inline>
        </w:drawing>
      </w:r>
    </w:p>
    <w:p w14:paraId="21314122" w14:textId="77777777" w:rsidR="00952A37" w:rsidRDefault="00952A37" w:rsidP="00425F60">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03CCB7E5" w14:textId="0E80E567" w:rsidR="00952A37" w:rsidRPr="001E1046" w:rsidRDefault="00952A37" w:rsidP="001E1046">
      <w:pPr>
        <w:spacing w:before="100" w:beforeAutospacing="1" w:after="100" w:afterAutospacing="1" w:line="360" w:lineRule="auto"/>
        <w:jc w:val="center"/>
        <w:outlineLvl w:val="1"/>
        <w:rPr>
          <w:rFonts w:ascii="Arial" w:eastAsia="Arial" w:hAnsi="Arial" w:cs="Arial"/>
          <w:b/>
          <w:bCs/>
          <w:color w:val="000000" w:themeColor="text1"/>
          <w:spacing w:val="-2"/>
          <w:kern w:val="24"/>
          <w:sz w:val="40"/>
          <w:szCs w:val="40"/>
          <w:lang w:val="en-US"/>
        </w:rPr>
      </w:pPr>
      <w:r w:rsidRPr="001E1046">
        <w:rPr>
          <w:rFonts w:ascii="Arial" w:eastAsiaTheme="majorEastAsia" w:hAnsi="Arial" w:cs="Arial"/>
          <w:b/>
          <w:bCs/>
          <w:color w:val="000000" w:themeColor="text1"/>
          <w:kern w:val="24"/>
          <w:sz w:val="40"/>
          <w:szCs w:val="40"/>
        </w:rPr>
        <w:t>Psychology in Health and Social Care</w:t>
      </w:r>
      <w:r w:rsidRPr="001E1046">
        <w:rPr>
          <w:rFonts w:ascii="Arial" w:eastAsiaTheme="majorEastAsia" w:hAnsi="Arial" w:cs="Arial"/>
          <w:b/>
          <w:bCs/>
          <w:color w:val="000000" w:themeColor="text1"/>
          <w:kern w:val="24"/>
          <w:sz w:val="40"/>
          <w:szCs w:val="40"/>
        </w:rPr>
        <w:br/>
      </w:r>
      <w:r w:rsidRPr="001E1046">
        <w:rPr>
          <w:rFonts w:ascii="Arial" w:eastAsia="Arial" w:hAnsi="Arial" w:cs="Arial"/>
          <w:b/>
          <w:bCs/>
          <w:color w:val="000000" w:themeColor="text1"/>
          <w:spacing w:val="-2"/>
          <w:kern w:val="24"/>
          <w:sz w:val="40"/>
          <w:szCs w:val="40"/>
          <w:lang w:val="en-US"/>
        </w:rPr>
        <w:t>LCHS4010</w:t>
      </w:r>
      <w:r w:rsidRPr="001E1046">
        <w:rPr>
          <w:rFonts w:ascii="Arial" w:eastAsia="Arial" w:hAnsi="Arial" w:cs="Arial"/>
          <w:b/>
          <w:bCs/>
          <w:color w:val="000000" w:themeColor="text1"/>
          <w:spacing w:val="-2"/>
          <w:kern w:val="24"/>
          <w:sz w:val="40"/>
          <w:szCs w:val="40"/>
          <w:lang w:val="en-US"/>
        </w:rPr>
        <w:br/>
      </w:r>
      <w:r w:rsidRPr="001E1046">
        <w:rPr>
          <w:rFonts w:ascii="Arial" w:eastAsia="Arial" w:hAnsi="Arial" w:cs="Arial"/>
          <w:b/>
          <w:bCs/>
          <w:color w:val="000000" w:themeColor="text1"/>
          <w:spacing w:val="-2"/>
          <w:kern w:val="24"/>
          <w:sz w:val="40"/>
          <w:szCs w:val="40"/>
          <w:lang w:val="en-US"/>
        </w:rPr>
        <w:br/>
        <w:t>Component 2: Written task – report</w:t>
      </w:r>
    </w:p>
    <w:p w14:paraId="236084F4" w14:textId="77777777" w:rsidR="00952A37" w:rsidRPr="001E1046" w:rsidRDefault="00952A37" w:rsidP="001E1046">
      <w:pPr>
        <w:pStyle w:val="NormalWeb"/>
        <w:spacing w:before="200" w:beforeAutospacing="0" w:after="0" w:afterAutospacing="0" w:line="360" w:lineRule="auto"/>
        <w:rPr>
          <w:rFonts w:ascii="Arial" w:eastAsiaTheme="minorEastAsia" w:hAnsi="Arial" w:cs="Arial"/>
          <w:b/>
          <w:bCs/>
          <w:color w:val="000000" w:themeColor="text1"/>
          <w:kern w:val="24"/>
          <w:sz w:val="32"/>
          <w:szCs w:val="32"/>
        </w:rPr>
      </w:pPr>
    </w:p>
    <w:p w14:paraId="52CE8B9A" w14:textId="77777777" w:rsidR="00952A37" w:rsidRPr="001E1046" w:rsidRDefault="00952A37" w:rsidP="001E1046">
      <w:pPr>
        <w:pStyle w:val="NormalWeb"/>
        <w:spacing w:before="200" w:beforeAutospacing="0" w:after="0" w:afterAutospacing="0" w:line="360" w:lineRule="auto"/>
        <w:rPr>
          <w:rFonts w:ascii="Arial" w:eastAsiaTheme="minorEastAsia" w:hAnsi="Arial" w:cs="Arial"/>
          <w:b/>
          <w:bCs/>
          <w:color w:val="000000" w:themeColor="text1"/>
          <w:kern w:val="24"/>
          <w:sz w:val="32"/>
          <w:szCs w:val="32"/>
        </w:rPr>
      </w:pPr>
    </w:p>
    <w:p w14:paraId="01C2F19C" w14:textId="77777777" w:rsidR="00952A37" w:rsidRPr="001E1046" w:rsidRDefault="00952A37" w:rsidP="001E1046">
      <w:pPr>
        <w:pStyle w:val="NormalWeb"/>
        <w:spacing w:before="200" w:beforeAutospacing="0" w:after="0" w:afterAutospacing="0" w:line="360" w:lineRule="auto"/>
        <w:rPr>
          <w:rFonts w:ascii="Arial" w:eastAsiaTheme="minorEastAsia" w:hAnsi="Arial" w:cs="Arial"/>
          <w:b/>
          <w:bCs/>
          <w:color w:val="000000" w:themeColor="text1"/>
          <w:kern w:val="24"/>
          <w:sz w:val="32"/>
          <w:szCs w:val="32"/>
        </w:rPr>
      </w:pPr>
    </w:p>
    <w:p w14:paraId="10B524CA" w14:textId="4486964E" w:rsidR="00952A37" w:rsidRPr="005D73C5" w:rsidRDefault="00952A37" w:rsidP="001E1046">
      <w:pPr>
        <w:pStyle w:val="NormalWeb"/>
        <w:spacing w:before="200" w:beforeAutospacing="0" w:after="0" w:afterAutospacing="0" w:line="360" w:lineRule="auto"/>
        <w:rPr>
          <w:rFonts w:ascii="Arial" w:hAnsi="Arial" w:cs="Arial"/>
          <w:b/>
          <w:bCs/>
          <w:sz w:val="22"/>
          <w:szCs w:val="22"/>
        </w:rPr>
      </w:pPr>
      <w:r w:rsidRPr="005D73C5">
        <w:rPr>
          <w:rFonts w:ascii="Arial" w:eastAsiaTheme="minorEastAsia" w:hAnsi="Arial" w:cs="Arial"/>
          <w:b/>
          <w:bCs/>
          <w:color w:val="000000" w:themeColor="text1"/>
          <w:kern w:val="24"/>
          <w:sz w:val="22"/>
          <w:szCs w:val="22"/>
        </w:rPr>
        <w:t xml:space="preserve">Student name: </w:t>
      </w:r>
      <w:r w:rsidR="008E6DFD" w:rsidRPr="005D73C5">
        <w:rPr>
          <w:rFonts w:ascii="Arial" w:eastAsiaTheme="minorEastAsia" w:hAnsi="Arial" w:cs="Arial"/>
          <w:b/>
          <w:bCs/>
          <w:color w:val="000000" w:themeColor="text1"/>
          <w:kern w:val="24"/>
          <w:sz w:val="22"/>
          <w:szCs w:val="22"/>
        </w:rPr>
        <w:t>Lisbeth Anahi Munoz Marin</w:t>
      </w:r>
    </w:p>
    <w:p w14:paraId="1051267D" w14:textId="6959A0DB" w:rsidR="00952A37" w:rsidRPr="005D73C5" w:rsidRDefault="00952A37" w:rsidP="001E1046">
      <w:pPr>
        <w:pStyle w:val="NormalWeb"/>
        <w:spacing w:before="200" w:beforeAutospacing="0" w:after="0" w:afterAutospacing="0" w:line="360" w:lineRule="auto"/>
        <w:rPr>
          <w:rFonts w:ascii="Arial" w:hAnsi="Arial" w:cs="Arial"/>
          <w:b/>
          <w:bCs/>
          <w:sz w:val="22"/>
          <w:szCs w:val="22"/>
        </w:rPr>
      </w:pPr>
      <w:r w:rsidRPr="005D73C5">
        <w:rPr>
          <w:rFonts w:ascii="Arial" w:eastAsiaTheme="minorEastAsia" w:hAnsi="Arial" w:cs="Arial"/>
          <w:b/>
          <w:bCs/>
          <w:color w:val="000000" w:themeColor="text1"/>
          <w:kern w:val="24"/>
          <w:sz w:val="22"/>
          <w:szCs w:val="22"/>
        </w:rPr>
        <w:t>Student ID:</w:t>
      </w:r>
      <w:r w:rsidR="008E6DFD" w:rsidRPr="005D73C5">
        <w:rPr>
          <w:rFonts w:ascii="Arial" w:eastAsiaTheme="minorEastAsia" w:hAnsi="Arial" w:cs="Arial"/>
          <w:b/>
          <w:bCs/>
          <w:color w:val="000000" w:themeColor="text1"/>
          <w:kern w:val="24"/>
          <w:sz w:val="22"/>
          <w:szCs w:val="22"/>
        </w:rPr>
        <w:t xml:space="preserve"> 2425286</w:t>
      </w:r>
    </w:p>
    <w:p w14:paraId="014CE2D3" w14:textId="6B14BAB7" w:rsidR="009C2310" w:rsidRDefault="00952A37" w:rsidP="00AA2535">
      <w:pPr>
        <w:pStyle w:val="NormalWeb"/>
        <w:spacing w:before="200" w:beforeAutospacing="0" w:after="0" w:afterAutospacing="0" w:line="360" w:lineRule="auto"/>
        <w:rPr>
          <w:rFonts w:ascii="Arial" w:eastAsiaTheme="minorEastAsia" w:hAnsi="Arial" w:cs="Arial"/>
          <w:b/>
          <w:bCs/>
          <w:color w:val="000000" w:themeColor="text1"/>
          <w:kern w:val="24"/>
          <w:sz w:val="22"/>
          <w:szCs w:val="22"/>
        </w:rPr>
      </w:pPr>
      <w:r w:rsidRPr="005D73C5">
        <w:rPr>
          <w:rFonts w:ascii="Arial" w:eastAsiaTheme="minorEastAsia" w:hAnsi="Arial" w:cs="Arial"/>
          <w:b/>
          <w:bCs/>
          <w:color w:val="000000" w:themeColor="text1"/>
          <w:kern w:val="24"/>
          <w:sz w:val="22"/>
          <w:szCs w:val="22"/>
        </w:rPr>
        <w:t xml:space="preserve">Lecturer: </w:t>
      </w:r>
      <w:r w:rsidRPr="005D73C5">
        <w:rPr>
          <w:rFonts w:ascii="Arial" w:eastAsiaTheme="minorEastAsia" w:hAnsi="Arial" w:cs="Arial"/>
          <w:color w:val="000000" w:themeColor="text1"/>
          <w:kern w:val="24"/>
          <w:sz w:val="22"/>
          <w:szCs w:val="22"/>
        </w:rPr>
        <w:t>Bianca Sanfilippo</w:t>
      </w:r>
      <w:r w:rsidRPr="005D73C5">
        <w:rPr>
          <w:rFonts w:ascii="Arial" w:eastAsiaTheme="minorEastAsia" w:hAnsi="Arial" w:cs="Arial"/>
          <w:b/>
          <w:bCs/>
          <w:color w:val="000000" w:themeColor="text1"/>
          <w:kern w:val="24"/>
          <w:sz w:val="22"/>
          <w:szCs w:val="22"/>
        </w:rPr>
        <w:t xml:space="preserve"> </w:t>
      </w:r>
    </w:p>
    <w:p w14:paraId="4672C886" w14:textId="77777777" w:rsidR="00AA2535" w:rsidRPr="009C2310" w:rsidRDefault="00AA2535" w:rsidP="00AA2535">
      <w:pPr>
        <w:pStyle w:val="NormalWeb"/>
        <w:spacing w:before="200" w:beforeAutospacing="0" w:after="0" w:afterAutospacing="0" w:line="360" w:lineRule="auto"/>
        <w:rPr>
          <w:rFonts w:ascii="Arial" w:eastAsiaTheme="minorEastAsia" w:hAnsi="Arial" w:cs="Arial"/>
          <w:b/>
          <w:bCs/>
          <w:color w:val="000000" w:themeColor="text1"/>
          <w:kern w:val="24"/>
          <w:sz w:val="22"/>
          <w:szCs w:val="22"/>
        </w:rPr>
      </w:pPr>
    </w:p>
    <w:p w14:paraId="32365E2D" w14:textId="77777777" w:rsidR="009C2310" w:rsidRPr="007907CD" w:rsidRDefault="009C2310" w:rsidP="00AA2535">
      <w:pPr>
        <w:spacing w:line="360" w:lineRule="auto"/>
        <w:rPr>
          <w:color w:val="000000" w:themeColor="text1"/>
        </w:rPr>
      </w:pPr>
      <w:r w:rsidRPr="007907CD">
        <w:rPr>
          <w:b/>
          <w:bCs/>
          <w:color w:val="000000" w:themeColor="text1"/>
          <w:u w:val="single"/>
        </w:rPr>
        <w:t>Acknowledgement of AI use:</w:t>
      </w:r>
      <w:r w:rsidRPr="007907CD">
        <w:rPr>
          <w:color w:val="000000" w:themeColor="text1"/>
        </w:rPr>
        <w:t xml:space="preserve"> I confirm that I have not used AI to complete my work. </w:t>
      </w:r>
    </w:p>
    <w:p w14:paraId="6AC7A3BC" w14:textId="77777777" w:rsidR="009C2310" w:rsidRPr="007907CD" w:rsidRDefault="009C2310" w:rsidP="00AA2535">
      <w:pPr>
        <w:spacing w:line="360" w:lineRule="auto"/>
        <w:rPr>
          <w:color w:val="000000" w:themeColor="text1"/>
        </w:rPr>
      </w:pPr>
    </w:p>
    <w:p w14:paraId="0274DA12" w14:textId="77777777" w:rsidR="00952A37" w:rsidRPr="001E1046" w:rsidRDefault="00952A37" w:rsidP="00AA2535">
      <w:pPr>
        <w:spacing w:before="100" w:beforeAutospacing="1" w:after="100" w:afterAutospacing="1" w:line="360" w:lineRule="auto"/>
        <w:outlineLvl w:val="1"/>
        <w:rPr>
          <w:rFonts w:ascii="Arial" w:eastAsia="Arial" w:hAnsi="Arial" w:cs="Arial"/>
          <w:b/>
          <w:bCs/>
          <w:color w:val="000000" w:themeColor="text1"/>
          <w:spacing w:val="-2"/>
          <w:kern w:val="24"/>
          <w:sz w:val="32"/>
          <w:szCs w:val="32"/>
        </w:rPr>
      </w:pPr>
    </w:p>
    <w:p w14:paraId="0908C63F"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32"/>
          <w:szCs w:val="32"/>
          <w14:ligatures w14:val="none"/>
        </w:rPr>
      </w:pPr>
    </w:p>
    <w:p w14:paraId="31D080F8"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74A05261"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754C26C"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7453FD1E"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342C7BB" w14:textId="69C23180" w:rsidR="00952A37" w:rsidRPr="005D73C5" w:rsidRDefault="00952A37" w:rsidP="005D73C5">
      <w:pPr>
        <w:tabs>
          <w:tab w:val="left" w:pos="7300"/>
        </w:tabs>
        <w:spacing w:before="100" w:beforeAutospacing="1" w:after="100" w:afterAutospacing="1" w:line="360" w:lineRule="auto"/>
        <w:outlineLvl w:val="1"/>
        <w:rPr>
          <w:rFonts w:ascii="Arial" w:eastAsia="Times New Roman" w:hAnsi="Arial" w:cs="Arial"/>
          <w:b/>
          <w:bCs/>
          <w:i/>
          <w:iCs/>
          <w:color w:val="000000"/>
          <w:kern w:val="0"/>
          <w:sz w:val="22"/>
          <w:szCs w:val="22"/>
          <w14:ligatures w14:val="none"/>
        </w:rPr>
      </w:pPr>
      <w:r w:rsidRPr="005D73C5">
        <w:rPr>
          <w:rFonts w:ascii="Arial" w:eastAsia="Times New Roman" w:hAnsi="Arial" w:cs="Arial"/>
          <w:b/>
          <w:bCs/>
          <w:i/>
          <w:iCs/>
          <w:color w:val="000000"/>
          <w:kern w:val="0"/>
          <w:sz w:val="22"/>
          <w:szCs w:val="22"/>
          <w14:ligatures w14:val="none"/>
        </w:rPr>
        <w:t xml:space="preserve">Table of contents </w:t>
      </w:r>
      <w:r w:rsidR="005D73C5" w:rsidRPr="005D73C5">
        <w:rPr>
          <w:rFonts w:ascii="Arial" w:eastAsia="Times New Roman" w:hAnsi="Arial" w:cs="Arial"/>
          <w:b/>
          <w:bCs/>
          <w:i/>
          <w:iCs/>
          <w:color w:val="000000"/>
          <w:kern w:val="0"/>
          <w:sz w:val="22"/>
          <w:szCs w:val="22"/>
          <w14:ligatures w14:val="none"/>
        </w:rPr>
        <w:tab/>
        <w:t>Page</w:t>
      </w:r>
    </w:p>
    <w:p w14:paraId="7B35509D" w14:textId="0D943DC7" w:rsidR="00952A37" w:rsidRPr="005D73C5" w:rsidRDefault="005D73C5" w:rsidP="008E6DFD">
      <w:pPr>
        <w:tabs>
          <w:tab w:val="left" w:pos="7632"/>
        </w:tabs>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1.</w:t>
      </w:r>
      <w:r w:rsidR="008E6DFD" w:rsidRPr="005D73C5">
        <w:rPr>
          <w:rFonts w:ascii="Arial" w:eastAsia="Times New Roman" w:hAnsi="Arial" w:cs="Arial"/>
          <w:b/>
          <w:bCs/>
          <w:color w:val="000000"/>
          <w:kern w:val="0"/>
          <w:sz w:val="22"/>
          <w:szCs w:val="22"/>
          <w14:ligatures w14:val="none"/>
        </w:rPr>
        <w:t>Introduction</w:t>
      </w:r>
      <w:r w:rsidR="008E6DFD" w:rsidRPr="005D73C5">
        <w:rPr>
          <w:rFonts w:ascii="Arial" w:eastAsia="Times New Roman" w:hAnsi="Arial" w:cs="Arial"/>
          <w:b/>
          <w:bCs/>
          <w:color w:val="000000"/>
          <w:kern w:val="0"/>
          <w:sz w:val="22"/>
          <w:szCs w:val="22"/>
          <w14:ligatures w14:val="none"/>
        </w:rPr>
        <w:tab/>
        <w:t>3</w:t>
      </w:r>
    </w:p>
    <w:p w14:paraId="16B8BFA9" w14:textId="278D6256" w:rsidR="008E6DFD" w:rsidRPr="005D73C5" w:rsidRDefault="008E6DFD" w:rsidP="008E6DFD">
      <w:pPr>
        <w:tabs>
          <w:tab w:val="left" w:pos="7632"/>
        </w:tabs>
        <w:spacing w:line="360" w:lineRule="auto"/>
        <w:jc w:val="both"/>
        <w:rPr>
          <w:rFonts w:ascii="Arial" w:hAnsi="Arial" w:cs="Arial"/>
          <w:b/>
          <w:bCs/>
          <w:sz w:val="22"/>
          <w:szCs w:val="22"/>
        </w:rPr>
      </w:pPr>
      <w:r w:rsidRPr="005D73C5">
        <w:rPr>
          <w:rFonts w:ascii="Arial" w:hAnsi="Arial" w:cs="Arial"/>
          <w:b/>
          <w:bCs/>
          <w:sz w:val="22"/>
          <w:szCs w:val="22"/>
        </w:rPr>
        <w:t>2. Overview of Psychological Theories</w:t>
      </w:r>
      <w:r w:rsidRPr="005D73C5">
        <w:rPr>
          <w:rFonts w:ascii="Arial" w:hAnsi="Arial" w:cs="Arial"/>
          <w:b/>
          <w:bCs/>
          <w:sz w:val="22"/>
          <w:szCs w:val="22"/>
        </w:rPr>
        <w:tab/>
      </w:r>
      <w:r w:rsidR="005D73C5">
        <w:rPr>
          <w:rFonts w:ascii="Arial" w:hAnsi="Arial" w:cs="Arial"/>
          <w:b/>
          <w:bCs/>
          <w:sz w:val="22"/>
          <w:szCs w:val="22"/>
        </w:rPr>
        <w:t>3</w:t>
      </w:r>
    </w:p>
    <w:p w14:paraId="489D6C1E" w14:textId="364C5529" w:rsidR="008E6DFD" w:rsidRPr="005D73C5" w:rsidRDefault="005D73C5" w:rsidP="008E6DFD">
      <w:pPr>
        <w:tabs>
          <w:tab w:val="left" w:pos="7632"/>
        </w:tabs>
        <w:spacing w:line="360" w:lineRule="auto"/>
        <w:jc w:val="both"/>
        <w:rPr>
          <w:rFonts w:ascii="Arial" w:hAnsi="Arial" w:cs="Arial"/>
          <w:b/>
          <w:bCs/>
          <w:sz w:val="22"/>
          <w:szCs w:val="22"/>
        </w:rPr>
      </w:pPr>
      <w:r>
        <w:rPr>
          <w:rFonts w:ascii="Arial" w:hAnsi="Arial" w:cs="Arial"/>
          <w:b/>
          <w:bCs/>
          <w:sz w:val="22"/>
          <w:szCs w:val="22"/>
        </w:rPr>
        <w:t xml:space="preserve">  </w:t>
      </w:r>
      <w:r w:rsidR="008E6DFD" w:rsidRPr="005D73C5">
        <w:rPr>
          <w:rFonts w:ascii="Arial" w:hAnsi="Arial" w:cs="Arial"/>
          <w:b/>
          <w:bCs/>
          <w:sz w:val="22"/>
          <w:szCs w:val="22"/>
        </w:rPr>
        <w:t>2.1 Bowlby’s Attachment Theory</w:t>
      </w:r>
      <w:r w:rsidR="008E6DFD" w:rsidRPr="005D73C5">
        <w:rPr>
          <w:rFonts w:ascii="Arial" w:hAnsi="Arial" w:cs="Arial"/>
          <w:b/>
          <w:bCs/>
          <w:sz w:val="22"/>
          <w:szCs w:val="22"/>
        </w:rPr>
        <w:tab/>
      </w:r>
      <w:r>
        <w:rPr>
          <w:rFonts w:ascii="Arial" w:hAnsi="Arial" w:cs="Arial"/>
          <w:b/>
          <w:bCs/>
          <w:sz w:val="22"/>
          <w:szCs w:val="22"/>
        </w:rPr>
        <w:t>3</w:t>
      </w:r>
    </w:p>
    <w:p w14:paraId="18A9B3D4" w14:textId="4B9D0BEE" w:rsidR="008E6DFD" w:rsidRPr="005D73C5" w:rsidRDefault="005D73C5" w:rsidP="008E6DFD">
      <w:pPr>
        <w:tabs>
          <w:tab w:val="left" w:pos="7588"/>
        </w:tabs>
        <w:spacing w:line="360" w:lineRule="auto"/>
        <w:jc w:val="both"/>
        <w:rPr>
          <w:rFonts w:ascii="Arial" w:hAnsi="Arial" w:cs="Arial"/>
          <w:b/>
          <w:bCs/>
          <w:sz w:val="22"/>
          <w:szCs w:val="22"/>
        </w:rPr>
      </w:pPr>
      <w:r>
        <w:rPr>
          <w:rFonts w:ascii="Arial" w:hAnsi="Arial" w:cs="Arial"/>
          <w:b/>
          <w:bCs/>
          <w:sz w:val="22"/>
          <w:szCs w:val="22"/>
        </w:rPr>
        <w:t xml:space="preserve">  </w:t>
      </w:r>
      <w:r w:rsidR="008E6DFD" w:rsidRPr="005D73C5">
        <w:rPr>
          <w:rFonts w:ascii="Arial" w:hAnsi="Arial" w:cs="Arial"/>
          <w:b/>
          <w:bCs/>
          <w:sz w:val="22"/>
          <w:szCs w:val="22"/>
        </w:rPr>
        <w:t>2.2 Erikson’s Psychosocial Theory of Development</w:t>
      </w:r>
      <w:r w:rsidR="008E6DFD" w:rsidRPr="005D73C5">
        <w:rPr>
          <w:rFonts w:ascii="Arial" w:hAnsi="Arial" w:cs="Arial"/>
          <w:b/>
          <w:bCs/>
          <w:sz w:val="22"/>
          <w:szCs w:val="22"/>
        </w:rPr>
        <w:tab/>
      </w:r>
      <w:r>
        <w:rPr>
          <w:rFonts w:ascii="Arial" w:hAnsi="Arial" w:cs="Arial"/>
          <w:b/>
          <w:bCs/>
          <w:sz w:val="22"/>
          <w:szCs w:val="22"/>
        </w:rPr>
        <w:t>4</w:t>
      </w:r>
    </w:p>
    <w:p w14:paraId="7694061A" w14:textId="47419982" w:rsidR="00447D51" w:rsidRPr="005D73C5" w:rsidRDefault="00447D51" w:rsidP="00447D51">
      <w:pPr>
        <w:tabs>
          <w:tab w:val="left" w:pos="7588"/>
        </w:tabs>
        <w:spacing w:line="360" w:lineRule="auto"/>
        <w:jc w:val="both"/>
        <w:rPr>
          <w:rFonts w:ascii="Arial" w:hAnsi="Arial" w:cs="Arial"/>
          <w:b/>
          <w:bCs/>
          <w:sz w:val="22"/>
          <w:szCs w:val="22"/>
        </w:rPr>
      </w:pPr>
      <w:r w:rsidRPr="005D73C5">
        <w:rPr>
          <w:rFonts w:ascii="Arial" w:hAnsi="Arial" w:cs="Arial"/>
          <w:b/>
          <w:bCs/>
          <w:sz w:val="22"/>
          <w:szCs w:val="22"/>
        </w:rPr>
        <w:t>3. Integration and Critical Evaluation</w:t>
      </w:r>
      <w:r w:rsidRPr="005D73C5">
        <w:rPr>
          <w:rFonts w:ascii="Arial" w:hAnsi="Arial" w:cs="Arial"/>
          <w:b/>
          <w:bCs/>
          <w:sz w:val="22"/>
          <w:szCs w:val="22"/>
        </w:rPr>
        <w:tab/>
      </w:r>
      <w:r w:rsidR="005D73C5">
        <w:rPr>
          <w:rFonts w:ascii="Arial" w:hAnsi="Arial" w:cs="Arial"/>
          <w:b/>
          <w:bCs/>
          <w:sz w:val="22"/>
          <w:szCs w:val="22"/>
        </w:rPr>
        <w:t>5</w:t>
      </w:r>
    </w:p>
    <w:p w14:paraId="2BF0EF5A" w14:textId="4ACE1049" w:rsidR="00447D51" w:rsidRPr="005D73C5" w:rsidRDefault="00447D51" w:rsidP="005D73C5">
      <w:pPr>
        <w:tabs>
          <w:tab w:val="left" w:pos="7599"/>
          <w:tab w:val="left" w:pos="7732"/>
        </w:tabs>
        <w:spacing w:line="360" w:lineRule="auto"/>
        <w:jc w:val="both"/>
        <w:rPr>
          <w:rFonts w:ascii="Arial" w:hAnsi="Arial" w:cs="Arial"/>
          <w:b/>
          <w:bCs/>
          <w:sz w:val="22"/>
          <w:szCs w:val="22"/>
        </w:rPr>
      </w:pPr>
      <w:r w:rsidRPr="005D73C5">
        <w:rPr>
          <w:rFonts w:ascii="Arial" w:hAnsi="Arial" w:cs="Arial"/>
          <w:b/>
          <w:bCs/>
          <w:sz w:val="22"/>
          <w:szCs w:val="22"/>
        </w:rPr>
        <w:t>4. Conclusion</w:t>
      </w:r>
      <w:r w:rsidRPr="005D73C5">
        <w:rPr>
          <w:rFonts w:ascii="Arial" w:hAnsi="Arial" w:cs="Arial"/>
          <w:b/>
          <w:bCs/>
          <w:sz w:val="22"/>
          <w:szCs w:val="22"/>
        </w:rPr>
        <w:tab/>
      </w:r>
      <w:r w:rsidR="005D73C5">
        <w:rPr>
          <w:rFonts w:ascii="Arial" w:hAnsi="Arial" w:cs="Arial"/>
          <w:b/>
          <w:bCs/>
          <w:sz w:val="22"/>
          <w:szCs w:val="22"/>
        </w:rPr>
        <w:t>6</w:t>
      </w:r>
    </w:p>
    <w:p w14:paraId="756200BA" w14:textId="5F6EDC12" w:rsidR="00447D51" w:rsidRPr="005D73C5" w:rsidRDefault="00447D51" w:rsidP="005D73C5">
      <w:pPr>
        <w:tabs>
          <w:tab w:val="left" w:pos="7577"/>
          <w:tab w:val="left" w:pos="7687"/>
        </w:tabs>
        <w:spacing w:line="360" w:lineRule="auto"/>
        <w:jc w:val="both"/>
        <w:rPr>
          <w:rFonts w:ascii="Arial" w:hAnsi="Arial" w:cs="Arial"/>
          <w:b/>
          <w:bCs/>
          <w:sz w:val="22"/>
          <w:szCs w:val="22"/>
        </w:rPr>
      </w:pPr>
      <w:r w:rsidRPr="005D73C5">
        <w:rPr>
          <w:rFonts w:ascii="Arial" w:hAnsi="Arial" w:cs="Arial"/>
          <w:b/>
          <w:bCs/>
          <w:sz w:val="22"/>
          <w:szCs w:val="22"/>
        </w:rPr>
        <w:t>5. Reference list</w:t>
      </w:r>
      <w:r w:rsidRPr="005D73C5">
        <w:rPr>
          <w:rFonts w:ascii="Arial" w:hAnsi="Arial" w:cs="Arial"/>
          <w:b/>
          <w:bCs/>
          <w:sz w:val="22"/>
          <w:szCs w:val="22"/>
        </w:rPr>
        <w:tab/>
      </w:r>
      <w:r w:rsidR="005D73C5">
        <w:rPr>
          <w:rFonts w:ascii="Arial" w:hAnsi="Arial" w:cs="Arial"/>
          <w:b/>
          <w:bCs/>
          <w:sz w:val="22"/>
          <w:szCs w:val="22"/>
        </w:rPr>
        <w:t>7</w:t>
      </w:r>
      <w:r w:rsidR="005D73C5" w:rsidRPr="005D73C5">
        <w:rPr>
          <w:rFonts w:ascii="Arial" w:hAnsi="Arial" w:cs="Arial"/>
          <w:b/>
          <w:bCs/>
          <w:sz w:val="22"/>
          <w:szCs w:val="22"/>
        </w:rPr>
        <w:tab/>
      </w:r>
    </w:p>
    <w:p w14:paraId="55B4EB0A" w14:textId="77777777" w:rsidR="008E6DFD" w:rsidRPr="008E6DFD" w:rsidRDefault="008E6DFD" w:rsidP="008E6DFD">
      <w:pPr>
        <w:spacing w:line="360" w:lineRule="auto"/>
        <w:jc w:val="both"/>
        <w:rPr>
          <w:rFonts w:ascii="Arial" w:hAnsi="Arial" w:cs="Arial"/>
        </w:rPr>
      </w:pPr>
    </w:p>
    <w:p w14:paraId="75353ED7" w14:textId="77777777" w:rsidR="008E6DFD" w:rsidRDefault="008E6DFD"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6A5F7CC5" w14:textId="77777777" w:rsidR="008E6DFD" w:rsidRPr="001E1046" w:rsidRDefault="008E6DFD"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A9904C5"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879BC8D"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6B4C7687"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1EFD8FA3"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3459AFF9"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2F8E6B2B"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5D327CE7" w14:textId="77777777" w:rsidR="00952A37" w:rsidRPr="001E1046" w:rsidRDefault="00952A37" w:rsidP="001E1046">
      <w:pPr>
        <w:spacing w:before="100" w:beforeAutospacing="1" w:after="100" w:afterAutospacing="1" w:line="360" w:lineRule="auto"/>
        <w:outlineLvl w:val="1"/>
        <w:rPr>
          <w:rFonts w:ascii="Arial" w:eastAsia="Times New Roman" w:hAnsi="Arial" w:cs="Arial"/>
          <w:b/>
          <w:bCs/>
          <w:color w:val="000000"/>
          <w:kern w:val="0"/>
          <w:sz w:val="28"/>
          <w:szCs w:val="28"/>
          <w14:ligatures w14:val="none"/>
        </w:rPr>
      </w:pPr>
    </w:p>
    <w:p w14:paraId="592A793C" w14:textId="790F4DD2" w:rsidR="00952A37" w:rsidRPr="005D73C5" w:rsidRDefault="00447D51" w:rsidP="00447D51">
      <w:pPr>
        <w:spacing w:before="100" w:beforeAutospacing="1" w:after="100" w:afterAutospacing="1" w:line="360" w:lineRule="auto"/>
        <w:jc w:val="both"/>
        <w:outlineLvl w:val="1"/>
        <w:rPr>
          <w:rFonts w:ascii="Arial" w:eastAsia="Times New Roman" w:hAnsi="Arial" w:cs="Arial"/>
          <w:b/>
          <w:bCs/>
          <w:color w:val="000000"/>
          <w:kern w:val="0"/>
          <w:sz w:val="22"/>
          <w:szCs w:val="22"/>
          <w14:ligatures w14:val="none"/>
        </w:rPr>
      </w:pPr>
      <w:r w:rsidRPr="005D73C5">
        <w:rPr>
          <w:rFonts w:ascii="Arial" w:eastAsia="Times New Roman" w:hAnsi="Arial" w:cs="Arial"/>
          <w:b/>
          <w:bCs/>
          <w:color w:val="000000"/>
          <w:kern w:val="0"/>
          <w:sz w:val="22"/>
          <w:szCs w:val="22"/>
          <w14:ligatures w14:val="none"/>
        </w:rPr>
        <w:t>Applying Psychological Theories to Support Adults Aged 65 and Over in Dementia Care Homes</w:t>
      </w:r>
    </w:p>
    <w:p w14:paraId="18225AE0" w14:textId="32F0BEB4"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t>1. Introduction</w:t>
      </w:r>
    </w:p>
    <w:p w14:paraId="505EE545" w14:textId="58D0C67F"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Dementia is a progressive neurocognitive condition characterised by declines in memory, reasoning, communication, and the ability to perform everyday tasks. According to the Alzheimer’s Society (2024), approximately one in fourteen adults over sixty-five in the United Kingdom lives with some form of dementia. This condition is not a single disease but encompasses a range of disorders, including Alzheimer’s disease, vascular dementia, Lewy body dementia, and frontotemporal dementia, each presenting with unique cognitive, emotional, and behavioural challenges (Ward and Sandberg, 2023). Beyond memory loss, dementia affects identity, relationships, and emotional regulation, placing complex demands on health and social care professionals in residential settings.</w:t>
      </w:r>
    </w:p>
    <w:p w14:paraId="68998F97" w14:textId="5C5BDE6F"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Care homes provide structured support for older adults whose cognitive and physical needs exceed what can be safely managed at home. The National Health Service (NHS, 2022) emphasises that care homes deliver not only 24-hour assistance with daily living but also medical oversight, social interaction, and emotional support, crucial for residents with dementia. Relocation to a care home can be a major stressor, intensifying feelings of anxiety, loss, and vulnerability, and professionals must navigate these emotional challenges carefully.</w:t>
      </w:r>
    </w:p>
    <w:p w14:paraId="6626752F" w14:textId="77777777"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Psychological theories provide essential frameworks to guide care, offering insights into behaviour, emotional needs, and identity. By applying evidence-based theories, professionals can interpret behaviours, design interventions, and maintain person-centred care that preserves dignity and enhances wellbeing. This report explores the application of Bowlby’s Attachment Theory and Erikson’s Psychosocial Theory of Development, demonstrating their relevance in supporting adults aged 65 and over in dementia care homes, with practical examples and critical evaluation of implementation challenges.</w:t>
      </w:r>
    </w:p>
    <w:p w14:paraId="6C6A8A67" w14:textId="77777777" w:rsidR="008E6DFD" w:rsidRPr="005D73C5" w:rsidRDefault="008E6DFD" w:rsidP="008E6DFD">
      <w:pPr>
        <w:spacing w:line="360" w:lineRule="auto"/>
        <w:jc w:val="both"/>
        <w:rPr>
          <w:rFonts w:ascii="Arial" w:hAnsi="Arial" w:cs="Arial"/>
          <w:sz w:val="22"/>
          <w:szCs w:val="22"/>
        </w:rPr>
      </w:pPr>
    </w:p>
    <w:p w14:paraId="4E4C74B3" w14:textId="77777777"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t>2. Overview of Psychological Theories</w:t>
      </w:r>
    </w:p>
    <w:p w14:paraId="51ED7BCA" w14:textId="4B714288"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t>2.1 Bowlby’s Attachment Theory</w:t>
      </w:r>
    </w:p>
    <w:p w14:paraId="4B95BE47" w14:textId="63243C10"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lastRenderedPageBreak/>
        <w:t>John Bowlby (1969) theorised that humans have an innate drive to form emotional bonds with caregivers who provide safety and comfort. Early attachments create an internal working model influencing emotional regulation, coping, and social relationships throughout life (Behrens</w:t>
      </w:r>
      <w:r w:rsidR="00447D51" w:rsidRPr="005D73C5">
        <w:rPr>
          <w:rFonts w:ascii="Arial" w:hAnsi="Arial" w:cs="Arial"/>
          <w:sz w:val="22"/>
          <w:szCs w:val="22"/>
        </w:rPr>
        <w:t xml:space="preserve"> et al.</w:t>
      </w:r>
      <w:r w:rsidRPr="005D73C5">
        <w:rPr>
          <w:rFonts w:ascii="Arial" w:hAnsi="Arial" w:cs="Arial"/>
          <w:sz w:val="22"/>
          <w:szCs w:val="22"/>
        </w:rPr>
        <w:t>, 2025). Secure attachment is characterised by trust, proximity-seeking, and confidence in the availability of support during distress.</w:t>
      </w:r>
    </w:p>
    <w:p w14:paraId="1655F810" w14:textId="00212282"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Although developed for children, attachment processes remain relevant in adulthood and old age (Rodway, 2025). Older adults, particularly those experiencing frailty or cognitive decline, may exhibit heightened attachment behaviours as they become more reliant on others. Dementia amplifies these needs; confusion, disorientation, and fear can manifest as behaviours reminiscent of infant attachment patterns, such as seeking closeness, clinging, or withdrawing from perceived threats (Browne and Shlosberg, 2006).</w:t>
      </w:r>
    </w:p>
    <w:p w14:paraId="6E18A193" w14:textId="41FB7804" w:rsidR="00447D51"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Attachment theory provides an explanatory framework for interpreting these behaviours and guiding care. Consistent, emotionally attuned caregiving fosters calmness and cooperation, while abrupt changes in routines or staff can trigger anxiety and agitation. In dementia care homes, secure attachments act as a “safe base,” allowing residents to engage with their environment and maintain a sense of security (Behrens</w:t>
      </w:r>
      <w:r w:rsidR="00447D51" w:rsidRPr="005D73C5">
        <w:rPr>
          <w:rFonts w:ascii="Arial" w:hAnsi="Arial" w:cs="Arial"/>
          <w:sz w:val="22"/>
          <w:szCs w:val="22"/>
        </w:rPr>
        <w:t xml:space="preserve"> et al., 2025</w:t>
      </w:r>
      <w:r w:rsidRPr="005D73C5">
        <w:rPr>
          <w:rFonts w:ascii="Arial" w:hAnsi="Arial" w:cs="Arial"/>
          <w:sz w:val="22"/>
          <w:szCs w:val="22"/>
        </w:rPr>
        <w:t>).</w:t>
      </w:r>
    </w:p>
    <w:p w14:paraId="502249E6" w14:textId="4D8634FB"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t>Application in Dementia Care Homes</w:t>
      </w:r>
    </w:p>
    <w:p w14:paraId="31AD032D" w14:textId="12358FE6"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Attachment theory can be operationalised in care settings through multiple strategies:</w:t>
      </w:r>
    </w:p>
    <w:p w14:paraId="73A2B273" w14:textId="77777777" w:rsidR="00447D51" w:rsidRPr="005D73C5" w:rsidRDefault="008E6DFD" w:rsidP="008E6DFD">
      <w:pPr>
        <w:spacing w:line="360" w:lineRule="auto"/>
        <w:jc w:val="both"/>
        <w:rPr>
          <w:rFonts w:ascii="Arial" w:hAnsi="Arial" w:cs="Arial"/>
          <w:sz w:val="22"/>
          <w:szCs w:val="22"/>
        </w:rPr>
      </w:pPr>
      <w:r w:rsidRPr="005D73C5">
        <w:rPr>
          <w:rFonts w:ascii="Arial" w:hAnsi="Arial" w:cs="Arial"/>
          <w:b/>
          <w:bCs/>
          <w:sz w:val="22"/>
          <w:szCs w:val="22"/>
        </w:rPr>
        <w:t>Creating emotional security</w:t>
      </w:r>
      <w:r w:rsidRPr="005D73C5">
        <w:rPr>
          <w:rFonts w:ascii="Arial" w:hAnsi="Arial" w:cs="Arial"/>
          <w:sz w:val="22"/>
          <w:szCs w:val="22"/>
        </w:rPr>
        <w:t>: Staff can maintain consistent routines, communicate calmly, and offer reassuring touch, signalling availability and reliability (Browne and Shlosberg, 2006). Simple gestures, such as greeting residents by name or explaining procedures, reinforce trust and reduce distress.</w:t>
      </w:r>
    </w:p>
    <w:p w14:paraId="1751A2AD" w14:textId="6DA87BCF" w:rsidR="008E6DFD" w:rsidRPr="005D73C5" w:rsidRDefault="008E6DFD" w:rsidP="008E6DFD">
      <w:pPr>
        <w:spacing w:line="360" w:lineRule="auto"/>
        <w:jc w:val="both"/>
        <w:rPr>
          <w:rFonts w:ascii="Arial" w:hAnsi="Arial" w:cs="Arial"/>
          <w:sz w:val="22"/>
          <w:szCs w:val="22"/>
        </w:rPr>
      </w:pPr>
      <w:r w:rsidRPr="005D73C5">
        <w:rPr>
          <w:rFonts w:ascii="Arial" w:hAnsi="Arial" w:cs="Arial"/>
          <w:b/>
          <w:bCs/>
          <w:sz w:val="22"/>
          <w:szCs w:val="22"/>
        </w:rPr>
        <w:t>Practical interventions</w:t>
      </w:r>
      <w:r w:rsidRPr="005D73C5">
        <w:rPr>
          <w:rFonts w:ascii="Arial" w:hAnsi="Arial" w:cs="Arial"/>
          <w:sz w:val="22"/>
          <w:szCs w:val="22"/>
        </w:rPr>
        <w:t>: When residents exhibit wandering or agitation, staff can interpret these behaviours as attempts to seek proximity or reassurance rather than disruptive conduct. Escorting residents to familiar spaces, offering personal objects, or using photographs can restore a sense of safety (Behrens</w:t>
      </w:r>
      <w:r w:rsidR="00447D51" w:rsidRPr="005D73C5">
        <w:rPr>
          <w:rFonts w:ascii="Arial" w:hAnsi="Arial" w:cs="Arial"/>
          <w:sz w:val="22"/>
          <w:szCs w:val="22"/>
        </w:rPr>
        <w:t xml:space="preserve"> et al.</w:t>
      </w:r>
      <w:r w:rsidRPr="005D73C5">
        <w:rPr>
          <w:rFonts w:ascii="Arial" w:hAnsi="Arial" w:cs="Arial"/>
          <w:sz w:val="22"/>
          <w:szCs w:val="22"/>
        </w:rPr>
        <w:t>, 2025).</w:t>
      </w:r>
    </w:p>
    <w:p w14:paraId="24A21EB1" w14:textId="45B8EC90" w:rsidR="008E6DFD" w:rsidRDefault="008E6DFD" w:rsidP="008E6DFD">
      <w:pPr>
        <w:spacing w:line="360" w:lineRule="auto"/>
        <w:jc w:val="both"/>
        <w:rPr>
          <w:rFonts w:ascii="Arial" w:hAnsi="Arial" w:cs="Arial"/>
          <w:sz w:val="22"/>
          <w:szCs w:val="22"/>
        </w:rPr>
      </w:pPr>
      <w:r w:rsidRPr="005D73C5">
        <w:rPr>
          <w:rFonts w:ascii="Arial" w:hAnsi="Arial" w:cs="Arial"/>
          <w:b/>
          <w:bCs/>
          <w:sz w:val="22"/>
          <w:szCs w:val="22"/>
        </w:rPr>
        <w:t>Challenges and strategies</w:t>
      </w:r>
      <w:r w:rsidRPr="005D73C5">
        <w:rPr>
          <w:rFonts w:ascii="Arial" w:hAnsi="Arial" w:cs="Arial"/>
          <w:sz w:val="22"/>
          <w:szCs w:val="22"/>
        </w:rPr>
        <w:t>: High staff turnover and workload pressures can disrupt attachments, leaving residents feeling abandoned or mistrustful (Rodway, 2025). Emotional boundaries may also be challenging; caregivers can experience compassion fatigue. Structured staff training, reflective practice, and organisational policies supporting relational care mitigate these issues (Woods et al., 2018). Regular supervision and team debriefings enhance staff capacity to maintain secure attachments consistently.</w:t>
      </w:r>
    </w:p>
    <w:p w14:paraId="511EA5F5" w14:textId="77777777" w:rsidR="005D73C5" w:rsidRPr="005D73C5" w:rsidRDefault="005D73C5" w:rsidP="008E6DFD">
      <w:pPr>
        <w:spacing w:line="360" w:lineRule="auto"/>
        <w:jc w:val="both"/>
        <w:rPr>
          <w:rFonts w:ascii="Arial" w:hAnsi="Arial" w:cs="Arial"/>
          <w:sz w:val="22"/>
          <w:szCs w:val="22"/>
        </w:rPr>
      </w:pPr>
    </w:p>
    <w:p w14:paraId="20612631" w14:textId="1C75B413"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lastRenderedPageBreak/>
        <w:t>2.2 Erikson’s Psychosocial Theory of Development</w:t>
      </w:r>
    </w:p>
    <w:p w14:paraId="6C5033B3" w14:textId="6A8A0F9F"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Erik Homburger Erikson (</w:t>
      </w:r>
      <w:proofErr w:type="spellStart"/>
      <w:r w:rsidRPr="005D73C5">
        <w:rPr>
          <w:rFonts w:ascii="Arial" w:hAnsi="Arial" w:cs="Arial"/>
          <w:sz w:val="22"/>
          <w:szCs w:val="22"/>
        </w:rPr>
        <w:t>Cattamichi</w:t>
      </w:r>
      <w:proofErr w:type="spellEnd"/>
      <w:r w:rsidRPr="005D73C5">
        <w:rPr>
          <w:rFonts w:ascii="Arial" w:hAnsi="Arial" w:cs="Arial"/>
          <w:sz w:val="22"/>
          <w:szCs w:val="22"/>
        </w:rPr>
        <w:t xml:space="preserve"> Vinila, 2013) proposed eight stages of psychosocial development across the lifespan. The final stage, Ego Integrity versus Despair, occurs in late adulthood and involves reflecting on one’s life with acceptance, coherence, and a sense of meaning. Ego integrity corresponds with satisfaction and fulfilment, while despair manifests as regret, bitterness, and fear of death (van der </w:t>
      </w:r>
      <w:proofErr w:type="spellStart"/>
      <w:r w:rsidRPr="005D73C5">
        <w:rPr>
          <w:rFonts w:ascii="Arial" w:hAnsi="Arial" w:cs="Arial"/>
          <w:sz w:val="22"/>
          <w:szCs w:val="22"/>
        </w:rPr>
        <w:t>Kaap-Deeder</w:t>
      </w:r>
      <w:proofErr w:type="spellEnd"/>
      <w:r w:rsidRPr="005D73C5">
        <w:rPr>
          <w:rFonts w:ascii="Arial" w:hAnsi="Arial" w:cs="Arial"/>
          <w:sz w:val="22"/>
          <w:szCs w:val="22"/>
        </w:rPr>
        <w:t xml:space="preserve"> et al., 2020).</w:t>
      </w:r>
    </w:p>
    <w:p w14:paraId="2FF715C0" w14:textId="43A4E887"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In dementia care homes, older adults face compounded challenges, including loss of autonomy, declining health, and separation from familiar environments. These factors may amplify feelings of despair. Interventions that support reflection and identity can foster ego integrity, enhancing emotional wellbeing even in the context of cognitive impairment (Ward and Sandberg, 2023).</w:t>
      </w:r>
    </w:p>
    <w:p w14:paraId="3D17B6CB" w14:textId="28795B89"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t>Application in Dementia Care Homes</w:t>
      </w:r>
    </w:p>
    <w:p w14:paraId="7120A310" w14:textId="51CC5220"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Erikson’s theory informs psychosocial interventions:</w:t>
      </w:r>
    </w:p>
    <w:p w14:paraId="3F02E82C" w14:textId="369F4D77" w:rsidR="008E6DFD" w:rsidRPr="005D73C5" w:rsidRDefault="008E6DFD" w:rsidP="008E6DFD">
      <w:pPr>
        <w:spacing w:line="360" w:lineRule="auto"/>
        <w:jc w:val="both"/>
        <w:rPr>
          <w:rFonts w:ascii="Arial" w:hAnsi="Arial" w:cs="Arial"/>
          <w:sz w:val="22"/>
          <w:szCs w:val="22"/>
        </w:rPr>
      </w:pPr>
      <w:r w:rsidRPr="005D73C5">
        <w:rPr>
          <w:rFonts w:ascii="Arial" w:hAnsi="Arial" w:cs="Arial"/>
          <w:b/>
          <w:bCs/>
          <w:sz w:val="22"/>
          <w:szCs w:val="22"/>
        </w:rPr>
        <w:t>Life review and reminiscence therapy</w:t>
      </w:r>
      <w:r w:rsidRPr="005D73C5">
        <w:rPr>
          <w:rFonts w:ascii="Arial" w:hAnsi="Arial" w:cs="Arial"/>
          <w:sz w:val="22"/>
          <w:szCs w:val="22"/>
        </w:rPr>
        <w:t>: Structured activities such as storytelling, group discussions, or music therapy allow residents to reflect on meaningful experiences and maintain identity (Woods et al., 2018).</w:t>
      </w:r>
    </w:p>
    <w:p w14:paraId="087EDD41" w14:textId="042079CF" w:rsidR="008E6DFD" w:rsidRPr="005D73C5" w:rsidRDefault="008E6DFD" w:rsidP="008E6DFD">
      <w:pPr>
        <w:spacing w:line="360" w:lineRule="auto"/>
        <w:jc w:val="both"/>
        <w:rPr>
          <w:rFonts w:ascii="Arial" w:hAnsi="Arial" w:cs="Arial"/>
          <w:sz w:val="22"/>
          <w:szCs w:val="22"/>
        </w:rPr>
      </w:pPr>
      <w:r w:rsidRPr="005D73C5">
        <w:rPr>
          <w:rFonts w:ascii="Arial" w:hAnsi="Arial" w:cs="Arial"/>
          <w:b/>
          <w:bCs/>
          <w:sz w:val="22"/>
          <w:szCs w:val="22"/>
        </w:rPr>
        <w:t>Practical examples</w:t>
      </w:r>
      <w:r w:rsidRPr="005D73C5">
        <w:rPr>
          <w:rFonts w:ascii="Arial" w:hAnsi="Arial" w:cs="Arial"/>
          <w:sz w:val="22"/>
          <w:szCs w:val="22"/>
        </w:rPr>
        <w:t>: Facilitators can use photographs, familiar objects, and culturally relevant stimuli to elicit memories. Encouraging residents to participate in simple household tasks, such as folding laundry or watering plants, maintains agency and reinforces social roles (Ward and Sandberg, 2023).</w:t>
      </w:r>
    </w:p>
    <w:p w14:paraId="7DF89F14" w14:textId="5C04F85D" w:rsidR="008E6DFD" w:rsidRDefault="008E6DFD" w:rsidP="008E6DFD">
      <w:pPr>
        <w:spacing w:line="360" w:lineRule="auto"/>
        <w:jc w:val="both"/>
        <w:rPr>
          <w:rFonts w:ascii="Arial" w:hAnsi="Arial" w:cs="Arial"/>
          <w:sz w:val="22"/>
          <w:szCs w:val="22"/>
        </w:rPr>
      </w:pPr>
      <w:r w:rsidRPr="005D73C5">
        <w:rPr>
          <w:rFonts w:ascii="Arial" w:hAnsi="Arial" w:cs="Arial"/>
          <w:b/>
          <w:bCs/>
          <w:sz w:val="22"/>
          <w:szCs w:val="22"/>
        </w:rPr>
        <w:t>Challenges and strategies</w:t>
      </w:r>
      <w:r w:rsidRPr="005D73C5">
        <w:rPr>
          <w:rFonts w:ascii="Arial" w:hAnsi="Arial" w:cs="Arial"/>
          <w:sz w:val="22"/>
          <w:szCs w:val="22"/>
        </w:rPr>
        <w:t>: Cognitive decline may limit participation, and some residents may experience distress during reminiscence. Staff must use adaptive communication techniques, interpret non-verbal cues, and adopt flexible planning to ensure interventions are beneficial (</w:t>
      </w:r>
      <w:proofErr w:type="spellStart"/>
      <w:r w:rsidRPr="005D73C5">
        <w:rPr>
          <w:rFonts w:ascii="Arial" w:hAnsi="Arial" w:cs="Arial"/>
          <w:sz w:val="22"/>
          <w:szCs w:val="22"/>
        </w:rPr>
        <w:t>Cattamichi</w:t>
      </w:r>
      <w:proofErr w:type="spellEnd"/>
      <w:r w:rsidRPr="005D73C5">
        <w:rPr>
          <w:rFonts w:ascii="Arial" w:hAnsi="Arial" w:cs="Arial"/>
          <w:sz w:val="22"/>
          <w:szCs w:val="22"/>
        </w:rPr>
        <w:t xml:space="preserve"> Vinila, 2013). Collaboration between multi-disciplinary teams enhances the effectiveness of these approaches, ensuring that psychosocial interventions are tailored to each resident’s abilities and preferences.</w:t>
      </w:r>
    </w:p>
    <w:p w14:paraId="454677EE" w14:textId="77777777" w:rsidR="005D73C5" w:rsidRPr="005D73C5" w:rsidRDefault="005D73C5" w:rsidP="008E6DFD">
      <w:pPr>
        <w:spacing w:line="360" w:lineRule="auto"/>
        <w:jc w:val="both"/>
        <w:rPr>
          <w:rFonts w:ascii="Arial" w:hAnsi="Arial" w:cs="Arial"/>
          <w:sz w:val="22"/>
          <w:szCs w:val="22"/>
        </w:rPr>
      </w:pPr>
    </w:p>
    <w:p w14:paraId="638BE7EE" w14:textId="186B9005"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t>3. Integration and Critical Evaluation</w:t>
      </w:r>
    </w:p>
    <w:p w14:paraId="7C153EBC" w14:textId="625835EA"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 xml:space="preserve">Bowlby and Erikson provide complementary perspectives. Attachment theory addresses immediate emotional security, helping residents manage anxiety and distress. Erikson focuses on long-term psychological wellbeing, supporting identity, life reflection, and </w:t>
      </w:r>
      <w:proofErr w:type="gramStart"/>
      <w:r w:rsidRPr="005D73C5">
        <w:rPr>
          <w:rFonts w:ascii="Arial" w:hAnsi="Arial" w:cs="Arial"/>
          <w:sz w:val="22"/>
          <w:szCs w:val="22"/>
        </w:rPr>
        <w:t>meaning-making</w:t>
      </w:r>
      <w:proofErr w:type="gramEnd"/>
      <w:r w:rsidRPr="005D73C5">
        <w:rPr>
          <w:rFonts w:ascii="Arial" w:hAnsi="Arial" w:cs="Arial"/>
          <w:sz w:val="22"/>
          <w:szCs w:val="22"/>
        </w:rPr>
        <w:t xml:space="preserve">. </w:t>
      </w:r>
      <w:r w:rsidRPr="005D73C5">
        <w:rPr>
          <w:rFonts w:ascii="Arial" w:hAnsi="Arial" w:cs="Arial"/>
          <w:sz w:val="22"/>
          <w:szCs w:val="22"/>
        </w:rPr>
        <w:lastRenderedPageBreak/>
        <w:t xml:space="preserve">Together, they facilitate holistic care that addresses both emotional regulation and existential needs (Rodway, 2025; van der </w:t>
      </w:r>
      <w:proofErr w:type="spellStart"/>
      <w:r w:rsidRPr="005D73C5">
        <w:rPr>
          <w:rFonts w:ascii="Arial" w:hAnsi="Arial" w:cs="Arial"/>
          <w:sz w:val="22"/>
          <w:szCs w:val="22"/>
        </w:rPr>
        <w:t>Kaap-Deeder</w:t>
      </w:r>
      <w:proofErr w:type="spellEnd"/>
      <w:r w:rsidRPr="005D73C5">
        <w:rPr>
          <w:rFonts w:ascii="Arial" w:hAnsi="Arial" w:cs="Arial"/>
          <w:sz w:val="22"/>
          <w:szCs w:val="22"/>
        </w:rPr>
        <w:t xml:space="preserve"> et al., 2020).</w:t>
      </w:r>
    </w:p>
    <w:p w14:paraId="71C6190B" w14:textId="6D193789"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Empirical evidence supports these approaches. Attachment-informed practices enhance cooperation and social engagement, while interventions promoting ego integrity improve life satisfaction and perceived quality of life (Browne and Shlosberg, 2006; Woods et al., 2018). Implementing these theories in practice, however, presents challenges:</w:t>
      </w:r>
    </w:p>
    <w:p w14:paraId="5440B0EE" w14:textId="7B746153"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Staff turnover and resource limitations can compromise attachment continuity (Browne and Shlosberg, 2006).</w:t>
      </w:r>
    </w:p>
    <w:p w14:paraId="6B37FB0B" w14:textId="3AC6B659"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 xml:space="preserve">Cognitive impairments may limit the effectiveness of reflective interventions, requiring adaptation (van der </w:t>
      </w:r>
      <w:proofErr w:type="spellStart"/>
      <w:r w:rsidRPr="005D73C5">
        <w:rPr>
          <w:rFonts w:ascii="Arial" w:hAnsi="Arial" w:cs="Arial"/>
          <w:sz w:val="22"/>
          <w:szCs w:val="22"/>
        </w:rPr>
        <w:t>Kaap-Deeder</w:t>
      </w:r>
      <w:proofErr w:type="spellEnd"/>
      <w:r w:rsidRPr="005D73C5">
        <w:rPr>
          <w:rFonts w:ascii="Arial" w:hAnsi="Arial" w:cs="Arial"/>
          <w:sz w:val="22"/>
          <w:szCs w:val="22"/>
        </w:rPr>
        <w:t xml:space="preserve"> et al., 2020).</w:t>
      </w:r>
    </w:p>
    <w:p w14:paraId="61EF527C" w14:textId="744E3E49"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Cultural diversity and personal preferences may affect engagement, highlighting the need for individualised approaches (Ward and Sandberg, 2023).</w:t>
      </w:r>
    </w:p>
    <w:p w14:paraId="662222CF" w14:textId="3A7D522C" w:rsidR="008E6DFD" w:rsidRDefault="008E6DFD" w:rsidP="008E6DFD">
      <w:pPr>
        <w:spacing w:line="360" w:lineRule="auto"/>
        <w:jc w:val="both"/>
        <w:rPr>
          <w:rFonts w:ascii="Arial" w:hAnsi="Arial" w:cs="Arial"/>
          <w:sz w:val="22"/>
          <w:szCs w:val="22"/>
        </w:rPr>
      </w:pPr>
      <w:r w:rsidRPr="005D73C5">
        <w:rPr>
          <w:rFonts w:ascii="Arial" w:hAnsi="Arial" w:cs="Arial"/>
          <w:sz w:val="22"/>
          <w:szCs w:val="22"/>
        </w:rPr>
        <w:t xml:space="preserve">Strategies to overcome these challenges </w:t>
      </w:r>
      <w:r w:rsidR="00447D51" w:rsidRPr="005D73C5">
        <w:rPr>
          <w:rFonts w:ascii="Arial" w:hAnsi="Arial" w:cs="Arial"/>
          <w:sz w:val="22"/>
          <w:szCs w:val="22"/>
        </w:rPr>
        <w:t>include</w:t>
      </w:r>
      <w:r w:rsidRPr="005D73C5">
        <w:rPr>
          <w:rFonts w:ascii="Arial" w:hAnsi="Arial" w:cs="Arial"/>
          <w:sz w:val="22"/>
          <w:szCs w:val="22"/>
        </w:rPr>
        <w:t xml:space="preserve"> targeted training in attachment and psychosocial care, organisational policies supporting consistent staffing, culturally sensitive programme design, and regular evaluation of intervention effectiveness (Behrens</w:t>
      </w:r>
      <w:r w:rsidR="00447D51" w:rsidRPr="005D73C5">
        <w:rPr>
          <w:rFonts w:ascii="Arial" w:hAnsi="Arial" w:cs="Arial"/>
          <w:sz w:val="22"/>
          <w:szCs w:val="22"/>
        </w:rPr>
        <w:t xml:space="preserve"> et al.</w:t>
      </w:r>
      <w:r w:rsidRPr="005D73C5">
        <w:rPr>
          <w:rFonts w:ascii="Arial" w:hAnsi="Arial" w:cs="Arial"/>
          <w:sz w:val="22"/>
          <w:szCs w:val="22"/>
        </w:rPr>
        <w:t>, 2025; Rodway, 2025). By integrating emotional attachment and psychosocial reflection, professionals can interpret behaviours accurately, reduce distress, and enhance residents’ sense of identity and agency, creating a more humane and supportive care environment (Browne and Shlosberg, 2006).</w:t>
      </w:r>
    </w:p>
    <w:p w14:paraId="64A0E612" w14:textId="77777777" w:rsidR="005D73C5" w:rsidRPr="005D73C5" w:rsidRDefault="005D73C5" w:rsidP="008E6DFD">
      <w:pPr>
        <w:spacing w:line="360" w:lineRule="auto"/>
        <w:jc w:val="both"/>
        <w:rPr>
          <w:rFonts w:ascii="Arial" w:hAnsi="Arial" w:cs="Arial"/>
          <w:sz w:val="22"/>
          <w:szCs w:val="22"/>
        </w:rPr>
      </w:pPr>
    </w:p>
    <w:p w14:paraId="44C1A3F6" w14:textId="3815E0AC" w:rsidR="008E6DFD" w:rsidRPr="005D73C5" w:rsidRDefault="008E6DFD" w:rsidP="008E6DFD">
      <w:pPr>
        <w:spacing w:line="360" w:lineRule="auto"/>
        <w:jc w:val="both"/>
        <w:rPr>
          <w:rFonts w:ascii="Arial" w:hAnsi="Arial" w:cs="Arial"/>
          <w:b/>
          <w:bCs/>
          <w:sz w:val="22"/>
          <w:szCs w:val="22"/>
        </w:rPr>
      </w:pPr>
      <w:r w:rsidRPr="005D73C5">
        <w:rPr>
          <w:rFonts w:ascii="Arial" w:hAnsi="Arial" w:cs="Arial"/>
          <w:b/>
          <w:bCs/>
          <w:sz w:val="22"/>
          <w:szCs w:val="22"/>
        </w:rPr>
        <w:t>4. Conclusion</w:t>
      </w:r>
    </w:p>
    <w:p w14:paraId="6AFEE0D0" w14:textId="1582A118"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Psychological theories are indispensable for guiding dementia care. Bowlby’s Attachment Theory informs relational strategies that provide emotional security, while Erikson’s Psychosocial Theory supports identity, life reflection, and psychological wellbeing. Applied together, these theories enable health and social care professionals to deliver holistic, person-centred care addressing both immediate and long-term psychological needs.</w:t>
      </w:r>
    </w:p>
    <w:p w14:paraId="53722E44" w14:textId="6BA0DE72" w:rsidR="008E6DFD"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t>Challenges in implementation include staff turnover, cognitive decline, and resource constraints. Effective strategies involve staff training, structured interventions, multi-disciplinary collaboration, and culturally sensitive approaches. Integrating theory into practice allows professionals to interpret behaviours, enhance emotional security, and support identity, ultimately improving the quality of life for adults aged 65 and over in dementia care homes.</w:t>
      </w:r>
    </w:p>
    <w:p w14:paraId="71513D95" w14:textId="0BA7308F" w:rsidR="00447D51" w:rsidRPr="005D73C5" w:rsidRDefault="008E6DFD" w:rsidP="008E6DFD">
      <w:pPr>
        <w:spacing w:line="360" w:lineRule="auto"/>
        <w:jc w:val="both"/>
        <w:rPr>
          <w:rFonts w:ascii="Arial" w:hAnsi="Arial" w:cs="Arial"/>
          <w:sz w:val="22"/>
          <w:szCs w:val="22"/>
        </w:rPr>
      </w:pPr>
      <w:r w:rsidRPr="005D73C5">
        <w:rPr>
          <w:rFonts w:ascii="Arial" w:hAnsi="Arial" w:cs="Arial"/>
          <w:sz w:val="22"/>
          <w:szCs w:val="22"/>
        </w:rPr>
        <w:lastRenderedPageBreak/>
        <w:t>Future research should examine the longitudinal impact of attachment-informed and psychosocial interventions, particularly in culturally diverse populations and across different dementia subtypes, to further optimise care practices. Additionally, evaluating staff wellbeing and training efficacy can provide insight into sustainable care strategies that maintain relational and psychosocial support over time.</w:t>
      </w:r>
    </w:p>
    <w:p w14:paraId="7C4A5AD4" w14:textId="77777777" w:rsidR="008E6DFD" w:rsidRPr="001E1046" w:rsidRDefault="008E6DFD" w:rsidP="008E6DFD">
      <w:pPr>
        <w:spacing w:line="360" w:lineRule="auto"/>
        <w:jc w:val="both"/>
        <w:rPr>
          <w:rFonts w:ascii="Arial" w:hAnsi="Arial" w:cs="Arial"/>
          <w:sz w:val="22"/>
          <w:szCs w:val="22"/>
        </w:rPr>
      </w:pPr>
    </w:p>
    <w:p w14:paraId="32B569A2" w14:textId="47DB5C0C" w:rsidR="00F9019C" w:rsidRPr="005D73C5" w:rsidRDefault="00447D51" w:rsidP="001E1046">
      <w:pPr>
        <w:spacing w:line="360" w:lineRule="auto"/>
        <w:jc w:val="both"/>
        <w:rPr>
          <w:rFonts w:ascii="Arial" w:hAnsi="Arial" w:cs="Arial"/>
          <w:b/>
          <w:bCs/>
          <w:sz w:val="22"/>
          <w:szCs w:val="22"/>
        </w:rPr>
      </w:pPr>
      <w:r w:rsidRPr="005D73C5">
        <w:rPr>
          <w:rFonts w:ascii="Arial" w:hAnsi="Arial" w:cs="Arial"/>
          <w:b/>
          <w:bCs/>
          <w:sz w:val="22"/>
          <w:szCs w:val="22"/>
        </w:rPr>
        <w:t xml:space="preserve">5. </w:t>
      </w:r>
      <w:r w:rsidR="00F9019C" w:rsidRPr="005D73C5">
        <w:rPr>
          <w:rFonts w:ascii="Arial" w:hAnsi="Arial" w:cs="Arial"/>
          <w:b/>
          <w:bCs/>
          <w:sz w:val="22"/>
          <w:szCs w:val="22"/>
        </w:rPr>
        <w:t>References</w:t>
      </w:r>
      <w:r w:rsidR="008E6DFD" w:rsidRPr="005D73C5">
        <w:rPr>
          <w:rFonts w:ascii="Arial" w:hAnsi="Arial" w:cs="Arial"/>
          <w:b/>
          <w:bCs/>
          <w:sz w:val="22"/>
          <w:szCs w:val="22"/>
        </w:rPr>
        <w:t xml:space="preserve"> list:</w:t>
      </w:r>
    </w:p>
    <w:p w14:paraId="5B250913" w14:textId="77777777" w:rsidR="001E1046" w:rsidRPr="005D73C5" w:rsidRDefault="001E1046" w:rsidP="001E1046">
      <w:pPr>
        <w:spacing w:line="360" w:lineRule="auto"/>
        <w:jc w:val="both"/>
        <w:rPr>
          <w:rFonts w:ascii="Arial" w:hAnsi="Arial" w:cs="Arial"/>
          <w:sz w:val="22"/>
          <w:szCs w:val="22"/>
        </w:rPr>
      </w:pPr>
      <w:r w:rsidRPr="007C1C8A">
        <w:rPr>
          <w:rFonts w:ascii="Arial" w:hAnsi="Arial" w:cs="Arial"/>
          <w:sz w:val="22"/>
          <w:szCs w:val="22"/>
        </w:rPr>
        <w:t xml:space="preserve">Behrens, K.Y., Jones-Mason, K. and Forslund, T. (2025) ‘John Bowlby’s theory of attachment and separation: revisiting his original visions after 50+ years, what we know today, and where to go from here?’, </w:t>
      </w:r>
      <w:r w:rsidRPr="007C1C8A">
        <w:rPr>
          <w:rFonts w:ascii="Arial" w:hAnsi="Arial" w:cs="Arial"/>
          <w:i/>
          <w:iCs/>
          <w:sz w:val="22"/>
          <w:szCs w:val="22"/>
        </w:rPr>
        <w:t>Attachment &amp; human development</w:t>
      </w:r>
      <w:r w:rsidRPr="007C1C8A">
        <w:rPr>
          <w:rFonts w:ascii="Arial" w:hAnsi="Arial" w:cs="Arial"/>
          <w:sz w:val="22"/>
          <w:szCs w:val="22"/>
        </w:rPr>
        <w:t xml:space="preserve">, 27(5), pp. 657–661. Available at: </w:t>
      </w:r>
      <w:hyperlink r:id="rId8" w:history="1">
        <w:r w:rsidRPr="007C1C8A">
          <w:rPr>
            <w:rStyle w:val="Hyperlink"/>
            <w:rFonts w:ascii="Arial" w:hAnsi="Arial" w:cs="Arial"/>
            <w:sz w:val="22"/>
            <w:szCs w:val="22"/>
          </w:rPr>
          <w:t>https://doi.org/10.1080/14616734.2025.2550829</w:t>
        </w:r>
      </w:hyperlink>
      <w:r w:rsidRPr="007C1C8A">
        <w:rPr>
          <w:rFonts w:ascii="Arial" w:hAnsi="Arial" w:cs="Arial"/>
          <w:sz w:val="22"/>
          <w:szCs w:val="22"/>
        </w:rPr>
        <w:t>.</w:t>
      </w:r>
      <w:r w:rsidRPr="005D73C5">
        <w:rPr>
          <w:rFonts w:ascii="Arial" w:hAnsi="Arial" w:cs="Arial"/>
          <w:sz w:val="22"/>
          <w:szCs w:val="22"/>
        </w:rPr>
        <w:t xml:space="preserve"> (Accessed on: 18</w:t>
      </w:r>
      <w:r w:rsidRPr="005D73C5">
        <w:rPr>
          <w:rFonts w:ascii="Arial" w:hAnsi="Arial" w:cs="Arial"/>
          <w:sz w:val="22"/>
          <w:szCs w:val="22"/>
          <w:vertAlign w:val="superscript"/>
        </w:rPr>
        <w:t>th</w:t>
      </w:r>
      <w:r w:rsidRPr="005D73C5">
        <w:rPr>
          <w:rFonts w:ascii="Arial" w:hAnsi="Arial" w:cs="Arial"/>
          <w:sz w:val="22"/>
          <w:szCs w:val="22"/>
        </w:rPr>
        <w:t xml:space="preserve"> December 2025).</w:t>
      </w:r>
    </w:p>
    <w:p w14:paraId="36DA0AA0" w14:textId="77777777" w:rsidR="001E1046" w:rsidRPr="005D73C5" w:rsidRDefault="001E1046" w:rsidP="001E1046">
      <w:pPr>
        <w:spacing w:line="360" w:lineRule="auto"/>
        <w:jc w:val="both"/>
        <w:rPr>
          <w:rFonts w:ascii="Arial" w:hAnsi="Arial" w:cs="Arial"/>
          <w:sz w:val="22"/>
          <w:szCs w:val="22"/>
        </w:rPr>
      </w:pPr>
      <w:r w:rsidRPr="000D335F">
        <w:rPr>
          <w:rFonts w:ascii="Arial" w:hAnsi="Arial" w:cs="Arial"/>
          <w:sz w:val="22"/>
          <w:szCs w:val="22"/>
        </w:rPr>
        <w:t xml:space="preserve">Browne, C.J. and Shlosberg, E. (2006) ‘Attachment theory, ageing and dementia: A review of the literature’, </w:t>
      </w:r>
      <w:r w:rsidRPr="000D335F">
        <w:rPr>
          <w:rFonts w:ascii="Arial" w:hAnsi="Arial" w:cs="Arial"/>
          <w:i/>
          <w:iCs/>
          <w:sz w:val="22"/>
          <w:szCs w:val="22"/>
        </w:rPr>
        <w:t>Aging &amp; mental health</w:t>
      </w:r>
      <w:r w:rsidRPr="000D335F">
        <w:rPr>
          <w:rFonts w:ascii="Arial" w:hAnsi="Arial" w:cs="Arial"/>
          <w:sz w:val="22"/>
          <w:szCs w:val="22"/>
        </w:rPr>
        <w:t xml:space="preserve">, 10(2), pp. 134–142. Available at: </w:t>
      </w:r>
      <w:hyperlink r:id="rId9" w:history="1">
        <w:r w:rsidRPr="000D335F">
          <w:rPr>
            <w:rStyle w:val="Hyperlink"/>
            <w:rFonts w:ascii="Arial" w:hAnsi="Arial" w:cs="Arial"/>
            <w:sz w:val="22"/>
            <w:szCs w:val="22"/>
          </w:rPr>
          <w:t>https://doi.org/10.1080/13607860500312118</w:t>
        </w:r>
      </w:hyperlink>
      <w:r w:rsidRPr="000D335F">
        <w:rPr>
          <w:rFonts w:ascii="Arial" w:hAnsi="Arial" w:cs="Arial"/>
          <w:sz w:val="22"/>
          <w:szCs w:val="22"/>
        </w:rPr>
        <w:t>.</w:t>
      </w:r>
      <w:r w:rsidRPr="005D73C5">
        <w:rPr>
          <w:rFonts w:ascii="Arial" w:hAnsi="Arial" w:cs="Arial"/>
          <w:sz w:val="22"/>
          <w:szCs w:val="22"/>
        </w:rPr>
        <w:t xml:space="preserve"> (Accessed on 18</w:t>
      </w:r>
      <w:r w:rsidRPr="005D73C5">
        <w:rPr>
          <w:rFonts w:ascii="Arial" w:hAnsi="Arial" w:cs="Arial"/>
          <w:sz w:val="22"/>
          <w:szCs w:val="22"/>
          <w:vertAlign w:val="superscript"/>
        </w:rPr>
        <w:t>th</w:t>
      </w:r>
      <w:r w:rsidRPr="005D73C5">
        <w:rPr>
          <w:rFonts w:ascii="Arial" w:hAnsi="Arial" w:cs="Arial"/>
          <w:sz w:val="22"/>
          <w:szCs w:val="22"/>
        </w:rPr>
        <w:t xml:space="preserve"> December 2025).</w:t>
      </w:r>
    </w:p>
    <w:p w14:paraId="65D6651A" w14:textId="77777777" w:rsidR="001E1046" w:rsidRPr="005D73C5" w:rsidRDefault="001E1046" w:rsidP="001E1046">
      <w:pPr>
        <w:spacing w:line="360" w:lineRule="auto"/>
        <w:jc w:val="both"/>
        <w:rPr>
          <w:rFonts w:ascii="Arial" w:hAnsi="Arial" w:cs="Arial"/>
          <w:sz w:val="22"/>
          <w:szCs w:val="22"/>
        </w:rPr>
      </w:pPr>
      <w:proofErr w:type="spellStart"/>
      <w:r w:rsidRPr="007C1C8A">
        <w:rPr>
          <w:rFonts w:ascii="Arial" w:hAnsi="Arial" w:cs="Arial"/>
          <w:sz w:val="22"/>
          <w:szCs w:val="22"/>
        </w:rPr>
        <w:t>Cattamichi</w:t>
      </w:r>
      <w:proofErr w:type="spellEnd"/>
      <w:r w:rsidRPr="007C1C8A">
        <w:rPr>
          <w:rFonts w:ascii="Arial" w:hAnsi="Arial" w:cs="Arial"/>
          <w:sz w:val="22"/>
          <w:szCs w:val="22"/>
        </w:rPr>
        <w:t xml:space="preserve"> </w:t>
      </w:r>
      <w:proofErr w:type="spellStart"/>
      <w:r w:rsidRPr="007C1C8A">
        <w:rPr>
          <w:rFonts w:ascii="Arial" w:hAnsi="Arial" w:cs="Arial"/>
          <w:sz w:val="22"/>
          <w:szCs w:val="22"/>
        </w:rPr>
        <w:t>Vinila</w:t>
      </w:r>
      <w:proofErr w:type="spellEnd"/>
      <w:r w:rsidRPr="007C1C8A">
        <w:rPr>
          <w:rFonts w:ascii="Arial" w:hAnsi="Arial" w:cs="Arial"/>
          <w:sz w:val="22"/>
          <w:szCs w:val="22"/>
        </w:rPr>
        <w:t xml:space="preserve"> (2013) ‘Erik </w:t>
      </w:r>
      <w:proofErr w:type="spellStart"/>
      <w:r w:rsidRPr="007C1C8A">
        <w:rPr>
          <w:rFonts w:ascii="Arial" w:hAnsi="Arial" w:cs="Arial"/>
          <w:sz w:val="22"/>
          <w:szCs w:val="22"/>
        </w:rPr>
        <w:t>homburger</w:t>
      </w:r>
      <w:proofErr w:type="spellEnd"/>
      <w:r w:rsidRPr="007C1C8A">
        <w:rPr>
          <w:rFonts w:ascii="Arial" w:hAnsi="Arial" w:cs="Arial"/>
          <w:sz w:val="22"/>
          <w:szCs w:val="22"/>
        </w:rPr>
        <w:t xml:space="preserve"> </w:t>
      </w:r>
      <w:proofErr w:type="spellStart"/>
      <w:r w:rsidRPr="007C1C8A">
        <w:rPr>
          <w:rFonts w:ascii="Arial" w:hAnsi="Arial" w:cs="Arial"/>
          <w:sz w:val="22"/>
          <w:szCs w:val="22"/>
        </w:rPr>
        <w:t>erikson</w:t>
      </w:r>
      <w:proofErr w:type="spellEnd"/>
      <w:r w:rsidRPr="007C1C8A">
        <w:rPr>
          <w:rFonts w:ascii="Arial" w:hAnsi="Arial" w:cs="Arial"/>
          <w:sz w:val="22"/>
          <w:szCs w:val="22"/>
        </w:rPr>
        <w:t xml:space="preserve">’, </w:t>
      </w:r>
      <w:r w:rsidRPr="007C1C8A">
        <w:rPr>
          <w:rFonts w:ascii="Arial" w:hAnsi="Arial" w:cs="Arial"/>
          <w:i/>
          <w:iCs/>
          <w:sz w:val="22"/>
          <w:szCs w:val="22"/>
        </w:rPr>
        <w:t>Archives of Mental Health</w:t>
      </w:r>
      <w:r w:rsidRPr="007C1C8A">
        <w:rPr>
          <w:rFonts w:ascii="Arial" w:hAnsi="Arial" w:cs="Arial"/>
          <w:sz w:val="22"/>
          <w:szCs w:val="22"/>
        </w:rPr>
        <w:t xml:space="preserve">, 14(1), pp. 60–61. Available at: </w:t>
      </w:r>
      <w:hyperlink r:id="rId10" w:history="1">
        <w:r w:rsidRPr="007C1C8A">
          <w:rPr>
            <w:rStyle w:val="Hyperlink"/>
            <w:rFonts w:ascii="Arial" w:hAnsi="Arial" w:cs="Arial"/>
            <w:sz w:val="22"/>
            <w:szCs w:val="22"/>
          </w:rPr>
          <w:t>https://doi.org/10.4103/2589-9171.227650</w:t>
        </w:r>
      </w:hyperlink>
      <w:r w:rsidRPr="007C1C8A">
        <w:rPr>
          <w:rFonts w:ascii="Arial" w:hAnsi="Arial" w:cs="Arial"/>
          <w:sz w:val="22"/>
          <w:szCs w:val="22"/>
        </w:rPr>
        <w:t>.</w:t>
      </w:r>
      <w:r w:rsidRPr="005D73C5">
        <w:rPr>
          <w:rFonts w:ascii="Arial" w:hAnsi="Arial" w:cs="Arial"/>
          <w:sz w:val="22"/>
          <w:szCs w:val="22"/>
        </w:rPr>
        <w:t xml:space="preserve"> (Accessed on: 18</w:t>
      </w:r>
      <w:r w:rsidRPr="005D73C5">
        <w:rPr>
          <w:rFonts w:ascii="Arial" w:hAnsi="Arial" w:cs="Arial"/>
          <w:sz w:val="22"/>
          <w:szCs w:val="22"/>
          <w:vertAlign w:val="superscript"/>
        </w:rPr>
        <w:t>th</w:t>
      </w:r>
      <w:r w:rsidRPr="005D73C5">
        <w:rPr>
          <w:rFonts w:ascii="Arial" w:hAnsi="Arial" w:cs="Arial"/>
          <w:sz w:val="22"/>
          <w:szCs w:val="22"/>
        </w:rPr>
        <w:t xml:space="preserve"> December 2025).</w:t>
      </w:r>
    </w:p>
    <w:p w14:paraId="6CF19380" w14:textId="77777777" w:rsidR="001E1046" w:rsidRPr="005D73C5" w:rsidRDefault="001E1046" w:rsidP="001E1046">
      <w:pPr>
        <w:spacing w:line="360" w:lineRule="auto"/>
        <w:jc w:val="both"/>
        <w:rPr>
          <w:rFonts w:ascii="Arial" w:hAnsi="Arial" w:cs="Arial"/>
          <w:sz w:val="22"/>
          <w:szCs w:val="22"/>
        </w:rPr>
      </w:pPr>
      <w:r w:rsidRPr="001E1046">
        <w:rPr>
          <w:rFonts w:ascii="Arial" w:hAnsi="Arial" w:cs="Arial"/>
          <w:sz w:val="22"/>
          <w:szCs w:val="22"/>
        </w:rPr>
        <w:t xml:space="preserve">NHS (2022) </w:t>
      </w:r>
      <w:r w:rsidRPr="001E1046">
        <w:rPr>
          <w:rFonts w:ascii="Arial" w:hAnsi="Arial" w:cs="Arial"/>
          <w:i/>
          <w:iCs/>
          <w:sz w:val="22"/>
          <w:szCs w:val="22"/>
        </w:rPr>
        <w:t>Dementia and care homes</w:t>
      </w:r>
      <w:r w:rsidRPr="001E1046">
        <w:rPr>
          <w:rFonts w:ascii="Arial" w:hAnsi="Arial" w:cs="Arial"/>
          <w:sz w:val="22"/>
          <w:szCs w:val="22"/>
        </w:rPr>
        <w:t>. Available at: https://www.nhs.uk/conditions/dementia/care-and-support/care-homes/ (Accessed</w:t>
      </w:r>
      <w:r w:rsidRPr="005D73C5">
        <w:rPr>
          <w:rFonts w:ascii="Arial" w:hAnsi="Arial" w:cs="Arial"/>
          <w:sz w:val="22"/>
          <w:szCs w:val="22"/>
        </w:rPr>
        <w:t xml:space="preserve"> on: 18</w:t>
      </w:r>
      <w:r w:rsidRPr="005D73C5">
        <w:rPr>
          <w:rFonts w:ascii="Arial" w:hAnsi="Arial" w:cs="Arial"/>
          <w:sz w:val="22"/>
          <w:szCs w:val="22"/>
          <w:vertAlign w:val="superscript"/>
        </w:rPr>
        <w:t>th</w:t>
      </w:r>
      <w:r w:rsidRPr="005D73C5">
        <w:rPr>
          <w:rFonts w:ascii="Arial" w:hAnsi="Arial" w:cs="Arial"/>
          <w:sz w:val="22"/>
          <w:szCs w:val="22"/>
        </w:rPr>
        <w:t xml:space="preserve"> December 2025</w:t>
      </w:r>
      <w:r w:rsidRPr="001E1046">
        <w:rPr>
          <w:rFonts w:ascii="Arial" w:hAnsi="Arial" w:cs="Arial"/>
          <w:sz w:val="22"/>
          <w:szCs w:val="22"/>
        </w:rPr>
        <w:t>).</w:t>
      </w:r>
    </w:p>
    <w:p w14:paraId="0AB47569" w14:textId="77777777" w:rsidR="001E1046" w:rsidRPr="005D73C5" w:rsidRDefault="001E1046" w:rsidP="001E1046">
      <w:pPr>
        <w:spacing w:line="360" w:lineRule="auto"/>
        <w:jc w:val="both"/>
        <w:rPr>
          <w:rFonts w:ascii="Arial" w:hAnsi="Arial" w:cs="Arial"/>
          <w:sz w:val="22"/>
          <w:szCs w:val="22"/>
        </w:rPr>
      </w:pPr>
      <w:r w:rsidRPr="001E1046">
        <w:rPr>
          <w:rFonts w:ascii="Arial" w:hAnsi="Arial" w:cs="Arial"/>
          <w:sz w:val="22"/>
          <w:szCs w:val="22"/>
        </w:rPr>
        <w:t xml:space="preserve">Rodway, C. (2025) </w:t>
      </w:r>
      <w:r w:rsidRPr="001E1046">
        <w:rPr>
          <w:rFonts w:ascii="Arial" w:hAnsi="Arial" w:cs="Arial"/>
          <w:i/>
          <w:iCs/>
          <w:sz w:val="22"/>
          <w:szCs w:val="22"/>
        </w:rPr>
        <w:t>Attachment in old age: a fundamental pillar for public health care</w:t>
      </w:r>
      <w:r w:rsidRPr="001E1046">
        <w:rPr>
          <w:rFonts w:ascii="Arial" w:hAnsi="Arial" w:cs="Arial"/>
          <w:sz w:val="22"/>
          <w:szCs w:val="22"/>
        </w:rPr>
        <w:t>. Available at: https://pmc.ncbi.nlm.nih.gov/articles/PMC12133602/ (Accessed</w:t>
      </w:r>
      <w:r w:rsidRPr="005D73C5">
        <w:rPr>
          <w:rFonts w:ascii="Arial" w:hAnsi="Arial" w:cs="Arial"/>
          <w:sz w:val="22"/>
          <w:szCs w:val="22"/>
        </w:rPr>
        <w:t xml:space="preserve"> </w:t>
      </w:r>
      <w:proofErr w:type="gramStart"/>
      <w:r w:rsidRPr="005D73C5">
        <w:rPr>
          <w:rFonts w:ascii="Arial" w:hAnsi="Arial" w:cs="Arial"/>
          <w:sz w:val="22"/>
          <w:szCs w:val="22"/>
        </w:rPr>
        <w:t>on:</w:t>
      </w:r>
      <w:proofErr w:type="gramEnd"/>
      <w:r w:rsidRPr="005D73C5">
        <w:rPr>
          <w:rFonts w:ascii="Arial" w:hAnsi="Arial" w:cs="Arial"/>
          <w:sz w:val="22"/>
          <w:szCs w:val="22"/>
        </w:rPr>
        <w:t xml:space="preserve"> 18</w:t>
      </w:r>
      <w:r w:rsidRPr="005D73C5">
        <w:rPr>
          <w:rFonts w:ascii="Arial" w:hAnsi="Arial" w:cs="Arial"/>
          <w:sz w:val="22"/>
          <w:szCs w:val="22"/>
          <w:vertAlign w:val="superscript"/>
        </w:rPr>
        <w:t>th</w:t>
      </w:r>
      <w:r w:rsidRPr="005D73C5">
        <w:rPr>
          <w:rFonts w:ascii="Arial" w:hAnsi="Arial" w:cs="Arial"/>
          <w:sz w:val="22"/>
          <w:szCs w:val="22"/>
        </w:rPr>
        <w:t xml:space="preserve"> of December</w:t>
      </w:r>
      <w:r w:rsidRPr="001E1046">
        <w:rPr>
          <w:rFonts w:ascii="Arial" w:hAnsi="Arial" w:cs="Arial"/>
          <w:sz w:val="22"/>
          <w:szCs w:val="22"/>
        </w:rPr>
        <w:t>.</w:t>
      </w:r>
    </w:p>
    <w:p w14:paraId="480903CD" w14:textId="77777777" w:rsidR="001E1046" w:rsidRPr="005D73C5" w:rsidRDefault="001E1046" w:rsidP="001E1046">
      <w:pPr>
        <w:spacing w:line="360" w:lineRule="auto"/>
        <w:jc w:val="both"/>
        <w:rPr>
          <w:rFonts w:ascii="Arial" w:hAnsi="Arial" w:cs="Arial"/>
          <w:sz w:val="22"/>
          <w:szCs w:val="22"/>
        </w:rPr>
      </w:pPr>
      <w:r w:rsidRPr="000D335F">
        <w:rPr>
          <w:rFonts w:ascii="Arial" w:hAnsi="Arial" w:cs="Arial"/>
          <w:sz w:val="22"/>
          <w:szCs w:val="22"/>
        </w:rPr>
        <w:t xml:space="preserve">van der </w:t>
      </w:r>
      <w:proofErr w:type="spellStart"/>
      <w:r w:rsidRPr="000D335F">
        <w:rPr>
          <w:rFonts w:ascii="Arial" w:hAnsi="Arial" w:cs="Arial"/>
          <w:sz w:val="22"/>
          <w:szCs w:val="22"/>
        </w:rPr>
        <w:t>Kaap-Deeder</w:t>
      </w:r>
      <w:proofErr w:type="spellEnd"/>
      <w:r w:rsidRPr="000D335F">
        <w:rPr>
          <w:rFonts w:ascii="Arial" w:hAnsi="Arial" w:cs="Arial"/>
          <w:sz w:val="22"/>
          <w:szCs w:val="22"/>
        </w:rPr>
        <w:t xml:space="preserve">, J. </w:t>
      </w:r>
      <w:r w:rsidRPr="000D335F">
        <w:rPr>
          <w:rFonts w:ascii="Arial" w:hAnsi="Arial" w:cs="Arial"/>
          <w:i/>
          <w:iCs/>
          <w:sz w:val="22"/>
          <w:szCs w:val="22"/>
        </w:rPr>
        <w:t>et al.</w:t>
      </w:r>
      <w:r w:rsidRPr="000D335F">
        <w:rPr>
          <w:rFonts w:ascii="Arial" w:hAnsi="Arial" w:cs="Arial"/>
          <w:sz w:val="22"/>
          <w:szCs w:val="22"/>
        </w:rPr>
        <w:t xml:space="preserve"> (2020) ‘Live well and die with inner peace: The importance of retrospective need-based experiences, ego integrity and despair for late adults’ death attitudes’, </w:t>
      </w:r>
      <w:r w:rsidRPr="000D335F">
        <w:rPr>
          <w:rFonts w:ascii="Arial" w:hAnsi="Arial" w:cs="Arial"/>
          <w:i/>
          <w:iCs/>
          <w:sz w:val="22"/>
          <w:szCs w:val="22"/>
        </w:rPr>
        <w:t>Archives of gerontology and geriatrics</w:t>
      </w:r>
      <w:r w:rsidRPr="000D335F">
        <w:rPr>
          <w:rFonts w:ascii="Arial" w:hAnsi="Arial" w:cs="Arial"/>
          <w:sz w:val="22"/>
          <w:szCs w:val="22"/>
        </w:rPr>
        <w:t xml:space="preserve">, 91. Available at: </w:t>
      </w:r>
      <w:hyperlink r:id="rId11" w:history="1">
        <w:r w:rsidRPr="000D335F">
          <w:rPr>
            <w:rStyle w:val="Hyperlink"/>
            <w:rFonts w:ascii="Arial" w:hAnsi="Arial" w:cs="Arial"/>
            <w:sz w:val="22"/>
            <w:szCs w:val="22"/>
          </w:rPr>
          <w:t>https://doi.org/10.1016/j.archger.2020.104184</w:t>
        </w:r>
      </w:hyperlink>
      <w:r w:rsidRPr="000D335F">
        <w:rPr>
          <w:rFonts w:ascii="Arial" w:hAnsi="Arial" w:cs="Arial"/>
          <w:sz w:val="22"/>
          <w:szCs w:val="22"/>
        </w:rPr>
        <w:t>.</w:t>
      </w:r>
      <w:r w:rsidRPr="005D73C5">
        <w:rPr>
          <w:rFonts w:ascii="Arial" w:hAnsi="Arial" w:cs="Arial"/>
          <w:sz w:val="22"/>
          <w:szCs w:val="22"/>
        </w:rPr>
        <w:t xml:space="preserve"> (Accessed on 18</w:t>
      </w:r>
      <w:r w:rsidRPr="005D73C5">
        <w:rPr>
          <w:rFonts w:ascii="Arial" w:hAnsi="Arial" w:cs="Arial"/>
          <w:sz w:val="22"/>
          <w:szCs w:val="22"/>
          <w:vertAlign w:val="superscript"/>
        </w:rPr>
        <w:t>th</w:t>
      </w:r>
      <w:r w:rsidRPr="005D73C5">
        <w:rPr>
          <w:rFonts w:ascii="Arial" w:hAnsi="Arial" w:cs="Arial"/>
          <w:sz w:val="22"/>
          <w:szCs w:val="22"/>
        </w:rPr>
        <w:t xml:space="preserve"> December 2025).</w:t>
      </w:r>
    </w:p>
    <w:p w14:paraId="1CE3B454" w14:textId="77777777" w:rsidR="001E1046" w:rsidRPr="005D73C5" w:rsidRDefault="001E1046" w:rsidP="001E1046">
      <w:pPr>
        <w:spacing w:line="360" w:lineRule="auto"/>
        <w:jc w:val="both"/>
        <w:rPr>
          <w:rFonts w:ascii="Arial" w:hAnsi="Arial" w:cs="Arial"/>
          <w:sz w:val="22"/>
          <w:szCs w:val="22"/>
        </w:rPr>
      </w:pPr>
      <w:r w:rsidRPr="005D73C5">
        <w:rPr>
          <w:rFonts w:ascii="Arial" w:hAnsi="Arial" w:cs="Arial"/>
          <w:sz w:val="22"/>
          <w:szCs w:val="22"/>
        </w:rPr>
        <w:t>Ward, R. and Sandberg, L.J. (2023) </w:t>
      </w:r>
      <w:r w:rsidRPr="005D73C5">
        <w:rPr>
          <w:rFonts w:ascii="Arial" w:hAnsi="Arial" w:cs="Arial"/>
          <w:i/>
          <w:iCs/>
          <w:sz w:val="22"/>
          <w:szCs w:val="22"/>
        </w:rPr>
        <w:t xml:space="preserve">Critical Dementia </w:t>
      </w:r>
      <w:proofErr w:type="gramStart"/>
      <w:r w:rsidRPr="005D73C5">
        <w:rPr>
          <w:rFonts w:ascii="Arial" w:hAnsi="Arial" w:cs="Arial"/>
          <w:i/>
          <w:iCs/>
          <w:sz w:val="22"/>
          <w:szCs w:val="22"/>
        </w:rPr>
        <w:t>Studies :</w:t>
      </w:r>
      <w:proofErr w:type="gramEnd"/>
      <w:r w:rsidRPr="005D73C5">
        <w:rPr>
          <w:rFonts w:ascii="Arial" w:hAnsi="Arial" w:cs="Arial"/>
          <w:i/>
          <w:iCs/>
          <w:sz w:val="22"/>
          <w:szCs w:val="22"/>
        </w:rPr>
        <w:t xml:space="preserve"> An Introduction.</w:t>
      </w:r>
      <w:r w:rsidRPr="005D73C5">
        <w:rPr>
          <w:rFonts w:ascii="Arial" w:hAnsi="Arial" w:cs="Arial"/>
          <w:sz w:val="22"/>
          <w:szCs w:val="22"/>
        </w:rPr>
        <w:t> 1 ed. Milton: Taylor &amp; Francis Group.</w:t>
      </w:r>
    </w:p>
    <w:p w14:paraId="6689C0B9" w14:textId="77777777" w:rsidR="001E1046" w:rsidRPr="005D73C5" w:rsidRDefault="001E1046" w:rsidP="001E1046">
      <w:pPr>
        <w:spacing w:line="360" w:lineRule="auto"/>
        <w:jc w:val="both"/>
        <w:rPr>
          <w:rFonts w:ascii="Arial" w:hAnsi="Arial" w:cs="Arial"/>
          <w:sz w:val="22"/>
          <w:szCs w:val="22"/>
        </w:rPr>
      </w:pPr>
      <w:r w:rsidRPr="001E1046">
        <w:rPr>
          <w:rFonts w:ascii="Arial" w:hAnsi="Arial" w:cs="Arial"/>
          <w:sz w:val="22"/>
          <w:szCs w:val="22"/>
        </w:rPr>
        <w:t xml:space="preserve">Woods, B., </w:t>
      </w:r>
      <w:proofErr w:type="spellStart"/>
      <w:r w:rsidRPr="001E1046">
        <w:rPr>
          <w:rFonts w:ascii="Arial" w:hAnsi="Arial" w:cs="Arial"/>
          <w:sz w:val="22"/>
          <w:szCs w:val="22"/>
        </w:rPr>
        <w:t>O’Philbin</w:t>
      </w:r>
      <w:proofErr w:type="spellEnd"/>
      <w:r w:rsidRPr="001E1046">
        <w:rPr>
          <w:rFonts w:ascii="Arial" w:hAnsi="Arial" w:cs="Arial"/>
          <w:sz w:val="22"/>
          <w:szCs w:val="22"/>
        </w:rPr>
        <w:t xml:space="preserve">, L., Farrell, E.M., Spector, A.E. and Orrell, M. (2018) ‘Reminiscence therapy for dementia’, </w:t>
      </w:r>
      <w:r w:rsidRPr="001E1046">
        <w:rPr>
          <w:rFonts w:ascii="Arial" w:hAnsi="Arial" w:cs="Arial"/>
          <w:i/>
          <w:iCs/>
          <w:sz w:val="22"/>
          <w:szCs w:val="22"/>
        </w:rPr>
        <w:t>Cochrane Database of Systematic Reviews</w:t>
      </w:r>
      <w:r w:rsidRPr="001E1046">
        <w:rPr>
          <w:rFonts w:ascii="Arial" w:hAnsi="Arial" w:cs="Arial"/>
          <w:sz w:val="22"/>
          <w:szCs w:val="22"/>
        </w:rPr>
        <w:t>, 3, pp. 1–55</w:t>
      </w:r>
    </w:p>
    <w:p w14:paraId="43C8F801" w14:textId="77777777" w:rsidR="001E1046" w:rsidRPr="005D73C5" w:rsidRDefault="001E1046" w:rsidP="001E1046">
      <w:pPr>
        <w:spacing w:line="360" w:lineRule="auto"/>
        <w:jc w:val="both"/>
        <w:rPr>
          <w:rFonts w:ascii="Arial" w:hAnsi="Arial" w:cs="Arial"/>
          <w:sz w:val="22"/>
          <w:szCs w:val="22"/>
        </w:rPr>
      </w:pPr>
    </w:p>
    <w:p w14:paraId="1D366F61" w14:textId="77777777" w:rsidR="007C1C8A" w:rsidRPr="005D73C5" w:rsidRDefault="007C1C8A" w:rsidP="001E1046">
      <w:pPr>
        <w:spacing w:line="360" w:lineRule="auto"/>
        <w:jc w:val="both"/>
        <w:rPr>
          <w:rFonts w:ascii="Arial" w:hAnsi="Arial" w:cs="Arial"/>
          <w:sz w:val="22"/>
          <w:szCs w:val="22"/>
        </w:rPr>
      </w:pPr>
    </w:p>
    <w:sectPr w:rsidR="007C1C8A" w:rsidRPr="005D73C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63840" w14:textId="77777777" w:rsidR="00DA014F" w:rsidRDefault="00DA014F" w:rsidP="00952A37">
      <w:pPr>
        <w:spacing w:after="0" w:line="240" w:lineRule="auto"/>
      </w:pPr>
      <w:r>
        <w:separator/>
      </w:r>
    </w:p>
  </w:endnote>
  <w:endnote w:type="continuationSeparator" w:id="0">
    <w:p w14:paraId="20B7AEB4" w14:textId="77777777" w:rsidR="00DA014F" w:rsidRDefault="00DA014F" w:rsidP="0095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809035"/>
      <w:docPartObj>
        <w:docPartGallery w:val="Page Numbers (Bottom of Page)"/>
        <w:docPartUnique/>
      </w:docPartObj>
    </w:sdtPr>
    <w:sdtEndPr/>
    <w:sdtContent>
      <w:p w14:paraId="640EBABE" w14:textId="54A2B164" w:rsidR="00952A37" w:rsidRDefault="00952A37">
        <w:pPr>
          <w:pStyle w:val="Footer"/>
          <w:jc w:val="center"/>
        </w:pPr>
        <w:r>
          <w:fldChar w:fldCharType="begin"/>
        </w:r>
        <w:r>
          <w:instrText>PAGE   \* MERGEFORMAT</w:instrText>
        </w:r>
        <w:r>
          <w:fldChar w:fldCharType="separate"/>
        </w:r>
        <w:r>
          <w:t>2</w:t>
        </w:r>
        <w:r>
          <w:fldChar w:fldCharType="end"/>
        </w:r>
      </w:p>
    </w:sdtContent>
  </w:sdt>
  <w:p w14:paraId="013CEF23" w14:textId="77777777" w:rsidR="00952A37" w:rsidRDefault="00952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78F25" w14:textId="77777777" w:rsidR="00DA014F" w:rsidRDefault="00DA014F" w:rsidP="00952A37">
      <w:pPr>
        <w:spacing w:after="0" w:line="240" w:lineRule="auto"/>
      </w:pPr>
      <w:r>
        <w:separator/>
      </w:r>
    </w:p>
  </w:footnote>
  <w:footnote w:type="continuationSeparator" w:id="0">
    <w:p w14:paraId="744F5E42" w14:textId="77777777" w:rsidR="00DA014F" w:rsidRDefault="00DA014F" w:rsidP="00952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9C2"/>
    <w:multiLevelType w:val="multilevel"/>
    <w:tmpl w:val="1C3C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E4195"/>
    <w:multiLevelType w:val="multilevel"/>
    <w:tmpl w:val="5CD8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57E4A"/>
    <w:multiLevelType w:val="multilevel"/>
    <w:tmpl w:val="4F30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E526A"/>
    <w:multiLevelType w:val="multilevel"/>
    <w:tmpl w:val="F33C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62491"/>
    <w:multiLevelType w:val="multilevel"/>
    <w:tmpl w:val="32BC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6B40AB"/>
    <w:multiLevelType w:val="multilevel"/>
    <w:tmpl w:val="5ABA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6E5CCF"/>
    <w:multiLevelType w:val="multilevel"/>
    <w:tmpl w:val="6D78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0849AE"/>
    <w:multiLevelType w:val="multilevel"/>
    <w:tmpl w:val="AA18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416115">
    <w:abstractNumId w:val="7"/>
  </w:num>
  <w:num w:numId="2" w16cid:durableId="1303460267">
    <w:abstractNumId w:val="6"/>
  </w:num>
  <w:num w:numId="3" w16cid:durableId="1607421239">
    <w:abstractNumId w:val="3"/>
  </w:num>
  <w:num w:numId="4" w16cid:durableId="849954915">
    <w:abstractNumId w:val="1"/>
  </w:num>
  <w:num w:numId="5" w16cid:durableId="493684221">
    <w:abstractNumId w:val="0"/>
  </w:num>
  <w:num w:numId="6" w16cid:durableId="1691492537">
    <w:abstractNumId w:val="5"/>
  </w:num>
  <w:num w:numId="7" w16cid:durableId="1409576019">
    <w:abstractNumId w:val="4"/>
  </w:num>
  <w:num w:numId="8" w16cid:durableId="7619241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F60"/>
    <w:rsid w:val="00060FB4"/>
    <w:rsid w:val="000D335F"/>
    <w:rsid w:val="001E1046"/>
    <w:rsid w:val="00325CF7"/>
    <w:rsid w:val="00425F60"/>
    <w:rsid w:val="00447D51"/>
    <w:rsid w:val="00556503"/>
    <w:rsid w:val="00591529"/>
    <w:rsid w:val="005D73C5"/>
    <w:rsid w:val="00646B8C"/>
    <w:rsid w:val="00722ABC"/>
    <w:rsid w:val="00780A21"/>
    <w:rsid w:val="007C1C8A"/>
    <w:rsid w:val="00843325"/>
    <w:rsid w:val="008E6DFD"/>
    <w:rsid w:val="00933855"/>
    <w:rsid w:val="00952A37"/>
    <w:rsid w:val="009C2310"/>
    <w:rsid w:val="00AA2535"/>
    <w:rsid w:val="00AF5E59"/>
    <w:rsid w:val="00BF217C"/>
    <w:rsid w:val="00C8767E"/>
    <w:rsid w:val="00DA014F"/>
    <w:rsid w:val="00DA4078"/>
    <w:rsid w:val="00F901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033D"/>
  <w15:chartTrackingRefBased/>
  <w15:docId w15:val="{26EC2EEC-490C-E74A-ACE8-A696749A0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F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5F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5F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25F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F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F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F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F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F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F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5F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5F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25F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F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F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F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F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F60"/>
    <w:rPr>
      <w:rFonts w:eastAsiaTheme="majorEastAsia" w:cstheme="majorBidi"/>
      <w:color w:val="272727" w:themeColor="text1" w:themeTint="D8"/>
    </w:rPr>
  </w:style>
  <w:style w:type="paragraph" w:styleId="Title">
    <w:name w:val="Title"/>
    <w:basedOn w:val="Normal"/>
    <w:next w:val="Normal"/>
    <w:link w:val="TitleChar"/>
    <w:uiPriority w:val="10"/>
    <w:qFormat/>
    <w:rsid w:val="00425F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F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F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F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F60"/>
    <w:pPr>
      <w:spacing w:before="160"/>
      <w:jc w:val="center"/>
    </w:pPr>
    <w:rPr>
      <w:i/>
      <w:iCs/>
      <w:color w:val="404040" w:themeColor="text1" w:themeTint="BF"/>
    </w:rPr>
  </w:style>
  <w:style w:type="character" w:customStyle="1" w:styleId="QuoteChar">
    <w:name w:val="Quote Char"/>
    <w:basedOn w:val="DefaultParagraphFont"/>
    <w:link w:val="Quote"/>
    <w:uiPriority w:val="29"/>
    <w:rsid w:val="00425F60"/>
    <w:rPr>
      <w:i/>
      <w:iCs/>
      <w:color w:val="404040" w:themeColor="text1" w:themeTint="BF"/>
    </w:rPr>
  </w:style>
  <w:style w:type="paragraph" w:styleId="ListParagraph">
    <w:name w:val="List Paragraph"/>
    <w:basedOn w:val="Normal"/>
    <w:uiPriority w:val="34"/>
    <w:qFormat/>
    <w:rsid w:val="00425F60"/>
    <w:pPr>
      <w:ind w:left="720"/>
      <w:contextualSpacing/>
    </w:pPr>
  </w:style>
  <w:style w:type="character" w:styleId="IntenseEmphasis">
    <w:name w:val="Intense Emphasis"/>
    <w:basedOn w:val="DefaultParagraphFont"/>
    <w:uiPriority w:val="21"/>
    <w:qFormat/>
    <w:rsid w:val="00425F60"/>
    <w:rPr>
      <w:i/>
      <w:iCs/>
      <w:color w:val="0F4761" w:themeColor="accent1" w:themeShade="BF"/>
    </w:rPr>
  </w:style>
  <w:style w:type="paragraph" w:styleId="IntenseQuote">
    <w:name w:val="Intense Quote"/>
    <w:basedOn w:val="Normal"/>
    <w:next w:val="Normal"/>
    <w:link w:val="IntenseQuoteChar"/>
    <w:uiPriority w:val="30"/>
    <w:qFormat/>
    <w:rsid w:val="00425F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F60"/>
    <w:rPr>
      <w:i/>
      <w:iCs/>
      <w:color w:val="0F4761" w:themeColor="accent1" w:themeShade="BF"/>
    </w:rPr>
  </w:style>
  <w:style w:type="character" w:styleId="IntenseReference">
    <w:name w:val="Intense Reference"/>
    <w:basedOn w:val="DefaultParagraphFont"/>
    <w:uiPriority w:val="32"/>
    <w:qFormat/>
    <w:rsid w:val="00425F60"/>
    <w:rPr>
      <w:b/>
      <w:bCs/>
      <w:smallCaps/>
      <w:color w:val="0F4761" w:themeColor="accent1" w:themeShade="BF"/>
      <w:spacing w:val="5"/>
    </w:rPr>
  </w:style>
  <w:style w:type="character" w:styleId="Strong">
    <w:name w:val="Strong"/>
    <w:basedOn w:val="DefaultParagraphFont"/>
    <w:uiPriority w:val="22"/>
    <w:qFormat/>
    <w:rsid w:val="00425F60"/>
    <w:rPr>
      <w:b/>
      <w:bCs/>
    </w:rPr>
  </w:style>
  <w:style w:type="paragraph" w:styleId="NormalWeb">
    <w:name w:val="Normal (Web)"/>
    <w:basedOn w:val="Normal"/>
    <w:uiPriority w:val="99"/>
    <w:semiHidden/>
    <w:unhideWhenUsed/>
    <w:rsid w:val="00425F6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25F60"/>
  </w:style>
  <w:style w:type="character" w:styleId="Emphasis">
    <w:name w:val="Emphasis"/>
    <w:basedOn w:val="DefaultParagraphFont"/>
    <w:uiPriority w:val="20"/>
    <w:qFormat/>
    <w:rsid w:val="00425F60"/>
    <w:rPr>
      <w:i/>
      <w:iCs/>
    </w:rPr>
  </w:style>
  <w:style w:type="paragraph" w:styleId="Header">
    <w:name w:val="header"/>
    <w:basedOn w:val="Normal"/>
    <w:link w:val="HeaderChar"/>
    <w:uiPriority w:val="99"/>
    <w:unhideWhenUsed/>
    <w:rsid w:val="00952A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A37"/>
  </w:style>
  <w:style w:type="paragraph" w:styleId="Footer">
    <w:name w:val="footer"/>
    <w:basedOn w:val="Normal"/>
    <w:link w:val="FooterChar"/>
    <w:uiPriority w:val="99"/>
    <w:unhideWhenUsed/>
    <w:rsid w:val="00952A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A37"/>
  </w:style>
  <w:style w:type="character" w:styleId="Hyperlink">
    <w:name w:val="Hyperlink"/>
    <w:basedOn w:val="DefaultParagraphFont"/>
    <w:uiPriority w:val="99"/>
    <w:unhideWhenUsed/>
    <w:rsid w:val="000D335F"/>
    <w:rPr>
      <w:color w:val="467886" w:themeColor="hyperlink"/>
      <w:u w:val="single"/>
    </w:rPr>
  </w:style>
  <w:style w:type="character" w:styleId="UnresolvedMention">
    <w:name w:val="Unresolved Mention"/>
    <w:basedOn w:val="DefaultParagraphFont"/>
    <w:uiPriority w:val="99"/>
    <w:semiHidden/>
    <w:unhideWhenUsed/>
    <w:rsid w:val="000D33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907747">
      <w:bodyDiv w:val="1"/>
      <w:marLeft w:val="0"/>
      <w:marRight w:val="0"/>
      <w:marTop w:val="0"/>
      <w:marBottom w:val="0"/>
      <w:divBdr>
        <w:top w:val="none" w:sz="0" w:space="0" w:color="auto"/>
        <w:left w:val="none" w:sz="0" w:space="0" w:color="auto"/>
        <w:bottom w:val="none" w:sz="0" w:space="0" w:color="auto"/>
        <w:right w:val="none" w:sz="0" w:space="0" w:color="auto"/>
      </w:divBdr>
    </w:div>
    <w:div w:id="1092628218">
      <w:bodyDiv w:val="1"/>
      <w:marLeft w:val="0"/>
      <w:marRight w:val="0"/>
      <w:marTop w:val="0"/>
      <w:marBottom w:val="0"/>
      <w:divBdr>
        <w:top w:val="none" w:sz="0" w:space="0" w:color="auto"/>
        <w:left w:val="none" w:sz="0" w:space="0" w:color="auto"/>
        <w:bottom w:val="none" w:sz="0" w:space="0" w:color="auto"/>
        <w:right w:val="none" w:sz="0" w:space="0" w:color="auto"/>
      </w:divBdr>
    </w:div>
    <w:div w:id="200797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616734.2025.255082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archger.2020.104184" TargetMode="External"/><Relationship Id="rId5" Type="http://schemas.openxmlformats.org/officeDocument/2006/relationships/footnotes" Target="footnotes.xml"/><Relationship Id="rId10" Type="http://schemas.openxmlformats.org/officeDocument/2006/relationships/hyperlink" Target="https://doi.org/10.4103/2589-9171.227650" TargetMode="External"/><Relationship Id="rId4" Type="http://schemas.openxmlformats.org/officeDocument/2006/relationships/webSettings" Target="webSettings.xml"/><Relationship Id="rId9" Type="http://schemas.openxmlformats.org/officeDocument/2006/relationships/hyperlink" Target="https://doi.org/10.1080/136078605003121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1833</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Anahy Munoz Marin</cp:lastModifiedBy>
  <cp:revision>4</cp:revision>
  <dcterms:created xsi:type="dcterms:W3CDTF">2025-12-18T02:37:00Z</dcterms:created>
  <dcterms:modified xsi:type="dcterms:W3CDTF">2025-12-18T02:52:00Z</dcterms:modified>
</cp:coreProperties>
</file>