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B5A2C9" w14:textId="77777777" w:rsidR="001819CF" w:rsidRDefault="00000000">
      <w:pPr>
        <w:spacing w:before="700" w:after="40"/>
        <w:jc w:val="center"/>
      </w:pPr>
      <w:r>
        <w:rPr>
          <w:color w:val="595959"/>
          <w:sz w:val="24"/>
          <w:szCs w:val="24"/>
        </w:rPr>
        <w:t>BMHP5019_BIRM</w:t>
      </w:r>
    </w:p>
    <w:p w14:paraId="6332D82D" w14:textId="77777777" w:rsidR="001819CF" w:rsidRDefault="00000000">
      <w:pPr>
        <w:spacing w:after="240"/>
        <w:jc w:val="center"/>
      </w:pPr>
      <w:r>
        <w:rPr>
          <w:b/>
          <w:bCs/>
          <w:color w:val="1F3864"/>
          <w:sz w:val="26"/>
          <w:szCs w:val="26"/>
        </w:rPr>
        <w:t>Introduction to Independent Research Skills</w:t>
      </w:r>
    </w:p>
    <w:p w14:paraId="309C2A6A" w14:textId="77777777" w:rsidR="001819CF" w:rsidRDefault="00000000">
      <w:pPr>
        <w:shd w:val="clear" w:color="auto" w:fill="1F3864"/>
        <w:spacing w:before="40" w:after="40"/>
        <w:jc w:val="center"/>
      </w:pPr>
      <w:r>
        <w:rPr>
          <w:b/>
          <w:bCs/>
          <w:color w:val="FFFFFF"/>
        </w:rPr>
        <w:t xml:space="preserve">COMPONENT </w:t>
      </w:r>
      <w:proofErr w:type="gramStart"/>
      <w:r>
        <w:rPr>
          <w:b/>
          <w:bCs/>
          <w:color w:val="FFFFFF"/>
        </w:rPr>
        <w:t>2  ·</w:t>
      </w:r>
      <w:proofErr w:type="gramEnd"/>
      <w:r>
        <w:rPr>
          <w:b/>
          <w:bCs/>
          <w:color w:val="FFFFFF"/>
        </w:rPr>
        <w:t xml:space="preserve">  WRITTEN ASSIGNMENT (RESEARCH REPORT)</w:t>
      </w:r>
    </w:p>
    <w:p w14:paraId="7213E5D8" w14:textId="77777777" w:rsidR="001819CF" w:rsidRDefault="001819CF">
      <w:pPr>
        <w:spacing w:after="360"/>
      </w:pPr>
    </w:p>
    <w:p w14:paraId="0065784C" w14:textId="77777777" w:rsidR="001819CF" w:rsidRDefault="00000000">
      <w:pPr>
        <w:spacing w:after="80"/>
        <w:jc w:val="center"/>
      </w:pPr>
      <w:r>
        <w:rPr>
          <w:b/>
          <w:bCs/>
          <w:color w:val="1F3864"/>
          <w:sz w:val="40"/>
          <w:szCs w:val="40"/>
        </w:rPr>
        <w:t>Determinants of Childhood Obesity and Implications for UK Health, Social Care and Digital Health Practice</w:t>
      </w:r>
    </w:p>
    <w:p w14:paraId="4FC4B395" w14:textId="77777777" w:rsidR="001819CF" w:rsidRDefault="00000000">
      <w:pPr>
        <w:spacing w:after="40"/>
        <w:jc w:val="center"/>
      </w:pPr>
      <w:r>
        <w:rPr>
          <w:i/>
          <w:iCs/>
          <w:color w:val="2E74B5"/>
          <w:sz w:val="28"/>
          <w:szCs w:val="28"/>
        </w:rPr>
        <w:t>A Scoping Review</w:t>
      </w:r>
    </w:p>
    <w:p w14:paraId="482A28E8" w14:textId="77777777" w:rsidR="001819CF" w:rsidRDefault="001819CF">
      <w:pPr>
        <w:pBdr>
          <w:bottom w:val="single" w:sz="8" w:space="1" w:color="BFC9D6"/>
        </w:pBdr>
        <w:spacing w:before="180" w:after="0"/>
        <w:jc w:val="center"/>
      </w:pPr>
    </w:p>
    <w:p w14:paraId="147022FA" w14:textId="77777777" w:rsidR="001819CF" w:rsidRDefault="001819CF">
      <w:pPr>
        <w:spacing w:after="560"/>
      </w:pPr>
    </w:p>
    <w:p w14:paraId="2CFA8A5E" w14:textId="77777777" w:rsidR="001819CF" w:rsidRDefault="00000000">
      <w:pPr>
        <w:spacing w:after="130"/>
        <w:jc w:val="center"/>
      </w:pPr>
      <w:r>
        <w:rPr>
          <w:b/>
          <w:bCs/>
          <w:sz w:val="24"/>
          <w:szCs w:val="24"/>
        </w:rPr>
        <w:t xml:space="preserve">Student Name:  </w:t>
      </w:r>
      <w:r>
        <w:rPr>
          <w:color w:val="595959"/>
          <w:sz w:val="24"/>
          <w:szCs w:val="24"/>
        </w:rPr>
        <w:t xml:space="preserve">Andreea Livia </w:t>
      </w:r>
      <w:proofErr w:type="spellStart"/>
      <w:r>
        <w:rPr>
          <w:color w:val="595959"/>
          <w:sz w:val="24"/>
          <w:szCs w:val="24"/>
        </w:rPr>
        <w:t>Talmaciu</w:t>
      </w:r>
      <w:proofErr w:type="spellEnd"/>
    </w:p>
    <w:p w14:paraId="229AFECF" w14:textId="77777777" w:rsidR="001819CF" w:rsidRDefault="00000000">
      <w:pPr>
        <w:spacing w:after="130"/>
        <w:jc w:val="center"/>
      </w:pPr>
      <w:r>
        <w:rPr>
          <w:b/>
          <w:bCs/>
          <w:sz w:val="24"/>
          <w:szCs w:val="24"/>
        </w:rPr>
        <w:t xml:space="preserve">Student Number:  </w:t>
      </w:r>
      <w:r>
        <w:rPr>
          <w:color w:val="595959"/>
          <w:sz w:val="24"/>
          <w:szCs w:val="24"/>
        </w:rPr>
        <w:t>2409581</w:t>
      </w:r>
    </w:p>
    <w:p w14:paraId="2F2E09B1" w14:textId="188BFE6D" w:rsidR="001819CF" w:rsidRDefault="001819CF" w:rsidP="008631C6">
      <w:pPr>
        <w:spacing w:after="130"/>
      </w:pPr>
    </w:p>
    <w:p w14:paraId="14369183" w14:textId="77777777" w:rsidR="001819CF" w:rsidRDefault="00000000">
      <w:r>
        <w:br w:type="page"/>
      </w:r>
    </w:p>
    <w:p w14:paraId="0C7909A3" w14:textId="77777777" w:rsidR="001819CF" w:rsidRDefault="00000000">
      <w:pPr>
        <w:pBdr>
          <w:bottom w:val="single" w:sz="12" w:space="6" w:color="2E74B5"/>
        </w:pBdr>
      </w:pPr>
      <w:r>
        <w:rPr>
          <w:b/>
          <w:bCs/>
          <w:color w:val="1F3864"/>
          <w:sz w:val="30"/>
          <w:szCs w:val="30"/>
        </w:rPr>
        <w:lastRenderedPageBreak/>
        <w:t>Table of Contents</w:t>
      </w:r>
    </w:p>
    <w:sdt>
      <w:sdtPr>
        <w:id w:val="-1426469701"/>
        <w:docPartObj>
          <w:docPartGallery w:val="Table of Contents"/>
          <w:docPartUnique/>
        </w:docPartObj>
      </w:sdtPr>
      <w:sdtContent>
        <w:p w14:paraId="1A736ACA" w14:textId="77777777" w:rsidR="001819CF" w:rsidRDefault="00000000">
          <w:r>
            <w:fldChar w:fldCharType="begin"/>
          </w:r>
          <w:r>
            <w:instrText xml:space="preserve"> TOC \h \u \z \t "Heading 1,1,Heading 2,2,Heading 3,3,"</w:instrText>
          </w:r>
          <w:r>
            <w:fldChar w:fldCharType="separate"/>
          </w:r>
        </w:p>
        <w:p w14:paraId="58D4802D" w14:textId="77777777" w:rsidR="001819CF" w:rsidRDefault="00000000">
          <w:r>
            <w:fldChar w:fldCharType="end"/>
          </w:r>
        </w:p>
      </w:sdtContent>
    </w:sdt>
    <w:p w14:paraId="6B463269" w14:textId="77777777" w:rsidR="001819CF" w:rsidRDefault="00000000">
      <w:r>
        <w:br w:type="page"/>
      </w:r>
    </w:p>
    <w:p w14:paraId="7F08CDD7" w14:textId="77777777" w:rsidR="001819CF" w:rsidRDefault="00000000">
      <w:pPr>
        <w:pStyle w:val="Heading1"/>
      </w:pPr>
      <w:r>
        <w:lastRenderedPageBreak/>
        <w:t>1. Introduction</w:t>
      </w:r>
    </w:p>
    <w:p w14:paraId="0FCDC04C" w14:textId="77777777" w:rsidR="001819CF" w:rsidRDefault="00000000">
      <w:pPr>
        <w:jc w:val="both"/>
      </w:pPr>
      <w:r>
        <w:t>Childhood obesity is a significant public-health issue in the United Kingdom because it affects children’s physical health, emotional wellbeing, social participation and long-term risk of non-communicable disease (World Health Organization, 2024). Obesity in children is usually assessed using body mass index adjusted for age and sex, as children’s body composition changes as they grow. In England, child weight status is monitored nationally through the National Child Measurement Programme, which measures children in Reception aged 4–5 and Year 6 aged 10–11. The NCMP is therefore a major source of public-health data for identifying trends, inequalities and local areas where intervention may be required.</w:t>
      </w:r>
    </w:p>
    <w:p w14:paraId="6356DB94" w14:textId="77777777" w:rsidR="001819CF" w:rsidRDefault="00000000">
      <w:pPr>
        <w:jc w:val="both"/>
      </w:pPr>
      <w:r>
        <w:t>Although childhood obesity is often discussed in terms of diet, physical activity and individual behaviour, this explanation is too narrow. Children’s weight is shaped by wider determinants, including household income, family routines, parental education, food prices, school environments, advertising, digital media and local access to safe spaces for physical activity. NICE guidance recognises overweight and obesity as issues requiring both prevention and management across children, young people and adults, which means that effective practice must consider the social and environmental conditions around the child rather than relying only on individual advice.</w:t>
      </w:r>
    </w:p>
    <w:p w14:paraId="1632B0E8" w14:textId="77777777" w:rsidR="001819CF" w:rsidRDefault="00000000">
      <w:pPr>
        <w:jc w:val="both"/>
      </w:pPr>
      <w:r>
        <w:t>This topic is important for UK health, social care and digital health practice because childhood obesity is unequally distributed. Children living in more deprived areas are more likely to experience obesity, and these inequalities are linked to broader social determinants of health (Marmot, 2010). If services focus only on telling families to eat less and move more, they may fail to address the conditions that make healthier choices more difficult for some families. Digital food marketing is also increasingly relevant because children are exposed to food and drink advertising through social media, online videos and influencer content, not only through television.</w:t>
      </w:r>
    </w:p>
    <w:p w14:paraId="31B97C97" w14:textId="77777777" w:rsidR="001819CF" w:rsidRDefault="00000000">
      <w:pPr>
        <w:jc w:val="both"/>
      </w:pPr>
      <w:r>
        <w:t>This scoping review examines recent peer-reviewed evidence on the determinants of childhood obesity. It focuses on behavioural, family, socioeconomic, environmental and commercial determinants, with particular attention to UK practice. The review uses a scoping-review approach because the topic is broad and multi-factorial. Rather than testing a single intervention, the purpose is to map the available evidence, identify common themes and consider implications for future research, policy and practice.</w:t>
      </w:r>
    </w:p>
    <w:p w14:paraId="33ED6B32" w14:textId="77777777" w:rsidR="001819CF" w:rsidRDefault="00000000">
      <w:pPr>
        <w:pStyle w:val="Heading2"/>
      </w:pPr>
      <w:proofErr w:type="gramStart"/>
      <w:r>
        <w:t>1.1  Review</w:t>
      </w:r>
      <w:proofErr w:type="gramEnd"/>
      <w:r>
        <w:t xml:space="preserve"> Question</w:t>
      </w:r>
    </w:p>
    <w:p w14:paraId="36363BCD" w14:textId="77777777" w:rsidR="001819CF" w:rsidRDefault="00000000">
      <w:r>
        <w:rPr>
          <w:b/>
          <w:bCs/>
          <w:i/>
          <w:iCs/>
          <w:color w:val="1F3864"/>
        </w:rPr>
        <w:lastRenderedPageBreak/>
        <w:t>What behavioural, family, socioeconomic, food-environment and digital/commercial determinants of childhood obesity are identified in recent peer-reviewed literature, and what are the implications for UK health, social care and digital health practice?</w:t>
      </w:r>
    </w:p>
    <w:p w14:paraId="59A0EAC2" w14:textId="77777777" w:rsidR="001819CF" w:rsidRDefault="00000000">
      <w:pPr>
        <w:pStyle w:val="Heading2"/>
      </w:pPr>
      <w:proofErr w:type="gramStart"/>
      <w:r>
        <w:t>1.2  Aim</w:t>
      </w:r>
      <w:proofErr w:type="gramEnd"/>
    </w:p>
    <w:p w14:paraId="0D5AF2AA" w14:textId="77777777" w:rsidR="001819CF" w:rsidRDefault="00000000">
      <w:pPr>
        <w:jc w:val="both"/>
      </w:pPr>
      <w:r>
        <w:t>To identify and map recent evidence on determinants of childhood obesity and evaluate the implications for UK health, social care and digital health practice.</w:t>
      </w:r>
    </w:p>
    <w:p w14:paraId="751C2398" w14:textId="77777777" w:rsidR="001819CF" w:rsidRDefault="00000000">
      <w:pPr>
        <w:pStyle w:val="Heading2"/>
      </w:pPr>
      <w:proofErr w:type="gramStart"/>
      <w:r>
        <w:t>1.3  Objectives</w:t>
      </w:r>
      <w:proofErr w:type="gramEnd"/>
    </w:p>
    <w:p w14:paraId="538E7521" w14:textId="77777777" w:rsidR="001819CF" w:rsidRDefault="00000000">
      <w:pPr>
        <w:numPr>
          <w:ilvl w:val="0"/>
          <w:numId w:val="1"/>
        </w:numPr>
        <w:pBdr>
          <w:top w:val="nil"/>
          <w:left w:val="nil"/>
          <w:bottom w:val="nil"/>
          <w:right w:val="nil"/>
          <w:between w:val="nil"/>
        </w:pBdr>
        <w:spacing w:after="40"/>
      </w:pPr>
      <w:r>
        <w:t>To identify key behavioural, family, socioeconomic, environmental and commercial determinants of childhood obesity.</w:t>
      </w:r>
    </w:p>
    <w:p w14:paraId="1B305705" w14:textId="77777777" w:rsidR="001819CF" w:rsidRDefault="00000000">
      <w:pPr>
        <w:numPr>
          <w:ilvl w:val="0"/>
          <w:numId w:val="1"/>
        </w:numPr>
        <w:pBdr>
          <w:top w:val="nil"/>
          <w:left w:val="nil"/>
          <w:bottom w:val="nil"/>
          <w:right w:val="nil"/>
          <w:between w:val="nil"/>
        </w:pBdr>
        <w:spacing w:after="40"/>
      </w:pPr>
      <w:r>
        <w:t>To examine how childhood obesity risk develops between early childhood and later primary-school age.</w:t>
      </w:r>
    </w:p>
    <w:p w14:paraId="2887211A" w14:textId="77777777" w:rsidR="001819CF" w:rsidRDefault="00000000">
      <w:pPr>
        <w:numPr>
          <w:ilvl w:val="0"/>
          <w:numId w:val="1"/>
        </w:numPr>
        <w:pBdr>
          <w:top w:val="nil"/>
          <w:left w:val="nil"/>
          <w:bottom w:val="nil"/>
          <w:right w:val="nil"/>
          <w:between w:val="nil"/>
        </w:pBdr>
        <w:spacing w:after="40"/>
      </w:pPr>
      <w:r>
        <w:t>To analyse the selected literature using Aveyard’s simplified thematic analysis.</w:t>
      </w:r>
    </w:p>
    <w:p w14:paraId="630DA475" w14:textId="77777777" w:rsidR="001819CF" w:rsidRDefault="00000000">
      <w:pPr>
        <w:numPr>
          <w:ilvl w:val="0"/>
          <w:numId w:val="1"/>
        </w:numPr>
        <w:pBdr>
          <w:top w:val="nil"/>
          <w:left w:val="nil"/>
          <w:bottom w:val="nil"/>
          <w:right w:val="nil"/>
          <w:between w:val="nil"/>
        </w:pBdr>
        <w:spacing w:after="40"/>
      </w:pPr>
      <w:r>
        <w:t>To evaluate strengths, weaknesses and gaps in the evidence.</w:t>
      </w:r>
    </w:p>
    <w:p w14:paraId="1D6AF752" w14:textId="77777777" w:rsidR="001819CF" w:rsidRDefault="00000000">
      <w:pPr>
        <w:numPr>
          <w:ilvl w:val="0"/>
          <w:numId w:val="1"/>
        </w:numPr>
        <w:pBdr>
          <w:top w:val="nil"/>
          <w:left w:val="nil"/>
          <w:bottom w:val="nil"/>
          <w:right w:val="nil"/>
          <w:between w:val="nil"/>
        </w:pBdr>
      </w:pPr>
      <w:r>
        <w:t>To make recommendations for UK research, policy and practice.</w:t>
      </w:r>
    </w:p>
    <w:p w14:paraId="2B9EBDF6" w14:textId="77777777" w:rsidR="001819CF" w:rsidRDefault="00000000">
      <w:pPr>
        <w:pStyle w:val="Heading1"/>
      </w:pPr>
      <w:r>
        <w:t>2. Background</w:t>
      </w:r>
    </w:p>
    <w:p w14:paraId="03EA508D" w14:textId="77777777" w:rsidR="001819CF" w:rsidRDefault="00000000">
      <w:pPr>
        <w:jc w:val="both"/>
      </w:pPr>
      <w:r>
        <w:t>Childhood obesity remains a major challenge in England. The NCMP annual report for 2024–2025 presents the latest patterns in BMI categories for children in Reception and Year 6, including differences by sex, ethnicity, deprivation, region and local authority. These data are important because they show that childhood obesity is not evenly distributed across the population. The government reported that 10.5% of Reception children and 22.2% of Year 6 children were living with obesity in the 2024–2025 academic year.</w:t>
      </w:r>
    </w:p>
    <w:p w14:paraId="4F20DDF4" w14:textId="77777777" w:rsidR="001819CF" w:rsidRDefault="00000000">
      <w:pPr>
        <w:jc w:val="both"/>
      </w:pPr>
      <w:r>
        <w:t>The difference between Reception and Year 6 is important. Children are more likely to have obesity by the end of primary school than at school entry, suggesting that the primary-school years are a key period for prevention. Mohamed and Pallan’s Birmingham-based study found that between Reception and Year 6, 30% of children moved up by at least one weight category. This shows that weight status is not fixed in early childhood and that timely intervention may reduce the risk of children developing overweight or obesity during primary school.</w:t>
      </w:r>
    </w:p>
    <w:p w14:paraId="3AEFC457" w14:textId="77777777" w:rsidR="001819CF" w:rsidRDefault="00000000">
      <w:pPr>
        <w:jc w:val="both"/>
      </w:pPr>
      <w:r>
        <w:t xml:space="preserve">UK policy has increasingly recognised that childhood obesity is influenced by the environment. NICE NG246 provides guidance on preventing and managing overweight, obesity and central adiposity in children, young people and adults. It supports a joined-up approach that includes assessment, advice, family support and referral to appropriate services. However, guidance </w:t>
      </w:r>
      <w:r>
        <w:lastRenderedPageBreak/>
        <w:t>alone is not enough if services are under-resourced or if families face barriers such as poverty, food insecurity and lack of access to safe physical activity.</w:t>
      </w:r>
    </w:p>
    <w:p w14:paraId="1B4C0A42" w14:textId="77777777" w:rsidR="001819CF" w:rsidRDefault="00000000">
      <w:pPr>
        <w:jc w:val="both"/>
      </w:pPr>
      <w:r>
        <w:t>Commercial determinants are also important. The UK has introduced restrictions on advertising less healthy food and drink, including products high in fat, salt or sugar. Guidance explains that these advertising restrictions came into force across the UK on 5 January 2026 and affect television and online advertising. These restrictions are relevant to childhood obesity because they attempt to reduce children’s exposure to unhealthy food marketing. However, policy debates continue about whether the restrictions are strong enough, particularly where brand advertising, outdoor advertising and unpaid social media content remain difficult to regulate.</w:t>
      </w:r>
    </w:p>
    <w:p w14:paraId="4F3258D9" w14:textId="77777777" w:rsidR="001819CF" w:rsidRDefault="00000000">
      <w:pPr>
        <w:jc w:val="both"/>
      </w:pPr>
      <w:r>
        <w:t>Therefore, childhood obesity should be understood as a multi-level issue. Individual behaviour matters, but behaviour develops within family, school, economic, digital and commercial environments. This review focuses on these interacting determinants and considers what the evidence means for UK practice.</w:t>
      </w:r>
    </w:p>
    <w:p w14:paraId="598752A0" w14:textId="77777777" w:rsidR="001819CF" w:rsidRDefault="00000000">
      <w:pPr>
        <w:pStyle w:val="Heading1"/>
      </w:pPr>
      <w:r>
        <w:t>3. Methods</w:t>
      </w:r>
    </w:p>
    <w:p w14:paraId="37799D24" w14:textId="77777777" w:rsidR="001819CF" w:rsidRDefault="00000000">
      <w:pPr>
        <w:pStyle w:val="Heading2"/>
      </w:pPr>
      <w:proofErr w:type="gramStart"/>
      <w:r>
        <w:t>3.1  Review</w:t>
      </w:r>
      <w:proofErr w:type="gramEnd"/>
      <w:r>
        <w:t xml:space="preserve"> Design</w:t>
      </w:r>
    </w:p>
    <w:p w14:paraId="4F8E3FD3" w14:textId="77777777" w:rsidR="001819CF" w:rsidRDefault="00000000">
      <w:pPr>
        <w:jc w:val="both"/>
      </w:pPr>
      <w:r>
        <w:t>This assignment used a scoping-review design. A scoping review is appropriate because childhood obesity is a broad topic with different types of evidence, including observational studies, cohort studies, systematic reviews and intervention reviews. The purpose was not to calculate a pooled statistical effect, but to map recent evidence, identify themes and highlight implications for UK practice.</w:t>
      </w:r>
    </w:p>
    <w:p w14:paraId="1F336203" w14:textId="77777777" w:rsidR="001819CF" w:rsidRDefault="00000000">
      <w:pPr>
        <w:jc w:val="both"/>
      </w:pPr>
      <w:r>
        <w:t>The review followed the general principles of PRISMA-</w:t>
      </w:r>
      <w:proofErr w:type="spellStart"/>
      <w:r>
        <w:t>ScR</w:t>
      </w:r>
      <w:proofErr w:type="spellEnd"/>
      <w:r>
        <w:t xml:space="preserve"> by using a structured search strategy, clear inclusion and exclusion criteria, data extraction and transparent reporting. The findings were analysed using Aveyard’s simplified thematic analysis, which is suitable for undergraduate health and social-care literature reviews because it allows key patterns to be identified across a small group of studies.</w:t>
      </w:r>
    </w:p>
    <w:p w14:paraId="1143D732" w14:textId="77777777" w:rsidR="001819CF" w:rsidRDefault="00000000">
      <w:pPr>
        <w:pStyle w:val="Heading2"/>
      </w:pPr>
      <w:proofErr w:type="gramStart"/>
      <w:r>
        <w:t>3.2  Search</w:t>
      </w:r>
      <w:proofErr w:type="gramEnd"/>
      <w:r>
        <w:t xml:space="preserve"> Strategy</w:t>
      </w:r>
    </w:p>
    <w:p w14:paraId="72A3654A" w14:textId="77777777" w:rsidR="001819CF" w:rsidRDefault="00000000">
      <w:pPr>
        <w:jc w:val="both"/>
      </w:pPr>
      <w:r>
        <w:t>The search focused on peer-reviewed literature published between 2020 and 2026. The databases searched were PubMed, Google Scholar, BMJ Journals and the university library search system. Additional sources such as NICE, GOV.UK and NHS Digital were used in the background section only.</w:t>
      </w:r>
    </w:p>
    <w:p w14:paraId="0171B6B5" w14:textId="77777777" w:rsidR="001819CF" w:rsidRDefault="00000000">
      <w:pPr>
        <w:spacing w:after="60"/>
      </w:pPr>
      <w:r>
        <w:rPr>
          <w:b/>
          <w:bCs/>
        </w:rPr>
        <w:t>Example search terms:</w:t>
      </w:r>
    </w:p>
    <w:p w14:paraId="027AE3BF" w14:textId="77777777" w:rsidR="001819CF" w:rsidRDefault="00000000">
      <w:pPr>
        <w:spacing w:after="20"/>
        <w:ind w:left="360"/>
      </w:pPr>
      <w:r>
        <w:rPr>
          <w:sz w:val="21"/>
          <w:szCs w:val="21"/>
        </w:rPr>
        <w:lastRenderedPageBreak/>
        <w:t>“</w:t>
      </w:r>
      <w:proofErr w:type="gramStart"/>
      <w:r>
        <w:rPr>
          <w:sz w:val="21"/>
          <w:szCs w:val="21"/>
        </w:rPr>
        <w:t>childhood</w:t>
      </w:r>
      <w:proofErr w:type="gramEnd"/>
      <w:r>
        <w:rPr>
          <w:sz w:val="21"/>
          <w:szCs w:val="21"/>
        </w:rPr>
        <w:t xml:space="preserve"> obesity” OR “child overweight” OR “paediatric obesity”</w:t>
      </w:r>
    </w:p>
    <w:p w14:paraId="3F7FCD63" w14:textId="77777777" w:rsidR="001819CF" w:rsidRDefault="00000000">
      <w:pPr>
        <w:spacing w:after="20"/>
        <w:ind w:left="360"/>
      </w:pPr>
      <w:r>
        <w:rPr>
          <w:b/>
          <w:bCs/>
          <w:color w:val="595959"/>
          <w:sz w:val="21"/>
          <w:szCs w:val="21"/>
        </w:rPr>
        <w:t>AND</w:t>
      </w:r>
    </w:p>
    <w:p w14:paraId="24F71A61" w14:textId="77777777" w:rsidR="001819CF" w:rsidRDefault="00000000">
      <w:pPr>
        <w:spacing w:after="20"/>
        <w:ind w:left="360"/>
      </w:pPr>
      <w:r>
        <w:rPr>
          <w:sz w:val="21"/>
          <w:szCs w:val="21"/>
        </w:rPr>
        <w:t>“determinants” OR “risk factors” OR “social determinants” OR “food environment” OR “digital food marketing” OR “family”</w:t>
      </w:r>
    </w:p>
    <w:p w14:paraId="36BBCA70" w14:textId="77777777" w:rsidR="001819CF" w:rsidRDefault="00000000">
      <w:pPr>
        <w:spacing w:after="20"/>
        <w:ind w:left="360"/>
      </w:pPr>
      <w:r>
        <w:rPr>
          <w:b/>
          <w:bCs/>
          <w:color w:val="595959"/>
          <w:sz w:val="21"/>
          <w:szCs w:val="21"/>
        </w:rPr>
        <w:t>AND</w:t>
      </w:r>
    </w:p>
    <w:p w14:paraId="5D52044D" w14:textId="77777777" w:rsidR="001819CF" w:rsidRDefault="00000000">
      <w:pPr>
        <w:spacing w:after="20"/>
        <w:ind w:left="360"/>
      </w:pPr>
      <w:r>
        <w:rPr>
          <w:sz w:val="21"/>
          <w:szCs w:val="21"/>
        </w:rPr>
        <w:t>“children” OR “young people” OR “adolescents”</w:t>
      </w:r>
    </w:p>
    <w:p w14:paraId="2E7BE11B" w14:textId="77777777" w:rsidR="001819CF" w:rsidRDefault="00000000">
      <w:pPr>
        <w:spacing w:after="20"/>
        <w:ind w:left="360"/>
      </w:pPr>
      <w:r>
        <w:rPr>
          <w:b/>
          <w:bCs/>
          <w:color w:val="595959"/>
          <w:sz w:val="21"/>
          <w:szCs w:val="21"/>
        </w:rPr>
        <w:t>AND</w:t>
      </w:r>
    </w:p>
    <w:p w14:paraId="61778832" w14:textId="77777777" w:rsidR="001819CF" w:rsidRDefault="00000000">
      <w:pPr>
        <w:ind w:left="360"/>
      </w:pPr>
      <w:r>
        <w:rPr>
          <w:sz w:val="21"/>
          <w:szCs w:val="21"/>
        </w:rPr>
        <w:t>“United Kingdom” OR “England” OR “high income countries”</w:t>
      </w:r>
    </w:p>
    <w:p w14:paraId="41B0D9A1" w14:textId="77777777" w:rsidR="001819CF" w:rsidRDefault="00000000">
      <w:pPr>
        <w:pStyle w:val="Heading2"/>
      </w:pPr>
      <w:proofErr w:type="gramStart"/>
      <w:r>
        <w:t>3.3  Inclusion</w:t>
      </w:r>
      <w:proofErr w:type="gramEnd"/>
      <w:r>
        <w:t xml:space="preserve"> and Exclusion Criteria</w:t>
      </w:r>
    </w:p>
    <w:tbl>
      <w:tblPr>
        <w:tblStyle w:val="a"/>
        <w:tblW w:w="9026" w:type="dxa"/>
        <w:tblInd w:w="0" w:type="dxa"/>
        <w:tblBorders>
          <w:top w:val="single" w:sz="4" w:space="0" w:color="BFC9D6"/>
          <w:left w:val="single" w:sz="4" w:space="0" w:color="BFC9D6"/>
          <w:bottom w:val="single" w:sz="4" w:space="0" w:color="BFC9D6"/>
          <w:right w:val="single" w:sz="4" w:space="0" w:color="BFC9D6"/>
          <w:insideH w:val="single" w:sz="4" w:space="0" w:color="BFC9D6"/>
          <w:insideV w:val="single" w:sz="4" w:space="0" w:color="BFC9D6"/>
        </w:tblBorders>
        <w:tblLayout w:type="fixed"/>
        <w:tblLook w:val="0000" w:firstRow="0" w:lastRow="0" w:firstColumn="0" w:lastColumn="0" w:noHBand="0" w:noVBand="0"/>
      </w:tblPr>
      <w:tblGrid>
        <w:gridCol w:w="1800"/>
        <w:gridCol w:w="3613"/>
        <w:gridCol w:w="3613"/>
      </w:tblGrid>
      <w:tr w:rsidR="001819CF" w14:paraId="52612EDC" w14:textId="77777777">
        <w:trPr>
          <w:tblHeader/>
        </w:trPr>
        <w:tc>
          <w:tcPr>
            <w:tcW w:w="1800" w:type="dxa"/>
            <w:shd w:val="clear" w:color="auto" w:fill="1F3864"/>
            <w:tcMar>
              <w:top w:w="50" w:type="dxa"/>
              <w:left w:w="100" w:type="dxa"/>
              <w:bottom w:w="50" w:type="dxa"/>
              <w:right w:w="100" w:type="dxa"/>
            </w:tcMar>
            <w:vAlign w:val="center"/>
          </w:tcPr>
          <w:p w14:paraId="3899CBCE" w14:textId="77777777" w:rsidR="001819CF" w:rsidRDefault="00000000">
            <w:pPr>
              <w:spacing w:after="0" w:line="252" w:lineRule="auto"/>
            </w:pPr>
            <w:r>
              <w:rPr>
                <w:b/>
                <w:bCs/>
                <w:color w:val="FFFFFF"/>
                <w:sz w:val="19"/>
                <w:szCs w:val="19"/>
              </w:rPr>
              <w:t>Criterion</w:t>
            </w:r>
          </w:p>
        </w:tc>
        <w:tc>
          <w:tcPr>
            <w:tcW w:w="3613" w:type="dxa"/>
            <w:shd w:val="clear" w:color="auto" w:fill="1F3864"/>
            <w:tcMar>
              <w:top w:w="50" w:type="dxa"/>
              <w:left w:w="100" w:type="dxa"/>
              <w:bottom w:w="50" w:type="dxa"/>
              <w:right w:w="100" w:type="dxa"/>
            </w:tcMar>
            <w:vAlign w:val="center"/>
          </w:tcPr>
          <w:p w14:paraId="7F2C8143" w14:textId="77777777" w:rsidR="001819CF" w:rsidRDefault="00000000">
            <w:pPr>
              <w:spacing w:after="0" w:line="252" w:lineRule="auto"/>
            </w:pPr>
            <w:r>
              <w:rPr>
                <w:b/>
                <w:bCs/>
                <w:color w:val="FFFFFF"/>
                <w:sz w:val="19"/>
                <w:szCs w:val="19"/>
              </w:rPr>
              <w:t>Inclusion</w:t>
            </w:r>
          </w:p>
        </w:tc>
        <w:tc>
          <w:tcPr>
            <w:tcW w:w="3613" w:type="dxa"/>
            <w:shd w:val="clear" w:color="auto" w:fill="1F3864"/>
            <w:tcMar>
              <w:top w:w="50" w:type="dxa"/>
              <w:left w:w="100" w:type="dxa"/>
              <w:bottom w:w="50" w:type="dxa"/>
              <w:right w:w="100" w:type="dxa"/>
            </w:tcMar>
            <w:vAlign w:val="center"/>
          </w:tcPr>
          <w:p w14:paraId="6967E8F7" w14:textId="77777777" w:rsidR="001819CF" w:rsidRDefault="00000000">
            <w:pPr>
              <w:spacing w:after="0" w:line="252" w:lineRule="auto"/>
            </w:pPr>
            <w:r>
              <w:rPr>
                <w:b/>
                <w:bCs/>
                <w:color w:val="FFFFFF"/>
                <w:sz w:val="19"/>
                <w:szCs w:val="19"/>
              </w:rPr>
              <w:t>Exclusion</w:t>
            </w:r>
          </w:p>
        </w:tc>
      </w:tr>
      <w:tr w:rsidR="001819CF" w14:paraId="58ECEA85" w14:textId="77777777">
        <w:tc>
          <w:tcPr>
            <w:tcW w:w="1800" w:type="dxa"/>
            <w:shd w:val="clear" w:color="auto" w:fill="FFFFFF"/>
            <w:tcMar>
              <w:top w:w="50" w:type="dxa"/>
              <w:left w:w="100" w:type="dxa"/>
              <w:bottom w:w="50" w:type="dxa"/>
              <w:right w:w="100" w:type="dxa"/>
            </w:tcMar>
            <w:vAlign w:val="center"/>
          </w:tcPr>
          <w:p w14:paraId="754F93AC" w14:textId="77777777" w:rsidR="001819CF" w:rsidRDefault="00000000">
            <w:pPr>
              <w:spacing w:after="0" w:line="252" w:lineRule="auto"/>
            </w:pPr>
            <w:r>
              <w:rPr>
                <w:sz w:val="19"/>
                <w:szCs w:val="19"/>
              </w:rPr>
              <w:t>Date</w:t>
            </w:r>
          </w:p>
        </w:tc>
        <w:tc>
          <w:tcPr>
            <w:tcW w:w="3613" w:type="dxa"/>
            <w:shd w:val="clear" w:color="auto" w:fill="FFFFFF"/>
            <w:tcMar>
              <w:top w:w="50" w:type="dxa"/>
              <w:left w:w="100" w:type="dxa"/>
              <w:bottom w:w="50" w:type="dxa"/>
              <w:right w:w="100" w:type="dxa"/>
            </w:tcMar>
            <w:vAlign w:val="center"/>
          </w:tcPr>
          <w:p w14:paraId="08E120F4" w14:textId="77777777" w:rsidR="001819CF" w:rsidRDefault="00000000">
            <w:pPr>
              <w:spacing w:after="0" w:line="252" w:lineRule="auto"/>
            </w:pPr>
            <w:r>
              <w:rPr>
                <w:sz w:val="19"/>
                <w:szCs w:val="19"/>
              </w:rPr>
              <w:t>2020–2026</w:t>
            </w:r>
          </w:p>
        </w:tc>
        <w:tc>
          <w:tcPr>
            <w:tcW w:w="3613" w:type="dxa"/>
            <w:shd w:val="clear" w:color="auto" w:fill="FFFFFF"/>
            <w:tcMar>
              <w:top w:w="50" w:type="dxa"/>
              <w:left w:w="100" w:type="dxa"/>
              <w:bottom w:w="50" w:type="dxa"/>
              <w:right w:w="100" w:type="dxa"/>
            </w:tcMar>
            <w:vAlign w:val="center"/>
          </w:tcPr>
          <w:p w14:paraId="3FB9E0AC" w14:textId="77777777" w:rsidR="001819CF" w:rsidRDefault="00000000">
            <w:pPr>
              <w:spacing w:after="0" w:line="252" w:lineRule="auto"/>
            </w:pPr>
            <w:r>
              <w:rPr>
                <w:sz w:val="19"/>
                <w:szCs w:val="19"/>
              </w:rPr>
              <w:t>Pre-2020 unless seminal</w:t>
            </w:r>
          </w:p>
        </w:tc>
      </w:tr>
      <w:tr w:rsidR="001819CF" w14:paraId="07FE2716" w14:textId="77777777">
        <w:tc>
          <w:tcPr>
            <w:tcW w:w="1800" w:type="dxa"/>
            <w:shd w:val="clear" w:color="auto" w:fill="FFFFFF"/>
            <w:tcMar>
              <w:top w:w="50" w:type="dxa"/>
              <w:left w:w="100" w:type="dxa"/>
              <w:bottom w:w="50" w:type="dxa"/>
              <w:right w:w="100" w:type="dxa"/>
            </w:tcMar>
            <w:vAlign w:val="center"/>
          </w:tcPr>
          <w:p w14:paraId="13EDC776" w14:textId="77777777" w:rsidR="001819CF" w:rsidRDefault="00000000">
            <w:pPr>
              <w:spacing w:after="0" w:line="252" w:lineRule="auto"/>
            </w:pPr>
            <w:r>
              <w:rPr>
                <w:sz w:val="19"/>
                <w:szCs w:val="19"/>
              </w:rPr>
              <w:t>Population</w:t>
            </w:r>
          </w:p>
        </w:tc>
        <w:tc>
          <w:tcPr>
            <w:tcW w:w="3613" w:type="dxa"/>
            <w:shd w:val="clear" w:color="auto" w:fill="FFFFFF"/>
            <w:tcMar>
              <w:top w:w="50" w:type="dxa"/>
              <w:left w:w="100" w:type="dxa"/>
              <w:bottom w:w="50" w:type="dxa"/>
              <w:right w:w="100" w:type="dxa"/>
            </w:tcMar>
            <w:vAlign w:val="center"/>
          </w:tcPr>
          <w:p w14:paraId="2409B6DC" w14:textId="77777777" w:rsidR="001819CF" w:rsidRDefault="00000000">
            <w:pPr>
              <w:spacing w:after="0" w:line="252" w:lineRule="auto"/>
            </w:pPr>
            <w:r>
              <w:rPr>
                <w:sz w:val="19"/>
                <w:szCs w:val="19"/>
              </w:rPr>
              <w:t>Children and young people aged 0–18</w:t>
            </w:r>
          </w:p>
        </w:tc>
        <w:tc>
          <w:tcPr>
            <w:tcW w:w="3613" w:type="dxa"/>
            <w:shd w:val="clear" w:color="auto" w:fill="FFFFFF"/>
            <w:tcMar>
              <w:top w:w="50" w:type="dxa"/>
              <w:left w:w="100" w:type="dxa"/>
              <w:bottom w:w="50" w:type="dxa"/>
              <w:right w:w="100" w:type="dxa"/>
            </w:tcMar>
            <w:vAlign w:val="center"/>
          </w:tcPr>
          <w:p w14:paraId="23B8EA38" w14:textId="77777777" w:rsidR="001819CF" w:rsidRDefault="00000000">
            <w:pPr>
              <w:spacing w:after="0" w:line="252" w:lineRule="auto"/>
            </w:pPr>
            <w:r>
              <w:rPr>
                <w:sz w:val="19"/>
                <w:szCs w:val="19"/>
              </w:rPr>
              <w:t>Adult-only and older-adult-only studies</w:t>
            </w:r>
          </w:p>
        </w:tc>
      </w:tr>
      <w:tr w:rsidR="001819CF" w14:paraId="4B9FC974" w14:textId="77777777">
        <w:tc>
          <w:tcPr>
            <w:tcW w:w="1800" w:type="dxa"/>
            <w:shd w:val="clear" w:color="auto" w:fill="FFFFFF"/>
            <w:tcMar>
              <w:top w:w="50" w:type="dxa"/>
              <w:left w:w="100" w:type="dxa"/>
              <w:bottom w:w="50" w:type="dxa"/>
              <w:right w:w="100" w:type="dxa"/>
            </w:tcMar>
            <w:vAlign w:val="center"/>
          </w:tcPr>
          <w:p w14:paraId="3C2E2812" w14:textId="77777777" w:rsidR="001819CF" w:rsidRDefault="00000000">
            <w:pPr>
              <w:spacing w:after="0" w:line="252" w:lineRule="auto"/>
            </w:pPr>
            <w:r>
              <w:rPr>
                <w:sz w:val="19"/>
                <w:szCs w:val="19"/>
              </w:rPr>
              <w:t>Topic</w:t>
            </w:r>
          </w:p>
        </w:tc>
        <w:tc>
          <w:tcPr>
            <w:tcW w:w="3613" w:type="dxa"/>
            <w:shd w:val="clear" w:color="auto" w:fill="FFFFFF"/>
            <w:tcMar>
              <w:top w:w="50" w:type="dxa"/>
              <w:left w:w="100" w:type="dxa"/>
              <w:bottom w:w="50" w:type="dxa"/>
              <w:right w:w="100" w:type="dxa"/>
            </w:tcMar>
            <w:vAlign w:val="center"/>
          </w:tcPr>
          <w:p w14:paraId="51C41367" w14:textId="77777777" w:rsidR="001819CF" w:rsidRDefault="00000000">
            <w:pPr>
              <w:spacing w:after="0" w:line="252" w:lineRule="auto"/>
            </w:pPr>
            <w:r>
              <w:rPr>
                <w:sz w:val="19"/>
                <w:szCs w:val="19"/>
              </w:rPr>
              <w:t>Childhood obesity determinants, prevention or risk factors</w:t>
            </w:r>
          </w:p>
        </w:tc>
        <w:tc>
          <w:tcPr>
            <w:tcW w:w="3613" w:type="dxa"/>
            <w:shd w:val="clear" w:color="auto" w:fill="FFFFFF"/>
            <w:tcMar>
              <w:top w:w="50" w:type="dxa"/>
              <w:left w:w="100" w:type="dxa"/>
              <w:bottom w:w="50" w:type="dxa"/>
              <w:right w:w="100" w:type="dxa"/>
            </w:tcMar>
            <w:vAlign w:val="center"/>
          </w:tcPr>
          <w:p w14:paraId="6A294097" w14:textId="77777777" w:rsidR="001819CF" w:rsidRDefault="00000000">
            <w:pPr>
              <w:spacing w:after="0" w:line="252" w:lineRule="auto"/>
            </w:pPr>
            <w:r>
              <w:rPr>
                <w:sz w:val="19"/>
                <w:szCs w:val="19"/>
              </w:rPr>
              <w:t>Studies unrelated to obesity</w:t>
            </w:r>
          </w:p>
        </w:tc>
      </w:tr>
      <w:tr w:rsidR="001819CF" w14:paraId="1ADF13B6" w14:textId="77777777">
        <w:tc>
          <w:tcPr>
            <w:tcW w:w="1800" w:type="dxa"/>
            <w:shd w:val="clear" w:color="auto" w:fill="FFFFFF"/>
            <w:tcMar>
              <w:top w:w="50" w:type="dxa"/>
              <w:left w:w="100" w:type="dxa"/>
              <w:bottom w:w="50" w:type="dxa"/>
              <w:right w:w="100" w:type="dxa"/>
            </w:tcMar>
            <w:vAlign w:val="center"/>
          </w:tcPr>
          <w:p w14:paraId="4C0056DC" w14:textId="77777777" w:rsidR="001819CF" w:rsidRDefault="00000000">
            <w:pPr>
              <w:spacing w:after="0" w:line="252" w:lineRule="auto"/>
            </w:pPr>
            <w:r>
              <w:rPr>
                <w:sz w:val="19"/>
                <w:szCs w:val="19"/>
              </w:rPr>
              <w:t>Study type</w:t>
            </w:r>
          </w:p>
        </w:tc>
        <w:tc>
          <w:tcPr>
            <w:tcW w:w="3613" w:type="dxa"/>
            <w:shd w:val="clear" w:color="auto" w:fill="FFFFFF"/>
            <w:tcMar>
              <w:top w:w="50" w:type="dxa"/>
              <w:left w:w="100" w:type="dxa"/>
              <w:bottom w:w="50" w:type="dxa"/>
              <w:right w:w="100" w:type="dxa"/>
            </w:tcMar>
            <w:vAlign w:val="center"/>
          </w:tcPr>
          <w:p w14:paraId="44110918" w14:textId="77777777" w:rsidR="001819CF" w:rsidRDefault="00000000">
            <w:pPr>
              <w:spacing w:after="0" w:line="252" w:lineRule="auto"/>
            </w:pPr>
            <w:r>
              <w:rPr>
                <w:sz w:val="19"/>
                <w:szCs w:val="19"/>
              </w:rPr>
              <w:t>Peer-reviewed journal articles</w:t>
            </w:r>
          </w:p>
        </w:tc>
        <w:tc>
          <w:tcPr>
            <w:tcW w:w="3613" w:type="dxa"/>
            <w:shd w:val="clear" w:color="auto" w:fill="FFFFFF"/>
            <w:tcMar>
              <w:top w:w="50" w:type="dxa"/>
              <w:left w:w="100" w:type="dxa"/>
              <w:bottom w:w="50" w:type="dxa"/>
              <w:right w:w="100" w:type="dxa"/>
            </w:tcMar>
            <w:vAlign w:val="center"/>
          </w:tcPr>
          <w:p w14:paraId="5C96A905" w14:textId="77777777" w:rsidR="001819CF" w:rsidRDefault="00000000">
            <w:pPr>
              <w:spacing w:after="0" w:line="252" w:lineRule="auto"/>
            </w:pPr>
            <w:r>
              <w:rPr>
                <w:sz w:val="19"/>
                <w:szCs w:val="19"/>
              </w:rPr>
              <w:t>Editorials, opinion pieces, conference abstracts</w:t>
            </w:r>
          </w:p>
        </w:tc>
      </w:tr>
      <w:tr w:rsidR="001819CF" w14:paraId="7869F448" w14:textId="77777777">
        <w:tc>
          <w:tcPr>
            <w:tcW w:w="1800" w:type="dxa"/>
            <w:shd w:val="clear" w:color="auto" w:fill="FFFFFF"/>
            <w:tcMar>
              <w:top w:w="50" w:type="dxa"/>
              <w:left w:w="100" w:type="dxa"/>
              <w:bottom w:w="50" w:type="dxa"/>
              <w:right w:w="100" w:type="dxa"/>
            </w:tcMar>
            <w:vAlign w:val="center"/>
          </w:tcPr>
          <w:p w14:paraId="7B04005C" w14:textId="77777777" w:rsidR="001819CF" w:rsidRDefault="00000000">
            <w:pPr>
              <w:spacing w:after="0" w:line="252" w:lineRule="auto"/>
            </w:pPr>
            <w:r>
              <w:rPr>
                <w:sz w:val="19"/>
                <w:szCs w:val="19"/>
              </w:rPr>
              <w:t>Language</w:t>
            </w:r>
          </w:p>
        </w:tc>
        <w:tc>
          <w:tcPr>
            <w:tcW w:w="3613" w:type="dxa"/>
            <w:shd w:val="clear" w:color="auto" w:fill="FFFFFF"/>
            <w:tcMar>
              <w:top w:w="50" w:type="dxa"/>
              <w:left w:w="100" w:type="dxa"/>
              <w:bottom w:w="50" w:type="dxa"/>
              <w:right w:w="100" w:type="dxa"/>
            </w:tcMar>
            <w:vAlign w:val="center"/>
          </w:tcPr>
          <w:p w14:paraId="638EC20E" w14:textId="77777777" w:rsidR="001819CF" w:rsidRDefault="00000000">
            <w:pPr>
              <w:spacing w:after="0" w:line="252" w:lineRule="auto"/>
            </w:pPr>
            <w:r>
              <w:rPr>
                <w:sz w:val="19"/>
                <w:szCs w:val="19"/>
              </w:rPr>
              <w:t>English</w:t>
            </w:r>
          </w:p>
        </w:tc>
        <w:tc>
          <w:tcPr>
            <w:tcW w:w="3613" w:type="dxa"/>
            <w:shd w:val="clear" w:color="auto" w:fill="FFFFFF"/>
            <w:tcMar>
              <w:top w:w="50" w:type="dxa"/>
              <w:left w:w="100" w:type="dxa"/>
              <w:bottom w:w="50" w:type="dxa"/>
              <w:right w:w="100" w:type="dxa"/>
            </w:tcMar>
            <w:vAlign w:val="center"/>
          </w:tcPr>
          <w:p w14:paraId="76B77E01" w14:textId="77777777" w:rsidR="001819CF" w:rsidRDefault="00000000">
            <w:pPr>
              <w:spacing w:after="0" w:line="252" w:lineRule="auto"/>
            </w:pPr>
            <w:r>
              <w:rPr>
                <w:sz w:val="19"/>
                <w:szCs w:val="19"/>
              </w:rPr>
              <w:t>Non-English</w:t>
            </w:r>
          </w:p>
        </w:tc>
      </w:tr>
      <w:tr w:rsidR="001819CF" w14:paraId="1F327962" w14:textId="77777777">
        <w:tc>
          <w:tcPr>
            <w:tcW w:w="1800" w:type="dxa"/>
            <w:shd w:val="clear" w:color="auto" w:fill="FFFFFF"/>
            <w:tcMar>
              <w:top w:w="50" w:type="dxa"/>
              <w:left w:w="100" w:type="dxa"/>
              <w:bottom w:w="50" w:type="dxa"/>
              <w:right w:w="100" w:type="dxa"/>
            </w:tcMar>
            <w:vAlign w:val="center"/>
          </w:tcPr>
          <w:p w14:paraId="13CD5B2E" w14:textId="77777777" w:rsidR="001819CF" w:rsidRDefault="00000000">
            <w:pPr>
              <w:spacing w:after="0" w:line="252" w:lineRule="auto"/>
            </w:pPr>
            <w:r>
              <w:rPr>
                <w:sz w:val="19"/>
                <w:szCs w:val="19"/>
              </w:rPr>
              <w:t>Relevance</w:t>
            </w:r>
          </w:p>
        </w:tc>
        <w:tc>
          <w:tcPr>
            <w:tcW w:w="3613" w:type="dxa"/>
            <w:shd w:val="clear" w:color="auto" w:fill="FFFFFF"/>
            <w:tcMar>
              <w:top w:w="50" w:type="dxa"/>
              <w:left w:w="100" w:type="dxa"/>
              <w:bottom w:w="50" w:type="dxa"/>
              <w:right w:w="100" w:type="dxa"/>
            </w:tcMar>
            <w:vAlign w:val="center"/>
          </w:tcPr>
          <w:p w14:paraId="482FB247" w14:textId="77777777" w:rsidR="001819CF" w:rsidRDefault="00000000">
            <w:pPr>
              <w:spacing w:after="0" w:line="252" w:lineRule="auto"/>
            </w:pPr>
            <w:r>
              <w:rPr>
                <w:sz w:val="19"/>
                <w:szCs w:val="19"/>
              </w:rPr>
              <w:t>UK or transferable to UK practice</w:t>
            </w:r>
          </w:p>
        </w:tc>
        <w:tc>
          <w:tcPr>
            <w:tcW w:w="3613" w:type="dxa"/>
            <w:shd w:val="clear" w:color="auto" w:fill="FFFFFF"/>
            <w:tcMar>
              <w:top w:w="50" w:type="dxa"/>
              <w:left w:w="100" w:type="dxa"/>
              <w:bottom w:w="50" w:type="dxa"/>
              <w:right w:w="100" w:type="dxa"/>
            </w:tcMar>
            <w:vAlign w:val="center"/>
          </w:tcPr>
          <w:p w14:paraId="68D71AF8" w14:textId="77777777" w:rsidR="001819CF" w:rsidRDefault="00000000">
            <w:pPr>
              <w:spacing w:after="0" w:line="252" w:lineRule="auto"/>
            </w:pPr>
            <w:r>
              <w:rPr>
                <w:sz w:val="19"/>
                <w:szCs w:val="19"/>
              </w:rPr>
              <w:t>Contexts with limited relevance to UK practice</w:t>
            </w:r>
          </w:p>
        </w:tc>
      </w:tr>
    </w:tbl>
    <w:p w14:paraId="6E675D8B" w14:textId="77777777" w:rsidR="001819CF" w:rsidRDefault="001819CF">
      <w:pPr>
        <w:spacing w:after="140"/>
      </w:pPr>
    </w:p>
    <w:p w14:paraId="0E7C9F80" w14:textId="77777777" w:rsidR="001819CF" w:rsidRDefault="00000000">
      <w:pPr>
        <w:pStyle w:val="Heading2"/>
      </w:pPr>
      <w:proofErr w:type="gramStart"/>
      <w:r>
        <w:t>3.4  Study</w:t>
      </w:r>
      <w:proofErr w:type="gramEnd"/>
      <w:r>
        <w:t xml:space="preserve"> Selection</w:t>
      </w:r>
    </w:p>
    <w:p w14:paraId="5DFFAAAB" w14:textId="77777777" w:rsidR="001819CF" w:rsidRDefault="00000000">
      <w:pPr>
        <w:jc w:val="both"/>
      </w:pPr>
      <w:r>
        <w:t>The initial search produced a broad range of articles. Titles and abstracts were screened for relevance to childhood obesity. Studies were excluded if they focused mainly on adult obesity, older adults, sarcopenic obesity, animal research or unrelated clinical issues. Six studies were selected because they covered the main determinants required for the review: socioeconomic inequality, primary-school weight change, household/family clustering, early-years intervention, food marketing regulation and digital/social media advertising.</w:t>
      </w:r>
    </w:p>
    <w:p w14:paraId="344352AA" w14:textId="77777777" w:rsidR="001819CF" w:rsidRDefault="00000000">
      <w:pPr>
        <w:pStyle w:val="Heading2"/>
      </w:pPr>
      <w:proofErr w:type="gramStart"/>
      <w:r>
        <w:t>3.5  Data</w:t>
      </w:r>
      <w:proofErr w:type="gramEnd"/>
      <w:r>
        <w:t xml:space="preserve"> Extraction</w:t>
      </w:r>
    </w:p>
    <w:p w14:paraId="15C716DB" w14:textId="77777777" w:rsidR="001819CF" w:rsidRDefault="00000000">
      <w:pPr>
        <w:jc w:val="both"/>
      </w:pPr>
      <w:r>
        <w:t>A data-extraction table was used to record author, year, country, aim, design, sample or evidence base, key findings and relevance to the review question. This helped compare the studies and identify recurring patterns.</w:t>
      </w:r>
    </w:p>
    <w:p w14:paraId="11C493E5" w14:textId="77777777" w:rsidR="001819CF" w:rsidRDefault="00000000">
      <w:pPr>
        <w:pStyle w:val="Heading2"/>
      </w:pPr>
      <w:proofErr w:type="gramStart"/>
      <w:r>
        <w:t>3.6  Thematic</w:t>
      </w:r>
      <w:proofErr w:type="gramEnd"/>
      <w:r>
        <w:t xml:space="preserve"> Analysis</w:t>
      </w:r>
    </w:p>
    <w:p w14:paraId="3D6A84D8" w14:textId="77777777" w:rsidR="001819CF" w:rsidRDefault="00000000">
      <w:pPr>
        <w:jc w:val="both"/>
      </w:pPr>
      <w:r>
        <w:t xml:space="preserve">Aveyard’s simplified thematic analysis was used. First, the selected studies were read several times to identify relevant findings. Second, key findings were coded using short labels such as deprivation, family clustering, digital advertising, early intervention and school-age weight </w:t>
      </w:r>
      <w:r>
        <w:lastRenderedPageBreak/>
        <w:t>gain. Third, similar codes were grouped into wider themes. Four themes were developed: socioeconomic inequality, family and household environment, behavioural and school-age change, and food-environment/digital-commercial determinants.</w:t>
      </w:r>
    </w:p>
    <w:p w14:paraId="3A772557" w14:textId="77777777" w:rsidR="001819CF" w:rsidRDefault="00000000">
      <w:pPr>
        <w:pStyle w:val="Heading2"/>
      </w:pPr>
      <w:proofErr w:type="gramStart"/>
      <w:r>
        <w:t>3.7  Ethical</w:t>
      </w:r>
      <w:proofErr w:type="gramEnd"/>
      <w:r>
        <w:t xml:space="preserve"> Considerations</w:t>
      </w:r>
    </w:p>
    <w:p w14:paraId="07E05067" w14:textId="77777777" w:rsidR="001819CF" w:rsidRDefault="00000000">
      <w:pPr>
        <w:jc w:val="both"/>
      </w:pPr>
      <w:r>
        <w:t>This review used secondary data from published studies and public policy sources, so formal ethical approval was not required. However, ethical practice was still important. The review aimed to report evidence accurately, avoid plagiarism, use appropriate Harvard referencing and avoid misrepresenting the findings of studies. Because childhood obesity can be a sensitive topic, the discussion avoids blaming children or families and instead considers wider social and environmental determinants.</w:t>
      </w:r>
    </w:p>
    <w:p w14:paraId="43793212" w14:textId="77777777" w:rsidR="001819CF" w:rsidRDefault="00000000">
      <w:pPr>
        <w:pStyle w:val="Heading1"/>
      </w:pPr>
      <w:r>
        <w:t>4. Results</w:t>
      </w:r>
    </w:p>
    <w:p w14:paraId="1B82AE4A" w14:textId="77777777" w:rsidR="001819CF" w:rsidRDefault="00000000">
      <w:pPr>
        <w:pStyle w:val="Heading2"/>
      </w:pPr>
      <w:proofErr w:type="gramStart"/>
      <w:r>
        <w:t>4.1  Summary</w:t>
      </w:r>
      <w:proofErr w:type="gramEnd"/>
      <w:r>
        <w:t xml:space="preserve"> of Included Studies</w:t>
      </w:r>
    </w:p>
    <w:tbl>
      <w:tblPr>
        <w:tblStyle w:val="a0"/>
        <w:tblW w:w="9026" w:type="dxa"/>
        <w:tblInd w:w="0" w:type="dxa"/>
        <w:tblBorders>
          <w:top w:val="single" w:sz="4" w:space="0" w:color="BFC9D6"/>
          <w:left w:val="single" w:sz="4" w:space="0" w:color="BFC9D6"/>
          <w:bottom w:val="single" w:sz="4" w:space="0" w:color="BFC9D6"/>
          <w:right w:val="single" w:sz="4" w:space="0" w:color="BFC9D6"/>
          <w:insideH w:val="single" w:sz="4" w:space="0" w:color="BFC9D6"/>
          <w:insideV w:val="single" w:sz="4" w:space="0" w:color="BFC9D6"/>
        </w:tblBorders>
        <w:tblLayout w:type="fixed"/>
        <w:tblLook w:val="0000" w:firstRow="0" w:lastRow="0" w:firstColumn="0" w:lastColumn="0" w:noHBand="0" w:noVBand="0"/>
      </w:tblPr>
      <w:tblGrid>
        <w:gridCol w:w="1400"/>
        <w:gridCol w:w="1980"/>
        <w:gridCol w:w="1560"/>
        <w:gridCol w:w="2586"/>
        <w:gridCol w:w="1500"/>
      </w:tblGrid>
      <w:tr w:rsidR="001819CF" w14:paraId="32B5E751" w14:textId="77777777">
        <w:trPr>
          <w:tblHeader/>
        </w:trPr>
        <w:tc>
          <w:tcPr>
            <w:tcW w:w="1400" w:type="dxa"/>
            <w:shd w:val="clear" w:color="auto" w:fill="1F3864"/>
            <w:tcMar>
              <w:top w:w="50" w:type="dxa"/>
              <w:left w:w="100" w:type="dxa"/>
              <w:bottom w:w="50" w:type="dxa"/>
              <w:right w:w="100" w:type="dxa"/>
            </w:tcMar>
            <w:vAlign w:val="center"/>
          </w:tcPr>
          <w:p w14:paraId="7F6506E0" w14:textId="77777777" w:rsidR="001819CF" w:rsidRDefault="00000000">
            <w:pPr>
              <w:spacing w:after="0" w:line="252" w:lineRule="auto"/>
            </w:pPr>
            <w:r>
              <w:rPr>
                <w:b/>
                <w:bCs/>
                <w:color w:val="FFFFFF"/>
                <w:sz w:val="19"/>
                <w:szCs w:val="19"/>
              </w:rPr>
              <w:t>Author (Year)</w:t>
            </w:r>
          </w:p>
        </w:tc>
        <w:tc>
          <w:tcPr>
            <w:tcW w:w="1980" w:type="dxa"/>
            <w:shd w:val="clear" w:color="auto" w:fill="1F3864"/>
            <w:tcMar>
              <w:top w:w="50" w:type="dxa"/>
              <w:left w:w="100" w:type="dxa"/>
              <w:bottom w:w="50" w:type="dxa"/>
              <w:right w:w="100" w:type="dxa"/>
            </w:tcMar>
            <w:vAlign w:val="center"/>
          </w:tcPr>
          <w:p w14:paraId="61C5AFD7" w14:textId="77777777" w:rsidR="001819CF" w:rsidRDefault="00000000">
            <w:pPr>
              <w:spacing w:after="0" w:line="252" w:lineRule="auto"/>
            </w:pPr>
            <w:r>
              <w:rPr>
                <w:b/>
                <w:bCs/>
                <w:color w:val="FFFFFF"/>
                <w:sz w:val="19"/>
                <w:szCs w:val="19"/>
              </w:rPr>
              <w:t>Aim</w:t>
            </w:r>
          </w:p>
        </w:tc>
        <w:tc>
          <w:tcPr>
            <w:tcW w:w="1560" w:type="dxa"/>
            <w:shd w:val="clear" w:color="auto" w:fill="1F3864"/>
            <w:tcMar>
              <w:top w:w="50" w:type="dxa"/>
              <w:left w:w="100" w:type="dxa"/>
              <w:bottom w:w="50" w:type="dxa"/>
              <w:right w:w="100" w:type="dxa"/>
            </w:tcMar>
            <w:vAlign w:val="center"/>
          </w:tcPr>
          <w:p w14:paraId="77F7BDAB" w14:textId="77777777" w:rsidR="001819CF" w:rsidRDefault="00000000">
            <w:pPr>
              <w:spacing w:after="0" w:line="252" w:lineRule="auto"/>
            </w:pPr>
            <w:r>
              <w:rPr>
                <w:b/>
                <w:bCs/>
                <w:color w:val="FFFFFF"/>
                <w:sz w:val="19"/>
                <w:szCs w:val="19"/>
              </w:rPr>
              <w:t>Design</w:t>
            </w:r>
          </w:p>
        </w:tc>
        <w:tc>
          <w:tcPr>
            <w:tcW w:w="2586" w:type="dxa"/>
            <w:shd w:val="clear" w:color="auto" w:fill="1F3864"/>
            <w:tcMar>
              <w:top w:w="50" w:type="dxa"/>
              <w:left w:w="100" w:type="dxa"/>
              <w:bottom w:w="50" w:type="dxa"/>
              <w:right w:w="100" w:type="dxa"/>
            </w:tcMar>
            <w:vAlign w:val="center"/>
          </w:tcPr>
          <w:p w14:paraId="76343EE8" w14:textId="77777777" w:rsidR="001819CF" w:rsidRDefault="00000000">
            <w:pPr>
              <w:spacing w:after="0" w:line="252" w:lineRule="auto"/>
            </w:pPr>
            <w:r>
              <w:rPr>
                <w:b/>
                <w:bCs/>
                <w:color w:val="FFFFFF"/>
                <w:sz w:val="19"/>
                <w:szCs w:val="19"/>
              </w:rPr>
              <w:t>Key Findings</w:t>
            </w:r>
          </w:p>
        </w:tc>
        <w:tc>
          <w:tcPr>
            <w:tcW w:w="1500" w:type="dxa"/>
            <w:shd w:val="clear" w:color="auto" w:fill="1F3864"/>
            <w:tcMar>
              <w:top w:w="50" w:type="dxa"/>
              <w:left w:w="100" w:type="dxa"/>
              <w:bottom w:w="50" w:type="dxa"/>
              <w:right w:w="100" w:type="dxa"/>
            </w:tcMar>
            <w:vAlign w:val="center"/>
          </w:tcPr>
          <w:p w14:paraId="4D5E38CD" w14:textId="77777777" w:rsidR="001819CF" w:rsidRDefault="00000000">
            <w:pPr>
              <w:spacing w:after="0" w:line="252" w:lineRule="auto"/>
            </w:pPr>
            <w:r>
              <w:rPr>
                <w:b/>
                <w:bCs/>
                <w:color w:val="FFFFFF"/>
                <w:sz w:val="19"/>
                <w:szCs w:val="19"/>
              </w:rPr>
              <w:t>Relevance</w:t>
            </w:r>
          </w:p>
        </w:tc>
      </w:tr>
      <w:tr w:rsidR="001819CF" w14:paraId="2E49E3E2" w14:textId="77777777">
        <w:tc>
          <w:tcPr>
            <w:tcW w:w="1400" w:type="dxa"/>
            <w:shd w:val="clear" w:color="auto" w:fill="FFFFFF"/>
            <w:tcMar>
              <w:top w:w="50" w:type="dxa"/>
              <w:left w:w="100" w:type="dxa"/>
              <w:bottom w:w="50" w:type="dxa"/>
              <w:right w:w="100" w:type="dxa"/>
            </w:tcMar>
            <w:vAlign w:val="center"/>
          </w:tcPr>
          <w:p w14:paraId="0777D5E9" w14:textId="77777777" w:rsidR="001819CF" w:rsidRDefault="00000000">
            <w:pPr>
              <w:spacing w:after="0" w:line="252" w:lineRule="auto"/>
            </w:pPr>
            <w:r>
              <w:rPr>
                <w:sz w:val="19"/>
                <w:szCs w:val="19"/>
              </w:rPr>
              <w:t>Broadbent et al. (2024)</w:t>
            </w:r>
          </w:p>
        </w:tc>
        <w:tc>
          <w:tcPr>
            <w:tcW w:w="1980" w:type="dxa"/>
            <w:shd w:val="clear" w:color="auto" w:fill="FFFFFF"/>
            <w:tcMar>
              <w:top w:w="50" w:type="dxa"/>
              <w:left w:w="100" w:type="dxa"/>
              <w:bottom w:w="50" w:type="dxa"/>
              <w:right w:w="100" w:type="dxa"/>
            </w:tcMar>
            <w:vAlign w:val="center"/>
          </w:tcPr>
          <w:p w14:paraId="1B560A10" w14:textId="77777777" w:rsidR="001819CF" w:rsidRDefault="00000000">
            <w:pPr>
              <w:spacing w:after="0" w:line="252" w:lineRule="auto"/>
            </w:pPr>
            <w:r>
              <w:rPr>
                <w:sz w:val="19"/>
                <w:szCs w:val="19"/>
              </w:rPr>
              <w:t>To examine trends in socioeconomic and ethnic inequalities in childhood overweight and obesity in England from 1995–2019</w:t>
            </w:r>
          </w:p>
        </w:tc>
        <w:tc>
          <w:tcPr>
            <w:tcW w:w="1560" w:type="dxa"/>
            <w:shd w:val="clear" w:color="auto" w:fill="FFFFFF"/>
            <w:tcMar>
              <w:top w:w="50" w:type="dxa"/>
              <w:left w:w="100" w:type="dxa"/>
              <w:bottom w:w="50" w:type="dxa"/>
              <w:right w:w="100" w:type="dxa"/>
            </w:tcMar>
            <w:vAlign w:val="center"/>
          </w:tcPr>
          <w:p w14:paraId="4ECCC70D" w14:textId="77777777" w:rsidR="001819CF" w:rsidRDefault="00000000">
            <w:pPr>
              <w:spacing w:after="0" w:line="252" w:lineRule="auto"/>
            </w:pPr>
            <w:r>
              <w:rPr>
                <w:sz w:val="19"/>
                <w:szCs w:val="19"/>
              </w:rPr>
              <w:t>Repeated cross-sectional study using Health Survey for England and NCMP data</w:t>
            </w:r>
          </w:p>
        </w:tc>
        <w:tc>
          <w:tcPr>
            <w:tcW w:w="2586" w:type="dxa"/>
            <w:shd w:val="clear" w:color="auto" w:fill="FFFFFF"/>
            <w:tcMar>
              <w:top w:w="50" w:type="dxa"/>
              <w:left w:w="100" w:type="dxa"/>
              <w:bottom w:w="50" w:type="dxa"/>
              <w:right w:w="100" w:type="dxa"/>
            </w:tcMar>
            <w:vAlign w:val="center"/>
          </w:tcPr>
          <w:p w14:paraId="20FD2341" w14:textId="77777777" w:rsidR="001819CF" w:rsidRDefault="00000000">
            <w:pPr>
              <w:spacing w:after="0" w:line="252" w:lineRule="auto"/>
            </w:pPr>
            <w:r>
              <w:rPr>
                <w:sz w:val="19"/>
                <w:szCs w:val="19"/>
              </w:rPr>
              <w:t>Childhood overweight including obesity increased from 26.0% in 1995 to 31.7% in 2019; inequalities widened over time.</w:t>
            </w:r>
          </w:p>
        </w:tc>
        <w:tc>
          <w:tcPr>
            <w:tcW w:w="1500" w:type="dxa"/>
            <w:shd w:val="clear" w:color="auto" w:fill="FFFFFF"/>
            <w:tcMar>
              <w:top w:w="50" w:type="dxa"/>
              <w:left w:w="100" w:type="dxa"/>
              <w:bottom w:w="50" w:type="dxa"/>
              <w:right w:w="100" w:type="dxa"/>
            </w:tcMar>
            <w:vAlign w:val="center"/>
          </w:tcPr>
          <w:p w14:paraId="2A3E2CD0" w14:textId="77777777" w:rsidR="001819CF" w:rsidRDefault="00000000">
            <w:pPr>
              <w:spacing w:after="0" w:line="252" w:lineRule="auto"/>
            </w:pPr>
            <w:r>
              <w:rPr>
                <w:sz w:val="19"/>
                <w:szCs w:val="19"/>
              </w:rPr>
              <w:t>Shows childhood obesity is strongly linked to inequality, not only individual behaviour.</w:t>
            </w:r>
          </w:p>
        </w:tc>
      </w:tr>
      <w:tr w:rsidR="001819CF" w14:paraId="32C6FE52" w14:textId="77777777">
        <w:tc>
          <w:tcPr>
            <w:tcW w:w="1400" w:type="dxa"/>
            <w:shd w:val="clear" w:color="auto" w:fill="FFFFFF"/>
            <w:tcMar>
              <w:top w:w="50" w:type="dxa"/>
              <w:left w:w="100" w:type="dxa"/>
              <w:bottom w:w="50" w:type="dxa"/>
              <w:right w:w="100" w:type="dxa"/>
            </w:tcMar>
            <w:vAlign w:val="center"/>
          </w:tcPr>
          <w:p w14:paraId="63B8110B" w14:textId="77777777" w:rsidR="001819CF" w:rsidRDefault="00000000">
            <w:pPr>
              <w:spacing w:after="0" w:line="252" w:lineRule="auto"/>
            </w:pPr>
            <w:r>
              <w:rPr>
                <w:sz w:val="19"/>
                <w:szCs w:val="19"/>
              </w:rPr>
              <w:t>Mohamed and Pallan (2024)</w:t>
            </w:r>
          </w:p>
        </w:tc>
        <w:tc>
          <w:tcPr>
            <w:tcW w:w="1980" w:type="dxa"/>
            <w:shd w:val="clear" w:color="auto" w:fill="FFFFFF"/>
            <w:tcMar>
              <w:top w:w="50" w:type="dxa"/>
              <w:left w:w="100" w:type="dxa"/>
              <w:bottom w:w="50" w:type="dxa"/>
              <w:right w:w="100" w:type="dxa"/>
            </w:tcMar>
            <w:vAlign w:val="center"/>
          </w:tcPr>
          <w:p w14:paraId="2772B8D3" w14:textId="77777777" w:rsidR="001819CF" w:rsidRDefault="00000000">
            <w:pPr>
              <w:spacing w:after="0" w:line="252" w:lineRule="auto"/>
            </w:pPr>
            <w:r>
              <w:rPr>
                <w:sz w:val="19"/>
                <w:szCs w:val="19"/>
              </w:rPr>
              <w:t>To track changes in weight status between Reception and Year 6 in Birmingham children</w:t>
            </w:r>
          </w:p>
        </w:tc>
        <w:tc>
          <w:tcPr>
            <w:tcW w:w="1560" w:type="dxa"/>
            <w:shd w:val="clear" w:color="auto" w:fill="FFFFFF"/>
            <w:tcMar>
              <w:top w:w="50" w:type="dxa"/>
              <w:left w:w="100" w:type="dxa"/>
              <w:bottom w:w="50" w:type="dxa"/>
              <w:right w:w="100" w:type="dxa"/>
            </w:tcMar>
            <w:vAlign w:val="center"/>
          </w:tcPr>
          <w:p w14:paraId="77294AB8" w14:textId="77777777" w:rsidR="001819CF" w:rsidRDefault="00000000">
            <w:pPr>
              <w:spacing w:after="0" w:line="252" w:lineRule="auto"/>
            </w:pPr>
            <w:r>
              <w:rPr>
                <w:sz w:val="19"/>
                <w:szCs w:val="19"/>
              </w:rPr>
              <w:t>Retrospective cohort study using linked NCMP data</w:t>
            </w:r>
          </w:p>
        </w:tc>
        <w:tc>
          <w:tcPr>
            <w:tcW w:w="2586" w:type="dxa"/>
            <w:shd w:val="clear" w:color="auto" w:fill="FFFFFF"/>
            <w:tcMar>
              <w:top w:w="50" w:type="dxa"/>
              <w:left w:w="100" w:type="dxa"/>
              <w:bottom w:w="50" w:type="dxa"/>
              <w:right w:w="100" w:type="dxa"/>
            </w:tcMar>
            <w:vAlign w:val="center"/>
          </w:tcPr>
          <w:p w14:paraId="06246D68" w14:textId="77777777" w:rsidR="001819CF" w:rsidRDefault="00000000">
            <w:pPr>
              <w:spacing w:after="0" w:line="252" w:lineRule="auto"/>
            </w:pPr>
            <w:r>
              <w:rPr>
                <w:sz w:val="19"/>
                <w:szCs w:val="19"/>
              </w:rPr>
              <w:t>30% of children increased by at least one weight category between Reception and Year 6.</w:t>
            </w:r>
          </w:p>
        </w:tc>
        <w:tc>
          <w:tcPr>
            <w:tcW w:w="1500" w:type="dxa"/>
            <w:shd w:val="clear" w:color="auto" w:fill="FFFFFF"/>
            <w:tcMar>
              <w:top w:w="50" w:type="dxa"/>
              <w:left w:w="100" w:type="dxa"/>
              <w:bottom w:w="50" w:type="dxa"/>
              <w:right w:w="100" w:type="dxa"/>
            </w:tcMar>
            <w:vAlign w:val="center"/>
          </w:tcPr>
          <w:p w14:paraId="3E85EC4C" w14:textId="77777777" w:rsidR="001819CF" w:rsidRDefault="00000000">
            <w:pPr>
              <w:spacing w:after="0" w:line="252" w:lineRule="auto"/>
            </w:pPr>
            <w:r>
              <w:rPr>
                <w:sz w:val="19"/>
                <w:szCs w:val="19"/>
              </w:rPr>
              <w:t>Shows primary-school years are a key period for prevention.</w:t>
            </w:r>
          </w:p>
        </w:tc>
      </w:tr>
      <w:tr w:rsidR="001819CF" w14:paraId="37390869" w14:textId="77777777">
        <w:tc>
          <w:tcPr>
            <w:tcW w:w="1400" w:type="dxa"/>
            <w:shd w:val="clear" w:color="auto" w:fill="FFFFFF"/>
            <w:tcMar>
              <w:top w:w="50" w:type="dxa"/>
              <w:left w:w="100" w:type="dxa"/>
              <w:bottom w:w="50" w:type="dxa"/>
              <w:right w:w="100" w:type="dxa"/>
            </w:tcMar>
            <w:vAlign w:val="center"/>
          </w:tcPr>
          <w:p w14:paraId="17175A0C" w14:textId="77777777" w:rsidR="001819CF" w:rsidRDefault="00000000">
            <w:pPr>
              <w:spacing w:after="0" w:line="252" w:lineRule="auto"/>
            </w:pPr>
            <w:proofErr w:type="spellStart"/>
            <w:r>
              <w:rPr>
                <w:sz w:val="19"/>
                <w:szCs w:val="19"/>
              </w:rPr>
              <w:t>Firman</w:t>
            </w:r>
            <w:proofErr w:type="spellEnd"/>
            <w:r>
              <w:rPr>
                <w:sz w:val="19"/>
                <w:szCs w:val="19"/>
              </w:rPr>
              <w:t xml:space="preserve"> et al. (2024)</w:t>
            </w:r>
          </w:p>
        </w:tc>
        <w:tc>
          <w:tcPr>
            <w:tcW w:w="1980" w:type="dxa"/>
            <w:shd w:val="clear" w:color="auto" w:fill="FFFFFF"/>
            <w:tcMar>
              <w:top w:w="50" w:type="dxa"/>
              <w:left w:w="100" w:type="dxa"/>
              <w:bottom w:w="50" w:type="dxa"/>
              <w:right w:w="100" w:type="dxa"/>
            </w:tcMar>
            <w:vAlign w:val="center"/>
          </w:tcPr>
          <w:p w14:paraId="75E6320F" w14:textId="77777777" w:rsidR="001819CF" w:rsidRDefault="00000000">
            <w:pPr>
              <w:spacing w:after="0" w:line="252" w:lineRule="auto"/>
            </w:pPr>
            <w:r>
              <w:rPr>
                <w:sz w:val="19"/>
                <w:szCs w:val="19"/>
              </w:rPr>
              <w:t>To examine whether childhood obesity is more likely among children sharing a household with an older child with obesity</w:t>
            </w:r>
          </w:p>
        </w:tc>
        <w:tc>
          <w:tcPr>
            <w:tcW w:w="1560" w:type="dxa"/>
            <w:shd w:val="clear" w:color="auto" w:fill="FFFFFF"/>
            <w:tcMar>
              <w:top w:w="50" w:type="dxa"/>
              <w:left w:w="100" w:type="dxa"/>
              <w:bottom w:w="50" w:type="dxa"/>
              <w:right w:w="100" w:type="dxa"/>
            </w:tcMar>
            <w:vAlign w:val="center"/>
          </w:tcPr>
          <w:p w14:paraId="1B1B5007" w14:textId="77777777" w:rsidR="001819CF" w:rsidRDefault="00000000">
            <w:pPr>
              <w:spacing w:after="0" w:line="252" w:lineRule="auto"/>
            </w:pPr>
            <w:r>
              <w:rPr>
                <w:sz w:val="19"/>
                <w:szCs w:val="19"/>
              </w:rPr>
              <w:t>Cross-sectional linked NCMP and electronic health-record study</w:t>
            </w:r>
          </w:p>
        </w:tc>
        <w:tc>
          <w:tcPr>
            <w:tcW w:w="2586" w:type="dxa"/>
            <w:shd w:val="clear" w:color="auto" w:fill="FFFFFF"/>
            <w:tcMar>
              <w:top w:w="50" w:type="dxa"/>
              <w:left w:w="100" w:type="dxa"/>
              <w:bottom w:w="50" w:type="dxa"/>
              <w:right w:w="100" w:type="dxa"/>
            </w:tcMar>
            <w:vAlign w:val="center"/>
          </w:tcPr>
          <w:p w14:paraId="01D9E9A6" w14:textId="77777777" w:rsidR="001819CF" w:rsidRDefault="00000000">
            <w:pPr>
              <w:spacing w:after="0" w:line="252" w:lineRule="auto"/>
            </w:pPr>
            <w:r>
              <w:rPr>
                <w:sz w:val="19"/>
                <w:szCs w:val="19"/>
              </w:rPr>
              <w:t>One-third of youngest children with obesity shared a household with another child with obesity.</w:t>
            </w:r>
          </w:p>
        </w:tc>
        <w:tc>
          <w:tcPr>
            <w:tcW w:w="1500" w:type="dxa"/>
            <w:shd w:val="clear" w:color="auto" w:fill="FFFFFF"/>
            <w:tcMar>
              <w:top w:w="50" w:type="dxa"/>
              <w:left w:w="100" w:type="dxa"/>
              <w:bottom w:w="50" w:type="dxa"/>
              <w:right w:w="100" w:type="dxa"/>
            </w:tcMar>
            <w:vAlign w:val="center"/>
          </w:tcPr>
          <w:p w14:paraId="1FE53543" w14:textId="77777777" w:rsidR="001819CF" w:rsidRDefault="00000000">
            <w:pPr>
              <w:spacing w:after="0" w:line="252" w:lineRule="auto"/>
            </w:pPr>
            <w:r>
              <w:rPr>
                <w:sz w:val="19"/>
                <w:szCs w:val="19"/>
              </w:rPr>
              <w:t>Shows family and household environment are important determinants.</w:t>
            </w:r>
          </w:p>
        </w:tc>
      </w:tr>
      <w:tr w:rsidR="001819CF" w14:paraId="2B050AB5" w14:textId="77777777">
        <w:tc>
          <w:tcPr>
            <w:tcW w:w="1400" w:type="dxa"/>
            <w:shd w:val="clear" w:color="auto" w:fill="FFFFFF"/>
            <w:tcMar>
              <w:top w:w="50" w:type="dxa"/>
              <w:left w:w="100" w:type="dxa"/>
              <w:bottom w:w="50" w:type="dxa"/>
              <w:right w:w="100" w:type="dxa"/>
            </w:tcMar>
            <w:vAlign w:val="center"/>
          </w:tcPr>
          <w:p w14:paraId="2204700D" w14:textId="77777777" w:rsidR="001819CF" w:rsidRDefault="00000000">
            <w:pPr>
              <w:spacing w:after="0" w:line="252" w:lineRule="auto"/>
            </w:pPr>
            <w:r>
              <w:rPr>
                <w:sz w:val="19"/>
                <w:szCs w:val="19"/>
              </w:rPr>
              <w:t>Michalopoulou et al. (2024)</w:t>
            </w:r>
          </w:p>
        </w:tc>
        <w:tc>
          <w:tcPr>
            <w:tcW w:w="1980" w:type="dxa"/>
            <w:shd w:val="clear" w:color="auto" w:fill="FFFFFF"/>
            <w:tcMar>
              <w:top w:w="50" w:type="dxa"/>
              <w:left w:w="100" w:type="dxa"/>
              <w:bottom w:w="50" w:type="dxa"/>
              <w:right w:w="100" w:type="dxa"/>
            </w:tcMar>
            <w:vAlign w:val="center"/>
          </w:tcPr>
          <w:p w14:paraId="1F4B5647" w14:textId="77777777" w:rsidR="001819CF" w:rsidRDefault="00000000">
            <w:pPr>
              <w:spacing w:after="0" w:line="252" w:lineRule="auto"/>
            </w:pPr>
            <w:r>
              <w:rPr>
                <w:sz w:val="19"/>
                <w:szCs w:val="19"/>
              </w:rPr>
              <w:t>To assess UK-based obesity interventions in the early years</w:t>
            </w:r>
          </w:p>
        </w:tc>
        <w:tc>
          <w:tcPr>
            <w:tcW w:w="1560" w:type="dxa"/>
            <w:shd w:val="clear" w:color="auto" w:fill="FFFFFF"/>
            <w:tcMar>
              <w:top w:w="50" w:type="dxa"/>
              <w:left w:w="100" w:type="dxa"/>
              <w:bottom w:w="50" w:type="dxa"/>
              <w:right w:w="100" w:type="dxa"/>
            </w:tcMar>
            <w:vAlign w:val="center"/>
          </w:tcPr>
          <w:p w14:paraId="28399412" w14:textId="77777777" w:rsidR="001819CF" w:rsidRDefault="00000000">
            <w:pPr>
              <w:spacing w:after="0" w:line="252" w:lineRule="auto"/>
            </w:pPr>
            <w:r>
              <w:rPr>
                <w:sz w:val="19"/>
                <w:szCs w:val="19"/>
              </w:rPr>
              <w:t>Systematic review</w:t>
            </w:r>
          </w:p>
        </w:tc>
        <w:tc>
          <w:tcPr>
            <w:tcW w:w="2586" w:type="dxa"/>
            <w:shd w:val="clear" w:color="auto" w:fill="FFFFFF"/>
            <w:tcMar>
              <w:top w:w="50" w:type="dxa"/>
              <w:left w:w="100" w:type="dxa"/>
              <w:bottom w:w="50" w:type="dxa"/>
              <w:right w:w="100" w:type="dxa"/>
            </w:tcMar>
            <w:vAlign w:val="center"/>
          </w:tcPr>
          <w:p w14:paraId="43F24BCF" w14:textId="77777777" w:rsidR="001819CF" w:rsidRDefault="00000000">
            <w:pPr>
              <w:spacing w:after="0" w:line="252" w:lineRule="auto"/>
            </w:pPr>
            <w:r>
              <w:rPr>
                <w:sz w:val="19"/>
                <w:szCs w:val="19"/>
              </w:rPr>
              <w:t>Reviewed UK interventions for children aged 0–5 involving diet and/or physical activity components.</w:t>
            </w:r>
          </w:p>
        </w:tc>
        <w:tc>
          <w:tcPr>
            <w:tcW w:w="1500" w:type="dxa"/>
            <w:shd w:val="clear" w:color="auto" w:fill="FFFFFF"/>
            <w:tcMar>
              <w:top w:w="50" w:type="dxa"/>
              <w:left w:w="100" w:type="dxa"/>
              <w:bottom w:w="50" w:type="dxa"/>
              <w:right w:w="100" w:type="dxa"/>
            </w:tcMar>
            <w:vAlign w:val="center"/>
          </w:tcPr>
          <w:p w14:paraId="415312CD" w14:textId="77777777" w:rsidR="001819CF" w:rsidRDefault="00000000">
            <w:pPr>
              <w:spacing w:after="0" w:line="252" w:lineRule="auto"/>
            </w:pPr>
            <w:r>
              <w:rPr>
                <w:sz w:val="19"/>
                <w:szCs w:val="19"/>
              </w:rPr>
              <w:t>Supports early intervention; shows the need for stronger UK early-years evidence.</w:t>
            </w:r>
          </w:p>
        </w:tc>
      </w:tr>
      <w:tr w:rsidR="001819CF" w14:paraId="0670082C" w14:textId="77777777">
        <w:tc>
          <w:tcPr>
            <w:tcW w:w="1400" w:type="dxa"/>
            <w:shd w:val="clear" w:color="auto" w:fill="FFFFFF"/>
            <w:tcMar>
              <w:top w:w="50" w:type="dxa"/>
              <w:left w:w="100" w:type="dxa"/>
              <w:bottom w:w="50" w:type="dxa"/>
              <w:right w:w="100" w:type="dxa"/>
            </w:tcMar>
            <w:vAlign w:val="center"/>
          </w:tcPr>
          <w:p w14:paraId="7B78791F" w14:textId="77777777" w:rsidR="001819CF" w:rsidRDefault="00000000">
            <w:pPr>
              <w:spacing w:after="0" w:line="252" w:lineRule="auto"/>
            </w:pPr>
            <w:r>
              <w:rPr>
                <w:sz w:val="19"/>
                <w:szCs w:val="19"/>
              </w:rPr>
              <w:t>Boyland et al. (2022)</w:t>
            </w:r>
          </w:p>
        </w:tc>
        <w:tc>
          <w:tcPr>
            <w:tcW w:w="1980" w:type="dxa"/>
            <w:shd w:val="clear" w:color="auto" w:fill="FFFFFF"/>
            <w:tcMar>
              <w:top w:w="50" w:type="dxa"/>
              <w:left w:w="100" w:type="dxa"/>
              <w:bottom w:w="50" w:type="dxa"/>
              <w:right w:w="100" w:type="dxa"/>
            </w:tcMar>
            <w:vAlign w:val="center"/>
          </w:tcPr>
          <w:p w14:paraId="57CBA361" w14:textId="77777777" w:rsidR="001819CF" w:rsidRDefault="00000000">
            <w:pPr>
              <w:spacing w:after="0" w:line="252" w:lineRule="auto"/>
            </w:pPr>
            <w:r>
              <w:rPr>
                <w:sz w:val="19"/>
                <w:szCs w:val="19"/>
              </w:rPr>
              <w:t xml:space="preserve">To quantify the association between food and non-alcoholic beverage </w:t>
            </w:r>
            <w:r>
              <w:rPr>
                <w:sz w:val="19"/>
                <w:szCs w:val="19"/>
              </w:rPr>
              <w:lastRenderedPageBreak/>
              <w:t>marketing and children’s eating behaviours and health (to inform WHO guidelines)</w:t>
            </w:r>
          </w:p>
        </w:tc>
        <w:tc>
          <w:tcPr>
            <w:tcW w:w="1560" w:type="dxa"/>
            <w:shd w:val="clear" w:color="auto" w:fill="FFFFFF"/>
            <w:tcMar>
              <w:top w:w="50" w:type="dxa"/>
              <w:left w:w="100" w:type="dxa"/>
              <w:bottom w:w="50" w:type="dxa"/>
              <w:right w:w="100" w:type="dxa"/>
            </w:tcMar>
            <w:vAlign w:val="center"/>
          </w:tcPr>
          <w:p w14:paraId="3A47A9AA" w14:textId="77777777" w:rsidR="001819CF" w:rsidRDefault="00000000">
            <w:pPr>
              <w:spacing w:after="0" w:line="252" w:lineRule="auto"/>
            </w:pPr>
            <w:r>
              <w:rPr>
                <w:sz w:val="19"/>
                <w:szCs w:val="19"/>
              </w:rPr>
              <w:lastRenderedPageBreak/>
              <w:t>Systematic review and meta-analysis (96 studies)</w:t>
            </w:r>
          </w:p>
        </w:tc>
        <w:tc>
          <w:tcPr>
            <w:tcW w:w="2586" w:type="dxa"/>
            <w:shd w:val="clear" w:color="auto" w:fill="FFFFFF"/>
            <w:tcMar>
              <w:top w:w="50" w:type="dxa"/>
              <w:left w:w="100" w:type="dxa"/>
              <w:bottom w:w="50" w:type="dxa"/>
              <w:right w:w="100" w:type="dxa"/>
            </w:tcMar>
            <w:vAlign w:val="center"/>
          </w:tcPr>
          <w:p w14:paraId="6A44A809" w14:textId="77777777" w:rsidR="001819CF" w:rsidRDefault="00000000">
            <w:pPr>
              <w:spacing w:after="0" w:line="252" w:lineRule="auto"/>
            </w:pPr>
            <w:r>
              <w:rPr>
                <w:sz w:val="19"/>
                <w:szCs w:val="19"/>
              </w:rPr>
              <w:t xml:space="preserve">Food marketing was associated with significant increases in children’s food </w:t>
            </w:r>
            <w:r>
              <w:rPr>
                <w:sz w:val="19"/>
                <w:szCs w:val="19"/>
              </w:rPr>
              <w:lastRenderedPageBreak/>
              <w:t>intake, choice, preference and purchase requests.</w:t>
            </w:r>
          </w:p>
        </w:tc>
        <w:tc>
          <w:tcPr>
            <w:tcW w:w="1500" w:type="dxa"/>
            <w:shd w:val="clear" w:color="auto" w:fill="FFFFFF"/>
            <w:tcMar>
              <w:top w:w="50" w:type="dxa"/>
              <w:left w:w="100" w:type="dxa"/>
              <w:bottom w:w="50" w:type="dxa"/>
              <w:right w:w="100" w:type="dxa"/>
            </w:tcMar>
            <w:vAlign w:val="center"/>
          </w:tcPr>
          <w:p w14:paraId="66EF53D5" w14:textId="77777777" w:rsidR="001819CF" w:rsidRDefault="00000000">
            <w:pPr>
              <w:spacing w:after="0" w:line="252" w:lineRule="auto"/>
            </w:pPr>
            <w:r>
              <w:rPr>
                <w:sz w:val="19"/>
                <w:szCs w:val="19"/>
              </w:rPr>
              <w:lastRenderedPageBreak/>
              <w:t xml:space="preserve">Strong evidence that commercial food marketing </w:t>
            </w:r>
            <w:r>
              <w:rPr>
                <w:sz w:val="19"/>
                <w:szCs w:val="19"/>
              </w:rPr>
              <w:lastRenderedPageBreak/>
              <w:t>drives children’s unhealthy eating; supports UK HFSS policy.</w:t>
            </w:r>
          </w:p>
        </w:tc>
      </w:tr>
      <w:tr w:rsidR="001819CF" w14:paraId="6B029366" w14:textId="77777777">
        <w:tc>
          <w:tcPr>
            <w:tcW w:w="1400" w:type="dxa"/>
            <w:shd w:val="clear" w:color="auto" w:fill="FFFFFF"/>
            <w:tcMar>
              <w:top w:w="50" w:type="dxa"/>
              <w:left w:w="100" w:type="dxa"/>
              <w:bottom w:w="50" w:type="dxa"/>
              <w:right w:w="100" w:type="dxa"/>
            </w:tcMar>
            <w:vAlign w:val="center"/>
          </w:tcPr>
          <w:p w14:paraId="12F621C8" w14:textId="77777777" w:rsidR="001819CF" w:rsidRDefault="00000000">
            <w:pPr>
              <w:spacing w:after="0" w:line="252" w:lineRule="auto"/>
            </w:pPr>
            <w:r>
              <w:rPr>
                <w:sz w:val="19"/>
                <w:szCs w:val="19"/>
              </w:rPr>
              <w:lastRenderedPageBreak/>
              <w:t>Lafontaine et al. (2025)</w:t>
            </w:r>
          </w:p>
        </w:tc>
        <w:tc>
          <w:tcPr>
            <w:tcW w:w="1980" w:type="dxa"/>
            <w:shd w:val="clear" w:color="auto" w:fill="FFFFFF"/>
            <w:tcMar>
              <w:top w:w="50" w:type="dxa"/>
              <w:left w:w="100" w:type="dxa"/>
              <w:bottom w:w="50" w:type="dxa"/>
              <w:right w:w="100" w:type="dxa"/>
            </w:tcMar>
            <w:vAlign w:val="center"/>
          </w:tcPr>
          <w:p w14:paraId="077AA610" w14:textId="77777777" w:rsidR="001819CF" w:rsidRDefault="00000000">
            <w:pPr>
              <w:spacing w:after="0" w:line="252" w:lineRule="auto"/>
            </w:pPr>
            <w:r>
              <w:rPr>
                <w:sz w:val="19"/>
                <w:szCs w:val="19"/>
              </w:rPr>
              <w:t>To examine social media as a commercial determinant of children’s digital food environment</w:t>
            </w:r>
          </w:p>
        </w:tc>
        <w:tc>
          <w:tcPr>
            <w:tcW w:w="1560" w:type="dxa"/>
            <w:shd w:val="clear" w:color="auto" w:fill="FFFFFF"/>
            <w:tcMar>
              <w:top w:w="50" w:type="dxa"/>
              <w:left w:w="100" w:type="dxa"/>
              <w:bottom w:w="50" w:type="dxa"/>
              <w:right w:w="100" w:type="dxa"/>
            </w:tcMar>
            <w:vAlign w:val="center"/>
          </w:tcPr>
          <w:p w14:paraId="07417454" w14:textId="77777777" w:rsidR="001819CF" w:rsidRDefault="00000000">
            <w:pPr>
              <w:spacing w:after="0" w:line="252" w:lineRule="auto"/>
            </w:pPr>
            <w:r>
              <w:rPr>
                <w:sz w:val="19"/>
                <w:szCs w:val="19"/>
              </w:rPr>
              <w:t>Scoping review</w:t>
            </w:r>
          </w:p>
        </w:tc>
        <w:tc>
          <w:tcPr>
            <w:tcW w:w="2586" w:type="dxa"/>
            <w:shd w:val="clear" w:color="auto" w:fill="FFFFFF"/>
            <w:tcMar>
              <w:top w:w="50" w:type="dxa"/>
              <w:left w:w="100" w:type="dxa"/>
              <w:bottom w:w="50" w:type="dxa"/>
              <w:right w:w="100" w:type="dxa"/>
            </w:tcMar>
            <w:vAlign w:val="center"/>
          </w:tcPr>
          <w:p w14:paraId="75187D0D" w14:textId="77777777" w:rsidR="001819CF" w:rsidRDefault="00000000">
            <w:pPr>
              <w:spacing w:after="0" w:line="252" w:lineRule="auto"/>
            </w:pPr>
            <w:r>
              <w:rPr>
                <w:sz w:val="19"/>
                <w:szCs w:val="19"/>
              </w:rPr>
              <w:t>Most children and adolescents are exposed to food advertisements on social media, and most advertised food is ultra-processed.</w:t>
            </w:r>
          </w:p>
        </w:tc>
        <w:tc>
          <w:tcPr>
            <w:tcW w:w="1500" w:type="dxa"/>
            <w:shd w:val="clear" w:color="auto" w:fill="FFFFFF"/>
            <w:tcMar>
              <w:top w:w="50" w:type="dxa"/>
              <w:left w:w="100" w:type="dxa"/>
              <w:bottom w:w="50" w:type="dxa"/>
              <w:right w:w="100" w:type="dxa"/>
            </w:tcMar>
            <w:vAlign w:val="center"/>
          </w:tcPr>
          <w:p w14:paraId="478240F3" w14:textId="77777777" w:rsidR="001819CF" w:rsidRDefault="00000000">
            <w:pPr>
              <w:spacing w:after="0" w:line="252" w:lineRule="auto"/>
            </w:pPr>
            <w:r>
              <w:rPr>
                <w:sz w:val="19"/>
                <w:szCs w:val="19"/>
              </w:rPr>
              <w:t>Strong evidence for the digital-health angle.</w:t>
            </w:r>
          </w:p>
        </w:tc>
      </w:tr>
    </w:tbl>
    <w:p w14:paraId="5CDDAA30" w14:textId="77777777" w:rsidR="001819CF" w:rsidRDefault="001819CF">
      <w:pPr>
        <w:spacing w:after="140"/>
      </w:pPr>
    </w:p>
    <w:p w14:paraId="3ED6D046" w14:textId="77777777" w:rsidR="001819CF" w:rsidRDefault="00000000">
      <w:pPr>
        <w:pStyle w:val="Heading2"/>
      </w:pPr>
      <w:proofErr w:type="gramStart"/>
      <w:r>
        <w:t>4.2  Theme</w:t>
      </w:r>
      <w:proofErr w:type="gramEnd"/>
      <w:r>
        <w:t xml:space="preserve"> 1: Socioeconomic Inequality and Deprivation</w:t>
      </w:r>
    </w:p>
    <w:p w14:paraId="5200E94A" w14:textId="77777777" w:rsidR="001819CF" w:rsidRDefault="00000000">
      <w:pPr>
        <w:jc w:val="both"/>
      </w:pPr>
      <w:r>
        <w:t>The first major theme was socioeconomic inequality. Broadbent et al. found that childhood overweight including obesity increased in England between 1995 and 2019, with inequalities widening over time. This is important because it challenges explanations that focus only on individual motivation. If obesity were simply a matter of personal choice, large and persistent differences by deprivation would be harder to explain. Instead, the evidence suggests that children’s weight outcomes are shaped by social conditions such as household income, parental education, food affordability and local environment.</w:t>
      </w:r>
    </w:p>
    <w:p w14:paraId="0802B040" w14:textId="77777777" w:rsidR="001819CF" w:rsidRDefault="00000000">
      <w:pPr>
        <w:jc w:val="both"/>
      </w:pPr>
      <w:r>
        <w:t xml:space="preserve">This theme is directly relevant to UK practice because children in deprived areas may face multiple barriers to healthy living. These can include cheaper access to energy-dense food, fewer safe spaces for physical activity, parental time pressures, food insecurity and stress. Therefore, health and social-care practitioners should avoid </w:t>
      </w:r>
      <w:proofErr w:type="gramStart"/>
      <w:r>
        <w:t>assuming that</w:t>
      </w:r>
      <w:proofErr w:type="gramEnd"/>
      <w:r>
        <w:t xml:space="preserve"> all families have the same ability to act on healthy-eating advice.</w:t>
      </w:r>
    </w:p>
    <w:p w14:paraId="6A303E18" w14:textId="77777777" w:rsidR="001819CF" w:rsidRDefault="00000000">
      <w:pPr>
        <w:pStyle w:val="Heading2"/>
      </w:pPr>
      <w:proofErr w:type="gramStart"/>
      <w:r>
        <w:t>4.3  Theme</w:t>
      </w:r>
      <w:proofErr w:type="gramEnd"/>
      <w:r>
        <w:t xml:space="preserve"> 2: Family and Household Environment</w:t>
      </w:r>
    </w:p>
    <w:p w14:paraId="57CB1D6C" w14:textId="77777777" w:rsidR="001819CF" w:rsidRDefault="00000000">
      <w:pPr>
        <w:jc w:val="both"/>
      </w:pPr>
      <w:r>
        <w:t xml:space="preserve">The second theme was family and household influence. </w:t>
      </w:r>
      <w:proofErr w:type="spellStart"/>
      <w:r>
        <w:t>Firman</w:t>
      </w:r>
      <w:proofErr w:type="spellEnd"/>
      <w:r>
        <w:t xml:space="preserve"> et al. found that children were more likely to have obesity when they shared a household with an older child with obesity. This suggests that obesity risk may cluster within families and households. However, this finding should be interpreted carefully. Household clustering does not prove a single cause. It may reflect shared diet, shared routines, parental working patterns, local food environments, genetics, or a combination of these factors.</w:t>
      </w:r>
    </w:p>
    <w:p w14:paraId="263497FF" w14:textId="77777777" w:rsidR="001819CF" w:rsidRDefault="00000000">
      <w:pPr>
        <w:jc w:val="both"/>
      </w:pPr>
      <w:r>
        <w:t xml:space="preserve">The strength of this evidence is that it uses linked NCMP and health-record data, making it highly relevant to UK child-health practice. Its limitation is that cross-sectional data cannot fully prove causation. Even so, the study supports family-centred approaches. Instead of treating </w:t>
      </w:r>
      <w:r>
        <w:lastRenderedPageBreak/>
        <w:t>one child in isolation, services may need to support the whole household with food routines, physical activity, sleep and access to local support.</w:t>
      </w:r>
    </w:p>
    <w:p w14:paraId="4AB7CA5B" w14:textId="77777777" w:rsidR="001819CF" w:rsidRDefault="00000000">
      <w:pPr>
        <w:pStyle w:val="Heading2"/>
      </w:pPr>
      <w:proofErr w:type="gramStart"/>
      <w:r>
        <w:t>4.4  Theme</w:t>
      </w:r>
      <w:proofErr w:type="gramEnd"/>
      <w:r>
        <w:t xml:space="preserve"> 3: Primary-School Weight Change and Early Intervention</w:t>
      </w:r>
    </w:p>
    <w:p w14:paraId="07DAF228" w14:textId="77777777" w:rsidR="001819CF" w:rsidRDefault="00000000">
      <w:pPr>
        <w:jc w:val="both"/>
      </w:pPr>
      <w:r>
        <w:t>The third theme was weight change during childhood. Mohamed and Pallan found that 30% of children in Birmingham increased by at least one weight category between Reception and Year 6. This is significant because it shows that the period between ages 4–5 and 10–11 is a major window for prevention. A child who begins primary school in a healthy weight category may still develop overweight or obesity by the end of primary school if risk factors accumulate.</w:t>
      </w:r>
    </w:p>
    <w:p w14:paraId="7588ADFD" w14:textId="77777777" w:rsidR="001819CF" w:rsidRDefault="00000000">
      <w:pPr>
        <w:jc w:val="both"/>
      </w:pPr>
      <w:r>
        <w:t>Michalopoulou et al.’s review of UK early-years interventions supports the need to intervene early, particularly before unhealthy routines become established. However, intervention evidence often has limitations, including short follow-up periods, small sample sizes and variation in intervention design. This makes it difficult to know which programmes are most effective across different UK communities.</w:t>
      </w:r>
    </w:p>
    <w:p w14:paraId="1787AB5D" w14:textId="77777777" w:rsidR="001819CF" w:rsidRDefault="00000000">
      <w:pPr>
        <w:pStyle w:val="Heading2"/>
      </w:pPr>
      <w:proofErr w:type="gramStart"/>
      <w:r>
        <w:t>4.5  Theme</w:t>
      </w:r>
      <w:proofErr w:type="gramEnd"/>
      <w:r>
        <w:t xml:space="preserve"> 4: Digital and Commercial Determinants</w:t>
      </w:r>
    </w:p>
    <w:p w14:paraId="4AC5CA5A" w14:textId="77777777" w:rsidR="001819CF" w:rsidRDefault="00000000">
      <w:pPr>
        <w:jc w:val="both"/>
      </w:pPr>
      <w:r>
        <w:t>The fourth theme was food marketing and the digital environment. Lafontaine et al. found that children and adolescents are exposed to food advertising on social media and that most advertised food is ultra-processed. This is highly relevant because children’s digital lives have changed quickly, and advertising is no longer limited to television. Influencers, algorithmic targeting, branded content and short-form video platforms can all shape food preferences and normalise unhealthy products.</w:t>
      </w:r>
    </w:p>
    <w:p w14:paraId="20F0C80C" w14:textId="77777777" w:rsidR="001819CF" w:rsidRDefault="00000000">
      <w:pPr>
        <w:jc w:val="both"/>
      </w:pPr>
      <w:r>
        <w:t xml:space="preserve">UK HFSS advertising restrictions are therefore an important policy response. However, the evidence suggests that regulation must keep pace with how children </w:t>
      </w:r>
      <w:proofErr w:type="gramStart"/>
      <w:r>
        <w:t>actually use</w:t>
      </w:r>
      <w:proofErr w:type="gramEnd"/>
      <w:r>
        <w:t xml:space="preserve"> digital platforms. A narrow focus on television advertising may be insufficient if children are mainly exposed through online and social media channels.</w:t>
      </w:r>
    </w:p>
    <w:p w14:paraId="503736AC" w14:textId="77777777" w:rsidR="001819CF" w:rsidRDefault="00000000">
      <w:pPr>
        <w:pStyle w:val="Heading1"/>
      </w:pPr>
      <w:r>
        <w:t>5. Discussion</w:t>
      </w:r>
    </w:p>
    <w:p w14:paraId="713934CE" w14:textId="77777777" w:rsidR="001819CF" w:rsidRDefault="00000000">
      <w:pPr>
        <w:jc w:val="both"/>
      </w:pPr>
      <w:r>
        <w:t>The findings suggest that childhood obesity is best understood as a multi-factorial and unequal public-health issue. Behavioural factors such as diet, physical activity and screen time are important, but they are strongly shaped by family, socioeconomic, school, commercial and digital environments. This means that interventions focused only on individual behaviour change are unlikely to be sufficient.</w:t>
      </w:r>
    </w:p>
    <w:p w14:paraId="3AABB840" w14:textId="77777777" w:rsidR="001819CF" w:rsidRDefault="00000000">
      <w:pPr>
        <w:jc w:val="both"/>
      </w:pPr>
      <w:r>
        <w:t xml:space="preserve">The strongest UK evidence in this review comes from studies using NCMP data. Broadbent et al. provide a national picture of widening inequalities, while Mohamed and Pallan provide </w:t>
      </w:r>
      <w:r>
        <w:lastRenderedPageBreak/>
        <w:t>local evidence from Birmingham showing how weight status can change during primary school. These studies are useful because they are based on real population data rather than small convenience samples. However, they also have limitations. Observational data can identify associations and trends, but it cannot always prove causation. For example, deprivation may be associated with obesity, but the pathway may include many connected factors such as food insecurity, stress, local food outlets, school meals and reduced access to physical activity.</w:t>
      </w:r>
    </w:p>
    <w:p w14:paraId="68C83B00" w14:textId="77777777" w:rsidR="001819CF" w:rsidRDefault="00000000">
      <w:pPr>
        <w:jc w:val="both"/>
      </w:pPr>
      <w:proofErr w:type="spellStart"/>
      <w:r>
        <w:t>Firman</w:t>
      </w:r>
      <w:proofErr w:type="spellEnd"/>
      <w:r>
        <w:t xml:space="preserve"> et al. add another important layer by showing household clustering. This supports family-based intervention, but it should not be interpreted as blaming families. Families operate within wider systems. A household may share obesity risk because of shared food routines, but those routines may be influenced by income, working hours, housing, transport and neighbourhood food availability. Therefore, health and social-care practitioners should use family-sensitive and non-stigmatising approaches.</w:t>
      </w:r>
    </w:p>
    <w:p w14:paraId="648C6157" w14:textId="77777777" w:rsidR="001819CF" w:rsidRDefault="00000000">
      <w:pPr>
        <w:jc w:val="both"/>
      </w:pPr>
      <w:r>
        <w:t>The digital evidence is particularly important for current and future practice. Lafontaine et al. show that children’s exposure to food advertising through social media is a significant issue. This matters because children may not always recognise marketing, especially when it appears through influencers or entertainment content. UK restrictions on less healthy food and drink advertising are a positive step, but policy may be limited if it does not address unpaid influencer promotion, brand-only advertising or platform algorithms.</w:t>
      </w:r>
    </w:p>
    <w:p w14:paraId="787F277C" w14:textId="77777777" w:rsidR="001819CF" w:rsidRDefault="00000000">
      <w:pPr>
        <w:jc w:val="both"/>
      </w:pPr>
      <w:r>
        <w:t>The evidence also shows the importance of early intervention. By Year 6, a substantially higher proportion of children are living with obesity than in Reception. This suggests that waiting until adolescence may miss an important prevention window. Schools, health visitors, GPs, local authorities and family services could work together more closely to identify risk early and provide practical support.</w:t>
      </w:r>
    </w:p>
    <w:p w14:paraId="411ABAEE" w14:textId="77777777" w:rsidR="001819CF" w:rsidRDefault="00000000">
      <w:pPr>
        <w:jc w:val="both"/>
      </w:pPr>
      <w:r>
        <w:t>Overall, the studies suggest that childhood obesity cannot be solved by education alone. Families may already know that fruit, vegetables and physical activity are healthy, but knowledge does not remove financial, environmental and commercial barriers. Effective practice therefore needs a combination of individual support and structural change.</w:t>
      </w:r>
    </w:p>
    <w:p w14:paraId="3982121B" w14:textId="77777777" w:rsidR="001819CF" w:rsidRDefault="00000000">
      <w:pPr>
        <w:pStyle w:val="Heading2"/>
      </w:pPr>
      <w:proofErr w:type="gramStart"/>
      <w:r>
        <w:t>5.1  UK</w:t>
      </w:r>
      <w:proofErr w:type="gramEnd"/>
      <w:r>
        <w:t xml:space="preserve"> Policy and Practice Implications</w:t>
      </w:r>
    </w:p>
    <w:p w14:paraId="4DFD60E3" w14:textId="77777777" w:rsidR="001819CF" w:rsidRDefault="00000000">
      <w:pPr>
        <w:jc w:val="both"/>
      </w:pPr>
      <w:r>
        <w:t xml:space="preserve">A further implication from the reviewed evidence is that childhood obesity prevention in the UK should be treated as a systems issue rather than a problem of individual behaviour alone. The NCMP provides useful surveillance data because it measures children in Reception and Year 6, allowing public-health teams to identify changes in weight status during the primary-school years. However, measurement alone does not reduce obesity unless it is connected to </w:t>
      </w:r>
      <w:r>
        <w:lastRenderedPageBreak/>
        <w:t>timely, sensitive and practical family support. NICE guidance also emphasises that assessment and management should consider children’s age, sex, growth and wider circumstances, which means that professionals should avoid simplistic advice that ignores poverty, food access and family stress (National Institute for Health and Care Excellence, 2025; Office for Health Improvement and Disparities, 2025).</w:t>
      </w:r>
    </w:p>
    <w:p w14:paraId="0C7ABE75" w14:textId="77777777" w:rsidR="001819CF" w:rsidRDefault="00000000">
      <w:pPr>
        <w:jc w:val="both"/>
      </w:pPr>
      <w:r>
        <w:t xml:space="preserve">Policy interventions are also important because children’s food choices are shaped by the environment around them. The proposed update to School Food Standards in England is relevant because schools are one of the few settings that reach almost all children, including those from lower-income families. If implemented well, stronger school-food standards could reduce children’s exposure to foods high in fat, salt and sugar during the school day. However, schools may need funding, </w:t>
      </w:r>
      <w:proofErr w:type="gramStart"/>
      <w:r>
        <w:t>catering</w:t>
      </w:r>
      <w:proofErr w:type="gramEnd"/>
      <w:r>
        <w:t xml:space="preserve"> support and monitoring to ensure that healthier standards do not reduce meal uptake or widen inequalities between schools with different resources (Department for Education, 2026).</w:t>
      </w:r>
    </w:p>
    <w:p w14:paraId="5BE947BF" w14:textId="77777777" w:rsidR="001819CF" w:rsidRDefault="00000000">
      <w:pPr>
        <w:jc w:val="both"/>
      </w:pPr>
      <w:r>
        <w:t xml:space="preserve">Fiscal policy may also have a role. Evidence from the UK Soft Drinks Industry Levy suggests that reformulation policies can influence population sugar intake without relying only on individual willpower. Rogers et al. (2024) found reductions in free sugar consumption after the levy, while </w:t>
      </w:r>
      <w:proofErr w:type="spellStart"/>
      <w:r>
        <w:t>Cobiac</w:t>
      </w:r>
      <w:proofErr w:type="spellEnd"/>
      <w:r>
        <w:t xml:space="preserve"> et al. (2024) predicted that the levy could reduce dental caries and overweight or obesity among children and adolescents, with the largest benefits for more deprived groups. This supports the argument that structural interventions can be both preventative and inequality-reducing, although modelling studies still depend on assumptions about future behaviour and industry response.</w:t>
      </w:r>
    </w:p>
    <w:p w14:paraId="1F7261E6" w14:textId="77777777" w:rsidR="001819CF" w:rsidRDefault="00000000">
      <w:pPr>
        <w:jc w:val="both"/>
      </w:pPr>
      <w:r>
        <w:t>Digital practice is another growing priority. Children’s screen use affects obesity risk directly and indirectly, because screen time can displace physical activity and sleep and can also increase exposure to digital food marketing. Nagata et al. (2023) found that physical activity and screen time were associated with BMI among adolescents, while Zink et al. (2024) showed that replacing some screen time with physical activity or sleep may be linked with lower BMI outcomes, although effects varied by sex and screen type. This suggests that digital-health advice should be specific rather than simply telling families to “reduce screen time”. Professionals should discuss what children are doing online, whether screen time affects sleep, and whether children are exposed to unhealthy food advertising.</w:t>
      </w:r>
    </w:p>
    <w:p w14:paraId="02228389" w14:textId="77777777" w:rsidR="001819CF" w:rsidRDefault="00000000">
      <w:pPr>
        <w:jc w:val="both"/>
      </w:pPr>
      <w:r>
        <w:t>Overall, the evidence supports a joined-up approach. Childhood obesity prevention should combine family-based support, school-food improvement, digital marketing regulation, healthier local environments and targeted action in deprived areas (World Health Organization, 2023). This is more realistic than expecting education alone to overcome powerful commercial, economic and environmental pressures.</w:t>
      </w:r>
    </w:p>
    <w:p w14:paraId="011CBD1F" w14:textId="77777777" w:rsidR="001819CF" w:rsidRDefault="00000000">
      <w:pPr>
        <w:pStyle w:val="Heading1"/>
      </w:pPr>
      <w:r>
        <w:lastRenderedPageBreak/>
        <w:t>6. Conclusion and Recommendations</w:t>
      </w:r>
    </w:p>
    <w:p w14:paraId="468FF108" w14:textId="77777777" w:rsidR="001819CF" w:rsidRDefault="00000000">
      <w:pPr>
        <w:pStyle w:val="Heading2"/>
      </w:pPr>
      <w:proofErr w:type="gramStart"/>
      <w:r>
        <w:t>6.1  Key</w:t>
      </w:r>
      <w:proofErr w:type="gramEnd"/>
      <w:r>
        <w:t xml:space="preserve"> Findings</w:t>
      </w:r>
    </w:p>
    <w:p w14:paraId="1B1E952C" w14:textId="77777777" w:rsidR="001819CF" w:rsidRDefault="00000000">
      <w:pPr>
        <w:jc w:val="both"/>
      </w:pPr>
      <w:r>
        <w:t>This scoping review found that childhood obesity is influenced by interacting determinants, including deprivation, family and household environment, school-age weight change, early-years intervention and digital food marketing. The evidence shows that obesity risk is not evenly distributed and that children in disadvantaged circumstances are more likely to be affected. It also shows that childhood is a critical period for prevention, especially between Reception and Year 6.</w:t>
      </w:r>
    </w:p>
    <w:p w14:paraId="7F4D7479" w14:textId="77777777" w:rsidR="001819CF" w:rsidRDefault="00000000">
      <w:pPr>
        <w:pStyle w:val="Heading2"/>
      </w:pPr>
      <w:proofErr w:type="gramStart"/>
      <w:r>
        <w:t>6.2  Recommendations</w:t>
      </w:r>
      <w:proofErr w:type="gramEnd"/>
      <w:r>
        <w:t xml:space="preserve"> for Research</w:t>
      </w:r>
    </w:p>
    <w:p w14:paraId="597A4EB3" w14:textId="77777777" w:rsidR="001819CF" w:rsidRDefault="00000000">
      <w:pPr>
        <w:jc w:val="both"/>
      </w:pPr>
      <w:r>
        <w:t>For research, more long-term UK studies are needed to follow children over time and identify which combinations of interventions work best. More evaluation is also needed in deprived communities, where obesity risk is higher and where generic interventions may be less effective.</w:t>
      </w:r>
    </w:p>
    <w:p w14:paraId="442A15E6" w14:textId="77777777" w:rsidR="001819CF" w:rsidRDefault="00000000">
      <w:pPr>
        <w:pStyle w:val="Heading2"/>
      </w:pPr>
      <w:proofErr w:type="gramStart"/>
      <w:r>
        <w:t>6.3  Recommendations</w:t>
      </w:r>
      <w:proofErr w:type="gramEnd"/>
      <w:r>
        <w:t xml:space="preserve"> for Policy</w:t>
      </w:r>
    </w:p>
    <w:p w14:paraId="1D96EF79" w14:textId="77777777" w:rsidR="001819CF" w:rsidRDefault="00000000">
      <w:pPr>
        <w:jc w:val="both"/>
      </w:pPr>
      <w:r>
        <w:t>For policy, the UK should strengthen action on the wider food environment. This includes monitoring the impact of HFSS advertising restrictions, closing digital marketing loopholes and improving access to healthy food in schools and deprived areas.</w:t>
      </w:r>
    </w:p>
    <w:p w14:paraId="426DC368" w14:textId="77777777" w:rsidR="001819CF" w:rsidRDefault="00000000">
      <w:pPr>
        <w:pStyle w:val="Heading2"/>
      </w:pPr>
      <w:proofErr w:type="gramStart"/>
      <w:r>
        <w:t>6.4  Recommendations</w:t>
      </w:r>
      <w:proofErr w:type="gramEnd"/>
      <w:r>
        <w:t xml:space="preserve"> for Practice</w:t>
      </w:r>
    </w:p>
    <w:p w14:paraId="07EE4D71" w14:textId="77777777" w:rsidR="001819CF" w:rsidRDefault="00000000">
      <w:pPr>
        <w:jc w:val="both"/>
      </w:pPr>
      <w:r>
        <w:t>For practice, services should avoid blaming children or parents. Support should be family-centred, culturally appropriate and linked to local realities. NCMP data should be used not only for measurement, but also to guide early support. Schools, health visitors, GPs and local authorities should work together to provide practical, non-stigmatising help.</w:t>
      </w:r>
    </w:p>
    <w:p w14:paraId="5C1DA7AA" w14:textId="77777777" w:rsidR="001819CF" w:rsidRDefault="00000000">
      <w:pPr>
        <w:pStyle w:val="Heading2"/>
      </w:pPr>
      <w:proofErr w:type="gramStart"/>
      <w:r>
        <w:t>6.5  Overall</w:t>
      </w:r>
      <w:proofErr w:type="gramEnd"/>
      <w:r>
        <w:t xml:space="preserve"> Conclusion</w:t>
      </w:r>
    </w:p>
    <w:p w14:paraId="78B606C3" w14:textId="77777777" w:rsidR="001819CF" w:rsidRDefault="00000000">
      <w:pPr>
        <w:jc w:val="both"/>
      </w:pPr>
      <w:r>
        <w:t>The overall conclusion is that childhood obesity is not simply the result of poor individual choices. It is produced by the interaction between behaviour, family, deprivation, commercial influence and digital environments. Sustainable improvement will require early intervention, stronger regulation and practical support for families.</w:t>
      </w:r>
    </w:p>
    <w:p w14:paraId="7A2E5727" w14:textId="77777777" w:rsidR="001819CF" w:rsidRDefault="00000000">
      <w:r>
        <w:br w:type="page"/>
      </w:r>
    </w:p>
    <w:p w14:paraId="5ED27E29" w14:textId="77777777" w:rsidR="001819CF" w:rsidRDefault="00000000">
      <w:pPr>
        <w:pStyle w:val="Heading1"/>
      </w:pPr>
      <w:r>
        <w:lastRenderedPageBreak/>
        <w:t>7. References</w:t>
      </w:r>
    </w:p>
    <w:p w14:paraId="4C3EC2A3" w14:textId="77777777" w:rsidR="001819CF" w:rsidRDefault="00000000">
      <w:pPr>
        <w:spacing w:after="140" w:line="300" w:lineRule="auto"/>
        <w:ind w:left="480" w:hanging="480"/>
      </w:pPr>
      <w:r>
        <w:rPr>
          <w:sz w:val="21"/>
          <w:szCs w:val="21"/>
        </w:rPr>
        <w:t xml:space="preserve">Aveyard, H. (2023) </w:t>
      </w:r>
      <w:r>
        <w:rPr>
          <w:i/>
          <w:iCs/>
          <w:sz w:val="21"/>
          <w:szCs w:val="21"/>
        </w:rPr>
        <w:t>Doing a Literature Review in Health and Social Care: A Practical Guide</w:t>
      </w:r>
      <w:r>
        <w:rPr>
          <w:sz w:val="21"/>
          <w:szCs w:val="21"/>
        </w:rPr>
        <w:t xml:space="preserve">. 5th </w:t>
      </w:r>
      <w:proofErr w:type="spellStart"/>
      <w:r>
        <w:rPr>
          <w:sz w:val="21"/>
          <w:szCs w:val="21"/>
        </w:rPr>
        <w:t>edn</w:t>
      </w:r>
      <w:proofErr w:type="spellEnd"/>
      <w:r>
        <w:rPr>
          <w:sz w:val="21"/>
          <w:szCs w:val="21"/>
        </w:rPr>
        <w:t>. Maidenhead: Open University Press.</w:t>
      </w:r>
    </w:p>
    <w:p w14:paraId="1EBDB598" w14:textId="77777777" w:rsidR="001819CF" w:rsidRDefault="00000000">
      <w:pPr>
        <w:spacing w:after="140" w:line="300" w:lineRule="auto"/>
        <w:ind w:left="480" w:hanging="480"/>
      </w:pPr>
      <w:r>
        <w:rPr>
          <w:sz w:val="21"/>
          <w:szCs w:val="21"/>
        </w:rPr>
        <w:t xml:space="preserve">Boyland, E., McGale, L., Maden, M., </w:t>
      </w:r>
      <w:proofErr w:type="spellStart"/>
      <w:r>
        <w:rPr>
          <w:sz w:val="21"/>
          <w:szCs w:val="21"/>
        </w:rPr>
        <w:t>Hounsome</w:t>
      </w:r>
      <w:proofErr w:type="spellEnd"/>
      <w:r>
        <w:rPr>
          <w:sz w:val="21"/>
          <w:szCs w:val="21"/>
        </w:rPr>
        <w:t xml:space="preserve">, J., Boland, A., Angus, K. and Jones, A. (2022) ‘Association of food and </w:t>
      </w:r>
      <w:proofErr w:type="spellStart"/>
      <w:r>
        <w:rPr>
          <w:sz w:val="21"/>
          <w:szCs w:val="21"/>
        </w:rPr>
        <w:t>nonalcoholic</w:t>
      </w:r>
      <w:proofErr w:type="spellEnd"/>
      <w:r>
        <w:rPr>
          <w:sz w:val="21"/>
          <w:szCs w:val="21"/>
        </w:rPr>
        <w:t xml:space="preserve"> beverage marketing with children and adolescents’ eating behaviours and health: a systematic review and meta-analysis’, </w:t>
      </w:r>
      <w:r>
        <w:rPr>
          <w:i/>
          <w:iCs/>
          <w:sz w:val="21"/>
          <w:szCs w:val="21"/>
        </w:rPr>
        <w:t xml:space="preserve">JAMA </w:t>
      </w:r>
      <w:proofErr w:type="spellStart"/>
      <w:r>
        <w:rPr>
          <w:i/>
          <w:iCs/>
          <w:sz w:val="21"/>
          <w:szCs w:val="21"/>
        </w:rPr>
        <w:t>Pediatrics</w:t>
      </w:r>
      <w:proofErr w:type="spellEnd"/>
      <w:r>
        <w:rPr>
          <w:sz w:val="21"/>
          <w:szCs w:val="21"/>
        </w:rPr>
        <w:t>, 176(7), e221037.</w:t>
      </w:r>
    </w:p>
    <w:p w14:paraId="6EEC3B8B" w14:textId="77777777" w:rsidR="001819CF" w:rsidRDefault="00000000">
      <w:pPr>
        <w:spacing w:after="140" w:line="300" w:lineRule="auto"/>
        <w:ind w:left="480" w:hanging="480"/>
      </w:pPr>
      <w:r>
        <w:rPr>
          <w:sz w:val="21"/>
          <w:szCs w:val="21"/>
        </w:rPr>
        <w:t xml:space="preserve">Broadbent, P., Shen, Y., Pearce, A. and </w:t>
      </w:r>
      <w:proofErr w:type="spellStart"/>
      <w:r>
        <w:rPr>
          <w:sz w:val="21"/>
          <w:szCs w:val="21"/>
        </w:rPr>
        <w:t>Katikireddi</w:t>
      </w:r>
      <w:proofErr w:type="spellEnd"/>
      <w:r>
        <w:rPr>
          <w:sz w:val="21"/>
          <w:szCs w:val="21"/>
        </w:rPr>
        <w:t xml:space="preserve">, S.V. (2024) ‘Trends in inequalities in childhood overweight and obesity prevalence: a repeat cross-sectional analysis of the Health Survey for England’, </w:t>
      </w:r>
      <w:r>
        <w:rPr>
          <w:i/>
          <w:iCs/>
          <w:sz w:val="21"/>
          <w:szCs w:val="21"/>
        </w:rPr>
        <w:t>Archives of Disease in Childhood</w:t>
      </w:r>
      <w:r>
        <w:rPr>
          <w:sz w:val="21"/>
          <w:szCs w:val="21"/>
        </w:rPr>
        <w:t>, 109(3), pp. 233–239.</w:t>
      </w:r>
    </w:p>
    <w:p w14:paraId="77B52D97" w14:textId="77777777" w:rsidR="001819CF" w:rsidRDefault="00000000">
      <w:pPr>
        <w:spacing w:after="140" w:line="300" w:lineRule="auto"/>
        <w:ind w:left="480" w:hanging="480"/>
      </w:pPr>
      <w:proofErr w:type="spellStart"/>
      <w:r>
        <w:rPr>
          <w:sz w:val="21"/>
          <w:szCs w:val="21"/>
        </w:rPr>
        <w:t>Cobiac</w:t>
      </w:r>
      <w:proofErr w:type="spellEnd"/>
      <w:r>
        <w:rPr>
          <w:sz w:val="21"/>
          <w:szCs w:val="21"/>
        </w:rPr>
        <w:t xml:space="preserve">, L.J., Rogers, N.T., Adams, J., Cummins, S., Smith, R., </w:t>
      </w:r>
      <w:proofErr w:type="spellStart"/>
      <w:r>
        <w:rPr>
          <w:sz w:val="21"/>
          <w:szCs w:val="21"/>
        </w:rPr>
        <w:t>Mytton</w:t>
      </w:r>
      <w:proofErr w:type="spellEnd"/>
      <w:r>
        <w:rPr>
          <w:sz w:val="21"/>
          <w:szCs w:val="21"/>
        </w:rPr>
        <w:t xml:space="preserve">, O., White, M. and Scarborough, P. (2024) ‘Impact of the UK soft drinks industry levy on health and health inequalities in children and adolescents in England: an interrupted time series analysis and population health modelling study’, </w:t>
      </w:r>
      <w:r>
        <w:rPr>
          <w:i/>
          <w:iCs/>
          <w:sz w:val="21"/>
          <w:szCs w:val="21"/>
        </w:rPr>
        <w:t>PLOS Medicine</w:t>
      </w:r>
      <w:r>
        <w:rPr>
          <w:sz w:val="21"/>
          <w:szCs w:val="21"/>
        </w:rPr>
        <w:t>, 21(3), e1004371.</w:t>
      </w:r>
    </w:p>
    <w:p w14:paraId="7CA301D9" w14:textId="77777777" w:rsidR="001819CF" w:rsidRDefault="00000000">
      <w:pPr>
        <w:spacing w:after="140" w:line="300" w:lineRule="auto"/>
        <w:ind w:left="480" w:hanging="480"/>
      </w:pPr>
      <w:r>
        <w:rPr>
          <w:sz w:val="21"/>
          <w:szCs w:val="21"/>
        </w:rPr>
        <w:t xml:space="preserve">Department for Education (2026) </w:t>
      </w:r>
      <w:r>
        <w:rPr>
          <w:i/>
          <w:iCs/>
          <w:sz w:val="21"/>
          <w:szCs w:val="21"/>
        </w:rPr>
        <w:t>School Food Standards: updating the legislative framework</w:t>
      </w:r>
      <w:r>
        <w:rPr>
          <w:sz w:val="21"/>
          <w:szCs w:val="21"/>
        </w:rPr>
        <w:t>. London: Department for Education.</w:t>
      </w:r>
    </w:p>
    <w:p w14:paraId="148AD5C0" w14:textId="77777777" w:rsidR="001819CF" w:rsidRDefault="00000000">
      <w:pPr>
        <w:spacing w:after="140" w:line="300" w:lineRule="auto"/>
        <w:ind w:left="480" w:hanging="480"/>
      </w:pPr>
      <w:r>
        <w:rPr>
          <w:sz w:val="21"/>
          <w:szCs w:val="21"/>
        </w:rPr>
        <w:t xml:space="preserve">Department of Health and Social Care and Department for Culture, Media and Sport (2026) </w:t>
      </w:r>
      <w:r>
        <w:rPr>
          <w:i/>
          <w:iCs/>
          <w:sz w:val="21"/>
          <w:szCs w:val="21"/>
        </w:rPr>
        <w:t>Less healthy food or drink: advertising and promotions restrictions</w:t>
      </w:r>
      <w:r>
        <w:rPr>
          <w:sz w:val="21"/>
          <w:szCs w:val="21"/>
        </w:rPr>
        <w:t>. London: GOV.UK. Available at: https://www.gov.uk/government/collections/less-healthy-food-or-drink-advertising-and-promotions-restrictions (Accessed: 3 July 2026).</w:t>
      </w:r>
    </w:p>
    <w:p w14:paraId="2D36DA3A" w14:textId="77777777" w:rsidR="001819CF" w:rsidRDefault="00000000">
      <w:pPr>
        <w:spacing w:after="140" w:line="300" w:lineRule="auto"/>
        <w:ind w:left="480" w:hanging="480"/>
      </w:pPr>
      <w:proofErr w:type="spellStart"/>
      <w:r>
        <w:rPr>
          <w:sz w:val="21"/>
          <w:szCs w:val="21"/>
        </w:rPr>
        <w:t>Firman</w:t>
      </w:r>
      <w:proofErr w:type="spellEnd"/>
      <w:r>
        <w:rPr>
          <w:sz w:val="21"/>
          <w:szCs w:val="21"/>
        </w:rPr>
        <w:t xml:space="preserve">, N., Wilk, M., Marszalek, M., Griffiths, L., Harper, G. and </w:t>
      </w:r>
      <w:proofErr w:type="spellStart"/>
      <w:r>
        <w:rPr>
          <w:sz w:val="21"/>
          <w:szCs w:val="21"/>
        </w:rPr>
        <w:t>Dezateux</w:t>
      </w:r>
      <w:proofErr w:type="spellEnd"/>
      <w:r>
        <w:rPr>
          <w:sz w:val="21"/>
          <w:szCs w:val="21"/>
        </w:rPr>
        <w:t xml:space="preserve">, C. (2024) ‘Is obesity more likely among children sharing a household with an older child with obesity? Cross-sectional study of linked National Child Measurement Programme data and electronic health records’, </w:t>
      </w:r>
      <w:r>
        <w:rPr>
          <w:i/>
          <w:iCs/>
          <w:sz w:val="21"/>
          <w:szCs w:val="21"/>
        </w:rPr>
        <w:t>BMJ Paediatrics Open</w:t>
      </w:r>
      <w:r>
        <w:rPr>
          <w:sz w:val="21"/>
          <w:szCs w:val="21"/>
        </w:rPr>
        <w:t>, 8(1), e002533.</w:t>
      </w:r>
    </w:p>
    <w:p w14:paraId="2C5EB4BE" w14:textId="77777777" w:rsidR="001819CF" w:rsidRDefault="00000000">
      <w:pPr>
        <w:spacing w:after="140" w:line="300" w:lineRule="auto"/>
        <w:ind w:left="480" w:hanging="480"/>
      </w:pPr>
      <w:r>
        <w:rPr>
          <w:sz w:val="21"/>
          <w:szCs w:val="21"/>
        </w:rPr>
        <w:t xml:space="preserve">Lafontaine, J., Hanson, I. and Wild, C. (2025) ‘The impact of the social media industry as a commercial determinant of health on the digital food environment for children and adolescents: a scoping review’, </w:t>
      </w:r>
      <w:r>
        <w:rPr>
          <w:i/>
          <w:iCs/>
          <w:sz w:val="21"/>
          <w:szCs w:val="21"/>
        </w:rPr>
        <w:t>BMJ Global Health</w:t>
      </w:r>
      <w:r>
        <w:rPr>
          <w:sz w:val="21"/>
          <w:szCs w:val="21"/>
        </w:rPr>
        <w:t>, 10(2), e014667.</w:t>
      </w:r>
    </w:p>
    <w:p w14:paraId="4848B66A" w14:textId="77777777" w:rsidR="001819CF" w:rsidRDefault="00000000">
      <w:pPr>
        <w:spacing w:after="140" w:line="300" w:lineRule="auto"/>
        <w:ind w:left="480" w:hanging="480"/>
      </w:pPr>
      <w:r>
        <w:rPr>
          <w:sz w:val="21"/>
          <w:szCs w:val="21"/>
        </w:rPr>
        <w:t xml:space="preserve">Marmot, M. (2010) </w:t>
      </w:r>
      <w:r>
        <w:rPr>
          <w:i/>
          <w:iCs/>
          <w:sz w:val="21"/>
          <w:szCs w:val="21"/>
        </w:rPr>
        <w:t>Fair Society, Healthy Lives: The Marmot Review. Strategic Review of Health Inequalities in England Post-2010</w:t>
      </w:r>
      <w:r>
        <w:rPr>
          <w:sz w:val="21"/>
          <w:szCs w:val="21"/>
        </w:rPr>
        <w:t>. London: The Marmot Review.</w:t>
      </w:r>
    </w:p>
    <w:p w14:paraId="288ACEBC" w14:textId="77777777" w:rsidR="001819CF" w:rsidRDefault="00000000">
      <w:pPr>
        <w:spacing w:after="140" w:line="300" w:lineRule="auto"/>
        <w:ind w:left="480" w:hanging="480"/>
      </w:pPr>
      <w:r>
        <w:rPr>
          <w:sz w:val="21"/>
          <w:szCs w:val="21"/>
        </w:rPr>
        <w:t xml:space="preserve">Michalopoulou, S., </w:t>
      </w:r>
      <w:proofErr w:type="spellStart"/>
      <w:r>
        <w:rPr>
          <w:sz w:val="21"/>
          <w:szCs w:val="21"/>
        </w:rPr>
        <w:t>Sifaki</w:t>
      </w:r>
      <w:proofErr w:type="spellEnd"/>
      <w:r>
        <w:rPr>
          <w:sz w:val="21"/>
          <w:szCs w:val="21"/>
        </w:rPr>
        <w:t xml:space="preserve">, M., Packer, J., Lanigan, J., Stansfield, C., Viner, R.M. and Russell, S. (2024) ‘Assessing the impact of obesity interventions in the early years: a systematic review of UK-based studies’, </w:t>
      </w:r>
      <w:r>
        <w:rPr>
          <w:i/>
          <w:iCs/>
          <w:sz w:val="21"/>
          <w:szCs w:val="21"/>
        </w:rPr>
        <w:t>BMJ Open</w:t>
      </w:r>
      <w:r>
        <w:rPr>
          <w:sz w:val="21"/>
          <w:szCs w:val="21"/>
        </w:rPr>
        <w:t>, 14(5), e076479.</w:t>
      </w:r>
    </w:p>
    <w:p w14:paraId="7029CE0C" w14:textId="77777777" w:rsidR="001819CF" w:rsidRDefault="00000000">
      <w:pPr>
        <w:spacing w:after="140" w:line="300" w:lineRule="auto"/>
        <w:ind w:left="480" w:hanging="480"/>
      </w:pPr>
      <w:r>
        <w:rPr>
          <w:sz w:val="21"/>
          <w:szCs w:val="21"/>
        </w:rPr>
        <w:t xml:space="preserve">Mohamed, M. and Pallan, M. (2024) ‘Tracking changes in weight status in primary school children in Birmingham: an analysis of the National Child Measurement Programme – a retrospective cohort study’, </w:t>
      </w:r>
      <w:r>
        <w:rPr>
          <w:i/>
          <w:iCs/>
          <w:sz w:val="21"/>
          <w:szCs w:val="21"/>
        </w:rPr>
        <w:t>BMJ Paediatrics Open</w:t>
      </w:r>
      <w:r>
        <w:rPr>
          <w:sz w:val="21"/>
          <w:szCs w:val="21"/>
        </w:rPr>
        <w:t>, 8(1), e002547.</w:t>
      </w:r>
    </w:p>
    <w:p w14:paraId="0ED294B4" w14:textId="77777777" w:rsidR="001819CF" w:rsidRDefault="00000000">
      <w:pPr>
        <w:spacing w:after="140" w:line="300" w:lineRule="auto"/>
        <w:ind w:left="480" w:hanging="480"/>
      </w:pPr>
      <w:r>
        <w:rPr>
          <w:sz w:val="21"/>
          <w:szCs w:val="21"/>
        </w:rPr>
        <w:t xml:space="preserve">Nagata, J.M., Smith, N., </w:t>
      </w:r>
      <w:proofErr w:type="spellStart"/>
      <w:r>
        <w:rPr>
          <w:sz w:val="21"/>
          <w:szCs w:val="21"/>
        </w:rPr>
        <w:t>Alsamman</w:t>
      </w:r>
      <w:proofErr w:type="spellEnd"/>
      <w:r>
        <w:rPr>
          <w:sz w:val="21"/>
          <w:szCs w:val="21"/>
        </w:rPr>
        <w:t xml:space="preserve">, S., Lee, C.M., Dooley, E.E., Kiss, O., Ganson, K.T., Wing, D., Baker, F.C. and Gabriel, K.P. (2023) ‘Association of physical activity and screen time with body mass index among US adolescents’, </w:t>
      </w:r>
      <w:r>
        <w:rPr>
          <w:i/>
          <w:iCs/>
          <w:sz w:val="21"/>
          <w:szCs w:val="21"/>
        </w:rPr>
        <w:t>JAMA Network Open</w:t>
      </w:r>
      <w:r>
        <w:rPr>
          <w:sz w:val="21"/>
          <w:szCs w:val="21"/>
        </w:rPr>
        <w:t>, 6(2), e2255466.</w:t>
      </w:r>
    </w:p>
    <w:p w14:paraId="3F9F780F" w14:textId="77777777" w:rsidR="001819CF" w:rsidRDefault="00000000">
      <w:pPr>
        <w:spacing w:after="140" w:line="300" w:lineRule="auto"/>
        <w:ind w:left="480" w:hanging="480"/>
      </w:pPr>
      <w:r>
        <w:rPr>
          <w:sz w:val="21"/>
          <w:szCs w:val="21"/>
        </w:rPr>
        <w:lastRenderedPageBreak/>
        <w:t xml:space="preserve">National Institute for Health and Care Excellence (NICE) (2025) </w:t>
      </w:r>
      <w:r>
        <w:rPr>
          <w:i/>
          <w:iCs/>
          <w:sz w:val="21"/>
          <w:szCs w:val="21"/>
        </w:rPr>
        <w:t>Overweight and obesity management: NICE guideline NG246</w:t>
      </w:r>
      <w:r>
        <w:rPr>
          <w:sz w:val="21"/>
          <w:szCs w:val="21"/>
        </w:rPr>
        <w:t>. London: NICE.</w:t>
      </w:r>
    </w:p>
    <w:p w14:paraId="63CDB9E7" w14:textId="77777777" w:rsidR="001819CF" w:rsidRDefault="00000000">
      <w:pPr>
        <w:spacing w:after="140" w:line="300" w:lineRule="auto"/>
        <w:ind w:left="480" w:hanging="480"/>
      </w:pPr>
      <w:r>
        <w:rPr>
          <w:sz w:val="21"/>
          <w:szCs w:val="21"/>
        </w:rPr>
        <w:t xml:space="preserve">NHS Digital (2025) </w:t>
      </w:r>
      <w:r>
        <w:rPr>
          <w:i/>
          <w:iCs/>
          <w:sz w:val="21"/>
          <w:szCs w:val="21"/>
        </w:rPr>
        <w:t>National Child Measurement Programme</w:t>
      </w:r>
      <w:r>
        <w:rPr>
          <w:sz w:val="21"/>
          <w:szCs w:val="21"/>
        </w:rPr>
        <w:t>. Available at: https://digital.nhs.uk/data-and-information/publications/statistical/national-child-measurement-programme (Accessed: 3 July 2026).</w:t>
      </w:r>
    </w:p>
    <w:p w14:paraId="6661C6AE" w14:textId="77777777" w:rsidR="001819CF" w:rsidRDefault="00000000">
      <w:pPr>
        <w:spacing w:after="140" w:line="300" w:lineRule="auto"/>
        <w:ind w:left="480" w:hanging="480"/>
      </w:pPr>
      <w:r>
        <w:rPr>
          <w:sz w:val="21"/>
          <w:szCs w:val="21"/>
        </w:rPr>
        <w:t xml:space="preserve">Office for Health Improvement and Disparities (2025) </w:t>
      </w:r>
      <w:r>
        <w:rPr>
          <w:i/>
          <w:iCs/>
          <w:sz w:val="21"/>
          <w:szCs w:val="21"/>
        </w:rPr>
        <w:t>National Child Measurement Programme annual report, academic year 2024 to 2025, England</w:t>
      </w:r>
      <w:r>
        <w:rPr>
          <w:sz w:val="21"/>
          <w:szCs w:val="21"/>
        </w:rPr>
        <w:t>. London: GOV.UK.</w:t>
      </w:r>
    </w:p>
    <w:p w14:paraId="500FF367" w14:textId="77777777" w:rsidR="001819CF" w:rsidRDefault="00000000">
      <w:pPr>
        <w:spacing w:after="140" w:line="300" w:lineRule="auto"/>
        <w:ind w:left="480" w:hanging="480"/>
      </w:pPr>
      <w:r>
        <w:rPr>
          <w:sz w:val="21"/>
          <w:szCs w:val="21"/>
        </w:rPr>
        <w:t xml:space="preserve">Peters, M.D.J., Marnie, C., </w:t>
      </w:r>
      <w:proofErr w:type="spellStart"/>
      <w:r>
        <w:rPr>
          <w:sz w:val="21"/>
          <w:szCs w:val="21"/>
        </w:rPr>
        <w:t>Tricco</w:t>
      </w:r>
      <w:proofErr w:type="spellEnd"/>
      <w:r>
        <w:rPr>
          <w:sz w:val="21"/>
          <w:szCs w:val="21"/>
        </w:rPr>
        <w:t xml:space="preserve">, A.C., Pollock, D., Munn, Z., Alexander, L., McInerney, P., Godfrey, C.M. and Khalil, H. (2020) ‘Updated methodological guidance for the conduct of scoping reviews’, </w:t>
      </w:r>
      <w:r>
        <w:rPr>
          <w:i/>
          <w:iCs/>
          <w:sz w:val="21"/>
          <w:szCs w:val="21"/>
        </w:rPr>
        <w:t>JBI Evidence Synthesis</w:t>
      </w:r>
      <w:r>
        <w:rPr>
          <w:sz w:val="21"/>
          <w:szCs w:val="21"/>
        </w:rPr>
        <w:t>, 18(10), pp. 2119–2126.</w:t>
      </w:r>
    </w:p>
    <w:p w14:paraId="0EF9895E" w14:textId="77777777" w:rsidR="001819CF" w:rsidRDefault="00000000">
      <w:pPr>
        <w:spacing w:after="140" w:line="300" w:lineRule="auto"/>
        <w:ind w:left="480" w:hanging="480"/>
      </w:pPr>
      <w:r>
        <w:rPr>
          <w:sz w:val="21"/>
          <w:szCs w:val="21"/>
        </w:rPr>
        <w:t xml:space="preserve">Rogers, N.T., Cummins, S., Jones, C.P., </w:t>
      </w:r>
      <w:proofErr w:type="spellStart"/>
      <w:r>
        <w:rPr>
          <w:sz w:val="21"/>
          <w:szCs w:val="21"/>
        </w:rPr>
        <w:t>Mytton</w:t>
      </w:r>
      <w:proofErr w:type="spellEnd"/>
      <w:r>
        <w:rPr>
          <w:sz w:val="21"/>
          <w:szCs w:val="21"/>
        </w:rPr>
        <w:t xml:space="preserve">, O., Rayner, M., Rutter, H., White, M. and Adams, J. (2024) ‘Estimated changes in free sugar consumption one year after the UK soft drinks industry levy came into force: controlled interrupted time series analysis of the National Diet and Nutrition Survey (2011–2019)’, </w:t>
      </w:r>
      <w:r>
        <w:rPr>
          <w:i/>
          <w:iCs/>
          <w:sz w:val="21"/>
          <w:szCs w:val="21"/>
        </w:rPr>
        <w:t>Journal of Epidemiology and Community Health</w:t>
      </w:r>
      <w:r>
        <w:rPr>
          <w:sz w:val="21"/>
          <w:szCs w:val="21"/>
        </w:rPr>
        <w:t>, 78(9), pp. 578–584.</w:t>
      </w:r>
    </w:p>
    <w:p w14:paraId="1617918D" w14:textId="77777777" w:rsidR="001819CF" w:rsidRDefault="00000000">
      <w:pPr>
        <w:spacing w:after="140" w:line="300" w:lineRule="auto"/>
        <w:ind w:left="480" w:hanging="480"/>
      </w:pPr>
      <w:r>
        <w:rPr>
          <w:sz w:val="21"/>
          <w:szCs w:val="21"/>
        </w:rPr>
        <w:t xml:space="preserve">World Health Organization (2023) </w:t>
      </w:r>
      <w:r>
        <w:rPr>
          <w:i/>
          <w:iCs/>
          <w:sz w:val="21"/>
          <w:szCs w:val="21"/>
        </w:rPr>
        <w:t>Policies to protect children from the harmful impact of food marketing: WHO guideline</w:t>
      </w:r>
      <w:r>
        <w:rPr>
          <w:sz w:val="21"/>
          <w:szCs w:val="21"/>
        </w:rPr>
        <w:t>. Geneva: World Health Organization.</w:t>
      </w:r>
    </w:p>
    <w:p w14:paraId="21377CC1" w14:textId="77777777" w:rsidR="001819CF" w:rsidRDefault="00000000">
      <w:pPr>
        <w:spacing w:after="140" w:line="300" w:lineRule="auto"/>
        <w:ind w:left="480" w:hanging="480"/>
      </w:pPr>
      <w:r>
        <w:rPr>
          <w:sz w:val="21"/>
          <w:szCs w:val="21"/>
        </w:rPr>
        <w:t xml:space="preserve">World Health Organization (2024) </w:t>
      </w:r>
      <w:r>
        <w:rPr>
          <w:i/>
          <w:iCs/>
          <w:sz w:val="21"/>
          <w:szCs w:val="21"/>
        </w:rPr>
        <w:t>Obesity and overweight</w:t>
      </w:r>
      <w:r>
        <w:rPr>
          <w:sz w:val="21"/>
          <w:szCs w:val="21"/>
        </w:rPr>
        <w:t>. Geneva: World Health Organization. Available at: https://www.who.int/news-room/fact-sheets/detail/obesity-and-overweight (Accessed: 3 July 2026).</w:t>
      </w:r>
    </w:p>
    <w:p w14:paraId="68B9CA3C" w14:textId="77777777" w:rsidR="001819CF" w:rsidRDefault="00000000">
      <w:pPr>
        <w:spacing w:after="140" w:line="300" w:lineRule="auto"/>
        <w:ind w:left="480" w:hanging="480"/>
      </w:pPr>
      <w:r>
        <w:rPr>
          <w:sz w:val="21"/>
          <w:szCs w:val="21"/>
        </w:rPr>
        <w:t xml:space="preserve">Zink, J., Booker, R., Wolff-Hughes, D.L., Allen, N.B., </w:t>
      </w:r>
      <w:proofErr w:type="spellStart"/>
      <w:r>
        <w:rPr>
          <w:sz w:val="21"/>
          <w:szCs w:val="21"/>
        </w:rPr>
        <w:t>Carnethon</w:t>
      </w:r>
      <w:proofErr w:type="spellEnd"/>
      <w:r>
        <w:rPr>
          <w:sz w:val="21"/>
          <w:szCs w:val="21"/>
        </w:rPr>
        <w:t xml:space="preserve">, M.R., Alexandria, S.J. and Berrigan, D. (2024) ‘Longitudinal associations of screen time, physical activity, and sleep duration with body mass index in U.S. youth’, </w:t>
      </w:r>
      <w:r>
        <w:rPr>
          <w:i/>
          <w:iCs/>
          <w:sz w:val="21"/>
          <w:szCs w:val="21"/>
        </w:rPr>
        <w:t xml:space="preserve">International Journal of </w:t>
      </w:r>
      <w:proofErr w:type="spellStart"/>
      <w:r>
        <w:rPr>
          <w:i/>
          <w:iCs/>
          <w:sz w:val="21"/>
          <w:szCs w:val="21"/>
        </w:rPr>
        <w:t>Behavioral</w:t>
      </w:r>
      <w:proofErr w:type="spellEnd"/>
      <w:r>
        <w:rPr>
          <w:i/>
          <w:iCs/>
          <w:sz w:val="21"/>
          <w:szCs w:val="21"/>
        </w:rPr>
        <w:t xml:space="preserve"> Nutrition and Physical Activity</w:t>
      </w:r>
      <w:r>
        <w:rPr>
          <w:sz w:val="21"/>
          <w:szCs w:val="21"/>
        </w:rPr>
        <w:t>, 21, article 35.</w:t>
      </w:r>
    </w:p>
    <w:sectPr w:rsidR="001819CF">
      <w:footerReference w:type="default" r:id="rId7"/>
      <w:footerReference w:type="first" r:id="rId8"/>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3EAF7C" w14:textId="77777777" w:rsidR="005A2F03" w:rsidRDefault="005A2F03">
      <w:pPr>
        <w:spacing w:after="0" w:line="240" w:lineRule="auto"/>
      </w:pPr>
      <w:r>
        <w:separator/>
      </w:r>
    </w:p>
  </w:endnote>
  <w:endnote w:type="continuationSeparator" w:id="0">
    <w:p w14:paraId="7AE0A923" w14:textId="77777777" w:rsidR="005A2F03" w:rsidRDefault="005A2F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A8023CB1-9043-40DB-B90B-67D9F2773004}"/>
  </w:font>
  <w:font w:name="Calibri">
    <w:panose1 w:val="020F0502020204030204"/>
    <w:charset w:val="00"/>
    <w:family w:val="swiss"/>
    <w:pitch w:val="variable"/>
    <w:sig w:usb0="E4002EFF" w:usb1="C200247B" w:usb2="00000009" w:usb3="00000000" w:csb0="000001FF" w:csb1="00000000"/>
    <w:embedRegular r:id="rId2" w:fontKey="{DF4B16BF-2266-4612-A538-2BD5C2B80E79}"/>
  </w:font>
  <w:font w:name="Cambria">
    <w:panose1 w:val="02040503050406030204"/>
    <w:charset w:val="00"/>
    <w:family w:val="roman"/>
    <w:pitch w:val="variable"/>
    <w:sig w:usb0="E00006FF" w:usb1="420024FF" w:usb2="02000000" w:usb3="00000000" w:csb0="0000019F" w:csb1="00000000"/>
    <w:embedRegular r:id="rId3" w:fontKey="{7A5B839D-863C-4FB4-A1F0-4AC7CAC068A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5C3449" w14:textId="77777777" w:rsidR="001819CF" w:rsidRDefault="00000000">
    <w:pPr>
      <w:pBdr>
        <w:top w:val="single" w:sz="4" w:space="6" w:color="BFC9D6"/>
      </w:pBdr>
      <w:jc w:val="center"/>
    </w:pPr>
    <w:r>
      <w:rPr>
        <w:color w:val="595959"/>
        <w:sz w:val="18"/>
        <w:szCs w:val="18"/>
      </w:rPr>
      <w:t xml:space="preserve">Page </w:t>
    </w:r>
    <w:r>
      <w:rPr>
        <w:color w:val="595959"/>
        <w:sz w:val="18"/>
        <w:szCs w:val="18"/>
      </w:rPr>
      <w:fldChar w:fldCharType="begin"/>
    </w:r>
    <w:r>
      <w:rPr>
        <w:color w:val="595959"/>
        <w:sz w:val="18"/>
        <w:szCs w:val="18"/>
      </w:rPr>
      <w:instrText>PAGE</w:instrText>
    </w:r>
    <w:r>
      <w:rPr>
        <w:color w:val="595959"/>
        <w:sz w:val="18"/>
        <w:szCs w:val="18"/>
      </w:rPr>
      <w:fldChar w:fldCharType="separate"/>
    </w:r>
    <w:r w:rsidR="008631C6">
      <w:rPr>
        <w:noProof/>
        <w:color w:val="595959"/>
        <w:sz w:val="18"/>
        <w:szCs w:val="18"/>
      </w:rPr>
      <w:t>2</w:t>
    </w:r>
    <w:r>
      <w:rPr>
        <w:color w:val="595959"/>
        <w:sz w:val="18"/>
        <w:szCs w:val="18"/>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F4C59B" w14:textId="77777777" w:rsidR="001819CF" w:rsidRDefault="001819C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E4035B" w14:textId="77777777" w:rsidR="005A2F03" w:rsidRDefault="005A2F03">
      <w:pPr>
        <w:spacing w:after="0" w:line="240" w:lineRule="auto"/>
      </w:pPr>
      <w:r>
        <w:separator/>
      </w:r>
    </w:p>
  </w:footnote>
  <w:footnote w:type="continuationSeparator" w:id="0">
    <w:p w14:paraId="1E965A30" w14:textId="77777777" w:rsidR="005A2F03" w:rsidRDefault="005A2F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3509C6"/>
    <w:multiLevelType w:val="multilevel"/>
    <w:tmpl w:val="873808BA"/>
    <w:lvl w:ilvl="0">
      <w:start w:val="1"/>
      <w:numFmt w:val="bullet"/>
      <w:lvlText w:val="●"/>
      <w:lvlJc w:val="left"/>
      <w:pPr>
        <w:ind w:left="720" w:hanging="360"/>
      </w:pPr>
    </w:lvl>
    <w:lvl w:ilvl="1">
      <w:start w:val="1"/>
      <w:numFmt w:val="bullet"/>
      <w:lvlText w:val="○"/>
      <w:lvlJc w:val="left"/>
      <w:pPr>
        <w:ind w:left="1440" w:hanging="360"/>
      </w:pPr>
    </w:lvl>
    <w:lvl w:ilvl="2">
      <w:start w:val="1"/>
      <w:numFmt w:val="bullet"/>
      <w:lvlText w:val="■"/>
      <w:lvlJc w:val="left"/>
      <w:pPr>
        <w:ind w:left="2160" w:hanging="360"/>
      </w:p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start w:val="1"/>
      <w:numFmt w:val="bullet"/>
      <w:lvlText w:val="●"/>
      <w:lvlJc w:val="left"/>
      <w:pPr>
        <w:ind w:left="5040" w:hanging="360"/>
      </w:pPr>
    </w:lvl>
    <w:lvl w:ilvl="7">
      <w:start w:val="1"/>
      <w:numFmt w:val="bullet"/>
      <w:lvlText w:val="●"/>
      <w:lvlJc w:val="left"/>
      <w:pPr>
        <w:ind w:left="5760" w:hanging="360"/>
      </w:pPr>
    </w:lvl>
    <w:lvl w:ilvl="8">
      <w:start w:val="1"/>
      <w:numFmt w:val="bullet"/>
      <w:lvlText w:val="●"/>
      <w:lvlJc w:val="left"/>
      <w:pPr>
        <w:ind w:left="6480" w:hanging="360"/>
      </w:pPr>
    </w:lvl>
  </w:abstractNum>
  <w:num w:numId="1" w16cid:durableId="1472747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19CF"/>
    <w:rsid w:val="001819CF"/>
    <w:rsid w:val="005100BA"/>
    <w:rsid w:val="005A2F03"/>
    <w:rsid w:val="008631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FE249"/>
  <w15:docId w15:val="{EFDE84F8-13DA-4CA6-9183-E468FC6FB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color w:val="1A1A1A"/>
        <w:sz w:val="22"/>
        <w:szCs w:val="22"/>
        <w:lang w:val="en-GB" w:eastAsia="en-GB"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single" w:sz="10" w:space="4" w:color="2E74B5"/>
        <w:right w:val="nil"/>
        <w:between w:val="nil"/>
      </w:pBdr>
      <w:spacing w:before="300" w:after="140"/>
      <w:outlineLvl w:val="0"/>
    </w:pPr>
    <w:rPr>
      <w:b/>
      <w:bCs/>
      <w:color w:val="1F3864"/>
      <w:sz w:val="28"/>
      <w:szCs w:val="28"/>
    </w:rPr>
  </w:style>
  <w:style w:type="paragraph" w:styleId="Heading2">
    <w:name w:val="heading 2"/>
    <w:basedOn w:val="Normal"/>
    <w:next w:val="Normal"/>
    <w:uiPriority w:val="9"/>
    <w:unhideWhenUsed/>
    <w:qFormat/>
    <w:pPr>
      <w:pBdr>
        <w:top w:val="nil"/>
        <w:left w:val="nil"/>
        <w:bottom w:val="nil"/>
        <w:right w:val="nil"/>
        <w:between w:val="nil"/>
      </w:pBdr>
      <w:spacing w:before="200" w:after="70"/>
      <w:outlineLvl w:val="1"/>
    </w:pPr>
    <w:rPr>
      <w:b/>
      <w:bCs/>
      <w:color w:val="1F3864"/>
      <w:sz w:val="24"/>
      <w:szCs w:val="24"/>
    </w:rPr>
  </w:style>
  <w:style w:type="paragraph" w:styleId="Heading3">
    <w:name w:val="heading 3"/>
    <w:basedOn w:val="Normal"/>
    <w:next w:val="Normal"/>
    <w:uiPriority w:val="9"/>
    <w:semiHidden/>
    <w:unhideWhenUsed/>
    <w:qFormat/>
    <w:pPr>
      <w:pBdr>
        <w:top w:val="nil"/>
        <w:left w:val="nil"/>
        <w:bottom w:val="nil"/>
        <w:right w:val="nil"/>
        <w:between w:val="nil"/>
      </w:pBdr>
      <w:spacing w:before="150" w:after="40"/>
      <w:outlineLvl w:val="2"/>
    </w:pPr>
    <w:rPr>
      <w:b/>
      <w:bCs/>
      <w:color w:val="404040"/>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4387</Words>
  <Characters>25007</Characters>
  <Application>Microsoft Office Word</Application>
  <DocSecurity>0</DocSecurity>
  <Lines>208</Lines>
  <Paragraphs>58</Paragraphs>
  <ScaleCrop>false</ScaleCrop>
  <Company/>
  <LinksUpToDate>false</LinksUpToDate>
  <CharactersWithSpaces>29336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talmaciu.andreea91@gmail.com</cp:lastModifiedBy>
  <cp:revision>3</cp:revision>
  <dcterms:created xsi:type="dcterms:W3CDTF">2026-07-03T22:33:00Z</dcterms:created>
  <dcterms:modified xsi:type="dcterms:W3CDTF">2026-07-03T22:36:00Z</dcterms:modified>
</cp:coreProperties>
</file>