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D1E39D" w14:textId="77777777" w:rsidR="007D7C11" w:rsidRDefault="00F839A8" w:rsidP="00F839A8">
      <w:pPr>
        <w:jc w:val="center"/>
      </w:pPr>
      <w:r w:rsidRPr="00384EB7">
        <w:rPr>
          <w:u w:val="single"/>
        </w:rPr>
        <w:t>Was the Agoge or the Socio-Economic system the most important factor in the success of the Spartan Military</w:t>
      </w:r>
      <w:r>
        <w:t>.</w:t>
      </w:r>
    </w:p>
    <w:p w14:paraId="1B160296" w14:textId="77777777" w:rsidR="00F839A8" w:rsidRDefault="00F839A8" w:rsidP="00F839A8">
      <w:pPr>
        <w:jc w:val="center"/>
      </w:pPr>
      <w:bookmarkStart w:id="0" w:name="_Hlk26528817"/>
    </w:p>
    <w:p w14:paraId="366DF468" w14:textId="54D0FB71" w:rsidR="00F839A8" w:rsidRDefault="00F839A8" w:rsidP="00F839A8">
      <w:bookmarkStart w:id="1" w:name="_Hlk26527054"/>
      <w:bookmarkStart w:id="2" w:name="_Hlk26531724"/>
      <w:r>
        <w:t xml:space="preserve">Here, we will look at whether or not the agoge or the socio-economic system was the most important factor in the success of the Spartan military. We will look at what each of them contributes to various aspects that could result in a successful military as well as other factors that may also be relevant </w:t>
      </w:r>
      <w:r w:rsidR="004D6846">
        <w:t>to</w:t>
      </w:r>
      <w:r>
        <w:t xml:space="preserve"> Sparta’s success. </w:t>
      </w:r>
    </w:p>
    <w:p w14:paraId="3346114C" w14:textId="6E292FB1" w:rsidR="00F839A8" w:rsidRDefault="00F839A8" w:rsidP="00F839A8">
      <w:r>
        <w:t>The agoge was the educational system that all Spartan boys had to go through between the ages of 7 and 19</w:t>
      </w:r>
      <w:r>
        <w:rPr>
          <w:rStyle w:val="EndnoteReference"/>
        </w:rPr>
        <w:endnoteReference w:id="1"/>
      </w:r>
      <w:r>
        <w:t xml:space="preserve">. </w:t>
      </w:r>
      <w:r w:rsidR="001E3EFC">
        <w:t>Spartan boys’ studies differently depending on the age group, for example, ear</w:t>
      </w:r>
      <w:r w:rsidR="004D6846">
        <w:t>ly</w:t>
      </w:r>
      <w:r w:rsidR="001E3EFC">
        <w:t xml:space="preserve"> </w:t>
      </w:r>
      <w:r w:rsidR="004D6846">
        <w:t xml:space="preserve">from age 7 </w:t>
      </w:r>
      <w:r w:rsidR="001E3EFC">
        <w:t>up to the age of 12, boys studied relatively similar subjects to those of the Athenians boys, such as literacy, music and dance, and also physical exercise</w:t>
      </w:r>
      <w:r w:rsidR="001E3EFC">
        <w:rPr>
          <w:rStyle w:val="EndnoteReference"/>
        </w:rPr>
        <w:endnoteReference w:id="2"/>
      </w:r>
      <w:r w:rsidR="001E3EFC">
        <w:t>.</w:t>
      </w:r>
      <w:r w:rsidR="00A236C6">
        <w:t xml:space="preserve"> However, unlike Athenian education</w:t>
      </w:r>
      <w:r w:rsidR="00A236C6">
        <w:rPr>
          <w:rStyle w:val="EndnoteReference"/>
        </w:rPr>
        <w:endnoteReference w:id="3"/>
      </w:r>
      <w:r w:rsidR="00A236C6">
        <w:t xml:space="preserve"> there is a greater emphasis on the training in endurance and the physical side of the</w:t>
      </w:r>
      <w:r w:rsidR="004D6846">
        <w:t>ir</w:t>
      </w:r>
      <w:r w:rsidR="00A236C6">
        <w:t xml:space="preserve"> education, being described as the ‘most important’</w:t>
      </w:r>
      <w:r w:rsidR="00A236C6">
        <w:rPr>
          <w:rStyle w:val="EndnoteReference"/>
        </w:rPr>
        <w:endnoteReference w:id="4"/>
      </w:r>
      <w:r w:rsidR="00A236C6">
        <w:t>. Even during the primary education, the boys were said to be hardened</w:t>
      </w:r>
      <w:r w:rsidR="00A236C6">
        <w:rPr>
          <w:rStyle w:val="EndnoteReference"/>
        </w:rPr>
        <w:endnoteReference w:id="5"/>
      </w:r>
      <w:r w:rsidR="00A236C6">
        <w:t>, practicing sports naked and barefoot</w:t>
      </w:r>
      <w:r w:rsidR="00A236C6">
        <w:rPr>
          <w:rStyle w:val="EndnoteReference"/>
        </w:rPr>
        <w:endnoteReference w:id="6"/>
      </w:r>
      <w:r w:rsidR="00A236C6">
        <w:t>. This early ‘hardening’ of the boys, may have made for a tougher and more resilient soldier overall but would not have played a key factor in the military successes of Sparta.</w:t>
      </w:r>
    </w:p>
    <w:p w14:paraId="22127072" w14:textId="51EB34A2" w:rsidR="00A236C6" w:rsidRDefault="00A236C6" w:rsidP="00F839A8">
      <w:r>
        <w:t>After the age of 12, it is said that the military training got significantly harder for the boys</w:t>
      </w:r>
      <w:r>
        <w:rPr>
          <w:rStyle w:val="EndnoteReference"/>
        </w:rPr>
        <w:endnoteReference w:id="7"/>
      </w:r>
      <w:r>
        <w:t>.</w:t>
      </w:r>
      <w:r w:rsidR="00AD2F31">
        <w:t xml:space="preserve"> From this point on the boys were subject to military style discipline. Boys were tested in rituals such as whip lashing and trying to steal the largest amount of cheese from the alter of the Artemis Ortheia</w:t>
      </w:r>
      <w:r w:rsidR="00AD2F31">
        <w:rPr>
          <w:rStyle w:val="EndnoteReference"/>
        </w:rPr>
        <w:endnoteReference w:id="8"/>
      </w:r>
      <w:r w:rsidR="00AD2F31">
        <w:t>. The boys were also made to go without bathing, and to only wear one piece of clothing for the whole year</w:t>
      </w:r>
      <w:r w:rsidR="00AD2F31">
        <w:rPr>
          <w:rStyle w:val="EndnoteReference"/>
        </w:rPr>
        <w:endnoteReference w:id="9"/>
      </w:r>
      <w:r w:rsidR="00AD2F31">
        <w:t>. During the summer months, while the soldiers were away on military expeditions, the youths were expected to come to the defence of Sparta if necessary</w:t>
      </w:r>
      <w:r w:rsidR="00D53845">
        <w:rPr>
          <w:rStyle w:val="EndnoteReference"/>
        </w:rPr>
        <w:endnoteReference w:id="10"/>
      </w:r>
      <w:r w:rsidR="00D53845">
        <w:t>. This shows that the pressure of military life was put on the boys early on, and their education must have somewhat prepared them for this. Despite the ‘toughening’ of the education past the age of 12, the boys were still taught music and dance</w:t>
      </w:r>
      <w:r w:rsidR="00D53845">
        <w:rPr>
          <w:rStyle w:val="EndnoteReference"/>
        </w:rPr>
        <w:endnoteReference w:id="11"/>
      </w:r>
      <w:r w:rsidR="00D53845">
        <w:t>, the reason for this is that they had both ritual and military applications</w:t>
      </w:r>
      <w:r w:rsidR="00D53845">
        <w:rPr>
          <w:rStyle w:val="EndnoteReference"/>
        </w:rPr>
        <w:endnoteReference w:id="12"/>
      </w:r>
      <w:r w:rsidR="00D53845">
        <w:t xml:space="preserve"> such as fitness and a sense of rhythm</w:t>
      </w:r>
      <w:r w:rsidR="00D53845">
        <w:rPr>
          <w:rStyle w:val="EndnoteReference"/>
        </w:rPr>
        <w:endnoteReference w:id="13"/>
      </w:r>
      <w:r w:rsidR="00D53845">
        <w:t>. This training instils a sense of discipline into the boys, and prepares them in advance for becoming a soldier</w:t>
      </w:r>
      <w:r w:rsidR="00C24341">
        <w:t xml:space="preserve">, but is still not however a key factor in </w:t>
      </w:r>
      <w:r w:rsidR="004D6846">
        <w:t>why the Spartan military was so successful.</w:t>
      </w:r>
    </w:p>
    <w:p w14:paraId="4E457896" w14:textId="45091EB2" w:rsidR="00695589" w:rsidRDefault="00C24341" w:rsidP="00F839A8">
      <w:r>
        <w:t>The teachings of the agoge also serve to make a more resourceful Spartan, particularly one in enemy territory. It is well documented that Spartan boys were made to go with only small amounts of food</w:t>
      </w:r>
      <w:r>
        <w:rPr>
          <w:rStyle w:val="EndnoteReference"/>
        </w:rPr>
        <w:endnoteReference w:id="14"/>
      </w:r>
      <w:r>
        <w:t>. The reason for this is that it is believed to train the boys to be able to go on for longer periods without food</w:t>
      </w:r>
      <w:r>
        <w:rPr>
          <w:rStyle w:val="EndnoteReference"/>
        </w:rPr>
        <w:endnoteReference w:id="15"/>
      </w:r>
      <w:r>
        <w:t>. This in itself would be a useful feature for a soldier to have, it they could go longer without food the army itself would be more successful as a result of needing less supplies. The miniscule rations also famously encouraged the boys to steal</w:t>
      </w:r>
      <w:r>
        <w:rPr>
          <w:rStyle w:val="EndnoteReference"/>
        </w:rPr>
        <w:endnoteReference w:id="16"/>
      </w:r>
      <w:r>
        <w:t>, which was actually encouraged in order to train the boys in cunning</w:t>
      </w:r>
      <w:r>
        <w:rPr>
          <w:rStyle w:val="EndnoteReference"/>
        </w:rPr>
        <w:endnoteReference w:id="17"/>
      </w:r>
      <w:r>
        <w:t>. This in turn made the boys more resourceful in gaining resources, again a useful feature in a soldier and also would also train them to be spies, and in the art of ambush</w:t>
      </w:r>
      <w:r>
        <w:rPr>
          <w:rStyle w:val="EndnoteReference"/>
        </w:rPr>
        <w:endnoteReference w:id="18"/>
      </w:r>
      <w:r>
        <w:t>. All of these features make for a very effective soldier.</w:t>
      </w:r>
    </w:p>
    <w:p w14:paraId="09EB6923" w14:textId="2C493EF5" w:rsidR="00C24341" w:rsidRDefault="007E7141" w:rsidP="00F839A8">
      <w:r>
        <w:t xml:space="preserve">Not only did the agoge teach the boys to be disciplined soldiers, it also instilled into them the Spartan habitus, to defer to the opinions of society, known as </w:t>
      </w:r>
      <w:proofErr w:type="spellStart"/>
      <w:r>
        <w:t>aidos</w:t>
      </w:r>
      <w:proofErr w:type="spellEnd"/>
      <w:r>
        <w:rPr>
          <w:rStyle w:val="EndnoteReference"/>
        </w:rPr>
        <w:endnoteReference w:id="19"/>
      </w:r>
      <w:r>
        <w:t xml:space="preserve"> This in my opinion is actually on of the most important things that the agoge teaches the young Spartan male. </w:t>
      </w:r>
      <w:proofErr w:type="spellStart"/>
      <w:r>
        <w:t>Aidos</w:t>
      </w:r>
      <w:proofErr w:type="spellEnd"/>
      <w:r>
        <w:t xml:space="preserve"> was extremely important in a state that is described as being ‘surrounded by enemies’</w:t>
      </w:r>
      <w:r>
        <w:rPr>
          <w:rStyle w:val="EndnoteReference"/>
        </w:rPr>
        <w:endnoteReference w:id="20"/>
      </w:r>
      <w:r>
        <w:t xml:space="preserve"> as it promoted social cohesion, and made death in battle far more preferable than cowardice</w:t>
      </w:r>
      <w:r>
        <w:rPr>
          <w:rStyle w:val="EndnoteReference"/>
        </w:rPr>
        <w:endnoteReference w:id="21"/>
      </w:r>
      <w:r>
        <w:t>. The reason for this is that cowards received the entire community’s disapproval, and that a Spartan who ran from battle would not be greatly welcomed back home</w:t>
      </w:r>
      <w:r>
        <w:rPr>
          <w:rStyle w:val="EndnoteReference"/>
        </w:rPr>
        <w:endnoteReference w:id="22"/>
      </w:r>
      <w:r>
        <w:t xml:space="preserve">. The social cohesion created by the </w:t>
      </w:r>
      <w:proofErr w:type="spellStart"/>
      <w:r>
        <w:t>aidos</w:t>
      </w:r>
      <w:proofErr w:type="spellEnd"/>
      <w:r>
        <w:t xml:space="preserve">, creates a </w:t>
      </w:r>
      <w:r>
        <w:lastRenderedPageBreak/>
        <w:t xml:space="preserve">society in which a soldier may fight more vigorously as to not be dishonoured back at home and therefore, creates an army with a greater morale. </w:t>
      </w:r>
    </w:p>
    <w:p w14:paraId="110109CF" w14:textId="68880E50" w:rsidR="007E7141" w:rsidRDefault="007E7141" w:rsidP="00F839A8">
      <w:r>
        <w:t xml:space="preserve">We see arguments for the agoge being the most important aspect of the Spartans military success. Aristotle for example in his ‘Politics’ states that ‘As long as Spartans persisted in their </w:t>
      </w:r>
      <w:r w:rsidR="00516051">
        <w:t>laborious</w:t>
      </w:r>
      <w:r>
        <w:t xml:space="preserve"> exercises they surpass other peoples… they now fall behind because others have begun to rival their education”</w:t>
      </w:r>
      <w:r>
        <w:rPr>
          <w:rStyle w:val="EndnoteReference"/>
        </w:rPr>
        <w:endnoteReference w:id="23"/>
      </w:r>
      <w:r>
        <w:t xml:space="preserve">, this would indicate that the agoge was </w:t>
      </w:r>
      <w:r w:rsidR="00516051">
        <w:t>in fact</w:t>
      </w:r>
      <w:r>
        <w:t xml:space="preserve"> a key factor in the success of the Spartan military as the other states could only compete after they adopted a similar syste</w:t>
      </w:r>
      <w:r w:rsidR="00516051">
        <w:t>m</w:t>
      </w:r>
      <w:r>
        <w:t>,.</w:t>
      </w:r>
      <w:r w:rsidR="00516051">
        <w:t xml:space="preserve"> Xenophon also admits that it is as a result of the Spartan schooling that they are so militarily successful in their manoeuvres</w:t>
      </w:r>
      <w:r w:rsidR="00516051">
        <w:rPr>
          <w:rStyle w:val="EndnoteReference"/>
        </w:rPr>
        <w:endnoteReference w:id="24"/>
      </w:r>
      <w:r w:rsidR="00516051">
        <w:t xml:space="preserve"> This however ties into the concept of the Spartan mirage, and that the Spartans themselves may have wanted to discourage anyone from learning the true reason behind their military success</w:t>
      </w:r>
      <w:r w:rsidR="00221E06">
        <w:rPr>
          <w:rStyle w:val="EndnoteReference"/>
        </w:rPr>
        <w:endnoteReference w:id="25"/>
      </w:r>
      <w:r w:rsidR="00221E06">
        <w:t>. Powell talks about how the emphasis on the training being the success created a reputation that may have damaged the morale of their opponents, while hiding their greatest asset.</w:t>
      </w:r>
      <w:r w:rsidR="00221E06">
        <w:rPr>
          <w:rStyle w:val="EndnoteReference"/>
        </w:rPr>
        <w:endnoteReference w:id="26"/>
      </w:r>
    </w:p>
    <w:p w14:paraId="6A7F32C8" w14:textId="76034DD8" w:rsidR="00221E06" w:rsidRDefault="006E115D" w:rsidP="00F839A8">
      <w:r>
        <w:t xml:space="preserve">The Spartan </w:t>
      </w:r>
      <w:r w:rsidR="00D3190A">
        <w:t>socio-economic</w:t>
      </w:r>
      <w:r>
        <w:t xml:space="preserve"> system was a key part of why Sparta was as successful as it was, </w:t>
      </w:r>
      <w:r w:rsidR="00D3190A">
        <w:t>the reason that it was able to support a professional army with its male citizen population being completely dedicated to the life of a soldier</w:t>
      </w:r>
      <w:r w:rsidR="00D3190A">
        <w:rPr>
          <w:rStyle w:val="EndnoteReference"/>
        </w:rPr>
        <w:endnoteReference w:id="27"/>
      </w:r>
      <w:r w:rsidR="00D3190A">
        <w:t>. The system that existed was one in which the Spartan citizen or Spartiate, was required to be a member of a syssition</w:t>
      </w:r>
      <w:r w:rsidR="00D3190A">
        <w:rPr>
          <w:rStyle w:val="EndnoteReference"/>
        </w:rPr>
        <w:endnoteReference w:id="28"/>
      </w:r>
      <w:r w:rsidR="00D3190A">
        <w:t>. Which is known as a mess, but would have originally have been a military unit</w:t>
      </w:r>
      <w:r w:rsidR="00D3190A">
        <w:rPr>
          <w:rStyle w:val="EndnoteReference"/>
        </w:rPr>
        <w:endnoteReference w:id="29"/>
      </w:r>
      <w:r w:rsidR="00D3190A">
        <w:t>, membership required one to pay a monthly due, payment of which was dependant of the amount of land that the Spartiate owned</w:t>
      </w:r>
      <w:r w:rsidR="00D3190A">
        <w:rPr>
          <w:rStyle w:val="EndnoteReference"/>
        </w:rPr>
        <w:endnoteReference w:id="30"/>
      </w:r>
      <w:r w:rsidR="00D3190A">
        <w:t xml:space="preserve">. </w:t>
      </w:r>
      <w:r w:rsidR="00A0646A">
        <w:t>If one could not afford to pay their monthly due, they lost their full citizenship status</w:t>
      </w:r>
      <w:r w:rsidR="00A0646A">
        <w:rPr>
          <w:rStyle w:val="EndnoteReference"/>
        </w:rPr>
        <w:endnoteReference w:id="31"/>
      </w:r>
      <w:r w:rsidR="00A0646A">
        <w:t>, as a result we can see that the pressure to be able to afford the dues was imperative for the Spartiate .</w:t>
      </w:r>
      <w:r w:rsidR="00D3190A">
        <w:t>This showed that to be a Spartan citizen one had to possess a certain amount of wealth</w:t>
      </w:r>
      <w:r w:rsidR="00A0646A">
        <w:t>, at least enough to be able to support one’s family and to be able to donate to the sysittia</w:t>
      </w:r>
      <w:r w:rsidR="00A0646A">
        <w:rPr>
          <w:rStyle w:val="EndnoteReference"/>
        </w:rPr>
        <w:endnoteReference w:id="32"/>
      </w:r>
      <w:r w:rsidR="00A0646A">
        <w:t xml:space="preserve">. This system allowed the Spartiate to not have to work for a living, creating a society that affords significant amounts of spare time for its citizens. </w:t>
      </w:r>
    </w:p>
    <w:p w14:paraId="19371952" w14:textId="5ECC9767" w:rsidR="00A0646A" w:rsidRDefault="00A0646A" w:rsidP="00F839A8">
      <w:r>
        <w:t>Those that had to work in the place of the Spartans were the helots</w:t>
      </w:r>
      <w:r>
        <w:rPr>
          <w:rStyle w:val="EndnoteReference"/>
        </w:rPr>
        <w:endnoteReference w:id="33"/>
      </w:r>
      <w:r>
        <w:t xml:space="preserve">. These were a </w:t>
      </w:r>
      <w:r w:rsidR="00384EB7">
        <w:t>conquered</w:t>
      </w:r>
      <w:r>
        <w:t xml:space="preserve"> people, who had a status between that of a free person and a slave, made to work the </w:t>
      </w:r>
      <w:r w:rsidR="00384EB7">
        <w:t>land</w:t>
      </w:r>
      <w:r w:rsidR="00384EB7">
        <w:rPr>
          <w:rStyle w:val="EndnoteReference"/>
        </w:rPr>
        <w:endnoteReference w:id="34"/>
      </w:r>
      <w:r w:rsidR="00384EB7">
        <w:t>. And as a result of the labours of the Helots, Cartledge describes the Spartans as ‘having done no productive work whatsoever’</w:t>
      </w:r>
      <w:r w:rsidR="00384EB7">
        <w:rPr>
          <w:rStyle w:val="EndnoteReference"/>
        </w:rPr>
        <w:endnoteReference w:id="35"/>
      </w:r>
      <w:r w:rsidR="00384EB7">
        <w:t>. In further reference to the fact that the Spartans did not have to work for themselves. The Spartans are also described as being ‘more free than most other free Greeks’</w:t>
      </w:r>
      <w:r w:rsidR="00384EB7">
        <w:rPr>
          <w:rStyle w:val="EndnoteReference"/>
        </w:rPr>
        <w:endnoteReference w:id="36"/>
      </w:r>
      <w:r w:rsidR="00384EB7">
        <w:t xml:space="preserve">. This comparison tells us that </w:t>
      </w:r>
      <w:r w:rsidR="00237009">
        <w:t>the other Greek city stat</w:t>
      </w:r>
      <w:r w:rsidR="00384EB7">
        <w:t>e</w:t>
      </w:r>
      <w:r w:rsidR="00237009">
        <w:t xml:space="preserve">s did not have the same economic system that freed up the citizens in the same way </w:t>
      </w:r>
      <w:r w:rsidR="00384EB7">
        <w:t>that the Spartans did, and as a result might be the main contributing factor behind their success.</w:t>
      </w:r>
    </w:p>
    <w:p w14:paraId="69D937E3" w14:textId="53C45BA7" w:rsidR="009E3645" w:rsidRDefault="009E3645" w:rsidP="00F839A8">
      <w:r>
        <w:t xml:space="preserve">An argument could be made that may support the idea that the </w:t>
      </w:r>
      <w:r w:rsidR="00DC7836">
        <w:t>socio-economic</w:t>
      </w:r>
      <w:r>
        <w:t xml:space="preserve"> system was in fact key to the story of the Spartan success as, it was during the 4</w:t>
      </w:r>
      <w:r w:rsidRPr="009E3645">
        <w:rPr>
          <w:vertAlign w:val="superscript"/>
        </w:rPr>
        <w:t>th</w:t>
      </w:r>
      <w:r>
        <w:t xml:space="preserve"> Century BC that </w:t>
      </w:r>
      <w:proofErr w:type="gramStart"/>
      <w:r>
        <w:t>the a</w:t>
      </w:r>
      <w:proofErr w:type="gramEnd"/>
      <w:r>
        <w:t xml:space="preserve"> significant number of Spartiate could no longer afford their months dues to their syssition</w:t>
      </w:r>
      <w:r>
        <w:rPr>
          <w:rStyle w:val="EndnoteReference"/>
        </w:rPr>
        <w:endnoteReference w:id="37"/>
      </w:r>
      <w:r>
        <w:t>. This then coincides somewhat with the battle of Leuctra in 371 BC</w:t>
      </w:r>
      <w:r>
        <w:rPr>
          <w:rStyle w:val="EndnoteReference"/>
        </w:rPr>
        <w:endnoteReference w:id="38"/>
      </w:r>
      <w:r w:rsidR="001A131A">
        <w:t>, against the Thebans, who were said to be like young boys</w:t>
      </w:r>
      <w:r w:rsidR="001A131A">
        <w:rPr>
          <w:rStyle w:val="EndnoteReference"/>
        </w:rPr>
        <w:endnoteReference w:id="39"/>
      </w:r>
      <w:r w:rsidR="001A131A">
        <w:t xml:space="preserve">. </w:t>
      </w:r>
      <w:r w:rsidR="00DC7836">
        <w:t>Therefore,</w:t>
      </w:r>
      <w:r w:rsidR="001A131A">
        <w:t xml:space="preserve"> one could argue that, despite all of the Spartan military training, it was the economic decline that actually hurt Sparta the most.</w:t>
      </w:r>
    </w:p>
    <w:p w14:paraId="138B3490" w14:textId="3AD22E80" w:rsidR="00384EB7" w:rsidRDefault="00384EB7" w:rsidP="00F839A8">
      <w:r>
        <w:t>The socio-economic system therefore enable</w:t>
      </w:r>
      <w:r w:rsidR="00FF7C8A">
        <w:t>d</w:t>
      </w:r>
      <w:r>
        <w:t xml:space="preserve"> the Spartans to </w:t>
      </w:r>
      <w:r w:rsidR="00FF7C8A">
        <w:t xml:space="preserve">have a large pool of professional soldiers at their disposal, who are completely dedicated to being a soldier, and does not cost the state. </w:t>
      </w:r>
      <w:r w:rsidR="00237009">
        <w:t xml:space="preserve">It is perhaps the foundation for the Spartans success however not the overall cause of it in my opinion. Both aspects from the Agoge and the </w:t>
      </w:r>
      <w:r w:rsidR="001A131A">
        <w:t>Socio-Economic</w:t>
      </w:r>
      <w:r w:rsidR="00237009">
        <w:t xml:space="preserve"> system did allow for the Spartans to become successful, however it is actually as a result of the overall professionalism and tactics</w:t>
      </w:r>
      <w:r w:rsidR="009E3645">
        <w:t xml:space="preserve"> that the army used that allowed the Spartan success in battle. </w:t>
      </w:r>
    </w:p>
    <w:p w14:paraId="2C4EC516" w14:textId="34990DAA" w:rsidR="00DC7836" w:rsidRDefault="00DC7836" w:rsidP="00F839A8">
      <w:r>
        <w:lastRenderedPageBreak/>
        <w:t>The Spartan army was said to be a highly organised and stratified unit. We see an example of this in Thucydides account of the Battle of Mantinea</w:t>
      </w:r>
      <w:r w:rsidR="00DA7AA0">
        <w:t xml:space="preserve"> which was possibly one of the most successful of Spartan victories</w:t>
      </w:r>
      <w:r>
        <w:t>, ‘for when a king leads, all orders are given by him’</w:t>
      </w:r>
      <w:r>
        <w:rPr>
          <w:rStyle w:val="EndnoteReference"/>
        </w:rPr>
        <w:endnoteReference w:id="40"/>
      </w:r>
      <w:r>
        <w:t>. While a king may not always lead in battle, it is important to note that the following of commands is key component in military victory. The Spartan military was highly stratified as Thucydides details the chain of command going down the entire army, each unit having its own commander</w:t>
      </w:r>
      <w:r>
        <w:rPr>
          <w:rStyle w:val="EndnoteReference"/>
        </w:rPr>
        <w:endnoteReference w:id="41"/>
      </w:r>
      <w:r w:rsidR="00F35D43">
        <w:t xml:space="preserve">. This would ensure that the orders are passed down to every soldier in the army and therefore would be far more effective. Also having commander for every unit provides a boost to overall troop morale. </w:t>
      </w:r>
      <w:r w:rsidR="00F76EC2">
        <w:t>Even the bottom of the chain of command, known as the ‘</w:t>
      </w:r>
      <w:proofErr w:type="spellStart"/>
      <w:r w:rsidR="00F76EC2">
        <w:t>enormita</w:t>
      </w:r>
      <w:proofErr w:type="spellEnd"/>
      <w:r w:rsidR="00F76EC2">
        <w:t>’</w:t>
      </w:r>
      <w:r w:rsidR="00F76EC2">
        <w:rPr>
          <w:rStyle w:val="EndnoteReference"/>
        </w:rPr>
        <w:endnoteReference w:id="42"/>
      </w:r>
      <w:r w:rsidR="00F76EC2">
        <w:t xml:space="preserve"> which itself had an internal hierarchy</w:t>
      </w:r>
      <w:r w:rsidR="00F76EC2">
        <w:rPr>
          <w:rStyle w:val="EndnoteReference"/>
        </w:rPr>
        <w:endnoteReference w:id="43"/>
      </w:r>
      <w:r w:rsidR="00F76EC2">
        <w:t xml:space="preserve">. Hodkinson states that the result of this was a “sophisticated </w:t>
      </w:r>
      <w:proofErr w:type="spellStart"/>
      <w:r w:rsidR="00F76EC2">
        <w:t>Lakedaemonian</w:t>
      </w:r>
      <w:proofErr w:type="spellEnd"/>
      <w:r w:rsidR="00F76EC2">
        <w:t xml:space="preserve"> drilling organisation possessed by no other contemporary army</w:t>
      </w:r>
      <w:r w:rsidR="00F76EC2">
        <w:rPr>
          <w:rStyle w:val="EndnoteReference"/>
        </w:rPr>
        <w:endnoteReference w:id="44"/>
      </w:r>
      <w:r w:rsidR="00F76EC2">
        <w:t>”</w:t>
      </w:r>
      <w:r w:rsidR="00E36FD4">
        <w:t>. This drilling system would have contributed to the discipline and preparation of the army to fight effectively.</w:t>
      </w:r>
    </w:p>
    <w:p w14:paraId="7CFEC98B" w14:textId="1B9E314B" w:rsidR="00F76EC2" w:rsidRDefault="00F76EC2" w:rsidP="00F839A8">
      <w:r>
        <w:t>Another factor in the organisation of the military organisation and discipline is the aforementioned Syssitia</w:t>
      </w:r>
      <w:r w:rsidR="00E36FD4">
        <w:t xml:space="preserve">. </w:t>
      </w:r>
      <w:r w:rsidR="002577BE">
        <w:t xml:space="preserve">Those in the </w:t>
      </w:r>
      <w:proofErr w:type="spellStart"/>
      <w:r w:rsidR="002577BE">
        <w:t>enormita</w:t>
      </w:r>
      <w:proofErr w:type="spellEnd"/>
      <w:r w:rsidR="002577BE">
        <w:t xml:space="preserve"> were made up of those who were members of the same syssitia</w:t>
      </w:r>
      <w:r w:rsidR="002577BE">
        <w:rPr>
          <w:rStyle w:val="EndnoteReference"/>
        </w:rPr>
        <w:endnoteReference w:id="45"/>
      </w:r>
      <w:r w:rsidR="000A6D4B">
        <w:t>. This would have meant that the soldiers fighting besides on another would have greater a greater cohesion among them as a unit</w:t>
      </w:r>
      <w:r w:rsidR="002C0F4A">
        <w:t xml:space="preserve"> as they would have dined together daily</w:t>
      </w:r>
      <w:r w:rsidR="002C0F4A">
        <w:rPr>
          <w:rStyle w:val="EndnoteReference"/>
        </w:rPr>
        <w:endnoteReference w:id="46"/>
      </w:r>
      <w:r w:rsidR="002C0F4A">
        <w:t xml:space="preserve">. The internal ranking of the syssitia would have also played a role in ensuring that the members of each </w:t>
      </w:r>
      <w:proofErr w:type="spellStart"/>
      <w:r w:rsidR="002C0F4A">
        <w:t>enormita</w:t>
      </w:r>
      <w:proofErr w:type="spellEnd"/>
      <w:r w:rsidR="002C0F4A">
        <w:t xml:space="preserve"> stayed in rank and followed orders. </w:t>
      </w:r>
    </w:p>
    <w:p w14:paraId="127ACE72" w14:textId="57E22BB9" w:rsidR="00DA7AA0" w:rsidRDefault="00040C3C" w:rsidP="00F839A8">
      <w:r>
        <w:t>The primary reason behind the Spartan success at the battle of Mantinea was in fact t</w:t>
      </w:r>
      <w:r w:rsidR="0000371F">
        <w:t>he</w:t>
      </w:r>
      <w:r>
        <w:t xml:space="preserve"> </w:t>
      </w:r>
      <w:r w:rsidR="0000371F">
        <w:t>military discipline,</w:t>
      </w:r>
      <w:r>
        <w:t xml:space="preserve"> the courage of its soldiers</w:t>
      </w:r>
      <w:r w:rsidR="0000371F">
        <w:t xml:space="preserve"> and the command of the army overall</w:t>
      </w:r>
      <w:r>
        <w:t>.</w:t>
      </w:r>
      <w:bookmarkEnd w:id="1"/>
      <w:r w:rsidR="009A464A">
        <w:t xml:space="preserve"> During the initial battle, despite the </w:t>
      </w:r>
      <w:proofErr w:type="spellStart"/>
      <w:r w:rsidR="009A464A">
        <w:t>Sciritae</w:t>
      </w:r>
      <w:proofErr w:type="spellEnd"/>
      <w:r w:rsidR="009A464A">
        <w:t xml:space="preserve"> and the </w:t>
      </w:r>
      <w:proofErr w:type="spellStart"/>
      <w:r w:rsidR="009A464A">
        <w:t>Brasideas</w:t>
      </w:r>
      <w:proofErr w:type="spellEnd"/>
      <w:r w:rsidR="009A464A">
        <w:t xml:space="preserve"> </w:t>
      </w:r>
      <w:r w:rsidR="00AA2EF2">
        <w:t>having been</w:t>
      </w:r>
      <w:r w:rsidR="009A464A">
        <w:t xml:space="preserve"> cut off from the main body and being surrounded</w:t>
      </w:r>
      <w:r w:rsidR="009A464A">
        <w:rPr>
          <w:rStyle w:val="EndnoteReference"/>
        </w:rPr>
        <w:endnoteReference w:id="47"/>
      </w:r>
      <w:r w:rsidR="009A464A">
        <w:t>; the main body of the army, particularly the centre where the king and his 300 elite soldiers we</w:t>
      </w:r>
      <w:r w:rsidR="00AA2EF2">
        <w:t>re</w:t>
      </w:r>
      <w:r w:rsidR="009A464A">
        <w:t xml:space="preserve"> able to force the enemy army into a retreat</w:t>
      </w:r>
      <w:r w:rsidR="009A464A">
        <w:rPr>
          <w:rStyle w:val="EndnoteReference"/>
        </w:rPr>
        <w:endnoteReference w:id="48"/>
      </w:r>
      <w:r w:rsidR="009A464A">
        <w:t>. It is said that most of the enemy did not even meet the Spartans in co</w:t>
      </w:r>
      <w:bookmarkStart w:id="3" w:name="_GoBack"/>
      <w:bookmarkEnd w:id="3"/>
      <w:r w:rsidR="009A464A">
        <w:t>mbat</w:t>
      </w:r>
      <w:r w:rsidR="009A464A">
        <w:rPr>
          <w:rStyle w:val="EndnoteReference"/>
        </w:rPr>
        <w:endnoteReference w:id="49"/>
      </w:r>
      <w:r w:rsidR="009A464A">
        <w:t>. After this they then went to assist the rest of the army that was in distress</w:t>
      </w:r>
      <w:r w:rsidR="009A464A">
        <w:rPr>
          <w:rStyle w:val="EndnoteReference"/>
        </w:rPr>
        <w:endnoteReference w:id="50"/>
      </w:r>
      <w:r w:rsidR="0000371F">
        <w:t xml:space="preserve">. It mentioned that even the </w:t>
      </w:r>
      <w:proofErr w:type="spellStart"/>
      <w:r w:rsidR="0000371F">
        <w:t>Sciritae</w:t>
      </w:r>
      <w:proofErr w:type="spellEnd"/>
      <w:r w:rsidR="0000371F">
        <w:t xml:space="preserve"> and the </w:t>
      </w:r>
      <w:proofErr w:type="spellStart"/>
      <w:r w:rsidR="0000371F">
        <w:t>Brasideas</w:t>
      </w:r>
      <w:proofErr w:type="spellEnd"/>
      <w:r w:rsidR="0000371F">
        <w:t xml:space="preserve"> were able to force the right wing of the Mantineans to retreat before they were surrounded</w:t>
      </w:r>
      <w:r w:rsidR="0000371F">
        <w:rPr>
          <w:rStyle w:val="EndnoteReference"/>
        </w:rPr>
        <w:endnoteReference w:id="51"/>
      </w:r>
      <w:r w:rsidR="0000371F">
        <w:t xml:space="preserve">. Therefore, we can assume that had they not been separated from the main army, they would have been just as effective. </w:t>
      </w:r>
      <w:r w:rsidR="00DA7AA0">
        <w:t>This discipline and courage did not only come from the Spartans, but also their allies and subjects, which we might assume was a result of the Spartan leadership and command hierarchy.</w:t>
      </w:r>
    </w:p>
    <w:p w14:paraId="72EA6EAD" w14:textId="1ED5D999" w:rsidR="00DA7AA0" w:rsidRDefault="00DA7AA0" w:rsidP="00F839A8">
      <w:r>
        <w:t xml:space="preserve">Another possible reason for the success of the battle of Mantinea was the clever tactics used by the Spartan army as they were able to </w:t>
      </w:r>
      <w:r w:rsidR="00F76EC2">
        <w:t>appear as if they were retreating</w:t>
      </w:r>
      <w:r>
        <w:t xml:space="preserve"> in order to bring the Athenians and their allies away from fighting in a place where the Athenians would have had an advantage against them, and down into the plains where they would have had a more equal chance at victory</w:t>
      </w:r>
      <w:r w:rsidR="00FE3CCC">
        <w:rPr>
          <w:rStyle w:val="EndnoteReference"/>
        </w:rPr>
        <w:endnoteReference w:id="52"/>
      </w:r>
      <w:r w:rsidR="00FE3CCC">
        <w:t xml:space="preserve">. </w:t>
      </w:r>
      <w:r w:rsidR="00F76EC2">
        <w:t xml:space="preserve">This tactic worked and the Spartans were able to fight where they wanted. It is possible to say that the tricky tactics that the Spartan command used was a likely a defining factor in how the Spartans were able to win that battle. </w:t>
      </w:r>
    </w:p>
    <w:p w14:paraId="0D0983C6" w14:textId="7ED2823F" w:rsidR="002C0F4A" w:rsidRDefault="002C0F4A" w:rsidP="00F839A8">
      <w:r>
        <w:t xml:space="preserve">Aside from both the Agoge and the Socio-economic system, we have also looked at other possible factors that played a role in the Spartan military victory. The agoge prepared young Spartans by giving them the useful skills they would need that would make them good soldiers such as obedience, courage and cunning. The socio-economic system of the Spartans ensured that no citizen would have to work and could therefore dedicate their lives to the defence and expansion of the Spartan state if called upon to. We have also looked at the social aspect of Spartan culture that would have been ingrained into young Spartans in the agoge and would have translated into fighting to the death in battle. </w:t>
      </w:r>
      <w:r w:rsidR="00FC4546">
        <w:t xml:space="preserve">The Spartan military tactics and the organisation of the army all play a decisive role in the successes of the Spartan military. </w:t>
      </w:r>
    </w:p>
    <w:p w14:paraId="6CDBAB03" w14:textId="49E40727" w:rsidR="00FC4546" w:rsidRDefault="00FC4546" w:rsidP="00F839A8">
      <w:r>
        <w:lastRenderedPageBreak/>
        <w:t xml:space="preserve">However, the most important factor of the success of the Spartan military in my opinion cannot be singled out to be one factor alone, neither the agoge or the socio-economic system stand out enough to be able to be considered for such a title. </w:t>
      </w:r>
      <w:r w:rsidR="00D16FE2">
        <w:t xml:space="preserve">The Spartans were successful because they were somewhat unique, their socio-economic system formed the basis and allowed for a mobilised, militaristic society. We cannot however single out this as the most important aspect as it wasn’t the cause of their success just an underlying support of it. The agoge can’t be singled out either as it is not completely focused on military training. To put it simply Spartans were successful because of a combination of all of the aspects we have mentioned, and I’m sure a number of others that we have not. </w:t>
      </w:r>
    </w:p>
    <w:bookmarkEnd w:id="2"/>
    <w:p w14:paraId="15F8B97B" w14:textId="77777777" w:rsidR="00F76EC2" w:rsidRDefault="00F76EC2" w:rsidP="00F839A8"/>
    <w:p w14:paraId="486D3C8F" w14:textId="5012C3F0" w:rsidR="00A0646A" w:rsidRDefault="00A0646A" w:rsidP="00F839A8"/>
    <w:bookmarkEnd w:id="0"/>
    <w:p w14:paraId="3870851B" w14:textId="77777777" w:rsidR="00D53845" w:rsidRDefault="00D53845" w:rsidP="00F839A8"/>
    <w:p w14:paraId="4FAF1F6B" w14:textId="77777777" w:rsidR="00D53845" w:rsidRDefault="00D53845" w:rsidP="00F839A8"/>
    <w:p w14:paraId="0C553812" w14:textId="77777777" w:rsidR="00A236C6" w:rsidRDefault="00A236C6" w:rsidP="00F839A8"/>
    <w:sectPr w:rsidR="00A236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07274E" w14:textId="77777777" w:rsidR="00FE26A4" w:rsidRDefault="00FE26A4" w:rsidP="00F839A8">
      <w:pPr>
        <w:spacing w:after="0" w:line="240" w:lineRule="auto"/>
      </w:pPr>
      <w:r>
        <w:separator/>
      </w:r>
    </w:p>
  </w:endnote>
  <w:endnote w:type="continuationSeparator" w:id="0">
    <w:p w14:paraId="065B0B97" w14:textId="77777777" w:rsidR="00FE26A4" w:rsidRDefault="00FE26A4" w:rsidP="00F839A8">
      <w:pPr>
        <w:spacing w:after="0" w:line="240" w:lineRule="auto"/>
      </w:pPr>
      <w:r>
        <w:continuationSeparator/>
      </w:r>
    </w:p>
  </w:endnote>
  <w:endnote w:id="1">
    <w:p w14:paraId="5C1455DA" w14:textId="77777777" w:rsidR="00F76EC2" w:rsidRDefault="00F76EC2">
      <w:pPr>
        <w:pStyle w:val="EndnoteText"/>
      </w:pPr>
      <w:r>
        <w:rPr>
          <w:rStyle w:val="EndnoteReference"/>
        </w:rPr>
        <w:endnoteRef/>
      </w:r>
      <w:r>
        <w:t xml:space="preserve"> Hodkinson S (2002) p. 105</w:t>
      </w:r>
    </w:p>
  </w:endnote>
  <w:endnote w:id="2">
    <w:p w14:paraId="132E6CDB" w14:textId="77777777" w:rsidR="00F76EC2" w:rsidRDefault="00F76EC2">
      <w:pPr>
        <w:pStyle w:val="EndnoteText"/>
      </w:pPr>
      <w:r>
        <w:rPr>
          <w:rStyle w:val="EndnoteReference"/>
        </w:rPr>
        <w:endnoteRef/>
      </w:r>
      <w:r>
        <w:t xml:space="preserve"> Cartledge P (2001) p.85</w:t>
      </w:r>
    </w:p>
  </w:endnote>
  <w:endnote w:id="3">
    <w:p w14:paraId="7712CD2B" w14:textId="77777777" w:rsidR="00F76EC2" w:rsidRDefault="00F76EC2">
      <w:pPr>
        <w:pStyle w:val="EndnoteText"/>
      </w:pPr>
      <w:r>
        <w:rPr>
          <w:rStyle w:val="EndnoteReference"/>
        </w:rPr>
        <w:endnoteRef/>
      </w:r>
      <w:r>
        <w:t xml:space="preserve"> Cartledge P (2001) p.85</w:t>
      </w:r>
    </w:p>
  </w:endnote>
  <w:endnote w:id="4">
    <w:p w14:paraId="2755F2FE" w14:textId="77777777" w:rsidR="00F76EC2" w:rsidRDefault="00F76EC2">
      <w:pPr>
        <w:pStyle w:val="EndnoteText"/>
      </w:pPr>
      <w:r>
        <w:rPr>
          <w:rStyle w:val="EndnoteReference"/>
        </w:rPr>
        <w:endnoteRef/>
      </w:r>
      <w:r>
        <w:t xml:space="preserve"> Cartledge P (2001) p.85</w:t>
      </w:r>
    </w:p>
  </w:endnote>
  <w:endnote w:id="5">
    <w:p w14:paraId="2757C43B" w14:textId="77777777" w:rsidR="00F76EC2" w:rsidRDefault="00F76EC2">
      <w:pPr>
        <w:pStyle w:val="EndnoteText"/>
      </w:pPr>
      <w:r>
        <w:rPr>
          <w:rStyle w:val="EndnoteReference"/>
        </w:rPr>
        <w:endnoteRef/>
      </w:r>
      <w:r>
        <w:t xml:space="preserve"> Den Boer W (1954) p.242</w:t>
      </w:r>
    </w:p>
  </w:endnote>
  <w:endnote w:id="6">
    <w:p w14:paraId="6D0FC99F" w14:textId="77777777" w:rsidR="00F76EC2" w:rsidRDefault="00F76EC2">
      <w:pPr>
        <w:pStyle w:val="EndnoteText"/>
      </w:pPr>
      <w:r>
        <w:rPr>
          <w:rStyle w:val="EndnoteReference"/>
        </w:rPr>
        <w:endnoteRef/>
      </w:r>
      <w:r>
        <w:t xml:space="preserve"> Den Boer W (1954) p.242</w:t>
      </w:r>
    </w:p>
  </w:endnote>
  <w:endnote w:id="7">
    <w:p w14:paraId="11B6CFD3" w14:textId="77777777" w:rsidR="00F76EC2" w:rsidRDefault="00F76EC2">
      <w:pPr>
        <w:pStyle w:val="EndnoteText"/>
      </w:pPr>
      <w:r>
        <w:rPr>
          <w:rStyle w:val="EndnoteReference"/>
        </w:rPr>
        <w:endnoteRef/>
      </w:r>
      <w:r>
        <w:t xml:space="preserve"> Cartledge P (2001) p.86</w:t>
      </w:r>
    </w:p>
  </w:endnote>
  <w:endnote w:id="8">
    <w:p w14:paraId="2D4F9D42" w14:textId="77777777" w:rsidR="00F76EC2" w:rsidRDefault="00F76EC2">
      <w:pPr>
        <w:pStyle w:val="EndnoteText"/>
      </w:pPr>
      <w:r>
        <w:rPr>
          <w:rStyle w:val="EndnoteReference"/>
        </w:rPr>
        <w:endnoteRef/>
      </w:r>
      <w:r>
        <w:t xml:space="preserve"> Cartledge P (2001) p.86</w:t>
      </w:r>
    </w:p>
  </w:endnote>
  <w:endnote w:id="9">
    <w:p w14:paraId="6250AB04" w14:textId="77777777" w:rsidR="00F76EC2" w:rsidRDefault="00F76EC2">
      <w:pPr>
        <w:pStyle w:val="EndnoteText"/>
      </w:pPr>
      <w:r>
        <w:rPr>
          <w:rStyle w:val="EndnoteReference"/>
        </w:rPr>
        <w:endnoteRef/>
      </w:r>
      <w:r>
        <w:t xml:space="preserve"> Den Boer W (1954) p.242</w:t>
      </w:r>
    </w:p>
  </w:endnote>
  <w:endnote w:id="10">
    <w:p w14:paraId="4BBDA194" w14:textId="77777777" w:rsidR="00F76EC2" w:rsidRDefault="00F76EC2">
      <w:pPr>
        <w:pStyle w:val="EndnoteText"/>
      </w:pPr>
      <w:r>
        <w:rPr>
          <w:rStyle w:val="EndnoteReference"/>
        </w:rPr>
        <w:endnoteRef/>
      </w:r>
      <w:r>
        <w:t xml:space="preserve"> Den Boer W (1954) p.243</w:t>
      </w:r>
    </w:p>
  </w:endnote>
  <w:endnote w:id="11">
    <w:p w14:paraId="44EC7E89" w14:textId="4D056F2E" w:rsidR="00F76EC2" w:rsidRDefault="00F76EC2">
      <w:pPr>
        <w:pStyle w:val="EndnoteText"/>
      </w:pPr>
      <w:r>
        <w:rPr>
          <w:rStyle w:val="EndnoteReference"/>
        </w:rPr>
        <w:endnoteRef/>
      </w:r>
      <w:r>
        <w:t xml:space="preserve"> Cartledge P (2001) p.86</w:t>
      </w:r>
    </w:p>
  </w:endnote>
  <w:endnote w:id="12">
    <w:p w14:paraId="3FBF2A75" w14:textId="2BBC2B47" w:rsidR="00F76EC2" w:rsidRDefault="00F76EC2">
      <w:pPr>
        <w:pStyle w:val="EndnoteText"/>
      </w:pPr>
      <w:r>
        <w:rPr>
          <w:rStyle w:val="EndnoteReference"/>
        </w:rPr>
        <w:endnoteRef/>
      </w:r>
      <w:r>
        <w:t xml:space="preserve"> Cartledge P (2001) p.86</w:t>
      </w:r>
    </w:p>
  </w:endnote>
  <w:endnote w:id="13">
    <w:p w14:paraId="23CC986E" w14:textId="76F9C0C5" w:rsidR="00F76EC2" w:rsidRDefault="00F76EC2">
      <w:pPr>
        <w:pStyle w:val="EndnoteText"/>
      </w:pPr>
      <w:r>
        <w:rPr>
          <w:rStyle w:val="EndnoteReference"/>
        </w:rPr>
        <w:endnoteRef/>
      </w:r>
      <w:r>
        <w:t xml:space="preserve"> Cartledge P (2001) p.86</w:t>
      </w:r>
    </w:p>
  </w:endnote>
  <w:endnote w:id="14">
    <w:p w14:paraId="32D42844" w14:textId="5CCFA136" w:rsidR="00F76EC2" w:rsidRDefault="00F76EC2">
      <w:pPr>
        <w:pStyle w:val="EndnoteText"/>
      </w:pPr>
      <w:r>
        <w:rPr>
          <w:rStyle w:val="EndnoteReference"/>
        </w:rPr>
        <w:endnoteRef/>
      </w:r>
      <w:r>
        <w:t xml:space="preserve"> Xen Lac 2</w:t>
      </w:r>
    </w:p>
  </w:endnote>
  <w:endnote w:id="15">
    <w:p w14:paraId="21C09071" w14:textId="22FEB316" w:rsidR="00F76EC2" w:rsidRDefault="00F76EC2">
      <w:pPr>
        <w:pStyle w:val="EndnoteText"/>
      </w:pPr>
      <w:r>
        <w:rPr>
          <w:rStyle w:val="EndnoteReference"/>
        </w:rPr>
        <w:endnoteRef/>
      </w:r>
      <w:r>
        <w:t xml:space="preserve"> Xen Lac 2</w:t>
      </w:r>
    </w:p>
  </w:endnote>
  <w:endnote w:id="16">
    <w:p w14:paraId="78F4689F" w14:textId="431EA79A" w:rsidR="00F76EC2" w:rsidRDefault="00F76EC2">
      <w:pPr>
        <w:pStyle w:val="EndnoteText"/>
      </w:pPr>
      <w:r>
        <w:rPr>
          <w:rStyle w:val="EndnoteReference"/>
        </w:rPr>
        <w:endnoteRef/>
      </w:r>
      <w:r>
        <w:t xml:space="preserve"> Xen Lac 2</w:t>
      </w:r>
    </w:p>
  </w:endnote>
  <w:endnote w:id="17">
    <w:p w14:paraId="27E75E23" w14:textId="4234C0CD" w:rsidR="00F76EC2" w:rsidRDefault="00F76EC2">
      <w:pPr>
        <w:pStyle w:val="EndnoteText"/>
      </w:pPr>
      <w:r>
        <w:rPr>
          <w:rStyle w:val="EndnoteReference"/>
        </w:rPr>
        <w:endnoteRef/>
      </w:r>
      <w:r>
        <w:t xml:space="preserve"> Xen Lac 2</w:t>
      </w:r>
    </w:p>
  </w:endnote>
  <w:endnote w:id="18">
    <w:p w14:paraId="668F3D12" w14:textId="49304D08" w:rsidR="00F76EC2" w:rsidRDefault="00F76EC2">
      <w:pPr>
        <w:pStyle w:val="EndnoteText"/>
      </w:pPr>
      <w:r>
        <w:rPr>
          <w:rStyle w:val="EndnoteReference"/>
        </w:rPr>
        <w:endnoteRef/>
      </w:r>
      <w:r>
        <w:t xml:space="preserve"> Xen Lac 2</w:t>
      </w:r>
    </w:p>
  </w:endnote>
  <w:endnote w:id="19">
    <w:p w14:paraId="3BD8C97D" w14:textId="185951F1" w:rsidR="00F76EC2" w:rsidRDefault="00F76EC2">
      <w:pPr>
        <w:pStyle w:val="EndnoteText"/>
      </w:pPr>
      <w:r>
        <w:rPr>
          <w:rStyle w:val="EndnoteReference"/>
        </w:rPr>
        <w:endnoteRef/>
      </w:r>
      <w:r>
        <w:t xml:space="preserve">  Powell A (2002) p.101</w:t>
      </w:r>
    </w:p>
  </w:endnote>
  <w:endnote w:id="20">
    <w:p w14:paraId="07381553" w14:textId="4D47099F" w:rsidR="00F76EC2" w:rsidRDefault="00F76EC2">
      <w:pPr>
        <w:pStyle w:val="EndnoteText"/>
      </w:pPr>
      <w:r>
        <w:rPr>
          <w:rStyle w:val="EndnoteReference"/>
        </w:rPr>
        <w:endnoteRef/>
      </w:r>
      <w:r>
        <w:t xml:space="preserve"> Powell A (2002) p. 101</w:t>
      </w:r>
    </w:p>
  </w:endnote>
  <w:endnote w:id="21">
    <w:p w14:paraId="02ADDA26" w14:textId="68FF7F72" w:rsidR="00F76EC2" w:rsidRDefault="00F76EC2">
      <w:pPr>
        <w:pStyle w:val="EndnoteText"/>
      </w:pPr>
      <w:r>
        <w:rPr>
          <w:rStyle w:val="EndnoteReference"/>
        </w:rPr>
        <w:endnoteRef/>
      </w:r>
      <w:r>
        <w:t xml:space="preserve"> Powell A (2002) p.101</w:t>
      </w:r>
    </w:p>
  </w:endnote>
  <w:endnote w:id="22">
    <w:p w14:paraId="661693E0" w14:textId="748CA0EA" w:rsidR="00F76EC2" w:rsidRDefault="00F76EC2">
      <w:pPr>
        <w:pStyle w:val="EndnoteText"/>
      </w:pPr>
      <w:r>
        <w:rPr>
          <w:rStyle w:val="EndnoteReference"/>
        </w:rPr>
        <w:endnoteRef/>
      </w:r>
      <w:r>
        <w:t xml:space="preserve"> Powell A (2002) p.101</w:t>
      </w:r>
    </w:p>
  </w:endnote>
  <w:endnote w:id="23">
    <w:p w14:paraId="78601E7D" w14:textId="15B59C4C" w:rsidR="00F76EC2" w:rsidRDefault="00F76EC2">
      <w:pPr>
        <w:pStyle w:val="EndnoteText"/>
      </w:pPr>
      <w:r>
        <w:rPr>
          <w:rStyle w:val="EndnoteReference"/>
        </w:rPr>
        <w:endnoteRef/>
      </w:r>
      <w:r>
        <w:t xml:space="preserve"> </w:t>
      </w:r>
      <w:proofErr w:type="spellStart"/>
      <w:r>
        <w:t>Arist</w:t>
      </w:r>
      <w:proofErr w:type="spellEnd"/>
      <w:r>
        <w:t xml:space="preserve"> Pol section 1338b</w:t>
      </w:r>
    </w:p>
  </w:endnote>
  <w:endnote w:id="24">
    <w:p w14:paraId="48BC6536" w14:textId="3554F9FE" w:rsidR="00F76EC2" w:rsidRDefault="00F76EC2">
      <w:pPr>
        <w:pStyle w:val="EndnoteText"/>
      </w:pPr>
      <w:r>
        <w:rPr>
          <w:rStyle w:val="EndnoteReference"/>
        </w:rPr>
        <w:endnoteRef/>
      </w:r>
      <w:r>
        <w:t xml:space="preserve"> Powell A (2002) p.98</w:t>
      </w:r>
    </w:p>
  </w:endnote>
  <w:endnote w:id="25">
    <w:p w14:paraId="1E63C614" w14:textId="201BF3C1" w:rsidR="00F76EC2" w:rsidRDefault="00F76EC2">
      <w:pPr>
        <w:pStyle w:val="EndnoteText"/>
      </w:pPr>
      <w:r>
        <w:rPr>
          <w:rStyle w:val="EndnoteReference"/>
        </w:rPr>
        <w:endnoteRef/>
      </w:r>
      <w:r>
        <w:t xml:space="preserve"> Powell A (2002) p.98</w:t>
      </w:r>
    </w:p>
  </w:endnote>
  <w:endnote w:id="26">
    <w:p w14:paraId="0D1E7C54" w14:textId="59EDCE4B" w:rsidR="00F76EC2" w:rsidRDefault="00F76EC2">
      <w:pPr>
        <w:pStyle w:val="EndnoteText"/>
      </w:pPr>
      <w:r>
        <w:rPr>
          <w:rStyle w:val="EndnoteReference"/>
        </w:rPr>
        <w:endnoteRef/>
      </w:r>
      <w:r>
        <w:t xml:space="preserve"> Powell A (2002) p.98</w:t>
      </w:r>
    </w:p>
  </w:endnote>
  <w:endnote w:id="27">
    <w:p w14:paraId="3AE30280" w14:textId="62A41212" w:rsidR="00F76EC2" w:rsidRDefault="00F76EC2">
      <w:pPr>
        <w:pStyle w:val="EndnoteText"/>
      </w:pPr>
      <w:r>
        <w:rPr>
          <w:rStyle w:val="EndnoteReference"/>
        </w:rPr>
        <w:endnoteRef/>
      </w:r>
      <w:r>
        <w:t xml:space="preserve"> Rawson E (1969) p. 7</w:t>
      </w:r>
    </w:p>
  </w:endnote>
  <w:endnote w:id="28">
    <w:p w14:paraId="7FAF563F" w14:textId="0723F73D" w:rsidR="00F76EC2" w:rsidRDefault="00F76EC2">
      <w:pPr>
        <w:pStyle w:val="EndnoteText"/>
      </w:pPr>
      <w:r>
        <w:rPr>
          <w:rStyle w:val="EndnoteReference"/>
        </w:rPr>
        <w:endnoteRef/>
      </w:r>
      <w:r>
        <w:t xml:space="preserve"> Rawson E (1969) p.7</w:t>
      </w:r>
    </w:p>
  </w:endnote>
  <w:endnote w:id="29">
    <w:p w14:paraId="24F9090C" w14:textId="4BFE3D0B" w:rsidR="00F76EC2" w:rsidRDefault="00F76EC2">
      <w:pPr>
        <w:pStyle w:val="EndnoteText"/>
      </w:pPr>
      <w:r>
        <w:rPr>
          <w:rStyle w:val="EndnoteReference"/>
        </w:rPr>
        <w:endnoteRef/>
      </w:r>
      <w:r>
        <w:t xml:space="preserve"> Rawson E (1969) p.7</w:t>
      </w:r>
    </w:p>
  </w:endnote>
  <w:endnote w:id="30">
    <w:p w14:paraId="6C7E430B" w14:textId="3B816DE9" w:rsidR="00F76EC2" w:rsidRDefault="00F76EC2">
      <w:pPr>
        <w:pStyle w:val="EndnoteText"/>
      </w:pPr>
      <w:r>
        <w:rPr>
          <w:rStyle w:val="EndnoteReference"/>
        </w:rPr>
        <w:endnoteRef/>
      </w:r>
      <w:r>
        <w:t xml:space="preserve"> Whitby M (2002) p. 81</w:t>
      </w:r>
    </w:p>
  </w:endnote>
  <w:endnote w:id="31">
    <w:p w14:paraId="027F89CE" w14:textId="0C5C3FD2" w:rsidR="00F76EC2" w:rsidRDefault="00F76EC2">
      <w:pPr>
        <w:pStyle w:val="EndnoteText"/>
      </w:pPr>
      <w:r>
        <w:rPr>
          <w:rStyle w:val="EndnoteReference"/>
        </w:rPr>
        <w:endnoteRef/>
      </w:r>
      <w:r>
        <w:t xml:space="preserve"> Rawson E (1969) p.8</w:t>
      </w:r>
    </w:p>
  </w:endnote>
  <w:endnote w:id="32">
    <w:p w14:paraId="33679223" w14:textId="002BF41F" w:rsidR="00F76EC2" w:rsidRDefault="00F76EC2">
      <w:pPr>
        <w:pStyle w:val="EndnoteText"/>
      </w:pPr>
      <w:r>
        <w:rPr>
          <w:rStyle w:val="EndnoteReference"/>
        </w:rPr>
        <w:endnoteRef/>
      </w:r>
      <w:r>
        <w:t xml:space="preserve"> Hodkinson S (2002) p.86</w:t>
      </w:r>
    </w:p>
  </w:endnote>
  <w:endnote w:id="33">
    <w:p w14:paraId="5559482C" w14:textId="57ADD907" w:rsidR="00F76EC2" w:rsidRDefault="00F76EC2">
      <w:pPr>
        <w:pStyle w:val="EndnoteText"/>
      </w:pPr>
      <w:r>
        <w:rPr>
          <w:rStyle w:val="EndnoteReference"/>
        </w:rPr>
        <w:endnoteRef/>
      </w:r>
      <w:r>
        <w:t xml:space="preserve"> Cartledge P (2001) p.24</w:t>
      </w:r>
    </w:p>
  </w:endnote>
  <w:endnote w:id="34">
    <w:p w14:paraId="59881ECA" w14:textId="4073FA6B" w:rsidR="00F76EC2" w:rsidRDefault="00F76EC2">
      <w:pPr>
        <w:pStyle w:val="EndnoteText"/>
      </w:pPr>
      <w:r>
        <w:rPr>
          <w:rStyle w:val="EndnoteReference"/>
        </w:rPr>
        <w:endnoteRef/>
      </w:r>
      <w:r>
        <w:t xml:space="preserve"> Cartledge P (2001) p.24</w:t>
      </w:r>
    </w:p>
  </w:endnote>
  <w:endnote w:id="35">
    <w:p w14:paraId="2CE01C52" w14:textId="2D141329" w:rsidR="00F76EC2" w:rsidRDefault="00F76EC2">
      <w:pPr>
        <w:pStyle w:val="EndnoteText"/>
      </w:pPr>
      <w:r>
        <w:rPr>
          <w:rStyle w:val="EndnoteReference"/>
        </w:rPr>
        <w:endnoteRef/>
      </w:r>
      <w:r>
        <w:t xml:space="preserve"> Cartledge P (2001) p.24</w:t>
      </w:r>
    </w:p>
  </w:endnote>
  <w:endnote w:id="36">
    <w:p w14:paraId="59DD63D2" w14:textId="2BA8E705" w:rsidR="00F76EC2" w:rsidRDefault="00F76EC2">
      <w:pPr>
        <w:pStyle w:val="EndnoteText"/>
      </w:pPr>
      <w:r>
        <w:rPr>
          <w:rStyle w:val="EndnoteReference"/>
        </w:rPr>
        <w:endnoteRef/>
      </w:r>
      <w:r>
        <w:t xml:space="preserve"> </w:t>
      </w:r>
      <w:proofErr w:type="spellStart"/>
      <w:r>
        <w:t>Raaflaub</w:t>
      </w:r>
      <w:proofErr w:type="spellEnd"/>
      <w:r>
        <w:t xml:space="preserve"> K</w:t>
      </w:r>
      <w:r w:rsidR="00162262">
        <w:t>. A</w:t>
      </w:r>
      <w:r>
        <w:t xml:space="preserve"> (2003) p.173</w:t>
      </w:r>
    </w:p>
  </w:endnote>
  <w:endnote w:id="37">
    <w:p w14:paraId="071441D4" w14:textId="6856F80E" w:rsidR="00F76EC2" w:rsidRDefault="00F76EC2">
      <w:pPr>
        <w:pStyle w:val="EndnoteText"/>
      </w:pPr>
      <w:r>
        <w:rPr>
          <w:rStyle w:val="EndnoteReference"/>
        </w:rPr>
        <w:endnoteRef/>
      </w:r>
      <w:r>
        <w:t xml:space="preserve"> Whitby M (2002) p. 81</w:t>
      </w:r>
    </w:p>
  </w:endnote>
  <w:endnote w:id="38">
    <w:p w14:paraId="60957686" w14:textId="4EBE1A5B" w:rsidR="00F76EC2" w:rsidRDefault="00F76EC2">
      <w:pPr>
        <w:pStyle w:val="EndnoteText"/>
      </w:pPr>
      <w:r>
        <w:rPr>
          <w:rStyle w:val="EndnoteReference"/>
        </w:rPr>
        <w:endnoteRef/>
      </w:r>
      <w:r>
        <w:t xml:space="preserve"> Rawson E (1969) p. 35</w:t>
      </w:r>
    </w:p>
  </w:endnote>
  <w:endnote w:id="39">
    <w:p w14:paraId="3E6CC0D3" w14:textId="2BFF041E" w:rsidR="00F76EC2" w:rsidRDefault="00F76EC2">
      <w:pPr>
        <w:pStyle w:val="EndnoteText"/>
      </w:pPr>
      <w:r>
        <w:rPr>
          <w:rStyle w:val="EndnoteReference"/>
        </w:rPr>
        <w:endnoteRef/>
      </w:r>
      <w:r>
        <w:t xml:space="preserve"> Rawson E (1969) p.35</w:t>
      </w:r>
    </w:p>
  </w:endnote>
  <w:endnote w:id="40">
    <w:p w14:paraId="2A4D386C" w14:textId="51379EFA" w:rsidR="00F76EC2" w:rsidRDefault="00F76EC2">
      <w:pPr>
        <w:pStyle w:val="EndnoteText"/>
      </w:pPr>
      <w:r>
        <w:rPr>
          <w:rStyle w:val="EndnoteReference"/>
        </w:rPr>
        <w:endnoteRef/>
      </w:r>
      <w:r>
        <w:t xml:space="preserve"> Thucydides </w:t>
      </w:r>
      <w:proofErr w:type="spellStart"/>
      <w:r>
        <w:t>Hist</w:t>
      </w:r>
      <w:proofErr w:type="spellEnd"/>
      <w:r>
        <w:t xml:space="preserve"> </w:t>
      </w:r>
      <w:proofErr w:type="spellStart"/>
      <w:proofErr w:type="gramStart"/>
      <w:r>
        <w:t>Pel</w:t>
      </w:r>
      <w:proofErr w:type="spellEnd"/>
      <w:r>
        <w:t xml:space="preserve">  5</w:t>
      </w:r>
      <w:proofErr w:type="gramEnd"/>
      <w:r>
        <w:t>,66</w:t>
      </w:r>
    </w:p>
  </w:endnote>
  <w:endnote w:id="41">
    <w:p w14:paraId="502E9901" w14:textId="24737F6F" w:rsidR="00F76EC2" w:rsidRDefault="00F76EC2">
      <w:pPr>
        <w:pStyle w:val="EndnoteText"/>
      </w:pPr>
      <w:r>
        <w:rPr>
          <w:rStyle w:val="EndnoteReference"/>
        </w:rPr>
        <w:endnoteRef/>
      </w:r>
      <w:r>
        <w:t xml:space="preserve"> Thucydides </w:t>
      </w:r>
      <w:proofErr w:type="spellStart"/>
      <w:r>
        <w:t>Hist</w:t>
      </w:r>
      <w:proofErr w:type="spellEnd"/>
      <w:r>
        <w:t xml:space="preserve"> </w:t>
      </w:r>
      <w:proofErr w:type="spellStart"/>
      <w:r>
        <w:t>Pel</w:t>
      </w:r>
      <w:proofErr w:type="spellEnd"/>
      <w:r>
        <w:t xml:space="preserve">. 5,66 </w:t>
      </w:r>
    </w:p>
  </w:endnote>
  <w:endnote w:id="42">
    <w:p w14:paraId="1DE10DB5" w14:textId="18A7F24B" w:rsidR="00F76EC2" w:rsidRDefault="00F76EC2">
      <w:pPr>
        <w:pStyle w:val="EndnoteText"/>
      </w:pPr>
      <w:r>
        <w:rPr>
          <w:rStyle w:val="EndnoteReference"/>
        </w:rPr>
        <w:endnoteRef/>
      </w:r>
      <w:r>
        <w:t xml:space="preserve"> Hodkinson S (2002) p.121</w:t>
      </w:r>
    </w:p>
  </w:endnote>
  <w:endnote w:id="43">
    <w:p w14:paraId="5E67CCFD" w14:textId="440566D5" w:rsidR="00F76EC2" w:rsidRDefault="00F76EC2">
      <w:pPr>
        <w:pStyle w:val="EndnoteText"/>
      </w:pPr>
      <w:r>
        <w:rPr>
          <w:rStyle w:val="EndnoteReference"/>
        </w:rPr>
        <w:endnoteRef/>
      </w:r>
      <w:r>
        <w:t xml:space="preserve"> Hodkinson S (2002) p.121</w:t>
      </w:r>
    </w:p>
  </w:endnote>
  <w:endnote w:id="44">
    <w:p w14:paraId="6DB2C781" w14:textId="0602BF83" w:rsidR="00F76EC2" w:rsidRDefault="00F76EC2">
      <w:pPr>
        <w:pStyle w:val="EndnoteText"/>
      </w:pPr>
      <w:r>
        <w:rPr>
          <w:rStyle w:val="EndnoteReference"/>
        </w:rPr>
        <w:endnoteRef/>
      </w:r>
      <w:r>
        <w:t xml:space="preserve"> Hodkinson S (2002) p.121</w:t>
      </w:r>
    </w:p>
  </w:endnote>
  <w:endnote w:id="45">
    <w:p w14:paraId="14A44FF5" w14:textId="0B682F1A" w:rsidR="002577BE" w:rsidRDefault="002577BE">
      <w:pPr>
        <w:pStyle w:val="EndnoteText"/>
      </w:pPr>
      <w:r>
        <w:rPr>
          <w:rStyle w:val="EndnoteReference"/>
        </w:rPr>
        <w:endnoteRef/>
      </w:r>
      <w:r>
        <w:t xml:space="preserve"> Ho</w:t>
      </w:r>
      <w:r w:rsidR="002C0F4A">
        <w:t>d</w:t>
      </w:r>
      <w:r>
        <w:t>kinson S (2002) p. 122</w:t>
      </w:r>
    </w:p>
  </w:endnote>
  <w:endnote w:id="46">
    <w:p w14:paraId="0600242C" w14:textId="087E6C93" w:rsidR="002C0F4A" w:rsidRDefault="002C0F4A">
      <w:pPr>
        <w:pStyle w:val="EndnoteText"/>
      </w:pPr>
      <w:r>
        <w:rPr>
          <w:rStyle w:val="EndnoteReference"/>
        </w:rPr>
        <w:endnoteRef/>
      </w:r>
      <w:r>
        <w:t xml:space="preserve"> Hodkinson S (2002) p.106</w:t>
      </w:r>
    </w:p>
  </w:endnote>
  <w:endnote w:id="47">
    <w:p w14:paraId="2EBB9408" w14:textId="1355770C" w:rsidR="00F76EC2" w:rsidRDefault="00F76EC2">
      <w:pPr>
        <w:pStyle w:val="EndnoteText"/>
      </w:pPr>
      <w:r>
        <w:rPr>
          <w:rStyle w:val="EndnoteReference"/>
        </w:rPr>
        <w:endnoteRef/>
      </w:r>
      <w:r>
        <w:t xml:space="preserve"> Thucydides </w:t>
      </w:r>
      <w:proofErr w:type="spellStart"/>
      <w:r>
        <w:t>Hist</w:t>
      </w:r>
      <w:proofErr w:type="spellEnd"/>
      <w:r>
        <w:t xml:space="preserve"> </w:t>
      </w:r>
      <w:proofErr w:type="spellStart"/>
      <w:r>
        <w:t>Pel</w:t>
      </w:r>
      <w:proofErr w:type="spellEnd"/>
      <w:r>
        <w:t xml:space="preserve"> 5,72</w:t>
      </w:r>
    </w:p>
  </w:endnote>
  <w:endnote w:id="48">
    <w:p w14:paraId="3A066538" w14:textId="5C898F63" w:rsidR="00F76EC2" w:rsidRDefault="00F76EC2">
      <w:pPr>
        <w:pStyle w:val="EndnoteText"/>
      </w:pPr>
      <w:r>
        <w:rPr>
          <w:rStyle w:val="EndnoteReference"/>
        </w:rPr>
        <w:endnoteRef/>
      </w:r>
      <w:r>
        <w:t xml:space="preserve"> Thucydides </w:t>
      </w:r>
      <w:proofErr w:type="spellStart"/>
      <w:r>
        <w:t>Hist</w:t>
      </w:r>
      <w:proofErr w:type="spellEnd"/>
      <w:r>
        <w:t xml:space="preserve"> </w:t>
      </w:r>
      <w:proofErr w:type="spellStart"/>
      <w:r>
        <w:t>Pel</w:t>
      </w:r>
      <w:proofErr w:type="spellEnd"/>
      <w:r>
        <w:t xml:space="preserve"> 5, 72</w:t>
      </w:r>
    </w:p>
  </w:endnote>
  <w:endnote w:id="49">
    <w:p w14:paraId="53339E8C" w14:textId="15AA1702" w:rsidR="00F76EC2" w:rsidRDefault="00F76EC2">
      <w:pPr>
        <w:pStyle w:val="EndnoteText"/>
      </w:pPr>
      <w:r>
        <w:rPr>
          <w:rStyle w:val="EndnoteReference"/>
        </w:rPr>
        <w:endnoteRef/>
      </w:r>
      <w:r>
        <w:t xml:space="preserve"> Thucydides </w:t>
      </w:r>
      <w:proofErr w:type="spellStart"/>
      <w:r>
        <w:t>Hist</w:t>
      </w:r>
      <w:proofErr w:type="spellEnd"/>
      <w:r>
        <w:t xml:space="preserve"> </w:t>
      </w:r>
      <w:proofErr w:type="spellStart"/>
      <w:r>
        <w:t>Pel</w:t>
      </w:r>
      <w:proofErr w:type="spellEnd"/>
      <w:r>
        <w:t xml:space="preserve"> 5, 72</w:t>
      </w:r>
    </w:p>
  </w:endnote>
  <w:endnote w:id="50">
    <w:p w14:paraId="2CFA164D" w14:textId="7CB27E73" w:rsidR="00F76EC2" w:rsidRDefault="00F76EC2">
      <w:pPr>
        <w:pStyle w:val="EndnoteText"/>
      </w:pPr>
      <w:r>
        <w:rPr>
          <w:rStyle w:val="EndnoteReference"/>
        </w:rPr>
        <w:endnoteRef/>
      </w:r>
      <w:r>
        <w:t xml:space="preserve"> Thucydides </w:t>
      </w:r>
      <w:proofErr w:type="spellStart"/>
      <w:r>
        <w:t>Hist</w:t>
      </w:r>
      <w:proofErr w:type="spellEnd"/>
      <w:r>
        <w:t xml:space="preserve"> </w:t>
      </w:r>
      <w:proofErr w:type="spellStart"/>
      <w:r>
        <w:t>Pel</w:t>
      </w:r>
      <w:proofErr w:type="spellEnd"/>
      <w:r>
        <w:t xml:space="preserve"> 5, 73</w:t>
      </w:r>
    </w:p>
  </w:endnote>
  <w:endnote w:id="51">
    <w:p w14:paraId="46B75374" w14:textId="1E3A0FA6" w:rsidR="00F76EC2" w:rsidRDefault="00F76EC2">
      <w:pPr>
        <w:pStyle w:val="EndnoteText"/>
      </w:pPr>
      <w:r>
        <w:rPr>
          <w:rStyle w:val="EndnoteReference"/>
        </w:rPr>
        <w:endnoteRef/>
      </w:r>
      <w:r>
        <w:t xml:space="preserve"> Thucydides </w:t>
      </w:r>
      <w:proofErr w:type="spellStart"/>
      <w:r>
        <w:t>Hist</w:t>
      </w:r>
      <w:proofErr w:type="spellEnd"/>
      <w:r>
        <w:t xml:space="preserve"> </w:t>
      </w:r>
      <w:proofErr w:type="spellStart"/>
      <w:r>
        <w:t>Pel</w:t>
      </w:r>
      <w:proofErr w:type="spellEnd"/>
      <w:r>
        <w:t xml:space="preserve"> 72</w:t>
      </w:r>
    </w:p>
  </w:endnote>
  <w:endnote w:id="52">
    <w:p w14:paraId="21F3B689" w14:textId="6A9A9026" w:rsidR="00F76EC2" w:rsidRDefault="00F76EC2">
      <w:pPr>
        <w:pStyle w:val="EndnoteText"/>
      </w:pPr>
      <w:r>
        <w:rPr>
          <w:rStyle w:val="EndnoteReference"/>
        </w:rPr>
        <w:endnoteRef/>
      </w:r>
      <w:r>
        <w:t xml:space="preserve"> Thucydides </w:t>
      </w:r>
      <w:proofErr w:type="spellStart"/>
      <w:r>
        <w:t>Hist</w:t>
      </w:r>
      <w:proofErr w:type="spellEnd"/>
      <w:r>
        <w:t xml:space="preserve"> </w:t>
      </w:r>
      <w:proofErr w:type="spellStart"/>
      <w:r>
        <w:t>Pel</w:t>
      </w:r>
      <w:proofErr w:type="spellEnd"/>
      <w:r>
        <w:t xml:space="preserve"> 65</w:t>
      </w:r>
    </w:p>
    <w:p w14:paraId="4698E96E" w14:textId="734002D1" w:rsidR="00286D46" w:rsidRDefault="00286D46">
      <w:pPr>
        <w:pStyle w:val="EndnoteText"/>
      </w:pPr>
    </w:p>
    <w:p w14:paraId="79B8EE4E" w14:textId="469B1335" w:rsidR="00286D46" w:rsidRDefault="00286D46">
      <w:pPr>
        <w:pStyle w:val="EndnoteText"/>
      </w:pPr>
    </w:p>
    <w:p w14:paraId="178C5278" w14:textId="77777777" w:rsidR="00162262" w:rsidRDefault="00162262">
      <w:pPr>
        <w:pStyle w:val="EndnoteText"/>
      </w:pPr>
    </w:p>
    <w:p w14:paraId="49F35609" w14:textId="77777777" w:rsidR="00162262" w:rsidRDefault="00162262">
      <w:pPr>
        <w:pStyle w:val="EndnoteText"/>
      </w:pPr>
    </w:p>
    <w:p w14:paraId="6A0A9FD8" w14:textId="34A30C8B" w:rsidR="00162262" w:rsidRDefault="00162262">
      <w:pPr>
        <w:pStyle w:val="EndnoteText"/>
      </w:pPr>
    </w:p>
    <w:p w14:paraId="0F1284D5" w14:textId="547E94BA" w:rsidR="00162262" w:rsidRDefault="00162262">
      <w:pPr>
        <w:pStyle w:val="EndnoteText"/>
      </w:pPr>
    </w:p>
    <w:p w14:paraId="3F230CDA" w14:textId="3EB0D63F" w:rsidR="00162262" w:rsidRDefault="00162262">
      <w:pPr>
        <w:pStyle w:val="EndnoteText"/>
      </w:pPr>
    </w:p>
    <w:p w14:paraId="00F631C9" w14:textId="7FE08D5C" w:rsidR="00162262" w:rsidRDefault="00162262">
      <w:pPr>
        <w:pStyle w:val="EndnoteText"/>
      </w:pPr>
    </w:p>
    <w:p w14:paraId="48EF7AF7" w14:textId="471529C1" w:rsidR="00162262" w:rsidRPr="006C2FE2" w:rsidRDefault="006C2FE2" w:rsidP="006C2FE2">
      <w:pPr>
        <w:pStyle w:val="EndnoteText"/>
        <w:jc w:val="center"/>
        <w:rPr>
          <w:b/>
          <w:bCs/>
          <w:u w:val="single"/>
        </w:rPr>
      </w:pPr>
      <w:r w:rsidRPr="006C2FE2">
        <w:rPr>
          <w:b/>
          <w:bCs/>
          <w:u w:val="single"/>
        </w:rPr>
        <w:t>Bibliography</w:t>
      </w:r>
    </w:p>
    <w:p w14:paraId="2F1FDB2C" w14:textId="7427EA1E" w:rsidR="00162262" w:rsidRDefault="00162262">
      <w:pPr>
        <w:pStyle w:val="EndnoteText"/>
      </w:pPr>
    </w:p>
    <w:p w14:paraId="3A4D7783" w14:textId="7CC91ACF" w:rsidR="00162262" w:rsidRDefault="006C2FE2">
      <w:pPr>
        <w:pStyle w:val="EndnoteText"/>
      </w:pPr>
      <w:r w:rsidRPr="006C2FE2">
        <w:t>Aristotle. Aristotle in 23 Volumes, Vol. 21, translated by H. Rackham. Cambridge, MA, Harvard University Press; London, William Heinemann Ltd. 1944.</w:t>
      </w:r>
    </w:p>
    <w:p w14:paraId="232AFB2C" w14:textId="42F27F68" w:rsidR="006C2FE2" w:rsidRDefault="006C2FE2">
      <w:pPr>
        <w:pStyle w:val="EndnoteText"/>
      </w:pPr>
    </w:p>
    <w:p w14:paraId="6C0E8A00" w14:textId="7F3E18FE" w:rsidR="006C2FE2" w:rsidRDefault="006C2FE2">
      <w:pPr>
        <w:pStyle w:val="EndnoteText"/>
      </w:pPr>
      <w:r w:rsidRPr="006C2FE2">
        <w:t>Cartledge P (2001) Spartan Reflections. Duckworth, London</w:t>
      </w:r>
    </w:p>
    <w:p w14:paraId="0C51C5C8" w14:textId="381D46B9" w:rsidR="006C2FE2" w:rsidRDefault="006C2FE2">
      <w:pPr>
        <w:pStyle w:val="EndnoteText"/>
      </w:pPr>
    </w:p>
    <w:p w14:paraId="562F0278" w14:textId="7B60D59A" w:rsidR="006C2FE2" w:rsidRDefault="006C2FE2">
      <w:pPr>
        <w:pStyle w:val="EndnoteText"/>
      </w:pPr>
      <w:r w:rsidRPr="006C2FE2">
        <w:t>Den Boer W (1954) Laconian studies. North Holland publishing company, Amsterdam.</w:t>
      </w:r>
    </w:p>
    <w:p w14:paraId="4CEF6004" w14:textId="16436906" w:rsidR="006C2FE2" w:rsidRDefault="006C2FE2">
      <w:pPr>
        <w:pStyle w:val="EndnoteText"/>
      </w:pPr>
    </w:p>
    <w:p w14:paraId="3320D06A" w14:textId="6F4CBD6C" w:rsidR="006C2FE2" w:rsidRDefault="006C2FE2">
      <w:pPr>
        <w:pStyle w:val="EndnoteText"/>
      </w:pPr>
      <w:r w:rsidRPr="006C2FE2">
        <w:t>Hodkinson S (2002) Spartan Land ownership and Inheritance, Sparta. Routledge, New York. pages 86-90</w:t>
      </w:r>
    </w:p>
    <w:p w14:paraId="6E0BDC2E" w14:textId="580ACBF8" w:rsidR="006C2FE2" w:rsidRDefault="006C2FE2">
      <w:pPr>
        <w:pStyle w:val="EndnoteText"/>
      </w:pPr>
    </w:p>
    <w:p w14:paraId="313FBB4B" w14:textId="0D50206B" w:rsidR="006C2FE2" w:rsidRDefault="006C2FE2">
      <w:pPr>
        <w:pStyle w:val="EndnoteText"/>
      </w:pPr>
      <w:r w:rsidRPr="006C2FE2">
        <w:t>Hodkinson S (2002) Social order and the conflict of values in Classical Sparta, Sparta. Routledge, New York. Pages 104-131</w:t>
      </w:r>
    </w:p>
    <w:p w14:paraId="55F86FC1" w14:textId="019966EF" w:rsidR="006C2FE2" w:rsidRDefault="006C2FE2">
      <w:pPr>
        <w:pStyle w:val="EndnoteText"/>
      </w:pPr>
    </w:p>
    <w:p w14:paraId="750E802A" w14:textId="3514118F" w:rsidR="006C2FE2" w:rsidRDefault="006C2FE2">
      <w:pPr>
        <w:pStyle w:val="EndnoteText"/>
      </w:pPr>
      <w:r w:rsidRPr="006C2FE2">
        <w:t xml:space="preserve">Powell A (2002) Dining </w:t>
      </w:r>
      <w:proofErr w:type="spellStart"/>
      <w:r w:rsidRPr="006C2FE2">
        <w:t>Grups</w:t>
      </w:r>
      <w:proofErr w:type="spellEnd"/>
      <w:r w:rsidRPr="006C2FE2">
        <w:t>, Marriage, Homosexuality, Sparta. Routledge, New York. Pages 90-104</w:t>
      </w:r>
    </w:p>
    <w:p w14:paraId="5DF262CE" w14:textId="36C55A18" w:rsidR="006C2FE2" w:rsidRDefault="006C2FE2">
      <w:pPr>
        <w:pStyle w:val="EndnoteText"/>
      </w:pPr>
    </w:p>
    <w:p w14:paraId="4C1E1BB7" w14:textId="3FF0A6FF" w:rsidR="006C2FE2" w:rsidRDefault="006C2FE2">
      <w:pPr>
        <w:pStyle w:val="EndnoteText"/>
      </w:pPr>
      <w:proofErr w:type="spellStart"/>
      <w:r w:rsidRPr="006C2FE2">
        <w:t>Raaflaub</w:t>
      </w:r>
      <w:proofErr w:type="spellEnd"/>
      <w:r w:rsidRPr="006C2FE2">
        <w:t xml:space="preserve"> K. A (2003) Freedom for the Messenians? A note on the impact of slavery and </w:t>
      </w:r>
      <w:proofErr w:type="spellStart"/>
      <w:r w:rsidRPr="006C2FE2">
        <w:t>helotage</w:t>
      </w:r>
      <w:proofErr w:type="spellEnd"/>
      <w:r w:rsidRPr="006C2FE2">
        <w:t xml:space="preserve"> on the Greek concept of freedom, Helots and their masters in Laconia and Messenia. Histories, Ideologies, Structures. Harvard University Press, Washington DC</w:t>
      </w:r>
    </w:p>
    <w:p w14:paraId="0E4362E6" w14:textId="4A35D85D" w:rsidR="006C2FE2" w:rsidRDefault="006C2FE2">
      <w:pPr>
        <w:pStyle w:val="EndnoteText"/>
      </w:pPr>
    </w:p>
    <w:p w14:paraId="0EBA3437" w14:textId="049C6476" w:rsidR="006C2FE2" w:rsidRDefault="006C2FE2">
      <w:pPr>
        <w:pStyle w:val="EndnoteText"/>
      </w:pPr>
      <w:r w:rsidRPr="006C2FE2">
        <w:t>Rawson E (1969) The Spartan Tradition in European Thought. Clarendon Press, Oxford</w:t>
      </w:r>
    </w:p>
    <w:p w14:paraId="7EC6C0C1" w14:textId="29DDADAA" w:rsidR="006C2FE2" w:rsidRDefault="006C2FE2">
      <w:pPr>
        <w:pStyle w:val="EndnoteText"/>
      </w:pPr>
    </w:p>
    <w:p w14:paraId="385C2ED8" w14:textId="5B161E41" w:rsidR="006C2FE2" w:rsidRDefault="006C2FE2">
      <w:pPr>
        <w:pStyle w:val="EndnoteText"/>
      </w:pPr>
      <w:r w:rsidRPr="006C2FE2">
        <w:t>Thucydides. History of the Peloponnesian War, Volume III: Books 5-6. Translated by C. F. Smith. Loeb Classical Library 110. Cambridge, MA: Harvard University Press, 1921.</w:t>
      </w:r>
    </w:p>
    <w:p w14:paraId="7A938D8F" w14:textId="09AAA103" w:rsidR="006C2FE2" w:rsidRDefault="006C2FE2">
      <w:pPr>
        <w:pStyle w:val="EndnoteText"/>
      </w:pPr>
    </w:p>
    <w:p w14:paraId="71EF9F84" w14:textId="565849EC" w:rsidR="006C2FE2" w:rsidRDefault="006C2FE2">
      <w:pPr>
        <w:pStyle w:val="EndnoteText"/>
      </w:pPr>
      <w:r w:rsidRPr="006C2FE2">
        <w:t xml:space="preserve">Xenophon. </w:t>
      </w:r>
      <w:proofErr w:type="spellStart"/>
      <w:r w:rsidRPr="006C2FE2">
        <w:t>Hiero</w:t>
      </w:r>
      <w:proofErr w:type="spellEnd"/>
      <w:r w:rsidRPr="006C2FE2">
        <w:t xml:space="preserve">. Agesilaus. Constitution of the Lacedaemonians. Ways and Means. Cavalry Commander. Art of Horsemanship. On Hunting. Constitution of the Athenians. Translated by E. C. Marchant, G. W. </w:t>
      </w:r>
      <w:proofErr w:type="spellStart"/>
      <w:r w:rsidRPr="006C2FE2">
        <w:t>Bowersock</w:t>
      </w:r>
      <w:proofErr w:type="spellEnd"/>
      <w:r w:rsidRPr="006C2FE2">
        <w:t>. Loeb Classical Library 183. Cambridge, MA: Harvard University Press, 1925.</w:t>
      </w:r>
    </w:p>
    <w:p w14:paraId="21530992" w14:textId="09A2F970" w:rsidR="006C2FE2" w:rsidRDefault="006C2FE2">
      <w:pPr>
        <w:pStyle w:val="EndnoteText"/>
      </w:pPr>
    </w:p>
    <w:p w14:paraId="4C47F788" w14:textId="77777777" w:rsidR="006C2FE2" w:rsidRDefault="006C2FE2">
      <w:pPr>
        <w:pStyle w:val="EndnoteText"/>
      </w:pPr>
    </w:p>
    <w:p w14:paraId="66A6E56F" w14:textId="77777777" w:rsidR="006C2FE2" w:rsidRDefault="006C2FE2">
      <w:pPr>
        <w:pStyle w:val="EndnoteText"/>
      </w:pPr>
    </w:p>
    <w:p w14:paraId="441C1986" w14:textId="050C03AC" w:rsidR="006C2FE2" w:rsidRDefault="006C2FE2">
      <w:pPr>
        <w:pStyle w:val="EndnoteText"/>
      </w:pPr>
    </w:p>
    <w:p w14:paraId="38F596BB" w14:textId="77777777" w:rsidR="006C2FE2" w:rsidRDefault="006C2FE2">
      <w:pPr>
        <w:pStyle w:val="EndnoteText"/>
      </w:pPr>
    </w:p>
    <w:p w14:paraId="5D0DAE36" w14:textId="70E1335E" w:rsidR="006C2FE2" w:rsidRDefault="006C2FE2">
      <w:pPr>
        <w:pStyle w:val="EndnoteText"/>
      </w:pPr>
    </w:p>
    <w:p w14:paraId="0A7C909E" w14:textId="77777777" w:rsidR="006C2FE2" w:rsidRPr="00162262" w:rsidRDefault="006C2FE2">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88792B" w14:textId="77777777" w:rsidR="00FE26A4" w:rsidRDefault="00FE26A4" w:rsidP="00F839A8">
      <w:pPr>
        <w:spacing w:after="0" w:line="240" w:lineRule="auto"/>
      </w:pPr>
      <w:r>
        <w:separator/>
      </w:r>
    </w:p>
  </w:footnote>
  <w:footnote w:type="continuationSeparator" w:id="0">
    <w:p w14:paraId="161041FB" w14:textId="77777777" w:rsidR="00FE26A4" w:rsidRDefault="00FE26A4" w:rsidP="00F839A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9A8"/>
    <w:rsid w:val="0000371F"/>
    <w:rsid w:val="00040C3C"/>
    <w:rsid w:val="000A6D4B"/>
    <w:rsid w:val="00162262"/>
    <w:rsid w:val="001A131A"/>
    <w:rsid w:val="001E3EFC"/>
    <w:rsid w:val="00221E06"/>
    <w:rsid w:val="00237009"/>
    <w:rsid w:val="002577BE"/>
    <w:rsid w:val="00286D46"/>
    <w:rsid w:val="002B2ECF"/>
    <w:rsid w:val="002C0F4A"/>
    <w:rsid w:val="00384EB7"/>
    <w:rsid w:val="004D6846"/>
    <w:rsid w:val="00516051"/>
    <w:rsid w:val="00695589"/>
    <w:rsid w:val="006C2FE2"/>
    <w:rsid w:val="006E115D"/>
    <w:rsid w:val="007C6B70"/>
    <w:rsid w:val="007D7C11"/>
    <w:rsid w:val="007E7141"/>
    <w:rsid w:val="009A2F0B"/>
    <w:rsid w:val="009A464A"/>
    <w:rsid w:val="009E3645"/>
    <w:rsid w:val="00A0646A"/>
    <w:rsid w:val="00A236C6"/>
    <w:rsid w:val="00AA2EF2"/>
    <w:rsid w:val="00AD2F31"/>
    <w:rsid w:val="00C24341"/>
    <w:rsid w:val="00D16FE2"/>
    <w:rsid w:val="00D3190A"/>
    <w:rsid w:val="00D53845"/>
    <w:rsid w:val="00DA7AA0"/>
    <w:rsid w:val="00DC7836"/>
    <w:rsid w:val="00E36FD4"/>
    <w:rsid w:val="00F35D43"/>
    <w:rsid w:val="00F76EC2"/>
    <w:rsid w:val="00F839A8"/>
    <w:rsid w:val="00FC4546"/>
    <w:rsid w:val="00FE26A4"/>
    <w:rsid w:val="00FE3CCC"/>
    <w:rsid w:val="00FF7C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A6638"/>
  <w15:chartTrackingRefBased/>
  <w15:docId w15:val="{325D8044-EDDE-4A84-814C-3A1F700AC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F839A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839A8"/>
    <w:rPr>
      <w:sz w:val="20"/>
      <w:szCs w:val="20"/>
    </w:rPr>
  </w:style>
  <w:style w:type="character" w:styleId="EndnoteReference">
    <w:name w:val="endnote reference"/>
    <w:basedOn w:val="DefaultParagraphFont"/>
    <w:uiPriority w:val="99"/>
    <w:semiHidden/>
    <w:unhideWhenUsed/>
    <w:rsid w:val="00F839A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DB67FF-8584-4CA3-A1F5-1F61FD515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6</Pages>
  <Words>1927</Words>
  <Characters>10985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kirkham</dc:creator>
  <cp:keywords/>
  <dc:description/>
  <cp:lastModifiedBy>sean kirkham</cp:lastModifiedBy>
  <cp:revision>14</cp:revision>
  <dcterms:created xsi:type="dcterms:W3CDTF">2019-12-06T11:57:00Z</dcterms:created>
  <dcterms:modified xsi:type="dcterms:W3CDTF">2019-12-06T14:22:00Z</dcterms:modified>
</cp:coreProperties>
</file>