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9964B" w14:textId="77777777" w:rsidR="00BE5B98" w:rsidRDefault="00BE5B98" w:rsidP="00BE5B98"/>
    <w:p w14:paraId="09479AB5" w14:textId="77777777" w:rsidR="00BE5B98" w:rsidRDefault="00BE5B98" w:rsidP="00BE5B98">
      <w:pPr>
        <w:pStyle w:val="Subtitle"/>
      </w:pPr>
      <w:r>
        <w:t>ACBA6003</w:t>
      </w:r>
    </w:p>
    <w:p w14:paraId="1B06D4F8" w14:textId="001583B4" w:rsidR="00BE5B98" w:rsidRDefault="00BE5B98" w:rsidP="00BE5B98">
      <w:pPr>
        <w:pStyle w:val="Title"/>
      </w:pPr>
      <w:r>
        <w:t>Cash Flow Forecast</w:t>
      </w:r>
    </w:p>
    <w:p w14:paraId="7024DEF2" w14:textId="77777777" w:rsidR="00BE5B98" w:rsidRDefault="00BE5B98" w:rsidP="00BE5B98">
      <w:pPr>
        <w:pStyle w:val="Author"/>
      </w:pPr>
      <w:r>
        <w:t>By</w:t>
      </w:r>
    </w:p>
    <w:p w14:paraId="5189D43D" w14:textId="77777777" w:rsidR="00BE5B98" w:rsidRDefault="00BE5B98" w:rsidP="00BE5B98">
      <w:pPr>
        <w:pStyle w:val="Author"/>
      </w:pPr>
      <w:r>
        <w:t>Tim Rees</w:t>
      </w:r>
    </w:p>
    <w:p w14:paraId="2F9FF869" w14:textId="77777777" w:rsidR="00BE5B98" w:rsidRDefault="00BE5B98" w:rsidP="00BE5B98">
      <w:pPr>
        <w:pStyle w:val="Author"/>
      </w:pPr>
      <w:r>
        <w:t>1807470</w:t>
      </w:r>
    </w:p>
    <w:p w14:paraId="27099C3A" w14:textId="77777777" w:rsidR="00BE5B98" w:rsidRDefault="00BE5B98" w:rsidP="00BE5B98"/>
    <w:p w14:paraId="53060CB2" w14:textId="77777777" w:rsidR="00EC7774" w:rsidRDefault="00EC7774" w:rsidP="0086732A"/>
    <w:p w14:paraId="72B8CC7D" w14:textId="4D80E0B6" w:rsidR="00EC7774" w:rsidRDefault="00EC7774"/>
    <w:p w14:paraId="643989FF" w14:textId="0E6FDA59" w:rsidR="009A3CA1" w:rsidRDefault="009A3CA1"/>
    <w:p w14:paraId="74185295" w14:textId="64251E8E" w:rsidR="009A3CA1" w:rsidRDefault="009A3CA1"/>
    <w:p w14:paraId="7F12144F" w14:textId="73A21C06" w:rsidR="009A3CA1" w:rsidRDefault="009A3CA1"/>
    <w:p w14:paraId="2D19FFCD" w14:textId="59772B6B" w:rsidR="009A3CA1" w:rsidRDefault="009A3CA1"/>
    <w:p w14:paraId="4BC9A0CE" w14:textId="112ADF1F" w:rsidR="009A3CA1" w:rsidRDefault="009A3CA1"/>
    <w:p w14:paraId="34BE6B66" w14:textId="082AF84E" w:rsidR="009A3CA1" w:rsidRDefault="009A3CA1"/>
    <w:p w14:paraId="7384906A" w14:textId="3FA528AC" w:rsidR="009A3CA1" w:rsidRDefault="009A3CA1"/>
    <w:p w14:paraId="3E161332" w14:textId="6FEB2E4B" w:rsidR="009A3CA1" w:rsidRDefault="009A3CA1"/>
    <w:p w14:paraId="2C5BD7E0" w14:textId="5A75841D" w:rsidR="009A3CA1" w:rsidRDefault="009A3CA1"/>
    <w:p w14:paraId="695A4145" w14:textId="4686F41E" w:rsidR="009A3CA1" w:rsidRDefault="009A3CA1"/>
    <w:p w14:paraId="42500CFF" w14:textId="140F7445" w:rsidR="009A3CA1" w:rsidRDefault="009A3CA1"/>
    <w:p w14:paraId="2FEC488B" w14:textId="16A7CF4B" w:rsidR="009A3CA1" w:rsidRDefault="009A3CA1"/>
    <w:p w14:paraId="3EC83F12" w14:textId="232872AD" w:rsidR="009A3CA1" w:rsidRDefault="009A3CA1"/>
    <w:p w14:paraId="61C42838" w14:textId="3D47D039" w:rsidR="009A3CA1" w:rsidRDefault="009A3CA1"/>
    <w:p w14:paraId="070BF96C" w14:textId="716C481F" w:rsidR="009A3CA1" w:rsidRDefault="009A3CA1"/>
    <w:p w14:paraId="6217CDB0" w14:textId="463ABFAA" w:rsidR="009A3CA1" w:rsidRDefault="009A3CA1"/>
    <w:p w14:paraId="56D7B7B8" w14:textId="2CAFFB51" w:rsidR="009A3CA1" w:rsidRDefault="009A3CA1"/>
    <w:p w14:paraId="7649145C" w14:textId="6C9F07A1" w:rsidR="009A3CA1" w:rsidRDefault="009A3CA1"/>
    <w:p w14:paraId="2BF48F38" w14:textId="60272831" w:rsidR="009A3CA1" w:rsidRDefault="009A3CA1"/>
    <w:p w14:paraId="593DB944" w14:textId="2FF93AE6" w:rsidR="009A3CA1" w:rsidRDefault="009A3CA1"/>
    <w:p w14:paraId="07555131" w14:textId="6F186AC9" w:rsidR="009A3CA1" w:rsidRDefault="009A3CA1"/>
    <w:p w14:paraId="16C5A4BF" w14:textId="374DF374" w:rsidR="009A3CA1" w:rsidRDefault="009A3CA1"/>
    <w:p w14:paraId="4481683B" w14:textId="33887707" w:rsidR="009A3CA1" w:rsidRDefault="009A3CA1"/>
    <w:p w14:paraId="154B07FC" w14:textId="7A7E0A1D" w:rsidR="009A3CA1" w:rsidRDefault="009A3CA1"/>
    <w:p w14:paraId="5056E3E2" w14:textId="30713DED" w:rsidR="009A3CA1" w:rsidRDefault="009A3CA1"/>
    <w:p w14:paraId="03618B5D" w14:textId="502C0F3A" w:rsidR="009A3CA1" w:rsidRDefault="009A3CA1"/>
    <w:p w14:paraId="778C7073" w14:textId="2396B626" w:rsidR="009A3CA1" w:rsidRDefault="009A3CA1"/>
    <w:p w14:paraId="67D683A7" w14:textId="77777777" w:rsidR="00BE5B98" w:rsidRDefault="00BE5B98"/>
    <w:p w14:paraId="0B93A893" w14:textId="3AB6CE58" w:rsidR="009A3CA1" w:rsidRDefault="009A3CA1"/>
    <w:p w14:paraId="1216CFA0" w14:textId="1027F5CF" w:rsidR="009A3CA1" w:rsidRDefault="009A3CA1"/>
    <w:p w14:paraId="66F2D1F7" w14:textId="77777777" w:rsidR="009A3CA1" w:rsidRDefault="009A3CA1"/>
    <w:p w14:paraId="1E18D08B" w14:textId="2A21EE1E" w:rsidR="0086732A" w:rsidRDefault="00F54B8B" w:rsidP="0086732A">
      <w:r>
        <w:lastRenderedPageBreak/>
        <w:t xml:space="preserve">Table of contents </w:t>
      </w:r>
      <w:r w:rsidR="0018171F">
        <w:t>–</w:t>
      </w:r>
      <w:r>
        <w:t xml:space="preserve"> </w:t>
      </w:r>
    </w:p>
    <w:p w14:paraId="3E5B3021" w14:textId="6AD73D84" w:rsidR="0018171F" w:rsidRDefault="0018171F" w:rsidP="0086732A"/>
    <w:p w14:paraId="5E5FCFA9" w14:textId="2C7D0A5D" w:rsidR="0018171F" w:rsidRDefault="0018171F" w:rsidP="0018171F">
      <w:pPr>
        <w:pStyle w:val="ListParagraph"/>
        <w:numPr>
          <w:ilvl w:val="0"/>
          <w:numId w:val="3"/>
        </w:numPr>
      </w:pPr>
      <w:r>
        <w:t>– Introduction – Page 2</w:t>
      </w:r>
    </w:p>
    <w:p w14:paraId="6475EFD3" w14:textId="54035692" w:rsidR="0018171F" w:rsidRDefault="0018171F" w:rsidP="0018171F">
      <w:pPr>
        <w:pStyle w:val="ListParagraph"/>
        <w:numPr>
          <w:ilvl w:val="0"/>
          <w:numId w:val="3"/>
        </w:numPr>
      </w:pPr>
      <w:r>
        <w:t>– Economic Conditions of the project- Page 2</w:t>
      </w:r>
    </w:p>
    <w:p w14:paraId="1F1D0625" w14:textId="4E603E8A" w:rsidR="0018171F" w:rsidRDefault="0018171F" w:rsidP="0018171F">
      <w:pPr>
        <w:pStyle w:val="ListParagraph"/>
        <w:numPr>
          <w:ilvl w:val="0"/>
          <w:numId w:val="3"/>
        </w:numPr>
      </w:pPr>
      <w:r>
        <w:t>– Return on Investment – Page 2</w:t>
      </w:r>
    </w:p>
    <w:p w14:paraId="5D4C0CC6" w14:textId="142F983F" w:rsidR="0018171F" w:rsidRDefault="0018171F" w:rsidP="0018171F">
      <w:pPr>
        <w:pStyle w:val="ListParagraph"/>
        <w:numPr>
          <w:ilvl w:val="0"/>
          <w:numId w:val="3"/>
        </w:numPr>
      </w:pPr>
      <w:r>
        <w:t xml:space="preserve"> - Increasing positive cash flow – Page 2</w:t>
      </w:r>
    </w:p>
    <w:p w14:paraId="00F058B2" w14:textId="3B022214" w:rsidR="0018171F" w:rsidRDefault="0018171F" w:rsidP="0018171F">
      <w:pPr>
        <w:pStyle w:val="ListParagraph"/>
        <w:numPr>
          <w:ilvl w:val="0"/>
          <w:numId w:val="3"/>
        </w:numPr>
      </w:pPr>
      <w:r>
        <w:t>– Resource costings – Page 2</w:t>
      </w:r>
    </w:p>
    <w:p w14:paraId="12BF6472" w14:textId="6D260EAC" w:rsidR="0018171F" w:rsidRDefault="0018171F" w:rsidP="0018171F">
      <w:pPr>
        <w:pStyle w:val="ListParagraph"/>
        <w:numPr>
          <w:ilvl w:val="0"/>
          <w:numId w:val="3"/>
        </w:numPr>
      </w:pPr>
      <w:r>
        <w:t>– Detailed schedule costings – Page 3</w:t>
      </w:r>
    </w:p>
    <w:p w14:paraId="3A9B6430" w14:textId="5BA113F7" w:rsidR="00F54B8B" w:rsidRDefault="0018171F" w:rsidP="0086732A">
      <w:r>
        <w:t>7.0 – Cash Flow Forecast – Page 3</w:t>
      </w:r>
    </w:p>
    <w:p w14:paraId="4D87D341" w14:textId="7D0BC6E2" w:rsidR="0018171F" w:rsidRDefault="0018171F" w:rsidP="0086732A">
      <w:r>
        <w:t>8.0 - Appendixes – Page 4</w:t>
      </w:r>
      <w:r w:rsidR="00376C99">
        <w:t>-5</w:t>
      </w:r>
    </w:p>
    <w:p w14:paraId="456F48B4" w14:textId="27AB8EC0" w:rsidR="0018171F" w:rsidRDefault="0018171F" w:rsidP="0086732A">
      <w:r>
        <w:t xml:space="preserve">9.0 – References – Page </w:t>
      </w:r>
      <w:r w:rsidR="00EC7774">
        <w:t>6</w:t>
      </w:r>
    </w:p>
    <w:p w14:paraId="5DFA4358" w14:textId="6678D29F" w:rsidR="0018171F" w:rsidRDefault="0018171F" w:rsidP="0086732A">
      <w:r>
        <w:t xml:space="preserve">10.0 – Bibliography -Page </w:t>
      </w:r>
      <w:r w:rsidR="00EC7774">
        <w:t>6</w:t>
      </w:r>
    </w:p>
    <w:p w14:paraId="43EDF76E" w14:textId="1B3A15E6" w:rsidR="00F54B8B" w:rsidRDefault="00F54B8B" w:rsidP="0086732A"/>
    <w:p w14:paraId="1E66D15A" w14:textId="697A3765" w:rsidR="00F54B8B" w:rsidRDefault="00F54B8B" w:rsidP="0086732A"/>
    <w:p w14:paraId="10AC0565" w14:textId="3257B627" w:rsidR="00F54B8B" w:rsidRDefault="00F54B8B" w:rsidP="0086732A"/>
    <w:p w14:paraId="69F3D46D" w14:textId="4A2946C5" w:rsidR="00F54B8B" w:rsidRDefault="00F54B8B" w:rsidP="0086732A"/>
    <w:p w14:paraId="2C8CBFFF" w14:textId="2EAE579B" w:rsidR="00F54B8B" w:rsidRDefault="00F54B8B" w:rsidP="0086732A"/>
    <w:p w14:paraId="71639119" w14:textId="13C26A57" w:rsidR="00F54B8B" w:rsidRDefault="00F54B8B" w:rsidP="0086732A"/>
    <w:p w14:paraId="247641A1" w14:textId="67C095E7" w:rsidR="00F54B8B" w:rsidRDefault="00F54B8B" w:rsidP="0086732A"/>
    <w:p w14:paraId="6243A5A5" w14:textId="583685E7" w:rsidR="00F54B8B" w:rsidRDefault="00F54B8B" w:rsidP="0086732A"/>
    <w:p w14:paraId="3EBBDC63" w14:textId="4802AA44" w:rsidR="00F54B8B" w:rsidRDefault="00F54B8B" w:rsidP="0086732A"/>
    <w:p w14:paraId="294AC68D" w14:textId="34AFCC84" w:rsidR="00F54B8B" w:rsidRDefault="00F54B8B" w:rsidP="0086732A"/>
    <w:p w14:paraId="5745ADC2" w14:textId="2727C218" w:rsidR="00F54B8B" w:rsidRDefault="00F54B8B" w:rsidP="0086732A"/>
    <w:p w14:paraId="3B4DEBA9" w14:textId="37567D2C" w:rsidR="00F54B8B" w:rsidRDefault="00F54B8B" w:rsidP="0086732A"/>
    <w:p w14:paraId="0C0CE577" w14:textId="65CBCFF5" w:rsidR="00F54B8B" w:rsidRDefault="00F54B8B" w:rsidP="0086732A"/>
    <w:p w14:paraId="56F5E004" w14:textId="319FD684" w:rsidR="00F54B8B" w:rsidRDefault="00F54B8B" w:rsidP="0086732A"/>
    <w:p w14:paraId="5BF5505B" w14:textId="6D189B0E" w:rsidR="00F54B8B" w:rsidRDefault="00F54B8B" w:rsidP="0086732A"/>
    <w:p w14:paraId="64016CC8" w14:textId="25B728DF" w:rsidR="00F54B8B" w:rsidRDefault="00F54B8B" w:rsidP="0086732A"/>
    <w:p w14:paraId="7EA7C248" w14:textId="04D54B1B" w:rsidR="00F54B8B" w:rsidRDefault="00F54B8B" w:rsidP="0086732A"/>
    <w:p w14:paraId="05AF0388" w14:textId="26273F24" w:rsidR="00F54B8B" w:rsidRDefault="00F54B8B" w:rsidP="0086732A"/>
    <w:p w14:paraId="4AAE0D89" w14:textId="124A2939" w:rsidR="00F54B8B" w:rsidRDefault="00F54B8B" w:rsidP="0086732A"/>
    <w:p w14:paraId="421C2B20" w14:textId="4DAF4609" w:rsidR="00F54B8B" w:rsidRDefault="00F54B8B" w:rsidP="0086732A"/>
    <w:p w14:paraId="581EB82F" w14:textId="2D8CD903" w:rsidR="00F54B8B" w:rsidRDefault="00F54B8B" w:rsidP="0086732A"/>
    <w:p w14:paraId="0F6E1E30" w14:textId="0E88BF9A" w:rsidR="00F54B8B" w:rsidRDefault="00F54B8B" w:rsidP="0086732A"/>
    <w:p w14:paraId="2F2B3836" w14:textId="28182B1D" w:rsidR="00F54B8B" w:rsidRDefault="00F54B8B" w:rsidP="0086732A"/>
    <w:p w14:paraId="423AB38E" w14:textId="61071504" w:rsidR="00F54B8B" w:rsidRDefault="00F54B8B" w:rsidP="0086732A"/>
    <w:p w14:paraId="67BE30C3" w14:textId="0661A1C7" w:rsidR="00F54B8B" w:rsidRDefault="00F54B8B" w:rsidP="0086732A"/>
    <w:p w14:paraId="6A880936" w14:textId="7FD6461D" w:rsidR="00F54B8B" w:rsidRDefault="00F54B8B" w:rsidP="0086732A"/>
    <w:p w14:paraId="5A4CBD25" w14:textId="4D0122F6" w:rsidR="00F54B8B" w:rsidRDefault="00F54B8B" w:rsidP="0086732A"/>
    <w:p w14:paraId="3FA70E22" w14:textId="06D6153B" w:rsidR="00F54B8B" w:rsidRDefault="00F54B8B" w:rsidP="0086732A"/>
    <w:p w14:paraId="5DF93AF8" w14:textId="3D582153" w:rsidR="00F54B8B" w:rsidRDefault="00F54B8B" w:rsidP="0086732A"/>
    <w:p w14:paraId="79032FD6" w14:textId="0A4F17E9" w:rsidR="00F54B8B" w:rsidRDefault="00F54B8B" w:rsidP="0086732A"/>
    <w:p w14:paraId="1755002B" w14:textId="32F41FC7" w:rsidR="00F54B8B" w:rsidRDefault="00F54B8B" w:rsidP="0086732A"/>
    <w:p w14:paraId="5A73EAEF" w14:textId="2C08C444" w:rsidR="00F54B8B" w:rsidRDefault="00F54B8B" w:rsidP="0086732A"/>
    <w:p w14:paraId="675E3EB1" w14:textId="2597EBE9" w:rsidR="00F54B8B" w:rsidRDefault="00F54B8B" w:rsidP="0086732A"/>
    <w:p w14:paraId="50421ACB" w14:textId="130AACB9" w:rsidR="00F54B8B" w:rsidRDefault="00F54B8B" w:rsidP="0086732A"/>
    <w:p w14:paraId="059794DD" w14:textId="2336A127" w:rsidR="00F54B8B" w:rsidRDefault="00F54B8B" w:rsidP="0086732A"/>
    <w:p w14:paraId="01D117DC" w14:textId="4D8CF95C" w:rsidR="00F54B8B" w:rsidRDefault="00F54B8B" w:rsidP="0086732A"/>
    <w:p w14:paraId="2F33CCC3" w14:textId="77777777" w:rsidR="00F54B8B" w:rsidRDefault="00F54B8B" w:rsidP="0086732A"/>
    <w:p w14:paraId="315DE44E" w14:textId="4ABC0495" w:rsidR="001B2A45" w:rsidRDefault="001B2A45" w:rsidP="0086732A">
      <w:pPr>
        <w:pStyle w:val="ListParagraph"/>
        <w:numPr>
          <w:ilvl w:val="0"/>
          <w:numId w:val="2"/>
        </w:numPr>
      </w:pPr>
      <w:r>
        <w:t>Introduction-</w:t>
      </w:r>
    </w:p>
    <w:p w14:paraId="3B321F51" w14:textId="77777777" w:rsidR="00EC7774" w:rsidRDefault="00EC7774" w:rsidP="00EC7774">
      <w:pPr>
        <w:rPr>
          <w:rFonts w:ascii="Open Sans" w:eastAsia="Times New Roman" w:hAnsi="Open Sans" w:cs="Open Sans"/>
          <w:color w:val="000000"/>
          <w:sz w:val="20"/>
          <w:szCs w:val="20"/>
          <w:shd w:val="clear" w:color="auto" w:fill="FFFFFF"/>
          <w:lang w:eastAsia="en-GB"/>
        </w:rPr>
      </w:pPr>
    </w:p>
    <w:p w14:paraId="7414D3BD" w14:textId="091C2C0A" w:rsidR="00EC7774" w:rsidRPr="00EC7774" w:rsidRDefault="00EC7774" w:rsidP="00EC7774">
      <w:pPr>
        <w:rPr>
          <w:rFonts w:ascii="Times New Roman" w:eastAsia="Times New Roman" w:hAnsi="Times New Roman" w:cs="Times New Roman"/>
          <w:lang w:eastAsia="en-GB"/>
        </w:rPr>
      </w:pPr>
      <w:r w:rsidRPr="00EC7774">
        <w:rPr>
          <w:rFonts w:ascii="Open Sans" w:eastAsia="Times New Roman" w:hAnsi="Open Sans" w:cs="Open Sans"/>
          <w:color w:val="000000"/>
          <w:sz w:val="20"/>
          <w:szCs w:val="20"/>
          <w:shd w:val="clear" w:color="auto" w:fill="FFFFFF"/>
          <w:lang w:eastAsia="en-GB"/>
        </w:rPr>
        <w:t xml:space="preserve">(RICS, </w:t>
      </w:r>
      <w:r w:rsidRPr="00EC7774">
        <w:rPr>
          <w:rFonts w:ascii="Open Sans" w:eastAsia="Times New Roman" w:hAnsi="Open Sans" w:cs="Open Sans"/>
          <w:color w:val="000000"/>
          <w:sz w:val="20"/>
          <w:szCs w:val="20"/>
          <w:shd w:val="clear" w:color="auto" w:fill="FFFFFF"/>
          <w:lang w:eastAsia="en-GB"/>
        </w:rPr>
        <w:t>2011)</w:t>
      </w:r>
      <w:r w:rsidRPr="00EC7774">
        <w:rPr>
          <w:rFonts w:ascii="Times New Roman" w:eastAsia="Times New Roman" w:hAnsi="Times New Roman" w:cs="Times New Roman"/>
          <w:lang w:eastAsia="en-GB"/>
        </w:rPr>
        <w:t xml:space="preserve"> Cash</w:t>
      </w:r>
      <w:r w:rsidR="001B2A45" w:rsidRPr="00EC7774">
        <w:rPr>
          <w:rFonts w:ascii="Times New Roman" w:eastAsia="Times New Roman" w:hAnsi="Times New Roman" w:cs="Times New Roman"/>
          <w:lang w:eastAsia="en-GB"/>
        </w:rPr>
        <w:t xml:space="preserve"> flow is </w:t>
      </w:r>
      <w:r w:rsidR="000804DB" w:rsidRPr="00EC7774">
        <w:rPr>
          <w:rFonts w:ascii="Times New Roman" w:eastAsia="Times New Roman" w:hAnsi="Times New Roman" w:cs="Times New Roman"/>
          <w:lang w:eastAsia="en-GB"/>
        </w:rPr>
        <w:t xml:space="preserve">of the upmost </w:t>
      </w:r>
      <w:r w:rsidR="00105AFF" w:rsidRPr="00EC7774">
        <w:rPr>
          <w:rFonts w:ascii="Times New Roman" w:eastAsia="Times New Roman" w:hAnsi="Times New Roman" w:cs="Times New Roman"/>
          <w:lang w:eastAsia="en-GB"/>
        </w:rPr>
        <w:t>importance</w:t>
      </w:r>
      <w:r w:rsidR="000804DB" w:rsidRPr="00EC7774">
        <w:rPr>
          <w:rFonts w:ascii="Times New Roman" w:eastAsia="Times New Roman" w:hAnsi="Times New Roman" w:cs="Times New Roman"/>
          <w:lang w:eastAsia="en-GB"/>
        </w:rPr>
        <w:t xml:space="preserve"> </w:t>
      </w:r>
      <w:r w:rsidR="00105AFF" w:rsidRPr="00EC7774">
        <w:rPr>
          <w:rFonts w:ascii="Times New Roman" w:eastAsia="Times New Roman" w:hAnsi="Times New Roman" w:cs="Times New Roman"/>
          <w:lang w:eastAsia="en-GB"/>
        </w:rPr>
        <w:t>in the</w:t>
      </w:r>
      <w:r w:rsidR="001B2A45" w:rsidRPr="00EC7774">
        <w:rPr>
          <w:rFonts w:ascii="Times New Roman" w:eastAsia="Times New Roman" w:hAnsi="Times New Roman" w:cs="Times New Roman"/>
          <w:lang w:eastAsia="en-GB"/>
        </w:rPr>
        <w:t xml:space="preserve"> construction industry and relates to the incoming or outgoing of money to or from a company over a given period (usually monthly). </w:t>
      </w:r>
      <w:r w:rsidRPr="00EC7774">
        <w:rPr>
          <w:rFonts w:ascii="Open Sans" w:eastAsia="Times New Roman" w:hAnsi="Open Sans" w:cs="Open Sans"/>
          <w:color w:val="000000"/>
          <w:sz w:val="20"/>
          <w:szCs w:val="20"/>
          <w:shd w:val="clear" w:color="auto" w:fill="FFFFFF"/>
          <w:lang w:eastAsia="en-GB"/>
        </w:rPr>
        <w:t>(RICS, 2011)</w:t>
      </w:r>
      <w:r>
        <w:rPr>
          <w:rFonts w:ascii="Open Sans" w:eastAsia="Times New Roman" w:hAnsi="Open Sans" w:cs="Open Sans"/>
          <w:color w:val="000000"/>
          <w:sz w:val="20"/>
          <w:szCs w:val="20"/>
          <w:shd w:val="clear" w:color="auto" w:fill="FFFFFF"/>
          <w:lang w:eastAsia="en-GB"/>
        </w:rPr>
        <w:t xml:space="preserve"> </w:t>
      </w:r>
      <w:r w:rsidR="001B2A45" w:rsidRPr="00EC7774">
        <w:rPr>
          <w:rFonts w:ascii="Times New Roman" w:eastAsia="Times New Roman" w:hAnsi="Times New Roman" w:cs="Times New Roman"/>
          <w:lang w:eastAsia="en-GB"/>
        </w:rPr>
        <w:t>Within construction contracts a cash flow forecast is generally used to inform the employer so that they know what and when their monetary commitments under the contract will be. They can be in the form of long-term or short-term forecasts and these forecasts should be constantly updated and revised as better, more accurate information becomes available or when variations to the model occur (</w:t>
      </w:r>
      <w:r w:rsidR="00D71DA4" w:rsidRPr="00EC7774">
        <w:rPr>
          <w:rFonts w:ascii="Times New Roman" w:eastAsia="Times New Roman" w:hAnsi="Times New Roman" w:cs="Times New Roman"/>
          <w:lang w:eastAsia="en-GB"/>
        </w:rPr>
        <w:t>i.e.,</w:t>
      </w:r>
      <w:r w:rsidR="001B2A45" w:rsidRPr="00EC7774">
        <w:rPr>
          <w:rFonts w:ascii="Times New Roman" w:eastAsia="Times New Roman" w:hAnsi="Times New Roman" w:cs="Times New Roman"/>
          <w:lang w:eastAsia="en-GB"/>
        </w:rPr>
        <w:t xml:space="preserve"> non-expenditure of provisional sums, claims, extension of times). </w:t>
      </w:r>
      <w:r w:rsidR="00627F5B" w:rsidRPr="00EC7774">
        <w:rPr>
          <w:rFonts w:ascii="Times New Roman" w:eastAsia="Times New Roman" w:hAnsi="Times New Roman" w:cs="Times New Roman"/>
          <w:lang w:eastAsia="en-GB"/>
        </w:rPr>
        <w:t xml:space="preserve"> All Costings shown in this report have been produced using </w:t>
      </w:r>
      <w:proofErr w:type="spellStart"/>
      <w:r w:rsidR="00627F5B" w:rsidRPr="00EC7774">
        <w:rPr>
          <w:rFonts w:ascii="Times New Roman" w:eastAsia="Times New Roman" w:hAnsi="Times New Roman" w:cs="Times New Roman"/>
          <w:lang w:eastAsia="en-GB"/>
        </w:rPr>
        <w:t>Spons</w:t>
      </w:r>
      <w:proofErr w:type="spellEnd"/>
      <w:r w:rsidR="00627F5B" w:rsidRPr="00EC7774">
        <w:rPr>
          <w:rFonts w:ascii="Times New Roman" w:eastAsia="Times New Roman" w:hAnsi="Times New Roman" w:cs="Times New Roman"/>
          <w:lang w:eastAsia="en-GB"/>
        </w:rPr>
        <w:t xml:space="preserve"> 2020 Builders and Architects’ price book</w:t>
      </w:r>
      <w:r w:rsidRPr="00EC7774">
        <w:rPr>
          <w:rFonts w:ascii="Open Sans" w:hAnsi="Open Sans" w:cs="Open Sans"/>
          <w:color w:val="000000"/>
          <w:sz w:val="20"/>
          <w:szCs w:val="20"/>
          <w:shd w:val="clear" w:color="auto" w:fill="FFFFFF"/>
        </w:rPr>
        <w:t xml:space="preserve"> </w:t>
      </w:r>
      <w:r w:rsidRPr="00EC7774">
        <w:rPr>
          <w:rFonts w:ascii="Open Sans" w:eastAsia="Times New Roman" w:hAnsi="Open Sans" w:cs="Open Sans"/>
          <w:color w:val="000000"/>
          <w:sz w:val="20"/>
          <w:szCs w:val="20"/>
          <w:shd w:val="clear" w:color="auto" w:fill="FFFFFF"/>
          <w:lang w:eastAsia="en-GB"/>
        </w:rPr>
        <w:t>(AECOM., 2019)</w:t>
      </w:r>
    </w:p>
    <w:p w14:paraId="7E04FF84" w14:textId="5E0BE34F" w:rsidR="0075446F" w:rsidRPr="00EC7774" w:rsidRDefault="00627F5B" w:rsidP="00EC7774">
      <w:pPr>
        <w:rPr>
          <w:rFonts w:ascii="Times New Roman" w:eastAsia="Times New Roman" w:hAnsi="Times New Roman" w:cs="Times New Roman"/>
          <w:lang w:eastAsia="en-GB"/>
        </w:rPr>
      </w:pPr>
      <w:r w:rsidRPr="00EC7774">
        <w:rPr>
          <w:rFonts w:ascii="Times New Roman" w:eastAsia="Times New Roman" w:hAnsi="Times New Roman" w:cs="Times New Roman"/>
          <w:lang w:eastAsia="en-GB"/>
        </w:rPr>
        <w:t xml:space="preserve">. </w:t>
      </w:r>
    </w:p>
    <w:p w14:paraId="593F924C" w14:textId="77777777" w:rsidR="00C72509" w:rsidRDefault="00C72509"/>
    <w:p w14:paraId="38282047" w14:textId="3A1E5DE3" w:rsidR="0075446F" w:rsidRDefault="0086732A">
      <w:r>
        <w:t xml:space="preserve">2.0 </w:t>
      </w:r>
      <w:r w:rsidR="0075446F">
        <w:t>Economic conditions of the project:</w:t>
      </w:r>
    </w:p>
    <w:p w14:paraId="78DAE6A9" w14:textId="7A4D1568" w:rsidR="0075446F" w:rsidRDefault="0075446F">
      <w:r>
        <w:t>Estimated work costs:</w:t>
      </w:r>
      <w:r w:rsidR="00804078">
        <w:t xml:space="preserve"> 6m</w:t>
      </w:r>
    </w:p>
    <w:p w14:paraId="37E04C7A" w14:textId="5467829C" w:rsidR="0075446F" w:rsidRDefault="0075446F">
      <w:r>
        <w:t>Duration:</w:t>
      </w:r>
      <w:r w:rsidR="00105AFF">
        <w:t>476 days</w:t>
      </w:r>
    </w:p>
    <w:p w14:paraId="3CCAF015" w14:textId="5A4F6A68" w:rsidR="0075446F" w:rsidRDefault="0075446F">
      <w:r>
        <w:t>Profit: 2.75%</w:t>
      </w:r>
    </w:p>
    <w:p w14:paraId="49DDAFF8" w14:textId="756C4B51" w:rsidR="0075446F" w:rsidRDefault="0075446F">
      <w:r>
        <w:t>Retention: 3%</w:t>
      </w:r>
    </w:p>
    <w:p w14:paraId="569251EB" w14:textId="006D1B62" w:rsidR="0075446F" w:rsidRDefault="0075446F">
      <w:r>
        <w:t>Payment schedule: 1 Month after valuation.</w:t>
      </w:r>
    </w:p>
    <w:p w14:paraId="74C021D1" w14:textId="19FFBBA8" w:rsidR="00C72509" w:rsidRDefault="00C72509"/>
    <w:p w14:paraId="02CEE5B1" w14:textId="18C3A755" w:rsidR="00C72509" w:rsidRDefault="00C72509">
      <w:r>
        <w:t xml:space="preserve">3.0 </w:t>
      </w:r>
      <w:r w:rsidR="00D71DA4">
        <w:t>–</w:t>
      </w:r>
      <w:r>
        <w:t xml:space="preserve"> </w:t>
      </w:r>
      <w:r w:rsidR="00D71DA4">
        <w:t>Return on Investment –</w:t>
      </w:r>
    </w:p>
    <w:p w14:paraId="746628CC" w14:textId="34F46808" w:rsidR="00D71DA4" w:rsidRDefault="00D71DA4">
      <w:r>
        <w:t xml:space="preserve">Assuming consistent full occupancy of both the retail and residential units the stakeholders and investors of this project should expect a payback period of around </w:t>
      </w:r>
      <w:r w:rsidR="005A0A48">
        <w:t xml:space="preserve">72.5 months. </w:t>
      </w:r>
      <w:r>
        <w:t xml:space="preserve">This is based on the mean rates provided in the “Environmental Aspects” section of my </w:t>
      </w:r>
      <w:r w:rsidR="00F54B8B">
        <w:t>submissions (</w:t>
      </w:r>
      <w:r>
        <w:t>Environmental aspects</w:t>
      </w:r>
      <w:r w:rsidR="00F54B8B">
        <w:t>. Tim Rees.2022)</w:t>
      </w:r>
      <w:r w:rsidR="0046136B">
        <w:t>. T</w:t>
      </w:r>
      <w:r w:rsidR="00A062CB">
        <w:t xml:space="preserve">he mean income from </w:t>
      </w:r>
      <w:proofErr w:type="gramStart"/>
      <w:r w:rsidR="00A062CB">
        <w:t>all of</w:t>
      </w:r>
      <w:proofErr w:type="gramEnd"/>
      <w:r w:rsidR="00A062CB">
        <w:t xml:space="preserve"> the units assuming full occupancy at all times of the year would be around £115,320 per month. This gives us the payback period of </w:t>
      </w:r>
    </w:p>
    <w:p w14:paraId="7AF020FB" w14:textId="692E4061" w:rsidR="00C72509" w:rsidRDefault="00C72509"/>
    <w:p w14:paraId="2E68CB8A" w14:textId="44E3E435" w:rsidR="00C72509" w:rsidRDefault="00D71DA4">
      <w:r>
        <w:t>4.0</w:t>
      </w:r>
      <w:r w:rsidR="00C72509">
        <w:t>– Increasing positive cash flow.</w:t>
      </w:r>
    </w:p>
    <w:p w14:paraId="623F1BDB" w14:textId="589A42BB" w:rsidR="00C72509" w:rsidRDefault="00C72509">
      <w:r>
        <w:t xml:space="preserve">The decision has been made to allow the letting of all retail units upon the </w:t>
      </w:r>
      <w:r w:rsidR="00D71DA4">
        <w:t>completion</w:t>
      </w:r>
      <w:r>
        <w:t xml:space="preserve"> of that project component. This </w:t>
      </w:r>
      <w:r w:rsidR="00D71DA4">
        <w:t>will allow</w:t>
      </w:r>
      <w:r>
        <w:t xml:space="preserve"> for some positive cash flow </w:t>
      </w:r>
      <w:r w:rsidR="00D71DA4">
        <w:t>throughout the further construction phases. The rental figures provided are based on the mean rate provided by James Thomas at Dawson’s estate agents in Swansea and is based on full occupancy. These figures are provided in the document titled “ACBA6003 Cash Flow Forecast Spreadsheet”.</w:t>
      </w:r>
    </w:p>
    <w:p w14:paraId="65028C77" w14:textId="2DD38D05" w:rsidR="00105AFF" w:rsidRDefault="00105AFF"/>
    <w:p w14:paraId="27D5BFDA" w14:textId="60323C83" w:rsidR="00105AFF" w:rsidRDefault="0018171F">
      <w:r>
        <w:t>5.0</w:t>
      </w:r>
      <w:r w:rsidR="00105AFF">
        <w:t xml:space="preserve"> – Resource Costs</w:t>
      </w:r>
    </w:p>
    <w:p w14:paraId="4C80AA9D" w14:textId="7F1E1E4D" w:rsidR="00105AFF" w:rsidRDefault="00105AFF"/>
    <w:p w14:paraId="417D64F0" w14:textId="1A92884F" w:rsidR="00105AFF" w:rsidRDefault="00627F5B">
      <w:r>
        <w:t>I have attached to the submission of this document, an Excel spreadsheet that shows the total and break down of the resource costing for the proposed project. Appendix 1 shows the resource costing in the form of a graph.</w:t>
      </w:r>
    </w:p>
    <w:p w14:paraId="0283FFD1" w14:textId="1CF9A27C" w:rsidR="00F54B8B" w:rsidRDefault="00F54B8B"/>
    <w:p w14:paraId="2AFD0C38" w14:textId="77777777" w:rsidR="0018171F" w:rsidRDefault="0018171F"/>
    <w:p w14:paraId="1DACBB38" w14:textId="0DB70AEE" w:rsidR="0018171F" w:rsidRDefault="0018171F"/>
    <w:p w14:paraId="422AF4EC" w14:textId="0502DEE0" w:rsidR="0018171F" w:rsidRDefault="0018171F"/>
    <w:p w14:paraId="5A2CE262" w14:textId="06F5AD7C" w:rsidR="0018171F" w:rsidRDefault="0018171F"/>
    <w:p w14:paraId="1CBEAFFB" w14:textId="77777777" w:rsidR="0018171F" w:rsidRDefault="0018171F"/>
    <w:p w14:paraId="6E48F14A" w14:textId="77777777" w:rsidR="0018171F" w:rsidRDefault="0018171F"/>
    <w:p w14:paraId="2FDB334F" w14:textId="45AC1A54" w:rsidR="00F54B8B" w:rsidRDefault="0018171F">
      <w:r>
        <w:t>6</w:t>
      </w:r>
      <w:r w:rsidR="00F54B8B">
        <w:t xml:space="preserve">.0 – Detailed Schedule costing </w:t>
      </w:r>
    </w:p>
    <w:p w14:paraId="12FE33EA" w14:textId="3D1A5706" w:rsidR="00F54B8B" w:rsidRDefault="00F54B8B"/>
    <w:p w14:paraId="368951CE" w14:textId="3D168EA0" w:rsidR="00F54B8B" w:rsidRDefault="00F54B8B">
      <w:r>
        <w:t>I have provided with this document a further document titled “ACBA6003 Schedule costing”. This document provides a breakdown of the costings for each of the building components.</w:t>
      </w:r>
    </w:p>
    <w:p w14:paraId="256A592F" w14:textId="7BEC175E" w:rsidR="00F54B8B" w:rsidRDefault="00F54B8B"/>
    <w:p w14:paraId="2E34C3A0" w14:textId="77777777" w:rsidR="00F54B8B" w:rsidRDefault="00F54B8B"/>
    <w:p w14:paraId="2B49734D" w14:textId="390F9296" w:rsidR="00F54B8B" w:rsidRDefault="0018171F">
      <w:r>
        <w:t>7</w:t>
      </w:r>
      <w:r w:rsidR="00F54B8B">
        <w:t xml:space="preserve">.0 Cash Flow Forecast- </w:t>
      </w:r>
    </w:p>
    <w:p w14:paraId="5FFACEB2" w14:textId="33D872E8" w:rsidR="00F54B8B" w:rsidRDefault="00F54B8B"/>
    <w:p w14:paraId="1C7D1878" w14:textId="55357C2C" w:rsidR="00F54B8B" w:rsidRDefault="00F54B8B" w:rsidP="00F54B8B">
      <w:r>
        <w:t>I have provided with this document a further</w:t>
      </w:r>
      <w:r>
        <w:t xml:space="preserve"> </w:t>
      </w:r>
      <w:r>
        <w:t>document titled “ACBA6003 Cash Flow Forecast Spreadsheet”.</w:t>
      </w:r>
      <w:r>
        <w:t xml:space="preserve"> This is an excel spread sheet that shows cash in, cash out, cumulative figures and total cash flow. Appendix 2 shows cash flow in the form of a graph.</w:t>
      </w:r>
    </w:p>
    <w:p w14:paraId="11BD0BDF" w14:textId="671BBEF7" w:rsidR="00F54B8B" w:rsidRDefault="00F54B8B"/>
    <w:p w14:paraId="2E79EAC4" w14:textId="16301D4C" w:rsidR="00376C99" w:rsidRDefault="00376C99"/>
    <w:p w14:paraId="4EE0BA02" w14:textId="1E4CD0EB" w:rsidR="00376C99" w:rsidRDefault="00376C99"/>
    <w:p w14:paraId="03F79A52" w14:textId="4CE7F230" w:rsidR="00376C99" w:rsidRDefault="00376C99"/>
    <w:p w14:paraId="7942F054" w14:textId="180ABF01" w:rsidR="00376C99" w:rsidRDefault="00376C99"/>
    <w:p w14:paraId="6F4E3FD5" w14:textId="27F3D09B" w:rsidR="00376C99" w:rsidRDefault="00376C99"/>
    <w:p w14:paraId="4F969875" w14:textId="5F63ABA6" w:rsidR="00376C99" w:rsidRDefault="00376C99"/>
    <w:p w14:paraId="0DBCF5C5" w14:textId="252D40B6" w:rsidR="00376C99" w:rsidRDefault="00376C99"/>
    <w:p w14:paraId="54185E28" w14:textId="45E10EC8" w:rsidR="00376C99" w:rsidRDefault="00376C99"/>
    <w:p w14:paraId="6600D7DC" w14:textId="4965FE85" w:rsidR="00376C99" w:rsidRDefault="00376C99"/>
    <w:p w14:paraId="68E207DC" w14:textId="42547111" w:rsidR="00376C99" w:rsidRDefault="00376C99"/>
    <w:p w14:paraId="3C827377" w14:textId="73947159" w:rsidR="00376C99" w:rsidRDefault="00376C99"/>
    <w:p w14:paraId="20CD4A5C" w14:textId="7EAA7BF7" w:rsidR="00376C99" w:rsidRDefault="00376C99"/>
    <w:p w14:paraId="6D62BD0C" w14:textId="7FFB5B2F" w:rsidR="00376C99" w:rsidRDefault="00376C99"/>
    <w:p w14:paraId="68E61494" w14:textId="5DB0715E" w:rsidR="00376C99" w:rsidRDefault="00376C99"/>
    <w:p w14:paraId="54FA09CD" w14:textId="1756D178" w:rsidR="00376C99" w:rsidRDefault="00376C99"/>
    <w:p w14:paraId="78AEB3D2" w14:textId="61356737" w:rsidR="00376C99" w:rsidRDefault="00376C99"/>
    <w:p w14:paraId="58C5806C" w14:textId="2BDC881A" w:rsidR="00376C99" w:rsidRDefault="00376C99"/>
    <w:p w14:paraId="465E1141" w14:textId="21C8D337" w:rsidR="00376C99" w:rsidRDefault="00376C99"/>
    <w:p w14:paraId="305BAE56" w14:textId="483BEC6A" w:rsidR="00376C99" w:rsidRDefault="00376C99"/>
    <w:p w14:paraId="3DE969D0" w14:textId="3E8D1918" w:rsidR="00376C99" w:rsidRDefault="00376C99"/>
    <w:p w14:paraId="460880F7" w14:textId="4F485600" w:rsidR="00376C99" w:rsidRDefault="00376C99"/>
    <w:p w14:paraId="251828C6" w14:textId="2AE1078D" w:rsidR="00376C99" w:rsidRDefault="00376C99"/>
    <w:p w14:paraId="15EB7AFA" w14:textId="05D978A1" w:rsidR="00376C99" w:rsidRDefault="00376C99"/>
    <w:p w14:paraId="02F5679F" w14:textId="1B94FBE8" w:rsidR="00376C99" w:rsidRDefault="00376C99"/>
    <w:p w14:paraId="3D90AF27" w14:textId="729C3AAA" w:rsidR="00376C99" w:rsidRDefault="00376C99"/>
    <w:p w14:paraId="6E83813E" w14:textId="46022088" w:rsidR="00376C99" w:rsidRDefault="00376C99"/>
    <w:p w14:paraId="5AA6E8BB" w14:textId="503B3A47" w:rsidR="00376C99" w:rsidRDefault="00376C99"/>
    <w:p w14:paraId="0B37A8A9" w14:textId="714E2053" w:rsidR="00376C99" w:rsidRDefault="00376C99"/>
    <w:p w14:paraId="5D3B148D" w14:textId="3E903D90" w:rsidR="00376C99" w:rsidRDefault="00376C99"/>
    <w:p w14:paraId="3E969D12" w14:textId="33149AA0" w:rsidR="00376C99" w:rsidRDefault="00376C99"/>
    <w:p w14:paraId="387CB2DC" w14:textId="22E66762" w:rsidR="00376C99" w:rsidRDefault="00376C99"/>
    <w:p w14:paraId="7C18DCAF" w14:textId="60D72DB8" w:rsidR="00376C99" w:rsidRDefault="00376C99"/>
    <w:p w14:paraId="3DAD5525" w14:textId="1E7EFBE4" w:rsidR="00376C99" w:rsidRDefault="00376C99"/>
    <w:p w14:paraId="08921FAA" w14:textId="77777777" w:rsidR="009A3CA1" w:rsidRDefault="009A3CA1"/>
    <w:p w14:paraId="793305A1" w14:textId="534EA8ED" w:rsidR="00376C99" w:rsidRDefault="00376C99">
      <w:r>
        <w:lastRenderedPageBreak/>
        <w:t xml:space="preserve">8.0 – Appendixes </w:t>
      </w:r>
    </w:p>
    <w:p w14:paraId="0BB362A5" w14:textId="7BDBFF8C" w:rsidR="00376C99" w:rsidRDefault="00376C99"/>
    <w:p w14:paraId="41E7931F" w14:textId="0201B52F" w:rsidR="00376C99" w:rsidRDefault="00376C99">
      <w:r>
        <w:rPr>
          <w:noProof/>
        </w:rPr>
        <w:drawing>
          <wp:inline distT="0" distB="0" distL="0" distR="0" wp14:anchorId="340E98B8" wp14:editId="78673E4A">
            <wp:extent cx="6264519" cy="5715000"/>
            <wp:effectExtent l="0" t="0" r="0"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285385" cy="5734035"/>
                    </a:xfrm>
                    <a:prstGeom prst="rect">
                      <a:avLst/>
                    </a:prstGeom>
                  </pic:spPr>
                </pic:pic>
              </a:graphicData>
            </a:graphic>
          </wp:inline>
        </w:drawing>
      </w:r>
    </w:p>
    <w:p w14:paraId="169087DF" w14:textId="2BCDA4F4" w:rsidR="00376C99" w:rsidRDefault="00376C99">
      <w:r>
        <w:t>Appendix 1 showing resource cost overview.</w:t>
      </w:r>
    </w:p>
    <w:p w14:paraId="0B3DF917" w14:textId="63898FAA" w:rsidR="00376C99" w:rsidRDefault="00376C99"/>
    <w:p w14:paraId="2F596252" w14:textId="131DBD68" w:rsidR="00376C99" w:rsidRDefault="00376C99"/>
    <w:p w14:paraId="76F7FB8C" w14:textId="227A0F9D" w:rsidR="00376C99" w:rsidRDefault="00376C99"/>
    <w:p w14:paraId="3FB5C749" w14:textId="3BAB1FC6" w:rsidR="00376C99" w:rsidRDefault="00376C99"/>
    <w:p w14:paraId="2EEECA1E" w14:textId="19CCBCEA" w:rsidR="00376C99" w:rsidRDefault="00376C99"/>
    <w:p w14:paraId="5E781294" w14:textId="3F6DB319" w:rsidR="00376C99" w:rsidRDefault="00376C99"/>
    <w:p w14:paraId="6E7C9F2B" w14:textId="3DF333B3" w:rsidR="00376C99" w:rsidRDefault="00376C99"/>
    <w:p w14:paraId="36133644" w14:textId="1A15992F" w:rsidR="00376C99" w:rsidRDefault="00376C99"/>
    <w:p w14:paraId="49A268AE" w14:textId="7696B56C" w:rsidR="00376C99" w:rsidRDefault="00376C99"/>
    <w:p w14:paraId="0EBAE4C0" w14:textId="32E65E9C" w:rsidR="00376C99" w:rsidRDefault="00376C99"/>
    <w:p w14:paraId="4AC85DBD" w14:textId="03C0F80D" w:rsidR="00376C99" w:rsidRDefault="00376C99"/>
    <w:p w14:paraId="1CF8BCC7" w14:textId="0D6EDEA9" w:rsidR="00376C99" w:rsidRDefault="00376C99"/>
    <w:p w14:paraId="7160ADFE" w14:textId="24FFD6BF" w:rsidR="00376C99" w:rsidRDefault="00376C99"/>
    <w:p w14:paraId="5AE2322E" w14:textId="64D85A2C" w:rsidR="00376C99" w:rsidRDefault="00376C99">
      <w:r>
        <w:rPr>
          <w:noProof/>
        </w:rPr>
        <w:lastRenderedPageBreak/>
        <w:drawing>
          <wp:anchor distT="0" distB="0" distL="114300" distR="114300" simplePos="0" relativeHeight="251658240" behindDoc="0" locked="0" layoutInCell="1" allowOverlap="1" wp14:anchorId="11BCCD9F" wp14:editId="1BC0C9B5">
            <wp:simplePos x="0" y="0"/>
            <wp:positionH relativeFrom="margin">
              <wp:posOffset>-774700</wp:posOffset>
            </wp:positionH>
            <wp:positionV relativeFrom="margin">
              <wp:posOffset>-330200</wp:posOffset>
            </wp:positionV>
            <wp:extent cx="7164070" cy="3784600"/>
            <wp:effectExtent l="0" t="0" r="0" b="0"/>
            <wp:wrapSquare wrapText="bothSides"/>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164070" cy="3784600"/>
                    </a:xfrm>
                    <a:prstGeom prst="rect">
                      <a:avLst/>
                    </a:prstGeom>
                  </pic:spPr>
                </pic:pic>
              </a:graphicData>
            </a:graphic>
            <wp14:sizeRelH relativeFrom="margin">
              <wp14:pctWidth>0</wp14:pctWidth>
            </wp14:sizeRelH>
            <wp14:sizeRelV relativeFrom="margin">
              <wp14:pctHeight>0</wp14:pctHeight>
            </wp14:sizeRelV>
          </wp:anchor>
        </w:drawing>
      </w:r>
    </w:p>
    <w:p w14:paraId="3C189D93" w14:textId="2CAC30C9" w:rsidR="00376C99" w:rsidRDefault="00376C99"/>
    <w:p w14:paraId="6A90182E" w14:textId="77777777" w:rsidR="00376C99" w:rsidRDefault="00376C99">
      <w:r>
        <w:t>Appendix 2 showing Cash flow graph</w:t>
      </w:r>
    </w:p>
    <w:p w14:paraId="583C8447" w14:textId="77777777" w:rsidR="00376C99" w:rsidRDefault="00376C99"/>
    <w:p w14:paraId="5FC8CA4F" w14:textId="77777777" w:rsidR="00376C99" w:rsidRDefault="00376C99"/>
    <w:p w14:paraId="44CB6C43" w14:textId="77777777" w:rsidR="00376C99" w:rsidRDefault="00376C99"/>
    <w:p w14:paraId="1EDB7472" w14:textId="77777777" w:rsidR="00376C99" w:rsidRDefault="00376C99"/>
    <w:p w14:paraId="2DCD7F8B" w14:textId="77777777" w:rsidR="00376C99" w:rsidRDefault="00376C99"/>
    <w:p w14:paraId="5FFE7330" w14:textId="77777777" w:rsidR="00376C99" w:rsidRDefault="00376C99"/>
    <w:p w14:paraId="71352506" w14:textId="77777777" w:rsidR="00376C99" w:rsidRDefault="00376C99"/>
    <w:p w14:paraId="3715566B" w14:textId="77777777" w:rsidR="00376C99" w:rsidRDefault="00376C99"/>
    <w:p w14:paraId="681D5B8A" w14:textId="77777777" w:rsidR="00376C99" w:rsidRDefault="00376C99"/>
    <w:p w14:paraId="413DF946" w14:textId="77777777" w:rsidR="00376C99" w:rsidRDefault="00376C99"/>
    <w:p w14:paraId="2CAB5136" w14:textId="77777777" w:rsidR="00376C99" w:rsidRDefault="00376C99"/>
    <w:p w14:paraId="08797B12" w14:textId="77777777" w:rsidR="00376C99" w:rsidRDefault="00376C99"/>
    <w:p w14:paraId="55DD21E8" w14:textId="77777777" w:rsidR="00376C99" w:rsidRDefault="00376C99"/>
    <w:p w14:paraId="5AB084B2" w14:textId="77777777" w:rsidR="00376C99" w:rsidRDefault="00376C99"/>
    <w:p w14:paraId="5A9BFF51" w14:textId="77777777" w:rsidR="00376C99" w:rsidRDefault="00376C99"/>
    <w:p w14:paraId="39B37FA9" w14:textId="77777777" w:rsidR="00376C99" w:rsidRDefault="00376C99"/>
    <w:p w14:paraId="34CA1130" w14:textId="77777777" w:rsidR="00376C99" w:rsidRDefault="00376C99"/>
    <w:p w14:paraId="3983C0FE" w14:textId="77777777" w:rsidR="00376C99" w:rsidRDefault="00376C99"/>
    <w:p w14:paraId="39B17E5F" w14:textId="77777777" w:rsidR="00376C99" w:rsidRDefault="00376C99"/>
    <w:p w14:paraId="4EAEBBDD" w14:textId="77777777" w:rsidR="00376C99" w:rsidRDefault="00376C99"/>
    <w:p w14:paraId="18BDB4D8" w14:textId="77777777" w:rsidR="00376C99" w:rsidRDefault="00376C99"/>
    <w:p w14:paraId="74455B8E" w14:textId="77777777" w:rsidR="00376C99" w:rsidRDefault="00376C99"/>
    <w:p w14:paraId="6E2313DA" w14:textId="77777777" w:rsidR="00376C99" w:rsidRDefault="00376C99"/>
    <w:p w14:paraId="4C8F516C" w14:textId="77777777" w:rsidR="00376C99" w:rsidRDefault="00376C99"/>
    <w:p w14:paraId="1CF537B5" w14:textId="77777777" w:rsidR="00376C99" w:rsidRDefault="00376C99"/>
    <w:p w14:paraId="3435BA40" w14:textId="77777777" w:rsidR="00376C99" w:rsidRDefault="00376C99"/>
    <w:p w14:paraId="37299BDD" w14:textId="73F4CDBC" w:rsidR="00376C99" w:rsidRDefault="00376C99">
      <w:r>
        <w:lastRenderedPageBreak/>
        <w:t>9.0 References –</w:t>
      </w:r>
    </w:p>
    <w:p w14:paraId="1EBB010C" w14:textId="77777777" w:rsidR="00EC7774" w:rsidRPr="00EC7774" w:rsidRDefault="00EC7774" w:rsidP="00EC7774">
      <w:pPr>
        <w:rPr>
          <w:rFonts w:ascii="Times New Roman" w:eastAsia="Times New Roman" w:hAnsi="Times New Roman" w:cs="Times New Roman"/>
          <w:lang w:eastAsia="en-GB"/>
        </w:rPr>
      </w:pPr>
      <w:r w:rsidRPr="00EC7774">
        <w:rPr>
          <w:rFonts w:ascii="Open Sans" w:eastAsia="Times New Roman" w:hAnsi="Open Sans" w:cs="Open Sans"/>
          <w:color w:val="000000"/>
          <w:sz w:val="20"/>
          <w:szCs w:val="20"/>
          <w:shd w:val="clear" w:color="auto" w:fill="FFFFFF"/>
          <w:lang w:eastAsia="en-GB"/>
        </w:rPr>
        <w:t>RICS, 2011. </w:t>
      </w:r>
      <w:r w:rsidRPr="00EC7774">
        <w:rPr>
          <w:rFonts w:ascii="Open Sans" w:eastAsia="Times New Roman" w:hAnsi="Open Sans" w:cs="Open Sans"/>
          <w:i/>
          <w:iCs/>
          <w:color w:val="000000"/>
          <w:sz w:val="20"/>
          <w:szCs w:val="20"/>
          <w:lang w:eastAsia="en-GB"/>
        </w:rPr>
        <w:t>RICS Practice Standards, UK: Cash flow forecasting</w:t>
      </w:r>
      <w:r w:rsidRPr="00EC7774">
        <w:rPr>
          <w:rFonts w:ascii="Open Sans" w:eastAsia="Times New Roman" w:hAnsi="Open Sans" w:cs="Open Sans"/>
          <w:color w:val="000000"/>
          <w:sz w:val="20"/>
          <w:szCs w:val="20"/>
          <w:shd w:val="clear" w:color="auto" w:fill="FFFFFF"/>
          <w:lang w:eastAsia="en-GB"/>
        </w:rPr>
        <w:t>. RICS.</w:t>
      </w:r>
    </w:p>
    <w:p w14:paraId="7EE54A80" w14:textId="77777777" w:rsidR="00EC7774" w:rsidRPr="00EC7774" w:rsidRDefault="00EC7774" w:rsidP="00EC7774">
      <w:pPr>
        <w:rPr>
          <w:rFonts w:ascii="Times New Roman" w:eastAsia="Times New Roman" w:hAnsi="Times New Roman" w:cs="Times New Roman"/>
          <w:lang w:eastAsia="en-GB"/>
        </w:rPr>
      </w:pPr>
      <w:r w:rsidRPr="00EC7774">
        <w:rPr>
          <w:rFonts w:ascii="Open Sans" w:eastAsia="Times New Roman" w:hAnsi="Open Sans" w:cs="Open Sans"/>
          <w:color w:val="000000"/>
          <w:sz w:val="20"/>
          <w:szCs w:val="20"/>
          <w:shd w:val="clear" w:color="auto" w:fill="FFFFFF"/>
          <w:lang w:eastAsia="en-GB"/>
        </w:rPr>
        <w:t>AECOM., 2019. </w:t>
      </w:r>
      <w:r w:rsidRPr="00EC7774">
        <w:rPr>
          <w:rFonts w:ascii="Open Sans" w:eastAsia="Times New Roman" w:hAnsi="Open Sans" w:cs="Open Sans"/>
          <w:i/>
          <w:iCs/>
          <w:color w:val="000000"/>
          <w:sz w:val="20"/>
          <w:szCs w:val="20"/>
          <w:lang w:eastAsia="en-GB"/>
        </w:rPr>
        <w:t>Spon's External Works and Landscape Price Book 2020</w:t>
      </w:r>
      <w:r w:rsidRPr="00EC7774">
        <w:rPr>
          <w:rFonts w:ascii="Open Sans" w:eastAsia="Times New Roman" w:hAnsi="Open Sans" w:cs="Open Sans"/>
          <w:color w:val="000000"/>
          <w:sz w:val="20"/>
          <w:szCs w:val="20"/>
          <w:shd w:val="clear" w:color="auto" w:fill="FFFFFF"/>
          <w:lang w:eastAsia="en-GB"/>
        </w:rPr>
        <w:t>. Milton: Taylor &amp; Francis Group.</w:t>
      </w:r>
    </w:p>
    <w:p w14:paraId="1185A5F4" w14:textId="77777777" w:rsidR="00EC7774" w:rsidRDefault="00EC7774"/>
    <w:p w14:paraId="410893FC" w14:textId="77777777" w:rsidR="00376C99" w:rsidRDefault="00376C99"/>
    <w:p w14:paraId="0DE75FFB" w14:textId="77777777" w:rsidR="00376C99" w:rsidRDefault="00376C99"/>
    <w:p w14:paraId="205615DD" w14:textId="4ACD452D" w:rsidR="00376C99" w:rsidRDefault="00376C99">
      <w:r>
        <w:t xml:space="preserve">Bibliography </w:t>
      </w:r>
      <w:r w:rsidR="00EC7774">
        <w:t>–</w:t>
      </w:r>
      <w:r>
        <w:t xml:space="preserve"> </w:t>
      </w:r>
    </w:p>
    <w:p w14:paraId="4CE4FBB5" w14:textId="5EFA0015" w:rsidR="00AB4BEB" w:rsidRDefault="00AB4BEB" w:rsidP="00AB4BEB">
      <w:pPr>
        <w:rPr>
          <w:rFonts w:ascii="Open Sans" w:eastAsia="Times New Roman" w:hAnsi="Open Sans" w:cs="Open Sans"/>
          <w:color w:val="000000"/>
          <w:sz w:val="20"/>
          <w:szCs w:val="20"/>
          <w:shd w:val="clear" w:color="auto" w:fill="FFFFFF"/>
          <w:lang w:eastAsia="en-GB"/>
        </w:rPr>
      </w:pPr>
      <w:proofErr w:type="spellStart"/>
      <w:r w:rsidRPr="00AB4BEB">
        <w:rPr>
          <w:rFonts w:ascii="Open Sans" w:eastAsia="Times New Roman" w:hAnsi="Open Sans" w:cs="Open Sans"/>
          <w:color w:val="000000"/>
          <w:sz w:val="20"/>
          <w:szCs w:val="20"/>
          <w:shd w:val="clear" w:color="auto" w:fill="FFFFFF"/>
          <w:lang w:eastAsia="en-GB"/>
        </w:rPr>
        <w:t>Morledge</w:t>
      </w:r>
      <w:proofErr w:type="spellEnd"/>
      <w:r w:rsidRPr="00AB4BEB">
        <w:rPr>
          <w:rFonts w:ascii="Open Sans" w:eastAsia="Times New Roman" w:hAnsi="Open Sans" w:cs="Open Sans"/>
          <w:color w:val="000000"/>
          <w:sz w:val="20"/>
          <w:szCs w:val="20"/>
          <w:shd w:val="clear" w:color="auto" w:fill="FFFFFF"/>
          <w:lang w:eastAsia="en-GB"/>
        </w:rPr>
        <w:t xml:space="preserve">, R., </w:t>
      </w:r>
      <w:proofErr w:type="spellStart"/>
      <w:r w:rsidRPr="00AB4BEB">
        <w:rPr>
          <w:rFonts w:ascii="Open Sans" w:eastAsia="Times New Roman" w:hAnsi="Open Sans" w:cs="Open Sans"/>
          <w:color w:val="000000"/>
          <w:sz w:val="20"/>
          <w:szCs w:val="20"/>
          <w:shd w:val="clear" w:color="auto" w:fill="FFFFFF"/>
          <w:lang w:eastAsia="en-GB"/>
        </w:rPr>
        <w:t>Odeyinka</w:t>
      </w:r>
      <w:proofErr w:type="spellEnd"/>
      <w:r w:rsidRPr="00AB4BEB">
        <w:rPr>
          <w:rFonts w:ascii="Open Sans" w:eastAsia="Times New Roman" w:hAnsi="Open Sans" w:cs="Open Sans"/>
          <w:color w:val="000000"/>
          <w:sz w:val="20"/>
          <w:szCs w:val="20"/>
          <w:shd w:val="clear" w:color="auto" w:fill="FFFFFF"/>
          <w:lang w:eastAsia="en-GB"/>
        </w:rPr>
        <w:t>, H. and Kaka, A., 2003. </w:t>
      </w:r>
      <w:r w:rsidRPr="00AB4BEB">
        <w:rPr>
          <w:rFonts w:ascii="Open Sans" w:eastAsia="Times New Roman" w:hAnsi="Open Sans" w:cs="Open Sans"/>
          <w:i/>
          <w:iCs/>
          <w:color w:val="000000"/>
          <w:sz w:val="20"/>
          <w:szCs w:val="20"/>
          <w:lang w:eastAsia="en-GB"/>
        </w:rPr>
        <w:t>AN EVALUATION OF CONSTRUCTION CASH FLOW MANAGEMENT APPROACHES IN CONTRACTING ORGANISATIONS</w:t>
      </w:r>
      <w:r w:rsidRPr="00AB4BEB">
        <w:rPr>
          <w:rFonts w:ascii="Open Sans" w:eastAsia="Times New Roman" w:hAnsi="Open Sans" w:cs="Open Sans"/>
          <w:color w:val="000000"/>
          <w:sz w:val="20"/>
          <w:szCs w:val="20"/>
          <w:shd w:val="clear" w:color="auto" w:fill="FFFFFF"/>
          <w:lang w:eastAsia="en-GB"/>
        </w:rPr>
        <w:t xml:space="preserve">. [online] Pure.ulster.ac.uk. Available at: &lt;https://pure.ulster.ac.uk/ws/portalfiles/portal/11737095/ARCOM03_Paper.pdf&gt; </w:t>
      </w:r>
    </w:p>
    <w:p w14:paraId="549AD292" w14:textId="528D18CF" w:rsidR="00295356" w:rsidRDefault="00295356" w:rsidP="00AB4BEB">
      <w:pPr>
        <w:rPr>
          <w:rFonts w:ascii="Open Sans" w:eastAsia="Times New Roman" w:hAnsi="Open Sans" w:cs="Open Sans"/>
          <w:color w:val="000000"/>
          <w:sz w:val="20"/>
          <w:szCs w:val="20"/>
          <w:shd w:val="clear" w:color="auto" w:fill="FFFFFF"/>
          <w:lang w:eastAsia="en-GB"/>
        </w:rPr>
      </w:pPr>
    </w:p>
    <w:p w14:paraId="1BCCB069" w14:textId="1A90AFD2" w:rsidR="00295356" w:rsidRDefault="00295356" w:rsidP="00295356">
      <w:pPr>
        <w:rPr>
          <w:rFonts w:ascii="Open Sans" w:eastAsia="Times New Roman" w:hAnsi="Open Sans" w:cs="Open Sans"/>
          <w:color w:val="000000"/>
          <w:sz w:val="20"/>
          <w:szCs w:val="20"/>
          <w:shd w:val="clear" w:color="auto" w:fill="FFFFFF"/>
          <w:lang w:eastAsia="en-GB"/>
        </w:rPr>
      </w:pPr>
      <w:r w:rsidRPr="00295356">
        <w:rPr>
          <w:rFonts w:ascii="Open Sans" w:eastAsia="Times New Roman" w:hAnsi="Open Sans" w:cs="Open Sans"/>
          <w:color w:val="000000"/>
          <w:sz w:val="20"/>
          <w:szCs w:val="20"/>
          <w:shd w:val="clear" w:color="auto" w:fill="FFFFFF"/>
          <w:lang w:eastAsia="en-GB"/>
        </w:rPr>
        <w:t>Higham, A., Bridge, C. and Farrell, P., 2016. </w:t>
      </w:r>
      <w:r w:rsidRPr="00295356">
        <w:rPr>
          <w:rFonts w:ascii="Open Sans" w:eastAsia="Times New Roman" w:hAnsi="Open Sans" w:cs="Open Sans"/>
          <w:i/>
          <w:iCs/>
          <w:color w:val="000000"/>
          <w:sz w:val="20"/>
          <w:szCs w:val="20"/>
          <w:lang w:eastAsia="en-GB"/>
        </w:rPr>
        <w:t>Project finance for construction</w:t>
      </w:r>
      <w:r w:rsidRPr="00295356">
        <w:rPr>
          <w:rFonts w:ascii="Open Sans" w:eastAsia="Times New Roman" w:hAnsi="Open Sans" w:cs="Open Sans"/>
          <w:color w:val="000000"/>
          <w:sz w:val="20"/>
          <w:szCs w:val="20"/>
          <w:shd w:val="clear" w:color="auto" w:fill="FFFFFF"/>
          <w:lang w:eastAsia="en-GB"/>
        </w:rPr>
        <w:t>.</w:t>
      </w:r>
    </w:p>
    <w:p w14:paraId="3BB5D4F2" w14:textId="49B71098" w:rsidR="009A75CD" w:rsidRDefault="009A75CD" w:rsidP="00295356">
      <w:pPr>
        <w:rPr>
          <w:rFonts w:ascii="Open Sans" w:eastAsia="Times New Roman" w:hAnsi="Open Sans" w:cs="Open Sans"/>
          <w:color w:val="000000"/>
          <w:sz w:val="20"/>
          <w:szCs w:val="20"/>
          <w:shd w:val="clear" w:color="auto" w:fill="FFFFFF"/>
          <w:lang w:eastAsia="en-GB"/>
        </w:rPr>
      </w:pPr>
    </w:p>
    <w:p w14:paraId="0DDAD1DA" w14:textId="77777777" w:rsidR="009A75CD" w:rsidRPr="009A75CD" w:rsidRDefault="009A75CD" w:rsidP="009A75CD">
      <w:pPr>
        <w:rPr>
          <w:rFonts w:ascii="Times New Roman" w:eastAsia="Times New Roman" w:hAnsi="Times New Roman" w:cs="Times New Roman"/>
          <w:lang w:eastAsia="en-GB"/>
        </w:rPr>
      </w:pPr>
      <w:r w:rsidRPr="009A75CD">
        <w:rPr>
          <w:rFonts w:ascii="Open Sans" w:eastAsia="Times New Roman" w:hAnsi="Open Sans" w:cs="Open Sans"/>
          <w:color w:val="000000"/>
          <w:sz w:val="20"/>
          <w:szCs w:val="20"/>
          <w:shd w:val="clear" w:color="auto" w:fill="FFFFFF"/>
          <w:lang w:eastAsia="en-GB"/>
        </w:rPr>
        <w:t>Ross, A. and Williams, P., 2013. </w:t>
      </w:r>
      <w:r w:rsidRPr="009A75CD">
        <w:rPr>
          <w:rFonts w:ascii="Open Sans" w:eastAsia="Times New Roman" w:hAnsi="Open Sans" w:cs="Open Sans"/>
          <w:i/>
          <w:iCs/>
          <w:color w:val="000000"/>
          <w:sz w:val="20"/>
          <w:szCs w:val="20"/>
          <w:lang w:eastAsia="en-GB"/>
        </w:rPr>
        <w:t>Financial management in construction contracting</w:t>
      </w:r>
      <w:r w:rsidRPr="009A75CD">
        <w:rPr>
          <w:rFonts w:ascii="Open Sans" w:eastAsia="Times New Roman" w:hAnsi="Open Sans" w:cs="Open Sans"/>
          <w:color w:val="000000"/>
          <w:sz w:val="20"/>
          <w:szCs w:val="20"/>
          <w:shd w:val="clear" w:color="auto" w:fill="FFFFFF"/>
          <w:lang w:eastAsia="en-GB"/>
        </w:rPr>
        <w:t>. Chichester, West Sussex: Wiley-Blackwell.</w:t>
      </w:r>
    </w:p>
    <w:p w14:paraId="0F047867" w14:textId="77777777" w:rsidR="009A75CD" w:rsidRPr="00295356" w:rsidRDefault="009A75CD" w:rsidP="00295356">
      <w:pPr>
        <w:rPr>
          <w:rFonts w:ascii="Times New Roman" w:eastAsia="Times New Roman" w:hAnsi="Times New Roman" w:cs="Times New Roman"/>
          <w:lang w:eastAsia="en-GB"/>
        </w:rPr>
      </w:pPr>
    </w:p>
    <w:p w14:paraId="09FD9B03" w14:textId="77777777" w:rsidR="00295356" w:rsidRPr="00AB4BEB" w:rsidRDefault="00295356" w:rsidP="00AB4BEB">
      <w:pPr>
        <w:rPr>
          <w:rFonts w:ascii="Times New Roman" w:eastAsia="Times New Roman" w:hAnsi="Times New Roman" w:cs="Times New Roman"/>
          <w:lang w:eastAsia="en-GB"/>
        </w:rPr>
      </w:pPr>
    </w:p>
    <w:p w14:paraId="3FE3A058" w14:textId="77777777" w:rsidR="00AB4BEB" w:rsidRDefault="00AB4BEB"/>
    <w:p w14:paraId="5D52FF8C" w14:textId="4FC04EC9" w:rsidR="00EC7774" w:rsidRDefault="00EC7774"/>
    <w:p w14:paraId="1F9B4412" w14:textId="77777777" w:rsidR="00EC7774" w:rsidRDefault="00EC7774"/>
    <w:sectPr w:rsidR="00EC777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C081D" w14:textId="77777777" w:rsidR="00F54B8B" w:rsidRDefault="00F54B8B" w:rsidP="00F54B8B">
      <w:r>
        <w:separator/>
      </w:r>
    </w:p>
  </w:endnote>
  <w:endnote w:type="continuationSeparator" w:id="0">
    <w:p w14:paraId="018FDC87" w14:textId="77777777" w:rsidR="00F54B8B" w:rsidRDefault="00F54B8B" w:rsidP="00F54B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673958"/>
      <w:docPartObj>
        <w:docPartGallery w:val="Page Numbers (Bottom of Page)"/>
        <w:docPartUnique/>
      </w:docPartObj>
    </w:sdtPr>
    <w:sdtContent>
      <w:p w14:paraId="6B0D9111" w14:textId="7AC22382" w:rsidR="00F54B8B" w:rsidRDefault="00F54B8B"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355BC0" w14:textId="77777777" w:rsidR="00F54B8B" w:rsidRDefault="00F54B8B" w:rsidP="00F54B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8538930"/>
      <w:docPartObj>
        <w:docPartGallery w:val="Page Numbers (Bottom of Page)"/>
        <w:docPartUnique/>
      </w:docPartObj>
    </w:sdtPr>
    <w:sdtContent>
      <w:p w14:paraId="4720738B" w14:textId="71E7A0E8" w:rsidR="00F54B8B" w:rsidRDefault="00F54B8B" w:rsidP="00974C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3E6E77" w14:textId="77777777" w:rsidR="00F54B8B" w:rsidRDefault="00F54B8B" w:rsidP="00F54B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9E8C2" w14:textId="77777777" w:rsidR="00F54B8B" w:rsidRDefault="00F54B8B" w:rsidP="00F54B8B">
      <w:r>
        <w:separator/>
      </w:r>
    </w:p>
  </w:footnote>
  <w:footnote w:type="continuationSeparator" w:id="0">
    <w:p w14:paraId="35F990BE" w14:textId="77777777" w:rsidR="00F54B8B" w:rsidRDefault="00F54B8B" w:rsidP="00F54B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10413"/>
    <w:multiLevelType w:val="multilevel"/>
    <w:tmpl w:val="D39CA2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E823B51"/>
    <w:multiLevelType w:val="hybridMultilevel"/>
    <w:tmpl w:val="5B1240BA"/>
    <w:lvl w:ilvl="0" w:tplc="15D25D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68417C"/>
    <w:multiLevelType w:val="multilevel"/>
    <w:tmpl w:val="093C7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443453764">
    <w:abstractNumId w:val="1"/>
  </w:num>
  <w:num w:numId="2" w16cid:durableId="1527980088">
    <w:abstractNumId w:val="0"/>
  </w:num>
  <w:num w:numId="3" w16cid:durableId="16354833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46F"/>
    <w:rsid w:val="00075A19"/>
    <w:rsid w:val="000804DB"/>
    <w:rsid w:val="00105AFF"/>
    <w:rsid w:val="0018171F"/>
    <w:rsid w:val="001B2A45"/>
    <w:rsid w:val="00295356"/>
    <w:rsid w:val="00372E63"/>
    <w:rsid w:val="00376C99"/>
    <w:rsid w:val="0046136B"/>
    <w:rsid w:val="005A0A48"/>
    <w:rsid w:val="00627F5B"/>
    <w:rsid w:val="0075446F"/>
    <w:rsid w:val="00804078"/>
    <w:rsid w:val="0086732A"/>
    <w:rsid w:val="009A3CA1"/>
    <w:rsid w:val="009A75CD"/>
    <w:rsid w:val="00A062CB"/>
    <w:rsid w:val="00AB4BEB"/>
    <w:rsid w:val="00BE5B98"/>
    <w:rsid w:val="00C72509"/>
    <w:rsid w:val="00D71DA4"/>
    <w:rsid w:val="00EC7774"/>
    <w:rsid w:val="00F54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4B263"/>
  <w15:chartTrackingRefBased/>
  <w15:docId w15:val="{39708B90-63CF-8B43-8B9E-4CFAFFF54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32A"/>
    <w:pPr>
      <w:ind w:left="720"/>
      <w:contextualSpacing/>
    </w:pPr>
  </w:style>
  <w:style w:type="paragraph" w:styleId="Footer">
    <w:name w:val="footer"/>
    <w:basedOn w:val="Normal"/>
    <w:link w:val="FooterChar"/>
    <w:uiPriority w:val="99"/>
    <w:unhideWhenUsed/>
    <w:rsid w:val="00F54B8B"/>
    <w:pPr>
      <w:tabs>
        <w:tab w:val="center" w:pos="4513"/>
        <w:tab w:val="right" w:pos="9026"/>
      </w:tabs>
    </w:pPr>
  </w:style>
  <w:style w:type="character" w:customStyle="1" w:styleId="FooterChar">
    <w:name w:val="Footer Char"/>
    <w:basedOn w:val="DefaultParagraphFont"/>
    <w:link w:val="Footer"/>
    <w:uiPriority w:val="99"/>
    <w:rsid w:val="00F54B8B"/>
  </w:style>
  <w:style w:type="character" w:styleId="PageNumber">
    <w:name w:val="page number"/>
    <w:basedOn w:val="DefaultParagraphFont"/>
    <w:uiPriority w:val="99"/>
    <w:semiHidden/>
    <w:unhideWhenUsed/>
    <w:rsid w:val="00F54B8B"/>
  </w:style>
  <w:style w:type="character" w:customStyle="1" w:styleId="apple-converted-space">
    <w:name w:val="apple-converted-space"/>
    <w:basedOn w:val="DefaultParagraphFont"/>
    <w:rsid w:val="00EC7774"/>
  </w:style>
  <w:style w:type="paragraph" w:styleId="NoSpacing">
    <w:name w:val="No Spacing"/>
    <w:link w:val="NoSpacingChar"/>
    <w:uiPriority w:val="1"/>
    <w:qFormat/>
    <w:rsid w:val="00EC7774"/>
    <w:rPr>
      <w:rFonts w:eastAsiaTheme="minorEastAsia"/>
      <w:sz w:val="22"/>
      <w:szCs w:val="22"/>
      <w:lang w:val="en-US" w:eastAsia="zh-CN"/>
    </w:rPr>
  </w:style>
  <w:style w:type="character" w:customStyle="1" w:styleId="NoSpacingChar">
    <w:name w:val="No Spacing Char"/>
    <w:basedOn w:val="DefaultParagraphFont"/>
    <w:link w:val="NoSpacing"/>
    <w:uiPriority w:val="1"/>
    <w:rsid w:val="00EC7774"/>
    <w:rPr>
      <w:rFonts w:eastAsiaTheme="minorEastAsia"/>
      <w:sz w:val="22"/>
      <w:szCs w:val="22"/>
      <w:lang w:val="en-US" w:eastAsia="zh-CN"/>
    </w:rPr>
  </w:style>
  <w:style w:type="paragraph" w:styleId="Subtitle">
    <w:name w:val="Subtitle"/>
    <w:basedOn w:val="Normal"/>
    <w:link w:val="SubtitleChar"/>
    <w:uiPriority w:val="2"/>
    <w:qFormat/>
    <w:rsid w:val="00BE5B98"/>
    <w:pPr>
      <w:numPr>
        <w:ilvl w:val="1"/>
      </w:numPr>
      <w:spacing w:after="300"/>
      <w:contextualSpacing/>
    </w:pPr>
    <w:rPr>
      <w:rFonts w:eastAsiaTheme="minorEastAsia"/>
      <w:color w:val="000000" w:themeColor="text1"/>
      <w:sz w:val="32"/>
      <w:lang w:val="en-US" w:eastAsia="ja-JP"/>
    </w:rPr>
  </w:style>
  <w:style w:type="character" w:customStyle="1" w:styleId="SubtitleChar">
    <w:name w:val="Subtitle Char"/>
    <w:basedOn w:val="DefaultParagraphFont"/>
    <w:link w:val="Subtitle"/>
    <w:uiPriority w:val="2"/>
    <w:rsid w:val="00BE5B98"/>
    <w:rPr>
      <w:rFonts w:eastAsiaTheme="minorEastAsia"/>
      <w:color w:val="000000" w:themeColor="text1"/>
      <w:sz w:val="32"/>
      <w:lang w:val="en-US" w:eastAsia="ja-JP"/>
    </w:rPr>
  </w:style>
  <w:style w:type="paragraph" w:styleId="Title">
    <w:name w:val="Title"/>
    <w:basedOn w:val="Normal"/>
    <w:link w:val="TitleChar"/>
    <w:uiPriority w:val="1"/>
    <w:qFormat/>
    <w:rsid w:val="00BE5B98"/>
    <w:pPr>
      <w:spacing w:after="240"/>
      <w:contextualSpacing/>
    </w:pPr>
    <w:rPr>
      <w:rFonts w:asciiTheme="majorHAnsi" w:eastAsiaTheme="majorEastAsia" w:hAnsiTheme="majorHAnsi" w:cstheme="majorBidi"/>
      <w:color w:val="000000" w:themeColor="text1"/>
      <w:kern w:val="28"/>
      <w:sz w:val="56"/>
      <w:szCs w:val="56"/>
      <w:lang w:val="en-US" w:eastAsia="ja-JP"/>
    </w:rPr>
  </w:style>
  <w:style w:type="character" w:customStyle="1" w:styleId="TitleChar">
    <w:name w:val="Title Char"/>
    <w:basedOn w:val="DefaultParagraphFont"/>
    <w:link w:val="Title"/>
    <w:uiPriority w:val="1"/>
    <w:rsid w:val="00BE5B98"/>
    <w:rPr>
      <w:rFonts w:asciiTheme="majorHAnsi" w:eastAsiaTheme="majorEastAsia" w:hAnsiTheme="majorHAnsi" w:cstheme="majorBidi"/>
      <w:color w:val="000000" w:themeColor="text1"/>
      <w:kern w:val="28"/>
      <w:sz w:val="56"/>
      <w:szCs w:val="56"/>
      <w:lang w:val="en-US" w:eastAsia="ja-JP"/>
    </w:rPr>
  </w:style>
  <w:style w:type="paragraph" w:customStyle="1" w:styleId="Author">
    <w:name w:val="Author"/>
    <w:basedOn w:val="Normal"/>
    <w:uiPriority w:val="3"/>
    <w:qFormat/>
    <w:rsid w:val="00BE5B98"/>
    <w:pPr>
      <w:pBdr>
        <w:bottom w:val="single" w:sz="8" w:space="17" w:color="000000" w:themeColor="text1"/>
      </w:pBdr>
      <w:spacing w:after="640"/>
      <w:contextualSpacing/>
    </w:pPr>
    <w:rPr>
      <w:color w:val="000000" w:themeColor="text1"/>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10904">
      <w:bodyDiv w:val="1"/>
      <w:marLeft w:val="0"/>
      <w:marRight w:val="0"/>
      <w:marTop w:val="0"/>
      <w:marBottom w:val="0"/>
      <w:divBdr>
        <w:top w:val="none" w:sz="0" w:space="0" w:color="auto"/>
        <w:left w:val="none" w:sz="0" w:space="0" w:color="auto"/>
        <w:bottom w:val="none" w:sz="0" w:space="0" w:color="auto"/>
        <w:right w:val="none" w:sz="0" w:space="0" w:color="auto"/>
      </w:divBdr>
    </w:div>
    <w:div w:id="523178529">
      <w:bodyDiv w:val="1"/>
      <w:marLeft w:val="0"/>
      <w:marRight w:val="0"/>
      <w:marTop w:val="0"/>
      <w:marBottom w:val="0"/>
      <w:divBdr>
        <w:top w:val="none" w:sz="0" w:space="0" w:color="auto"/>
        <w:left w:val="none" w:sz="0" w:space="0" w:color="auto"/>
        <w:bottom w:val="none" w:sz="0" w:space="0" w:color="auto"/>
        <w:right w:val="none" w:sz="0" w:space="0" w:color="auto"/>
      </w:divBdr>
    </w:div>
    <w:div w:id="878082901">
      <w:bodyDiv w:val="1"/>
      <w:marLeft w:val="0"/>
      <w:marRight w:val="0"/>
      <w:marTop w:val="0"/>
      <w:marBottom w:val="0"/>
      <w:divBdr>
        <w:top w:val="none" w:sz="0" w:space="0" w:color="auto"/>
        <w:left w:val="none" w:sz="0" w:space="0" w:color="auto"/>
        <w:bottom w:val="none" w:sz="0" w:space="0" w:color="auto"/>
        <w:right w:val="none" w:sz="0" w:space="0" w:color="auto"/>
      </w:divBdr>
    </w:div>
    <w:div w:id="1039624571">
      <w:bodyDiv w:val="1"/>
      <w:marLeft w:val="0"/>
      <w:marRight w:val="0"/>
      <w:marTop w:val="0"/>
      <w:marBottom w:val="0"/>
      <w:divBdr>
        <w:top w:val="none" w:sz="0" w:space="0" w:color="auto"/>
        <w:left w:val="none" w:sz="0" w:space="0" w:color="auto"/>
        <w:bottom w:val="none" w:sz="0" w:space="0" w:color="auto"/>
        <w:right w:val="none" w:sz="0" w:space="0" w:color="auto"/>
      </w:divBdr>
    </w:div>
    <w:div w:id="1076512612">
      <w:bodyDiv w:val="1"/>
      <w:marLeft w:val="0"/>
      <w:marRight w:val="0"/>
      <w:marTop w:val="0"/>
      <w:marBottom w:val="0"/>
      <w:divBdr>
        <w:top w:val="none" w:sz="0" w:space="0" w:color="auto"/>
        <w:left w:val="none" w:sz="0" w:space="0" w:color="auto"/>
        <w:bottom w:val="none" w:sz="0" w:space="0" w:color="auto"/>
        <w:right w:val="none" w:sz="0" w:space="0" w:color="auto"/>
      </w:divBdr>
    </w:div>
    <w:div w:id="1244333487">
      <w:bodyDiv w:val="1"/>
      <w:marLeft w:val="0"/>
      <w:marRight w:val="0"/>
      <w:marTop w:val="0"/>
      <w:marBottom w:val="0"/>
      <w:divBdr>
        <w:top w:val="none" w:sz="0" w:space="0" w:color="auto"/>
        <w:left w:val="none" w:sz="0" w:space="0" w:color="auto"/>
        <w:bottom w:val="none" w:sz="0" w:space="0" w:color="auto"/>
        <w:right w:val="none" w:sz="0" w:space="0" w:color="auto"/>
      </w:divBdr>
    </w:div>
    <w:div w:id="1284847010">
      <w:bodyDiv w:val="1"/>
      <w:marLeft w:val="0"/>
      <w:marRight w:val="0"/>
      <w:marTop w:val="0"/>
      <w:marBottom w:val="0"/>
      <w:divBdr>
        <w:top w:val="none" w:sz="0" w:space="0" w:color="auto"/>
        <w:left w:val="none" w:sz="0" w:space="0" w:color="auto"/>
        <w:bottom w:val="none" w:sz="0" w:space="0" w:color="auto"/>
        <w:right w:val="none" w:sz="0" w:space="0" w:color="auto"/>
      </w:divBdr>
    </w:div>
    <w:div w:id="1463503534">
      <w:bodyDiv w:val="1"/>
      <w:marLeft w:val="0"/>
      <w:marRight w:val="0"/>
      <w:marTop w:val="0"/>
      <w:marBottom w:val="0"/>
      <w:divBdr>
        <w:top w:val="none" w:sz="0" w:space="0" w:color="auto"/>
        <w:left w:val="none" w:sz="0" w:space="0" w:color="auto"/>
        <w:bottom w:val="none" w:sz="0" w:space="0" w:color="auto"/>
        <w:right w:val="none" w:sz="0" w:space="0" w:color="auto"/>
      </w:divBdr>
    </w:div>
    <w:div w:id="1998530273">
      <w:bodyDiv w:val="1"/>
      <w:marLeft w:val="0"/>
      <w:marRight w:val="0"/>
      <w:marTop w:val="0"/>
      <w:marBottom w:val="0"/>
      <w:divBdr>
        <w:top w:val="none" w:sz="0" w:space="0" w:color="auto"/>
        <w:left w:val="none" w:sz="0" w:space="0" w:color="auto"/>
        <w:bottom w:val="none" w:sz="0" w:space="0" w:color="auto"/>
        <w:right w:val="none" w:sz="0" w:space="0" w:color="auto"/>
      </w:divBdr>
    </w:div>
    <w:div w:id="2077774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7</Pages>
  <Words>481</Words>
  <Characters>3536</Characters>
  <Application>Microsoft Office Word</Application>
  <DocSecurity>0</DocSecurity>
  <Lines>80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Rees (1807470)</dc:creator>
  <cp:keywords/>
  <dc:description/>
  <cp:lastModifiedBy>Timothy Rees (1807470)</cp:lastModifiedBy>
  <cp:revision>6</cp:revision>
  <dcterms:created xsi:type="dcterms:W3CDTF">2022-05-02T17:10:00Z</dcterms:created>
  <dcterms:modified xsi:type="dcterms:W3CDTF">2022-05-04T22:28:00Z</dcterms:modified>
</cp:coreProperties>
</file>