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8B78D" w14:textId="01BE9DD1" w:rsidR="008D7B9D" w:rsidRDefault="00CB734B" w:rsidP="008D7B9D">
      <w:pPr>
        <w:jc w:val="center"/>
        <w:rPr>
          <w:rFonts w:ascii="Arial" w:hAnsi="Arial" w:cs="Arial"/>
          <w:sz w:val="36"/>
          <w:szCs w:val="36"/>
        </w:rPr>
      </w:pPr>
      <w:r>
        <w:rPr>
          <w:rFonts w:ascii="Arial" w:hAnsi="Arial" w:cs="Arial"/>
          <w:noProof/>
          <w:sz w:val="36"/>
          <w:szCs w:val="36"/>
        </w:rPr>
        <w:drawing>
          <wp:anchor distT="0" distB="0" distL="114300" distR="114300" simplePos="0" relativeHeight="251658240" behindDoc="0" locked="0" layoutInCell="1" allowOverlap="1" wp14:anchorId="7D5C2CD8" wp14:editId="744A3360">
            <wp:simplePos x="0" y="0"/>
            <wp:positionH relativeFrom="column">
              <wp:posOffset>-173486</wp:posOffset>
            </wp:positionH>
            <wp:positionV relativeFrom="paragraph">
              <wp:posOffset>284</wp:posOffset>
            </wp:positionV>
            <wp:extent cx="3042285" cy="864235"/>
            <wp:effectExtent l="0" t="0" r="5715" b="0"/>
            <wp:wrapSquare wrapText="bothSides"/>
            <wp:docPr id="20635838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2285" cy="864235"/>
                    </a:xfrm>
                    <a:prstGeom prst="rect">
                      <a:avLst/>
                    </a:prstGeom>
                    <a:noFill/>
                  </pic:spPr>
                </pic:pic>
              </a:graphicData>
            </a:graphic>
            <wp14:sizeRelH relativeFrom="margin">
              <wp14:pctWidth>0</wp14:pctWidth>
            </wp14:sizeRelH>
            <wp14:sizeRelV relativeFrom="margin">
              <wp14:pctHeight>0</wp14:pctHeight>
            </wp14:sizeRelV>
          </wp:anchor>
        </w:drawing>
      </w:r>
    </w:p>
    <w:p w14:paraId="1D0F463A" w14:textId="5D4D839A" w:rsidR="008D7B9D" w:rsidRDefault="008D7B9D" w:rsidP="008D7B9D">
      <w:pPr>
        <w:jc w:val="center"/>
        <w:rPr>
          <w:rFonts w:ascii="Arial" w:hAnsi="Arial" w:cs="Arial"/>
          <w:sz w:val="36"/>
          <w:szCs w:val="36"/>
        </w:rPr>
      </w:pPr>
    </w:p>
    <w:p w14:paraId="723701D6" w14:textId="06E6C311" w:rsidR="008D7B9D" w:rsidRDefault="008D7B9D" w:rsidP="008D7B9D">
      <w:pPr>
        <w:jc w:val="center"/>
        <w:rPr>
          <w:rFonts w:ascii="Arial" w:hAnsi="Arial" w:cs="Arial"/>
          <w:sz w:val="36"/>
          <w:szCs w:val="36"/>
        </w:rPr>
      </w:pPr>
    </w:p>
    <w:p w14:paraId="31E39898" w14:textId="77777777" w:rsidR="008D7B9D" w:rsidRDefault="008D7B9D" w:rsidP="008D7B9D">
      <w:pPr>
        <w:jc w:val="center"/>
        <w:rPr>
          <w:rFonts w:ascii="Arial" w:hAnsi="Arial" w:cs="Arial"/>
          <w:sz w:val="36"/>
          <w:szCs w:val="36"/>
        </w:rPr>
      </w:pPr>
    </w:p>
    <w:p w14:paraId="5B4F8BF0" w14:textId="77777777" w:rsidR="008D7B9D" w:rsidRDefault="008D7B9D" w:rsidP="008D7B9D">
      <w:pPr>
        <w:jc w:val="center"/>
        <w:rPr>
          <w:rFonts w:ascii="Arial" w:hAnsi="Arial" w:cs="Arial"/>
          <w:sz w:val="36"/>
          <w:szCs w:val="36"/>
        </w:rPr>
      </w:pPr>
    </w:p>
    <w:p w14:paraId="5F9D17C4" w14:textId="77777777" w:rsidR="008D7B9D" w:rsidRDefault="008D7B9D" w:rsidP="008D7B9D">
      <w:pPr>
        <w:jc w:val="center"/>
        <w:rPr>
          <w:rFonts w:ascii="Arial" w:hAnsi="Arial" w:cs="Arial"/>
          <w:sz w:val="36"/>
          <w:szCs w:val="36"/>
        </w:rPr>
      </w:pPr>
    </w:p>
    <w:p w14:paraId="41F7ADFE" w14:textId="41F37769" w:rsidR="005D4D0E" w:rsidRPr="008D7B9D" w:rsidRDefault="005D4D0E" w:rsidP="002972BB">
      <w:pPr>
        <w:rPr>
          <w:rFonts w:ascii="Arial" w:hAnsi="Arial" w:cs="Arial"/>
        </w:rPr>
      </w:pPr>
    </w:p>
    <w:p w14:paraId="43344FF3" w14:textId="77777777" w:rsidR="005D4D0E" w:rsidRDefault="005D4D0E" w:rsidP="002972BB">
      <w:pPr>
        <w:rPr>
          <w:rFonts w:ascii="Arial" w:hAnsi="Arial" w:cs="Arial"/>
        </w:rPr>
      </w:pPr>
    </w:p>
    <w:p w14:paraId="3956A0FC" w14:textId="77777777" w:rsidR="00CC4F6E" w:rsidRPr="00CC4F6E" w:rsidRDefault="00CC4F6E" w:rsidP="00CC4F6E">
      <w:pPr>
        <w:rPr>
          <w:rFonts w:ascii="Arial" w:hAnsi="Arial" w:cs="Arial"/>
          <w:b/>
          <w:bCs/>
          <w:sz w:val="36"/>
          <w:szCs w:val="36"/>
        </w:rPr>
      </w:pPr>
    </w:p>
    <w:p w14:paraId="20CCFC0E" w14:textId="4B0675EB" w:rsidR="005D4D0E" w:rsidRPr="00CC4F6E" w:rsidRDefault="00CC4F6E" w:rsidP="00CC4F6E">
      <w:pPr>
        <w:jc w:val="center"/>
        <w:rPr>
          <w:rFonts w:ascii="Arial" w:hAnsi="Arial" w:cs="Arial"/>
          <w:b/>
          <w:bCs/>
          <w:sz w:val="36"/>
          <w:szCs w:val="36"/>
        </w:rPr>
      </w:pPr>
      <w:r w:rsidRPr="00CC4F6E">
        <w:rPr>
          <w:rFonts w:ascii="Arial" w:hAnsi="Arial" w:cs="Arial"/>
          <w:b/>
          <w:bCs/>
          <w:sz w:val="36"/>
          <w:szCs w:val="36"/>
        </w:rPr>
        <w:t>A Comparative Analysis of Spanish, South Korean, and Canadian Healthcare Systems and Leadership in the Response to COVID-19</w:t>
      </w:r>
    </w:p>
    <w:p w14:paraId="3D581785" w14:textId="77777777" w:rsidR="005D4D0E" w:rsidRDefault="005D4D0E" w:rsidP="002972BB">
      <w:pPr>
        <w:rPr>
          <w:rFonts w:ascii="Arial" w:hAnsi="Arial" w:cs="Arial"/>
        </w:rPr>
      </w:pPr>
    </w:p>
    <w:p w14:paraId="2D9D208D" w14:textId="77777777" w:rsidR="005D4D0E" w:rsidRDefault="005D4D0E" w:rsidP="002972BB">
      <w:pPr>
        <w:rPr>
          <w:rFonts w:ascii="Arial" w:hAnsi="Arial" w:cs="Arial"/>
        </w:rPr>
      </w:pPr>
    </w:p>
    <w:p w14:paraId="32EC8362" w14:textId="77777777" w:rsidR="005D4D0E" w:rsidRDefault="005D4D0E" w:rsidP="002972BB">
      <w:pPr>
        <w:rPr>
          <w:rFonts w:ascii="Arial" w:hAnsi="Arial" w:cs="Arial"/>
        </w:rPr>
      </w:pPr>
    </w:p>
    <w:p w14:paraId="5C800785" w14:textId="77777777" w:rsidR="005D4D0E" w:rsidRDefault="005D4D0E" w:rsidP="002972BB">
      <w:pPr>
        <w:rPr>
          <w:rFonts w:ascii="Arial" w:hAnsi="Arial" w:cs="Arial"/>
        </w:rPr>
      </w:pPr>
    </w:p>
    <w:p w14:paraId="339828FA" w14:textId="77777777" w:rsidR="005D4D0E" w:rsidRDefault="005D4D0E" w:rsidP="002972BB">
      <w:pPr>
        <w:rPr>
          <w:rFonts w:ascii="Arial" w:hAnsi="Arial" w:cs="Arial"/>
        </w:rPr>
      </w:pPr>
    </w:p>
    <w:p w14:paraId="254991B0" w14:textId="77777777" w:rsidR="005D4D0E" w:rsidRDefault="005D4D0E" w:rsidP="002972BB">
      <w:pPr>
        <w:rPr>
          <w:rFonts w:ascii="Arial" w:hAnsi="Arial" w:cs="Arial"/>
        </w:rPr>
      </w:pPr>
    </w:p>
    <w:p w14:paraId="0E09D07D" w14:textId="77777777" w:rsidR="005D4D0E" w:rsidRDefault="005D4D0E" w:rsidP="002972BB">
      <w:pPr>
        <w:rPr>
          <w:rFonts w:ascii="Arial" w:hAnsi="Arial" w:cs="Arial"/>
        </w:rPr>
      </w:pPr>
    </w:p>
    <w:p w14:paraId="162645A3" w14:textId="77777777" w:rsidR="005D4D0E" w:rsidRDefault="005D4D0E" w:rsidP="002972BB">
      <w:pPr>
        <w:rPr>
          <w:rFonts w:ascii="Arial" w:hAnsi="Arial" w:cs="Arial"/>
        </w:rPr>
      </w:pPr>
    </w:p>
    <w:p w14:paraId="1C161151" w14:textId="77777777" w:rsidR="005D4D0E" w:rsidRDefault="005D4D0E" w:rsidP="002972BB">
      <w:pPr>
        <w:rPr>
          <w:rFonts w:ascii="Arial" w:hAnsi="Arial" w:cs="Arial"/>
        </w:rPr>
      </w:pPr>
    </w:p>
    <w:p w14:paraId="2DA51AE1" w14:textId="77777777" w:rsidR="005D4D0E" w:rsidRDefault="005D4D0E" w:rsidP="002972BB">
      <w:pPr>
        <w:rPr>
          <w:rFonts w:ascii="Arial" w:hAnsi="Arial" w:cs="Arial"/>
        </w:rPr>
      </w:pPr>
    </w:p>
    <w:p w14:paraId="038FABA7" w14:textId="77777777" w:rsidR="005D4D0E" w:rsidRDefault="005D4D0E" w:rsidP="002972BB">
      <w:pPr>
        <w:rPr>
          <w:rFonts w:ascii="Arial" w:hAnsi="Arial" w:cs="Arial"/>
        </w:rPr>
      </w:pPr>
    </w:p>
    <w:p w14:paraId="012A8C3E" w14:textId="77777777" w:rsidR="005D4D0E" w:rsidRDefault="005D4D0E" w:rsidP="002972BB">
      <w:pPr>
        <w:rPr>
          <w:rFonts w:ascii="Arial" w:hAnsi="Arial" w:cs="Arial"/>
        </w:rPr>
      </w:pPr>
    </w:p>
    <w:p w14:paraId="6AED8E97" w14:textId="77777777" w:rsidR="00CB734B" w:rsidRPr="00CB734B" w:rsidRDefault="00CB734B" w:rsidP="0020479B">
      <w:pPr>
        <w:spacing w:line="360" w:lineRule="auto"/>
        <w:jc w:val="both"/>
        <w:rPr>
          <w:rFonts w:ascii="Arial" w:hAnsi="Arial" w:cs="Arial"/>
        </w:rPr>
      </w:pPr>
      <w:r w:rsidRPr="00CB734B">
        <w:rPr>
          <w:rFonts w:ascii="Arial" w:hAnsi="Arial" w:cs="Arial"/>
          <w:b/>
          <w:bCs/>
          <w:i/>
          <w:iCs/>
        </w:rPr>
        <w:t>Student Name: Nevyana Nikolova / ID: 2111481</w:t>
      </w:r>
    </w:p>
    <w:p w14:paraId="368425D3" w14:textId="5DDA1C0A" w:rsidR="00CB734B" w:rsidRPr="00CB734B" w:rsidRDefault="00CB734B" w:rsidP="0020479B">
      <w:pPr>
        <w:spacing w:line="360" w:lineRule="auto"/>
        <w:jc w:val="both"/>
        <w:rPr>
          <w:rFonts w:ascii="Arial" w:hAnsi="Arial" w:cs="Arial"/>
        </w:rPr>
      </w:pPr>
      <w:r w:rsidRPr="00CB734B">
        <w:rPr>
          <w:rFonts w:ascii="Arial" w:hAnsi="Arial" w:cs="Arial"/>
          <w:b/>
          <w:bCs/>
          <w:i/>
          <w:iCs/>
        </w:rPr>
        <w:t xml:space="preserve">Module: </w:t>
      </w:r>
      <w:r>
        <w:rPr>
          <w:rFonts w:ascii="Arial" w:hAnsi="Arial" w:cs="Arial"/>
          <w:b/>
          <w:bCs/>
          <w:i/>
          <w:iCs/>
        </w:rPr>
        <w:t>Health Care System Organisation and Leadership</w:t>
      </w:r>
    </w:p>
    <w:p w14:paraId="06ABE9F2" w14:textId="2DD2E979" w:rsidR="00CB734B" w:rsidRPr="00CB734B" w:rsidRDefault="00CB734B" w:rsidP="0020479B">
      <w:pPr>
        <w:spacing w:line="360" w:lineRule="auto"/>
        <w:jc w:val="both"/>
        <w:rPr>
          <w:rFonts w:ascii="Arial" w:hAnsi="Arial" w:cs="Arial"/>
        </w:rPr>
      </w:pPr>
      <w:r w:rsidRPr="00CB734B">
        <w:rPr>
          <w:rFonts w:ascii="Arial" w:hAnsi="Arial" w:cs="Arial"/>
          <w:b/>
          <w:bCs/>
          <w:i/>
          <w:iCs/>
        </w:rPr>
        <w:t>Module Code: LCHS700</w:t>
      </w:r>
      <w:r>
        <w:rPr>
          <w:rFonts w:ascii="Arial" w:hAnsi="Arial" w:cs="Arial"/>
          <w:b/>
          <w:bCs/>
          <w:i/>
          <w:iCs/>
        </w:rPr>
        <w:t>2</w:t>
      </w:r>
    </w:p>
    <w:p w14:paraId="0C3A97AC" w14:textId="5F90BFCB" w:rsidR="00CB734B" w:rsidRPr="00CB734B" w:rsidRDefault="00CB734B" w:rsidP="0020479B">
      <w:pPr>
        <w:spacing w:line="360" w:lineRule="auto"/>
        <w:jc w:val="both"/>
        <w:rPr>
          <w:rFonts w:ascii="Arial" w:hAnsi="Arial" w:cs="Arial"/>
        </w:rPr>
      </w:pPr>
      <w:r w:rsidRPr="00CB734B">
        <w:rPr>
          <w:rFonts w:ascii="Arial" w:hAnsi="Arial" w:cs="Arial"/>
          <w:b/>
          <w:bCs/>
        </w:rPr>
        <w:t xml:space="preserve">Lecturer: </w:t>
      </w:r>
      <w:r>
        <w:rPr>
          <w:rFonts w:ascii="Arial" w:hAnsi="Arial" w:cs="Arial"/>
          <w:b/>
          <w:bCs/>
        </w:rPr>
        <w:t>Dr. Christopher Mafuva</w:t>
      </w:r>
    </w:p>
    <w:p w14:paraId="3727014B" w14:textId="77777777" w:rsidR="005D4D0E" w:rsidRDefault="005D4D0E" w:rsidP="0020479B">
      <w:pPr>
        <w:spacing w:line="360" w:lineRule="auto"/>
        <w:jc w:val="both"/>
        <w:rPr>
          <w:rFonts w:ascii="Arial" w:hAnsi="Arial" w:cs="Arial"/>
        </w:rPr>
      </w:pPr>
    </w:p>
    <w:p w14:paraId="42C7C7B0" w14:textId="77777777" w:rsidR="00180CD7" w:rsidRPr="00180CD7" w:rsidRDefault="00180CD7" w:rsidP="0020479B">
      <w:pPr>
        <w:spacing w:line="360" w:lineRule="auto"/>
        <w:jc w:val="both"/>
        <w:rPr>
          <w:rFonts w:ascii="Arial" w:hAnsi="Arial" w:cs="Arial"/>
        </w:rPr>
      </w:pPr>
    </w:p>
    <w:p w14:paraId="2DE097E9" w14:textId="77777777" w:rsidR="00180CD7" w:rsidRPr="00180CD7" w:rsidRDefault="00180CD7" w:rsidP="0020479B">
      <w:pPr>
        <w:spacing w:line="360" w:lineRule="auto"/>
        <w:jc w:val="both"/>
        <w:rPr>
          <w:rFonts w:ascii="Arial" w:hAnsi="Arial" w:cs="Arial"/>
        </w:rPr>
      </w:pPr>
    </w:p>
    <w:p w14:paraId="0DA2E968" w14:textId="77777777" w:rsidR="00180CD7" w:rsidRPr="00180CD7" w:rsidRDefault="00180CD7" w:rsidP="0020479B">
      <w:pPr>
        <w:spacing w:line="360" w:lineRule="auto"/>
        <w:jc w:val="both"/>
        <w:rPr>
          <w:rFonts w:ascii="Arial" w:hAnsi="Arial" w:cs="Arial"/>
        </w:rPr>
      </w:pPr>
    </w:p>
    <w:sdt>
      <w:sdtPr>
        <w:id w:val="753784562"/>
        <w:docPartObj>
          <w:docPartGallery w:val="Table of Contents"/>
          <w:docPartUnique/>
        </w:docPartObj>
      </w:sdtPr>
      <w:sdtEndPr>
        <w:rPr>
          <w:b/>
          <w:bCs/>
        </w:rPr>
      </w:sdtEndPr>
      <w:sdtContent>
        <w:p w14:paraId="3312C92E" w14:textId="7DADFAAE" w:rsidR="00180CD7" w:rsidRDefault="00180CD7" w:rsidP="00180CD7">
          <w:pPr>
            <w:pStyle w:val="NoSpacing"/>
            <w:rPr>
              <w:rFonts w:ascii="Arial" w:hAnsi="Arial" w:cs="Arial"/>
              <w:sz w:val="28"/>
              <w:szCs w:val="28"/>
            </w:rPr>
          </w:pPr>
          <w:r w:rsidRPr="00180CD7">
            <w:rPr>
              <w:rFonts w:ascii="Arial" w:hAnsi="Arial" w:cs="Arial"/>
              <w:sz w:val="28"/>
              <w:szCs w:val="28"/>
            </w:rPr>
            <w:t>Table of Contents</w:t>
          </w:r>
        </w:p>
        <w:p w14:paraId="1A64C86D" w14:textId="77777777" w:rsidR="00180CD7" w:rsidRPr="00180CD7" w:rsidRDefault="00180CD7" w:rsidP="00180CD7">
          <w:pPr>
            <w:pStyle w:val="NoSpacing"/>
            <w:rPr>
              <w:rFonts w:ascii="Arial" w:hAnsi="Arial" w:cs="Arial"/>
              <w:sz w:val="28"/>
              <w:szCs w:val="28"/>
            </w:rPr>
          </w:pPr>
        </w:p>
        <w:p w14:paraId="3B632DD1" w14:textId="4FBCA2D9" w:rsidR="00180CD7" w:rsidRPr="00180CD7" w:rsidRDefault="00180CD7">
          <w:pPr>
            <w:pStyle w:val="TOC1"/>
            <w:tabs>
              <w:tab w:val="right" w:leader="dot" w:pos="9016"/>
            </w:tabs>
            <w:rPr>
              <w:rFonts w:ascii="Arial" w:hAnsi="Arial" w:cs="Arial"/>
              <w:noProof/>
            </w:rPr>
          </w:pPr>
          <w:r w:rsidRPr="00180CD7">
            <w:rPr>
              <w:rFonts w:ascii="Arial" w:hAnsi="Arial" w:cs="Arial"/>
            </w:rPr>
            <w:fldChar w:fldCharType="begin"/>
          </w:r>
          <w:r w:rsidRPr="00180CD7">
            <w:rPr>
              <w:rFonts w:ascii="Arial" w:hAnsi="Arial" w:cs="Arial"/>
            </w:rPr>
            <w:instrText xml:space="preserve"> TOC \o "1-3" \h \z \u </w:instrText>
          </w:r>
          <w:r w:rsidRPr="00180CD7">
            <w:rPr>
              <w:rFonts w:ascii="Arial" w:hAnsi="Arial" w:cs="Arial"/>
            </w:rPr>
            <w:fldChar w:fldCharType="separate"/>
          </w:r>
          <w:hyperlink w:anchor="_Toc216707577" w:history="1">
            <w:r w:rsidRPr="00180CD7">
              <w:rPr>
                <w:rStyle w:val="Hyperlink"/>
                <w:rFonts w:ascii="Arial" w:hAnsi="Arial" w:cs="Arial"/>
                <w:noProof/>
              </w:rPr>
              <w:t>Executive Summary</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_Toc216707577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3</w:t>
            </w:r>
            <w:r w:rsidRPr="00180CD7">
              <w:rPr>
                <w:rFonts w:ascii="Arial" w:hAnsi="Arial" w:cs="Arial"/>
                <w:noProof/>
                <w:webHidden/>
              </w:rPr>
              <w:fldChar w:fldCharType="end"/>
            </w:r>
          </w:hyperlink>
        </w:p>
        <w:p w14:paraId="66E1880F" w14:textId="7641CE03" w:rsidR="00180CD7" w:rsidRPr="00180CD7" w:rsidRDefault="00180CD7">
          <w:pPr>
            <w:pStyle w:val="TOC1"/>
            <w:tabs>
              <w:tab w:val="right" w:leader="dot" w:pos="9016"/>
            </w:tabs>
            <w:rPr>
              <w:rFonts w:ascii="Arial" w:hAnsi="Arial" w:cs="Arial"/>
              <w:noProof/>
            </w:rPr>
          </w:pPr>
          <w:hyperlink w:anchor="_Toc216707578" w:history="1">
            <w:r w:rsidRPr="00180CD7">
              <w:rPr>
                <w:rStyle w:val="Hyperlink"/>
                <w:rFonts w:ascii="Arial" w:hAnsi="Arial" w:cs="Arial"/>
                <w:noProof/>
              </w:rPr>
              <w:t>1. Introduction</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_Toc216707578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4</w:t>
            </w:r>
            <w:r w:rsidRPr="00180CD7">
              <w:rPr>
                <w:rFonts w:ascii="Arial" w:hAnsi="Arial" w:cs="Arial"/>
                <w:noProof/>
                <w:webHidden/>
              </w:rPr>
              <w:fldChar w:fldCharType="end"/>
            </w:r>
          </w:hyperlink>
        </w:p>
        <w:p w14:paraId="752D9F2F" w14:textId="0CAB6C91" w:rsidR="00180CD7" w:rsidRPr="00180CD7" w:rsidRDefault="00180CD7">
          <w:pPr>
            <w:pStyle w:val="TOC1"/>
            <w:tabs>
              <w:tab w:val="right" w:leader="dot" w:pos="9016"/>
            </w:tabs>
            <w:rPr>
              <w:rFonts w:ascii="Arial" w:hAnsi="Arial" w:cs="Arial"/>
              <w:noProof/>
            </w:rPr>
          </w:pPr>
          <w:hyperlink w:anchor="_Toc216707579" w:history="1">
            <w:r w:rsidRPr="00180CD7">
              <w:rPr>
                <w:rStyle w:val="Hyperlink"/>
                <w:rFonts w:ascii="Arial" w:hAnsi="Arial" w:cs="Arial"/>
                <w:noProof/>
              </w:rPr>
              <w:t>2. Comparative analysis of healthcare system organisation</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_Toc216707579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5</w:t>
            </w:r>
            <w:r w:rsidRPr="00180CD7">
              <w:rPr>
                <w:rFonts w:ascii="Arial" w:hAnsi="Arial" w:cs="Arial"/>
                <w:noProof/>
                <w:webHidden/>
              </w:rPr>
              <w:fldChar w:fldCharType="end"/>
            </w:r>
          </w:hyperlink>
        </w:p>
        <w:p w14:paraId="7240B1F3" w14:textId="2B92256E" w:rsidR="00180CD7" w:rsidRPr="00180CD7" w:rsidRDefault="00180CD7">
          <w:pPr>
            <w:pStyle w:val="TOC1"/>
            <w:tabs>
              <w:tab w:val="right" w:leader="dot" w:pos="9016"/>
            </w:tabs>
            <w:rPr>
              <w:rFonts w:ascii="Arial" w:hAnsi="Arial" w:cs="Arial"/>
              <w:noProof/>
            </w:rPr>
          </w:pPr>
          <w:hyperlink w:anchor="_Toc216707580" w:history="1">
            <w:r w:rsidRPr="00180CD7">
              <w:rPr>
                <w:rStyle w:val="Hyperlink"/>
                <w:rFonts w:ascii="Arial" w:hAnsi="Arial" w:cs="Arial"/>
                <w:noProof/>
              </w:rPr>
              <w:t>2.1 Spain: Devolved Healthcare System Under Crisis Centralisation</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_Toc216707580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5</w:t>
            </w:r>
            <w:r w:rsidRPr="00180CD7">
              <w:rPr>
                <w:rFonts w:ascii="Arial" w:hAnsi="Arial" w:cs="Arial"/>
                <w:noProof/>
                <w:webHidden/>
              </w:rPr>
              <w:fldChar w:fldCharType="end"/>
            </w:r>
          </w:hyperlink>
        </w:p>
        <w:p w14:paraId="36F7BC6D" w14:textId="05FD1296" w:rsidR="00180CD7" w:rsidRPr="00180CD7" w:rsidRDefault="00180CD7">
          <w:pPr>
            <w:pStyle w:val="TOC1"/>
            <w:tabs>
              <w:tab w:val="right" w:leader="dot" w:pos="9016"/>
            </w:tabs>
            <w:rPr>
              <w:rFonts w:ascii="Arial" w:hAnsi="Arial" w:cs="Arial"/>
              <w:noProof/>
            </w:rPr>
          </w:pPr>
          <w:hyperlink w:anchor="_Toc216707581" w:history="1">
            <w:r w:rsidRPr="00180CD7">
              <w:rPr>
                <w:rStyle w:val="Hyperlink"/>
                <w:rFonts w:ascii="Arial" w:hAnsi="Arial" w:cs="Arial"/>
                <w:noProof/>
              </w:rPr>
              <w:t>2.2 Centralised Strategic Coordination with Decentralised Implementation in South Korea</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_Toc216707581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6</w:t>
            </w:r>
            <w:r w:rsidRPr="00180CD7">
              <w:rPr>
                <w:rFonts w:ascii="Arial" w:hAnsi="Arial" w:cs="Arial"/>
                <w:noProof/>
                <w:webHidden/>
              </w:rPr>
              <w:fldChar w:fldCharType="end"/>
            </w:r>
          </w:hyperlink>
        </w:p>
        <w:p w14:paraId="590472E5" w14:textId="29C3BE53" w:rsidR="00180CD7" w:rsidRPr="00180CD7" w:rsidRDefault="00180CD7">
          <w:pPr>
            <w:pStyle w:val="TOC1"/>
            <w:tabs>
              <w:tab w:val="right" w:leader="dot" w:pos="9016"/>
            </w:tabs>
            <w:rPr>
              <w:rFonts w:ascii="Arial" w:hAnsi="Arial" w:cs="Arial"/>
              <w:noProof/>
            </w:rPr>
          </w:pPr>
          <w:hyperlink w:anchor="_Toc216707582" w:history="1">
            <w:r w:rsidRPr="00180CD7">
              <w:rPr>
                <w:rStyle w:val="Hyperlink"/>
                <w:rFonts w:ascii="Arial" w:hAnsi="Arial" w:cs="Arial"/>
                <w:noProof/>
              </w:rPr>
              <w:t>2.3 Federal Structure and Shared Jurisdiction Challenges in Canada</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_Toc216707582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8</w:t>
            </w:r>
            <w:r w:rsidRPr="00180CD7">
              <w:rPr>
                <w:rFonts w:ascii="Arial" w:hAnsi="Arial" w:cs="Arial"/>
                <w:noProof/>
                <w:webHidden/>
              </w:rPr>
              <w:fldChar w:fldCharType="end"/>
            </w:r>
          </w:hyperlink>
        </w:p>
        <w:p w14:paraId="1AB8981B" w14:textId="425FC9C4" w:rsidR="00180CD7" w:rsidRPr="00180CD7" w:rsidRDefault="00180CD7">
          <w:pPr>
            <w:pStyle w:val="TOC1"/>
            <w:tabs>
              <w:tab w:val="right" w:leader="dot" w:pos="9016"/>
            </w:tabs>
            <w:rPr>
              <w:rFonts w:ascii="Arial" w:hAnsi="Arial" w:cs="Arial"/>
              <w:noProof/>
            </w:rPr>
          </w:pPr>
          <w:hyperlink w:anchor="_Toc216707583" w:history="1">
            <w:r w:rsidRPr="00180CD7">
              <w:rPr>
                <w:rStyle w:val="Hyperlink"/>
                <w:rFonts w:ascii="Arial" w:hAnsi="Arial" w:cs="Arial"/>
                <w:noProof/>
              </w:rPr>
              <w:t>3. Leadership Styles and Theories in COVID-19 Pandemic Response</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_Toc216707583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10</w:t>
            </w:r>
            <w:r w:rsidRPr="00180CD7">
              <w:rPr>
                <w:rFonts w:ascii="Arial" w:hAnsi="Arial" w:cs="Arial"/>
                <w:noProof/>
                <w:webHidden/>
              </w:rPr>
              <w:fldChar w:fldCharType="end"/>
            </w:r>
          </w:hyperlink>
        </w:p>
        <w:p w14:paraId="36B00047" w14:textId="0B15CAEB" w:rsidR="00180CD7" w:rsidRPr="00180CD7" w:rsidRDefault="00180CD7">
          <w:pPr>
            <w:pStyle w:val="TOC1"/>
            <w:tabs>
              <w:tab w:val="right" w:leader="dot" w:pos="9016"/>
            </w:tabs>
            <w:rPr>
              <w:rFonts w:ascii="Arial" w:hAnsi="Arial" w:cs="Arial"/>
              <w:noProof/>
            </w:rPr>
          </w:pPr>
          <w:hyperlink w:anchor="_Toc216707584" w:history="1">
            <w:r w:rsidRPr="00180CD7">
              <w:rPr>
                <w:rStyle w:val="Hyperlink"/>
                <w:rFonts w:ascii="Arial" w:hAnsi="Arial" w:cs="Arial"/>
                <w:noProof/>
              </w:rPr>
              <w:t>3.1 Authoritative Leadership Styles in Spain</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_Toc216707584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10</w:t>
            </w:r>
            <w:r w:rsidRPr="00180CD7">
              <w:rPr>
                <w:rFonts w:ascii="Arial" w:hAnsi="Arial" w:cs="Arial"/>
                <w:noProof/>
                <w:webHidden/>
              </w:rPr>
              <w:fldChar w:fldCharType="end"/>
            </w:r>
          </w:hyperlink>
        </w:p>
        <w:p w14:paraId="19076DAD" w14:textId="1AF05717" w:rsidR="00180CD7" w:rsidRPr="00180CD7" w:rsidRDefault="00180CD7">
          <w:pPr>
            <w:pStyle w:val="TOC1"/>
            <w:tabs>
              <w:tab w:val="right" w:leader="dot" w:pos="9016"/>
            </w:tabs>
            <w:rPr>
              <w:rFonts w:ascii="Arial" w:hAnsi="Arial" w:cs="Arial"/>
              <w:noProof/>
            </w:rPr>
          </w:pPr>
          <w:hyperlink w:anchor="_Toc216707585" w:history="1">
            <w:r w:rsidRPr="00180CD7">
              <w:rPr>
                <w:rStyle w:val="Hyperlink"/>
                <w:rFonts w:ascii="Arial" w:hAnsi="Arial" w:cs="Arial"/>
                <w:noProof/>
              </w:rPr>
              <w:t>Spain’s COVID-19 Response and Trait Theory</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_Toc216707585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12</w:t>
            </w:r>
            <w:r w:rsidRPr="00180CD7">
              <w:rPr>
                <w:rFonts w:ascii="Arial" w:hAnsi="Arial" w:cs="Arial"/>
                <w:noProof/>
                <w:webHidden/>
              </w:rPr>
              <w:fldChar w:fldCharType="end"/>
            </w:r>
          </w:hyperlink>
        </w:p>
        <w:p w14:paraId="4D073D12" w14:textId="56B3AED3" w:rsidR="00180CD7" w:rsidRPr="00180CD7" w:rsidRDefault="00180CD7">
          <w:pPr>
            <w:pStyle w:val="TOC1"/>
            <w:tabs>
              <w:tab w:val="right" w:leader="dot" w:pos="9016"/>
            </w:tabs>
            <w:rPr>
              <w:rFonts w:ascii="Arial" w:hAnsi="Arial" w:cs="Arial"/>
              <w:noProof/>
            </w:rPr>
          </w:pPr>
          <w:hyperlink w:anchor="_Toc216707586" w:history="1">
            <w:r w:rsidRPr="00180CD7">
              <w:rPr>
                <w:rStyle w:val="Hyperlink"/>
                <w:rFonts w:ascii="Arial" w:hAnsi="Arial" w:cs="Arial"/>
                <w:noProof/>
              </w:rPr>
              <w:t>3.2  Servant Leadership Styles in COVID-19 Pandemic Response in South Korea</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_Toc216707586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13</w:t>
            </w:r>
            <w:r w:rsidRPr="00180CD7">
              <w:rPr>
                <w:rFonts w:ascii="Arial" w:hAnsi="Arial" w:cs="Arial"/>
                <w:noProof/>
                <w:webHidden/>
              </w:rPr>
              <w:fldChar w:fldCharType="end"/>
            </w:r>
          </w:hyperlink>
        </w:p>
        <w:p w14:paraId="29BEB05C" w14:textId="219DDE11" w:rsidR="00180CD7" w:rsidRPr="00180CD7" w:rsidRDefault="00180CD7">
          <w:pPr>
            <w:pStyle w:val="TOC1"/>
            <w:tabs>
              <w:tab w:val="right" w:leader="dot" w:pos="9016"/>
            </w:tabs>
            <w:rPr>
              <w:rFonts w:ascii="Arial" w:hAnsi="Arial" w:cs="Arial"/>
              <w:noProof/>
            </w:rPr>
          </w:pPr>
          <w:hyperlink w:anchor="_Toc216707587" w:history="1">
            <w:r w:rsidRPr="00180CD7">
              <w:rPr>
                <w:rStyle w:val="Hyperlink"/>
                <w:rFonts w:ascii="Arial" w:hAnsi="Arial" w:cs="Arial"/>
                <w:noProof/>
              </w:rPr>
              <w:t>South Korea’s COVID-19 Response and Behavioural Theory</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_Toc216707587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15</w:t>
            </w:r>
            <w:r w:rsidRPr="00180CD7">
              <w:rPr>
                <w:rFonts w:ascii="Arial" w:hAnsi="Arial" w:cs="Arial"/>
                <w:noProof/>
                <w:webHidden/>
              </w:rPr>
              <w:fldChar w:fldCharType="end"/>
            </w:r>
          </w:hyperlink>
        </w:p>
        <w:p w14:paraId="13808494" w14:textId="49F6A5E7" w:rsidR="00180CD7" w:rsidRPr="00180CD7" w:rsidRDefault="00180CD7">
          <w:pPr>
            <w:pStyle w:val="TOC1"/>
            <w:tabs>
              <w:tab w:val="right" w:leader="dot" w:pos="9016"/>
            </w:tabs>
            <w:rPr>
              <w:rFonts w:ascii="Arial" w:hAnsi="Arial" w:cs="Arial"/>
              <w:noProof/>
            </w:rPr>
          </w:pPr>
          <w:hyperlink w:anchor="_Toc216707588" w:history="1">
            <w:r w:rsidRPr="00180CD7">
              <w:rPr>
                <w:rStyle w:val="Hyperlink"/>
                <w:rFonts w:ascii="Arial" w:hAnsi="Arial" w:cs="Arial"/>
                <w:noProof/>
              </w:rPr>
              <w:t>3.3 Democratic Leadership Style in the COVID-19 Pandemic Response in Canada</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_Toc216707588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16</w:t>
            </w:r>
            <w:r w:rsidRPr="00180CD7">
              <w:rPr>
                <w:rFonts w:ascii="Arial" w:hAnsi="Arial" w:cs="Arial"/>
                <w:noProof/>
                <w:webHidden/>
              </w:rPr>
              <w:fldChar w:fldCharType="end"/>
            </w:r>
          </w:hyperlink>
        </w:p>
        <w:p w14:paraId="446ADC5C" w14:textId="0D598BFD" w:rsidR="00180CD7" w:rsidRPr="00180CD7" w:rsidRDefault="00180CD7">
          <w:pPr>
            <w:pStyle w:val="TOC1"/>
            <w:tabs>
              <w:tab w:val="right" w:leader="dot" w:pos="9016"/>
            </w:tabs>
            <w:rPr>
              <w:rFonts w:ascii="Arial" w:hAnsi="Arial" w:cs="Arial"/>
              <w:noProof/>
            </w:rPr>
          </w:pPr>
          <w:hyperlink w:anchor="_Toc216707589" w:history="1">
            <w:r w:rsidRPr="00180CD7">
              <w:rPr>
                <w:rStyle w:val="Hyperlink"/>
                <w:rFonts w:ascii="Arial" w:hAnsi="Arial" w:cs="Arial"/>
                <w:noProof/>
              </w:rPr>
              <w:t xml:space="preserve">Canada’s COVID-19 Response and Behavioural </w:t>
            </w:r>
            <w:r w:rsidR="00624396">
              <w:rPr>
                <w:rStyle w:val="Hyperlink"/>
                <w:rFonts w:ascii="Arial" w:hAnsi="Arial" w:cs="Arial"/>
                <w:noProof/>
              </w:rPr>
              <w:t>Theory</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_Toc216707589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17</w:t>
            </w:r>
            <w:r w:rsidRPr="00180CD7">
              <w:rPr>
                <w:rFonts w:ascii="Arial" w:hAnsi="Arial" w:cs="Arial"/>
                <w:noProof/>
                <w:webHidden/>
              </w:rPr>
              <w:fldChar w:fldCharType="end"/>
            </w:r>
          </w:hyperlink>
        </w:p>
        <w:p w14:paraId="529490E9" w14:textId="27F8D0FA" w:rsidR="00180CD7" w:rsidRPr="00180CD7" w:rsidRDefault="00180CD7">
          <w:pPr>
            <w:pStyle w:val="TOC1"/>
            <w:tabs>
              <w:tab w:val="right" w:leader="dot" w:pos="9016"/>
            </w:tabs>
            <w:rPr>
              <w:rFonts w:ascii="Arial" w:hAnsi="Arial" w:cs="Arial"/>
              <w:noProof/>
            </w:rPr>
          </w:pPr>
          <w:hyperlink w:anchor="_Toc216707590" w:history="1">
            <w:r w:rsidRPr="00180CD7">
              <w:rPr>
                <w:rStyle w:val="Hyperlink"/>
                <w:rFonts w:ascii="Arial" w:hAnsi="Arial" w:cs="Arial"/>
                <w:noProof/>
              </w:rPr>
              <w:t>4. Leadership influence on health system structure</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_Toc216707590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18</w:t>
            </w:r>
            <w:r w:rsidRPr="00180CD7">
              <w:rPr>
                <w:rFonts w:ascii="Arial" w:hAnsi="Arial" w:cs="Arial"/>
                <w:noProof/>
                <w:webHidden/>
              </w:rPr>
              <w:fldChar w:fldCharType="end"/>
            </w:r>
          </w:hyperlink>
        </w:p>
        <w:p w14:paraId="28880C2B" w14:textId="35B4A209" w:rsidR="00180CD7" w:rsidRPr="00180CD7" w:rsidRDefault="00180CD7">
          <w:pPr>
            <w:pStyle w:val="TOC1"/>
            <w:tabs>
              <w:tab w:val="right" w:leader="dot" w:pos="9016"/>
            </w:tabs>
            <w:rPr>
              <w:rFonts w:ascii="Arial" w:hAnsi="Arial" w:cs="Arial"/>
              <w:noProof/>
            </w:rPr>
          </w:pPr>
          <w:hyperlink w:anchor="_Toc216707591" w:history="1">
            <w:r w:rsidRPr="00180CD7">
              <w:rPr>
                <w:rStyle w:val="Hyperlink"/>
                <w:rFonts w:ascii="Arial" w:hAnsi="Arial" w:cs="Arial"/>
                <w:noProof/>
              </w:rPr>
              <w:t>4.1 Spain - From Crisis Centralisation to Collaborative Frameworks</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_Toc216707591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18</w:t>
            </w:r>
            <w:r w:rsidRPr="00180CD7">
              <w:rPr>
                <w:rFonts w:ascii="Arial" w:hAnsi="Arial" w:cs="Arial"/>
                <w:noProof/>
                <w:webHidden/>
              </w:rPr>
              <w:fldChar w:fldCharType="end"/>
            </w:r>
          </w:hyperlink>
        </w:p>
        <w:p w14:paraId="06479914" w14:textId="6F83797B" w:rsidR="00180CD7" w:rsidRPr="00180CD7" w:rsidRDefault="00180CD7">
          <w:pPr>
            <w:pStyle w:val="TOC1"/>
            <w:tabs>
              <w:tab w:val="right" w:leader="dot" w:pos="9016"/>
            </w:tabs>
            <w:rPr>
              <w:rFonts w:ascii="Arial" w:hAnsi="Arial" w:cs="Arial"/>
              <w:noProof/>
            </w:rPr>
          </w:pPr>
          <w:hyperlink w:anchor="_Toc216707592" w:history="1">
            <w:r w:rsidRPr="00180CD7">
              <w:rPr>
                <w:rStyle w:val="Hyperlink"/>
                <w:rFonts w:ascii="Arial" w:hAnsi="Arial" w:cs="Arial"/>
                <w:noProof/>
              </w:rPr>
              <w:t>4.2 South Korea - Institutionalising Preparedness and Public-Private Partnerships</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_Toc216707592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19</w:t>
            </w:r>
            <w:r w:rsidRPr="00180CD7">
              <w:rPr>
                <w:rFonts w:ascii="Arial" w:hAnsi="Arial" w:cs="Arial"/>
                <w:noProof/>
                <w:webHidden/>
              </w:rPr>
              <w:fldChar w:fldCharType="end"/>
            </w:r>
          </w:hyperlink>
        </w:p>
        <w:p w14:paraId="03C84460" w14:textId="00DC8280" w:rsidR="00180CD7" w:rsidRPr="00180CD7" w:rsidRDefault="00180CD7">
          <w:pPr>
            <w:pStyle w:val="TOC1"/>
            <w:tabs>
              <w:tab w:val="right" w:leader="dot" w:pos="9016"/>
            </w:tabs>
            <w:rPr>
              <w:rFonts w:ascii="Arial" w:hAnsi="Arial" w:cs="Arial"/>
              <w:noProof/>
            </w:rPr>
          </w:pPr>
          <w:hyperlink w:anchor="_Toc216707593" w:history="1">
            <w:r w:rsidRPr="00180CD7">
              <w:rPr>
                <w:rStyle w:val="Hyperlink"/>
                <w:rFonts w:ascii="Arial" w:hAnsi="Arial" w:cs="Arial"/>
                <w:noProof/>
              </w:rPr>
              <w:t>4.3 Canada - Federal-Provincial Coordination and Strategic Capacity</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_Toc216707593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20</w:t>
            </w:r>
            <w:r w:rsidRPr="00180CD7">
              <w:rPr>
                <w:rFonts w:ascii="Arial" w:hAnsi="Arial" w:cs="Arial"/>
                <w:noProof/>
                <w:webHidden/>
              </w:rPr>
              <w:fldChar w:fldCharType="end"/>
            </w:r>
          </w:hyperlink>
        </w:p>
        <w:p w14:paraId="34F3BB84" w14:textId="24FEDD63" w:rsidR="00180CD7" w:rsidRPr="00180CD7" w:rsidRDefault="00180CD7">
          <w:pPr>
            <w:pStyle w:val="TOC1"/>
            <w:tabs>
              <w:tab w:val="right" w:leader="dot" w:pos="9016"/>
            </w:tabs>
            <w:rPr>
              <w:rFonts w:ascii="Arial" w:hAnsi="Arial" w:cs="Arial"/>
              <w:noProof/>
            </w:rPr>
          </w:pPr>
          <w:hyperlink w:anchor="_Toc216707594" w:history="1">
            <w:r w:rsidRPr="00180CD7">
              <w:rPr>
                <w:rStyle w:val="Hyperlink"/>
                <w:rFonts w:ascii="Arial" w:hAnsi="Arial" w:cs="Arial"/>
                <w:noProof/>
              </w:rPr>
              <w:t>4.4 Comparative Observations on Leadership and System Structure</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_Toc216707594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21</w:t>
            </w:r>
            <w:r w:rsidRPr="00180CD7">
              <w:rPr>
                <w:rFonts w:ascii="Arial" w:hAnsi="Arial" w:cs="Arial"/>
                <w:noProof/>
                <w:webHidden/>
              </w:rPr>
              <w:fldChar w:fldCharType="end"/>
            </w:r>
          </w:hyperlink>
        </w:p>
        <w:p w14:paraId="056D89FA" w14:textId="271B8839" w:rsidR="00180CD7" w:rsidRPr="00180CD7" w:rsidRDefault="00180CD7">
          <w:pPr>
            <w:pStyle w:val="TOC1"/>
            <w:tabs>
              <w:tab w:val="right" w:leader="dot" w:pos="9016"/>
            </w:tabs>
            <w:rPr>
              <w:rFonts w:ascii="Arial" w:hAnsi="Arial" w:cs="Arial"/>
              <w:noProof/>
            </w:rPr>
          </w:pPr>
          <w:hyperlink w:anchor="_Toc216707595" w:history="1">
            <w:r w:rsidRPr="00180CD7">
              <w:rPr>
                <w:rStyle w:val="Hyperlink"/>
                <w:rFonts w:ascii="Arial" w:hAnsi="Arial" w:cs="Arial"/>
                <w:noProof/>
              </w:rPr>
              <w:t>5. Conclusion</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_Toc216707595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22</w:t>
            </w:r>
            <w:r w:rsidRPr="00180CD7">
              <w:rPr>
                <w:rFonts w:ascii="Arial" w:hAnsi="Arial" w:cs="Arial"/>
                <w:noProof/>
                <w:webHidden/>
              </w:rPr>
              <w:fldChar w:fldCharType="end"/>
            </w:r>
          </w:hyperlink>
        </w:p>
        <w:p w14:paraId="5652F930" w14:textId="1C2166ED" w:rsidR="00180CD7" w:rsidRPr="00180CD7" w:rsidRDefault="00180CD7">
          <w:pPr>
            <w:pStyle w:val="TOC1"/>
            <w:tabs>
              <w:tab w:val="right" w:leader="dot" w:pos="9016"/>
            </w:tabs>
            <w:rPr>
              <w:rFonts w:ascii="Arial" w:hAnsi="Arial" w:cs="Arial"/>
              <w:noProof/>
            </w:rPr>
          </w:pPr>
          <w:hyperlink w:anchor="_Toc216707596" w:history="1">
            <w:r w:rsidRPr="00180CD7">
              <w:rPr>
                <w:rStyle w:val="Hyperlink"/>
                <w:rFonts w:ascii="Arial" w:hAnsi="Arial" w:cs="Arial"/>
                <w:noProof/>
              </w:rPr>
              <w:t>6. References</w:t>
            </w:r>
            <w:r w:rsidRPr="00180CD7">
              <w:rPr>
                <w:rFonts w:ascii="Arial" w:hAnsi="Arial" w:cs="Arial"/>
                <w:noProof/>
                <w:webHidden/>
              </w:rPr>
              <w:tab/>
            </w:r>
            <w:r w:rsidRPr="00180CD7">
              <w:rPr>
                <w:rFonts w:ascii="Arial" w:hAnsi="Arial" w:cs="Arial"/>
                <w:noProof/>
                <w:webHidden/>
              </w:rPr>
              <w:fldChar w:fldCharType="begin"/>
            </w:r>
            <w:r w:rsidRPr="00180CD7">
              <w:rPr>
                <w:rFonts w:ascii="Arial" w:hAnsi="Arial" w:cs="Arial"/>
                <w:noProof/>
                <w:webHidden/>
              </w:rPr>
              <w:instrText xml:space="preserve"> PAGEREF _Toc216707596 \h </w:instrText>
            </w:r>
            <w:r w:rsidRPr="00180CD7">
              <w:rPr>
                <w:rFonts w:ascii="Arial" w:hAnsi="Arial" w:cs="Arial"/>
                <w:noProof/>
                <w:webHidden/>
              </w:rPr>
            </w:r>
            <w:r w:rsidRPr="00180CD7">
              <w:rPr>
                <w:rFonts w:ascii="Arial" w:hAnsi="Arial" w:cs="Arial"/>
                <w:noProof/>
                <w:webHidden/>
              </w:rPr>
              <w:fldChar w:fldCharType="separate"/>
            </w:r>
            <w:r w:rsidRPr="00180CD7">
              <w:rPr>
                <w:rFonts w:ascii="Arial" w:hAnsi="Arial" w:cs="Arial"/>
                <w:noProof/>
                <w:webHidden/>
              </w:rPr>
              <w:t>23</w:t>
            </w:r>
            <w:r w:rsidRPr="00180CD7">
              <w:rPr>
                <w:rFonts w:ascii="Arial" w:hAnsi="Arial" w:cs="Arial"/>
                <w:noProof/>
                <w:webHidden/>
              </w:rPr>
              <w:fldChar w:fldCharType="end"/>
            </w:r>
          </w:hyperlink>
        </w:p>
        <w:p w14:paraId="72BCA979" w14:textId="48764E7D" w:rsidR="00180CD7" w:rsidRDefault="00180CD7">
          <w:r w:rsidRPr="00180CD7">
            <w:rPr>
              <w:rFonts w:ascii="Arial" w:hAnsi="Arial" w:cs="Arial"/>
              <w:b/>
              <w:bCs/>
            </w:rPr>
            <w:fldChar w:fldCharType="end"/>
          </w:r>
        </w:p>
      </w:sdtContent>
    </w:sdt>
    <w:p w14:paraId="7AE47757" w14:textId="77777777" w:rsidR="00180CD7" w:rsidRDefault="00180CD7" w:rsidP="0020479B">
      <w:pPr>
        <w:spacing w:line="360" w:lineRule="auto"/>
        <w:jc w:val="both"/>
        <w:rPr>
          <w:rFonts w:ascii="Arial" w:hAnsi="Arial" w:cs="Arial"/>
        </w:rPr>
      </w:pPr>
    </w:p>
    <w:p w14:paraId="43E8A2E0" w14:textId="77777777" w:rsidR="00180CD7" w:rsidRDefault="00180CD7" w:rsidP="0020479B">
      <w:pPr>
        <w:spacing w:line="360" w:lineRule="auto"/>
        <w:jc w:val="both"/>
        <w:rPr>
          <w:rFonts w:ascii="Arial" w:hAnsi="Arial" w:cs="Arial"/>
        </w:rPr>
      </w:pPr>
    </w:p>
    <w:p w14:paraId="4BB0DC33" w14:textId="77777777" w:rsidR="00180CD7" w:rsidRDefault="00180CD7" w:rsidP="0020479B">
      <w:pPr>
        <w:spacing w:line="360" w:lineRule="auto"/>
        <w:jc w:val="both"/>
        <w:rPr>
          <w:rFonts w:ascii="Arial" w:hAnsi="Arial" w:cs="Arial"/>
        </w:rPr>
      </w:pPr>
    </w:p>
    <w:p w14:paraId="1FC8D27D" w14:textId="77777777" w:rsidR="00180CD7" w:rsidRDefault="00180CD7" w:rsidP="0020479B">
      <w:pPr>
        <w:spacing w:line="360" w:lineRule="auto"/>
        <w:jc w:val="both"/>
        <w:rPr>
          <w:rFonts w:ascii="Arial" w:hAnsi="Arial" w:cs="Arial"/>
        </w:rPr>
      </w:pPr>
    </w:p>
    <w:p w14:paraId="5C04FF47" w14:textId="77777777" w:rsidR="005D4D0E" w:rsidRDefault="005D4D0E" w:rsidP="0020479B">
      <w:pPr>
        <w:spacing w:line="360" w:lineRule="auto"/>
        <w:jc w:val="both"/>
        <w:rPr>
          <w:rFonts w:ascii="Arial" w:hAnsi="Arial" w:cs="Arial"/>
        </w:rPr>
      </w:pPr>
    </w:p>
    <w:p w14:paraId="65C74522" w14:textId="77777777" w:rsidR="00180CD7" w:rsidRDefault="00180CD7" w:rsidP="0020479B">
      <w:pPr>
        <w:spacing w:line="360" w:lineRule="auto"/>
        <w:jc w:val="both"/>
        <w:rPr>
          <w:rFonts w:ascii="Arial" w:hAnsi="Arial" w:cs="Arial"/>
        </w:rPr>
      </w:pPr>
    </w:p>
    <w:p w14:paraId="1F9A4191" w14:textId="77777777" w:rsidR="00180CD7" w:rsidRDefault="00180CD7" w:rsidP="0020479B">
      <w:pPr>
        <w:spacing w:line="360" w:lineRule="auto"/>
        <w:jc w:val="both"/>
        <w:rPr>
          <w:rFonts w:ascii="Arial" w:hAnsi="Arial" w:cs="Arial"/>
        </w:rPr>
      </w:pPr>
    </w:p>
    <w:p w14:paraId="11A76DE5" w14:textId="77777777" w:rsidR="00180CD7" w:rsidRDefault="00180CD7" w:rsidP="0020479B">
      <w:pPr>
        <w:spacing w:line="360" w:lineRule="auto"/>
        <w:jc w:val="both"/>
        <w:rPr>
          <w:rFonts w:ascii="Arial" w:hAnsi="Arial" w:cs="Arial"/>
        </w:rPr>
      </w:pPr>
    </w:p>
    <w:p w14:paraId="5FF868DE" w14:textId="77777777" w:rsidR="00180CD7" w:rsidRDefault="00180CD7" w:rsidP="0020479B">
      <w:pPr>
        <w:spacing w:line="360" w:lineRule="auto"/>
        <w:jc w:val="both"/>
        <w:rPr>
          <w:rFonts w:ascii="Arial" w:hAnsi="Arial" w:cs="Arial"/>
        </w:rPr>
      </w:pPr>
    </w:p>
    <w:p w14:paraId="1C79A355" w14:textId="77777777" w:rsidR="00180CD7" w:rsidRDefault="00180CD7" w:rsidP="0020479B">
      <w:pPr>
        <w:spacing w:line="360" w:lineRule="auto"/>
        <w:jc w:val="both"/>
        <w:rPr>
          <w:rFonts w:ascii="Arial" w:hAnsi="Arial" w:cs="Arial"/>
        </w:rPr>
      </w:pPr>
    </w:p>
    <w:p w14:paraId="4206CECA" w14:textId="77777777" w:rsidR="00180CD7" w:rsidRPr="002972BB" w:rsidRDefault="00180CD7" w:rsidP="0020479B">
      <w:pPr>
        <w:spacing w:line="360" w:lineRule="auto"/>
        <w:jc w:val="both"/>
        <w:rPr>
          <w:rFonts w:ascii="Arial" w:hAnsi="Arial" w:cs="Arial"/>
        </w:rPr>
      </w:pPr>
    </w:p>
    <w:p w14:paraId="789DBBC6" w14:textId="77777777" w:rsidR="002972BB" w:rsidRDefault="002972BB" w:rsidP="00180CD7">
      <w:pPr>
        <w:pStyle w:val="NoSpacing"/>
        <w:rPr>
          <w:rFonts w:ascii="Arial" w:hAnsi="Arial" w:cs="Arial"/>
          <w:b/>
          <w:bCs/>
          <w:sz w:val="28"/>
          <w:szCs w:val="28"/>
        </w:rPr>
      </w:pPr>
      <w:bookmarkStart w:id="0" w:name="_Toc216707577"/>
      <w:r w:rsidRPr="00180CD7">
        <w:rPr>
          <w:rFonts w:ascii="Arial" w:hAnsi="Arial" w:cs="Arial"/>
          <w:b/>
          <w:bCs/>
          <w:sz w:val="28"/>
          <w:szCs w:val="28"/>
        </w:rPr>
        <w:t>Executive Summary</w:t>
      </w:r>
      <w:bookmarkEnd w:id="0"/>
    </w:p>
    <w:p w14:paraId="4CC05F4D" w14:textId="77777777" w:rsidR="00180CD7" w:rsidRPr="00180CD7" w:rsidRDefault="00180CD7" w:rsidP="00180CD7">
      <w:pPr>
        <w:pStyle w:val="NoSpacing"/>
        <w:rPr>
          <w:rFonts w:ascii="Arial" w:hAnsi="Arial" w:cs="Arial"/>
          <w:b/>
          <w:bCs/>
          <w:sz w:val="28"/>
          <w:szCs w:val="28"/>
        </w:rPr>
      </w:pPr>
    </w:p>
    <w:p w14:paraId="14321B3F" w14:textId="14FAD72E" w:rsidR="003B4F1A" w:rsidRDefault="003B4F1A" w:rsidP="0020479B">
      <w:pPr>
        <w:spacing w:line="360" w:lineRule="auto"/>
        <w:jc w:val="both"/>
        <w:rPr>
          <w:rFonts w:ascii="Arial" w:hAnsi="Arial" w:cs="Arial"/>
        </w:rPr>
      </w:pPr>
      <w:r w:rsidRPr="003B4F1A">
        <w:rPr>
          <w:rFonts w:ascii="Arial" w:hAnsi="Arial" w:cs="Arial"/>
        </w:rPr>
        <w:t xml:space="preserve">This </w:t>
      </w:r>
      <w:r>
        <w:rPr>
          <w:rFonts w:ascii="Arial" w:hAnsi="Arial" w:cs="Arial"/>
        </w:rPr>
        <w:t>report</w:t>
      </w:r>
      <w:r w:rsidRPr="003B4F1A">
        <w:rPr>
          <w:rFonts w:ascii="Arial" w:hAnsi="Arial" w:cs="Arial"/>
        </w:rPr>
        <w:t xml:space="preserve"> examines the COVID-19 pandemic responses of three distinct jurisdictions</w:t>
      </w:r>
      <w:r>
        <w:rPr>
          <w:rFonts w:ascii="Arial" w:hAnsi="Arial" w:cs="Arial"/>
        </w:rPr>
        <w:t xml:space="preserve">, </w:t>
      </w:r>
      <w:r w:rsidRPr="003B4F1A">
        <w:rPr>
          <w:rFonts w:ascii="Arial" w:hAnsi="Arial" w:cs="Arial"/>
        </w:rPr>
        <w:t>Spain, South Korea, and Canada</w:t>
      </w:r>
      <w:r>
        <w:rPr>
          <w:rFonts w:ascii="Arial" w:hAnsi="Arial" w:cs="Arial"/>
        </w:rPr>
        <w:t xml:space="preserve">, </w:t>
      </w:r>
      <w:r w:rsidRPr="003B4F1A">
        <w:rPr>
          <w:rFonts w:ascii="Arial" w:hAnsi="Arial" w:cs="Arial"/>
        </w:rPr>
        <w:t>through a comparative analysis of their healthcare system structures and leadership approaches. The analysis shows how different levels of governmental centralisation and decentralisation affected the effectiveness of pandemic responses, and how leadership styles influenced health system frameworks during the crisis. Spain's devolved system required temporary recentralisation; South Korea demonstrated effective centralised coordination with decentralised implementation; and Canada's federal structure called for collaborative governance approaches. Leadership analysis using established theoretical frameworks highlights how Salvador Illa, Chung Sye-</w:t>
      </w:r>
      <w:r w:rsidRPr="003B4F1A">
        <w:rPr>
          <w:rFonts w:ascii="Arial" w:hAnsi="Arial" w:cs="Arial"/>
        </w:rPr>
        <w:t>Kyun</w:t>
      </w:r>
      <w:r w:rsidRPr="003B4F1A">
        <w:rPr>
          <w:rFonts w:ascii="Arial" w:hAnsi="Arial" w:cs="Arial"/>
        </w:rPr>
        <w:t>, and Justin Trudeau navigated their respective institutional contexts with varying levels of success.</w:t>
      </w:r>
    </w:p>
    <w:p w14:paraId="3BE62FE3" w14:textId="77777777" w:rsidR="003B4F1A" w:rsidRDefault="003B4F1A" w:rsidP="0020479B">
      <w:pPr>
        <w:spacing w:line="360" w:lineRule="auto"/>
        <w:jc w:val="both"/>
        <w:rPr>
          <w:rFonts w:ascii="Arial" w:hAnsi="Arial" w:cs="Arial"/>
        </w:rPr>
      </w:pPr>
    </w:p>
    <w:p w14:paraId="77142AF0" w14:textId="77777777" w:rsidR="003B4F1A" w:rsidRDefault="003B4F1A" w:rsidP="0020479B">
      <w:pPr>
        <w:spacing w:line="360" w:lineRule="auto"/>
        <w:jc w:val="both"/>
        <w:rPr>
          <w:rFonts w:ascii="Arial" w:hAnsi="Arial" w:cs="Arial"/>
        </w:rPr>
      </w:pPr>
    </w:p>
    <w:p w14:paraId="79803666" w14:textId="77777777" w:rsidR="003B4F1A" w:rsidRDefault="003B4F1A" w:rsidP="0020479B">
      <w:pPr>
        <w:spacing w:line="360" w:lineRule="auto"/>
        <w:jc w:val="both"/>
        <w:rPr>
          <w:rFonts w:ascii="Arial" w:hAnsi="Arial" w:cs="Arial"/>
        </w:rPr>
      </w:pPr>
    </w:p>
    <w:p w14:paraId="7CAD9850" w14:textId="77777777" w:rsidR="003B4F1A" w:rsidRDefault="003B4F1A" w:rsidP="0020479B">
      <w:pPr>
        <w:spacing w:line="360" w:lineRule="auto"/>
        <w:jc w:val="both"/>
        <w:rPr>
          <w:rFonts w:ascii="Arial" w:hAnsi="Arial" w:cs="Arial"/>
        </w:rPr>
      </w:pPr>
    </w:p>
    <w:p w14:paraId="1C34FAEF" w14:textId="77777777" w:rsidR="003B4F1A" w:rsidRDefault="003B4F1A" w:rsidP="0020479B">
      <w:pPr>
        <w:spacing w:line="360" w:lineRule="auto"/>
        <w:jc w:val="both"/>
        <w:rPr>
          <w:rFonts w:ascii="Arial" w:hAnsi="Arial" w:cs="Arial"/>
        </w:rPr>
      </w:pPr>
    </w:p>
    <w:p w14:paraId="7C0C8501" w14:textId="77777777" w:rsidR="003B4F1A" w:rsidRDefault="003B4F1A" w:rsidP="0020479B">
      <w:pPr>
        <w:spacing w:line="360" w:lineRule="auto"/>
        <w:jc w:val="both"/>
        <w:rPr>
          <w:rFonts w:ascii="Arial" w:hAnsi="Arial" w:cs="Arial"/>
        </w:rPr>
      </w:pPr>
    </w:p>
    <w:p w14:paraId="431C95A1" w14:textId="77777777" w:rsidR="003B4F1A" w:rsidRDefault="003B4F1A" w:rsidP="0020479B">
      <w:pPr>
        <w:spacing w:line="360" w:lineRule="auto"/>
        <w:jc w:val="both"/>
        <w:rPr>
          <w:rFonts w:ascii="Arial" w:hAnsi="Arial" w:cs="Arial"/>
        </w:rPr>
      </w:pPr>
    </w:p>
    <w:p w14:paraId="6CA5C535" w14:textId="77777777" w:rsidR="003B4F1A" w:rsidRDefault="003B4F1A" w:rsidP="0020479B">
      <w:pPr>
        <w:spacing w:line="360" w:lineRule="auto"/>
        <w:jc w:val="both"/>
        <w:rPr>
          <w:rFonts w:ascii="Arial" w:hAnsi="Arial" w:cs="Arial"/>
        </w:rPr>
      </w:pPr>
    </w:p>
    <w:p w14:paraId="396BF06D" w14:textId="77777777" w:rsidR="003B4F1A" w:rsidRDefault="003B4F1A" w:rsidP="0020479B">
      <w:pPr>
        <w:spacing w:line="360" w:lineRule="auto"/>
        <w:jc w:val="both"/>
        <w:rPr>
          <w:rFonts w:ascii="Arial" w:hAnsi="Arial" w:cs="Arial"/>
        </w:rPr>
      </w:pPr>
    </w:p>
    <w:p w14:paraId="1EE645C5" w14:textId="77777777" w:rsidR="003B4F1A" w:rsidRDefault="003B4F1A" w:rsidP="0020479B">
      <w:pPr>
        <w:spacing w:line="360" w:lineRule="auto"/>
        <w:jc w:val="both"/>
        <w:rPr>
          <w:rFonts w:ascii="Arial" w:hAnsi="Arial" w:cs="Arial"/>
        </w:rPr>
      </w:pPr>
    </w:p>
    <w:p w14:paraId="7C701B7A" w14:textId="77777777" w:rsidR="003B4F1A" w:rsidRDefault="003B4F1A" w:rsidP="0020479B">
      <w:pPr>
        <w:spacing w:line="360" w:lineRule="auto"/>
        <w:jc w:val="both"/>
        <w:rPr>
          <w:rFonts w:ascii="Arial" w:hAnsi="Arial" w:cs="Arial"/>
        </w:rPr>
      </w:pPr>
    </w:p>
    <w:p w14:paraId="3436F9FB" w14:textId="77777777" w:rsidR="003B4F1A" w:rsidRDefault="003B4F1A" w:rsidP="0020479B">
      <w:pPr>
        <w:spacing w:line="360" w:lineRule="auto"/>
        <w:jc w:val="both"/>
        <w:rPr>
          <w:rFonts w:ascii="Arial" w:hAnsi="Arial" w:cs="Arial"/>
        </w:rPr>
      </w:pPr>
    </w:p>
    <w:p w14:paraId="5439C8CD" w14:textId="77777777" w:rsidR="003B4F1A" w:rsidRDefault="003B4F1A" w:rsidP="0020479B">
      <w:pPr>
        <w:spacing w:line="360" w:lineRule="auto"/>
        <w:jc w:val="both"/>
        <w:rPr>
          <w:rFonts w:ascii="Arial" w:hAnsi="Arial" w:cs="Arial"/>
        </w:rPr>
      </w:pPr>
    </w:p>
    <w:p w14:paraId="568887CA" w14:textId="77777777" w:rsidR="003B4F1A" w:rsidRDefault="003B4F1A" w:rsidP="0020479B">
      <w:pPr>
        <w:spacing w:line="360" w:lineRule="auto"/>
        <w:jc w:val="both"/>
        <w:rPr>
          <w:rFonts w:ascii="Arial" w:hAnsi="Arial" w:cs="Arial"/>
        </w:rPr>
      </w:pPr>
    </w:p>
    <w:p w14:paraId="161FF71E" w14:textId="77777777" w:rsidR="005D4D0E" w:rsidRPr="009F756D" w:rsidRDefault="005D4D0E" w:rsidP="0020479B">
      <w:pPr>
        <w:spacing w:line="360" w:lineRule="auto"/>
        <w:jc w:val="both"/>
        <w:rPr>
          <w:rFonts w:ascii="Arial" w:hAnsi="Arial" w:cs="Arial"/>
          <w:b/>
          <w:bCs/>
        </w:rPr>
      </w:pPr>
    </w:p>
    <w:p w14:paraId="14B3B32B" w14:textId="72225F0B" w:rsidR="002972BB" w:rsidRDefault="0020479B" w:rsidP="00180CD7">
      <w:pPr>
        <w:pStyle w:val="NoSpacing"/>
        <w:numPr>
          <w:ilvl w:val="0"/>
          <w:numId w:val="1"/>
        </w:numPr>
        <w:rPr>
          <w:rFonts w:ascii="Arial" w:hAnsi="Arial" w:cs="Arial"/>
          <w:b/>
          <w:bCs/>
          <w:sz w:val="28"/>
          <w:szCs w:val="28"/>
        </w:rPr>
      </w:pPr>
      <w:bookmarkStart w:id="1" w:name="_Toc216707578"/>
      <w:r w:rsidRPr="00180CD7">
        <w:rPr>
          <w:rFonts w:ascii="Arial" w:hAnsi="Arial" w:cs="Arial"/>
          <w:b/>
          <w:bCs/>
          <w:sz w:val="28"/>
          <w:szCs w:val="28"/>
        </w:rPr>
        <w:t>Introduction</w:t>
      </w:r>
      <w:bookmarkEnd w:id="1"/>
    </w:p>
    <w:p w14:paraId="7D2E3E8B" w14:textId="77777777" w:rsidR="00180CD7" w:rsidRDefault="00180CD7" w:rsidP="00180CD7">
      <w:pPr>
        <w:pStyle w:val="NoSpacing"/>
        <w:rPr>
          <w:rFonts w:ascii="Arial" w:hAnsi="Arial" w:cs="Arial"/>
          <w:b/>
          <w:bCs/>
          <w:sz w:val="28"/>
          <w:szCs w:val="28"/>
        </w:rPr>
      </w:pPr>
    </w:p>
    <w:p w14:paraId="0B67B72E" w14:textId="77777777" w:rsidR="00180CD7" w:rsidRPr="00180CD7" w:rsidRDefault="00180CD7" w:rsidP="00180CD7">
      <w:pPr>
        <w:pStyle w:val="NoSpacing"/>
        <w:rPr>
          <w:rFonts w:ascii="Arial" w:hAnsi="Arial" w:cs="Arial"/>
          <w:b/>
          <w:bCs/>
          <w:sz w:val="28"/>
          <w:szCs w:val="28"/>
        </w:rPr>
      </w:pPr>
    </w:p>
    <w:p w14:paraId="6E2CCABD" w14:textId="77777777" w:rsidR="003B4F1A" w:rsidRPr="003B4F1A" w:rsidRDefault="003B4F1A" w:rsidP="0020479B">
      <w:pPr>
        <w:spacing w:line="360" w:lineRule="auto"/>
        <w:jc w:val="both"/>
        <w:rPr>
          <w:rFonts w:ascii="Arial" w:hAnsi="Arial" w:cs="Arial"/>
        </w:rPr>
      </w:pPr>
      <w:r w:rsidRPr="003B4F1A">
        <w:rPr>
          <w:rFonts w:ascii="Arial" w:hAnsi="Arial" w:cs="Arial"/>
        </w:rPr>
        <w:t>The COVID-19 pandemic emerged as an unprecedented global health crisis, testing the resilience and adaptability of health systems worldwide. The effectiveness of national responses varied considerably, influenced by factors including healthcare system organisation, governance structures, leadership approaches, and pre-existing institutional capacities (Legido-Quigley et al., 2020). This report provides a comparative analysis of three jurisdictions, Spain, South Korea, and Canada, examining how their distinct healthcare systems and leadership styles shaped their responses to the pandemic.</w:t>
      </w:r>
    </w:p>
    <w:p w14:paraId="23F6BC36" w14:textId="476A9983" w:rsidR="003B4F1A" w:rsidRDefault="003B4F1A" w:rsidP="0020479B">
      <w:pPr>
        <w:spacing w:line="360" w:lineRule="auto"/>
        <w:jc w:val="both"/>
        <w:rPr>
          <w:rFonts w:ascii="Arial" w:hAnsi="Arial" w:cs="Arial"/>
        </w:rPr>
      </w:pPr>
      <w:r w:rsidRPr="003B4F1A">
        <w:rPr>
          <w:rFonts w:ascii="Arial" w:hAnsi="Arial" w:cs="Arial"/>
        </w:rPr>
        <w:t>These three countries exemplify different models of governance, centralisation, and healthcare organisation, offering valuable comparative insights. Spain operates a highly decentralised healthcare system under normal circumstances, but employed temporary centralisation during the crisis. South Korea maintains centralised strategic coordination with predominantly private healthcare delivery. Canada exemplifies deep federalism, with constitutionally protected provincial jurisdiction over healthcare (Fierlbeck, 2020). Understanding how these structural differences influenced the effectiveness of pandemic responses offers important lessons for future crisis preparedness.</w:t>
      </w:r>
    </w:p>
    <w:p w14:paraId="343CA340" w14:textId="77777777" w:rsidR="003B4F1A" w:rsidRDefault="003B4F1A" w:rsidP="0020479B">
      <w:pPr>
        <w:spacing w:line="360" w:lineRule="auto"/>
        <w:jc w:val="both"/>
        <w:rPr>
          <w:rFonts w:ascii="Arial" w:hAnsi="Arial" w:cs="Arial"/>
        </w:rPr>
      </w:pPr>
    </w:p>
    <w:p w14:paraId="29CE249A" w14:textId="77777777" w:rsidR="003B4F1A" w:rsidRDefault="003B4F1A" w:rsidP="0020479B">
      <w:pPr>
        <w:spacing w:line="360" w:lineRule="auto"/>
        <w:jc w:val="both"/>
        <w:rPr>
          <w:rFonts w:ascii="Arial" w:hAnsi="Arial" w:cs="Arial"/>
        </w:rPr>
      </w:pPr>
    </w:p>
    <w:p w14:paraId="285EF587" w14:textId="77777777" w:rsidR="003B4F1A" w:rsidRDefault="003B4F1A" w:rsidP="0020479B">
      <w:pPr>
        <w:spacing w:line="360" w:lineRule="auto"/>
        <w:jc w:val="both"/>
        <w:rPr>
          <w:rFonts w:ascii="Arial" w:hAnsi="Arial" w:cs="Arial"/>
        </w:rPr>
      </w:pPr>
    </w:p>
    <w:p w14:paraId="7247CE12" w14:textId="77777777" w:rsidR="003B4F1A" w:rsidRDefault="003B4F1A" w:rsidP="0020479B">
      <w:pPr>
        <w:spacing w:line="360" w:lineRule="auto"/>
        <w:jc w:val="both"/>
        <w:rPr>
          <w:rFonts w:ascii="Arial" w:hAnsi="Arial" w:cs="Arial"/>
        </w:rPr>
      </w:pPr>
    </w:p>
    <w:p w14:paraId="7D2FAE88" w14:textId="77777777" w:rsidR="002972BB" w:rsidRDefault="002972BB" w:rsidP="0020479B">
      <w:pPr>
        <w:spacing w:line="360" w:lineRule="auto"/>
        <w:jc w:val="both"/>
        <w:rPr>
          <w:rFonts w:ascii="Arial" w:hAnsi="Arial" w:cs="Arial"/>
        </w:rPr>
      </w:pPr>
    </w:p>
    <w:p w14:paraId="1DF7B7E8" w14:textId="77777777" w:rsidR="00180CD7" w:rsidRDefault="00180CD7" w:rsidP="0020479B">
      <w:pPr>
        <w:spacing w:line="360" w:lineRule="auto"/>
        <w:jc w:val="both"/>
        <w:rPr>
          <w:rFonts w:ascii="Arial" w:hAnsi="Arial" w:cs="Arial"/>
        </w:rPr>
      </w:pPr>
    </w:p>
    <w:p w14:paraId="7AF93F25" w14:textId="77777777" w:rsidR="00180CD7" w:rsidRDefault="00180CD7" w:rsidP="0020479B">
      <w:pPr>
        <w:spacing w:line="360" w:lineRule="auto"/>
        <w:jc w:val="both"/>
        <w:rPr>
          <w:rFonts w:ascii="Arial" w:hAnsi="Arial" w:cs="Arial"/>
        </w:rPr>
      </w:pPr>
    </w:p>
    <w:p w14:paraId="4101E0FC" w14:textId="77777777" w:rsidR="00180CD7" w:rsidRDefault="00180CD7" w:rsidP="0020479B">
      <w:pPr>
        <w:spacing w:line="360" w:lineRule="auto"/>
        <w:jc w:val="both"/>
        <w:rPr>
          <w:rFonts w:ascii="Arial" w:hAnsi="Arial" w:cs="Arial"/>
        </w:rPr>
      </w:pPr>
    </w:p>
    <w:p w14:paraId="0D99E5A6" w14:textId="77777777" w:rsidR="00180CD7" w:rsidRDefault="00180CD7" w:rsidP="0020479B">
      <w:pPr>
        <w:spacing w:line="360" w:lineRule="auto"/>
        <w:jc w:val="both"/>
        <w:rPr>
          <w:rFonts w:ascii="Arial" w:hAnsi="Arial" w:cs="Arial"/>
        </w:rPr>
      </w:pPr>
    </w:p>
    <w:p w14:paraId="31B73623" w14:textId="77777777" w:rsidR="00180CD7" w:rsidRPr="002972BB" w:rsidRDefault="00180CD7" w:rsidP="0020479B">
      <w:pPr>
        <w:spacing w:line="360" w:lineRule="auto"/>
        <w:jc w:val="both"/>
        <w:rPr>
          <w:rFonts w:ascii="Arial" w:hAnsi="Arial" w:cs="Arial"/>
        </w:rPr>
      </w:pPr>
    </w:p>
    <w:p w14:paraId="29479104" w14:textId="77777777" w:rsidR="002972BB" w:rsidRPr="000913FF" w:rsidRDefault="002972BB" w:rsidP="0020479B">
      <w:pPr>
        <w:spacing w:line="360" w:lineRule="auto"/>
        <w:jc w:val="both"/>
        <w:rPr>
          <w:rFonts w:ascii="Arial" w:hAnsi="Arial" w:cs="Arial"/>
          <w:b/>
          <w:bCs/>
          <w:sz w:val="28"/>
          <w:szCs w:val="28"/>
        </w:rPr>
      </w:pPr>
    </w:p>
    <w:p w14:paraId="399318CD" w14:textId="280E929D" w:rsidR="002972BB" w:rsidRDefault="000913FF" w:rsidP="00180CD7">
      <w:pPr>
        <w:pStyle w:val="NoSpacing"/>
        <w:numPr>
          <w:ilvl w:val="0"/>
          <w:numId w:val="1"/>
        </w:numPr>
        <w:rPr>
          <w:rFonts w:ascii="Arial" w:hAnsi="Arial" w:cs="Arial"/>
          <w:b/>
          <w:bCs/>
          <w:sz w:val="28"/>
          <w:szCs w:val="28"/>
        </w:rPr>
      </w:pPr>
      <w:bookmarkStart w:id="2" w:name="_Toc216707579"/>
      <w:r w:rsidRPr="00180CD7">
        <w:rPr>
          <w:rFonts w:ascii="Arial" w:hAnsi="Arial" w:cs="Arial"/>
          <w:b/>
          <w:bCs/>
          <w:sz w:val="28"/>
          <w:szCs w:val="28"/>
        </w:rPr>
        <w:t>Comparative analysis of healthcare system organisation</w:t>
      </w:r>
      <w:bookmarkEnd w:id="2"/>
    </w:p>
    <w:p w14:paraId="2FDC0DEA" w14:textId="77777777" w:rsidR="00180CD7" w:rsidRPr="00180CD7" w:rsidRDefault="00180CD7" w:rsidP="00180CD7">
      <w:pPr>
        <w:pStyle w:val="NoSpacing"/>
        <w:ind w:left="720"/>
        <w:rPr>
          <w:rFonts w:ascii="Arial" w:hAnsi="Arial" w:cs="Arial"/>
          <w:b/>
          <w:bCs/>
          <w:sz w:val="28"/>
          <w:szCs w:val="28"/>
        </w:rPr>
      </w:pPr>
    </w:p>
    <w:p w14:paraId="5B2B3BD9" w14:textId="29BDEBEC" w:rsidR="002972BB" w:rsidRDefault="002972BB" w:rsidP="00180CD7">
      <w:pPr>
        <w:pStyle w:val="NoSpacing"/>
        <w:numPr>
          <w:ilvl w:val="1"/>
          <w:numId w:val="1"/>
        </w:numPr>
        <w:rPr>
          <w:rFonts w:ascii="Arial" w:hAnsi="Arial" w:cs="Arial"/>
          <w:b/>
          <w:bCs/>
          <w:sz w:val="24"/>
          <w:szCs w:val="24"/>
        </w:rPr>
      </w:pPr>
      <w:bookmarkStart w:id="3" w:name="_Toc216707580"/>
      <w:r w:rsidRPr="00180CD7">
        <w:rPr>
          <w:rFonts w:ascii="Arial" w:hAnsi="Arial" w:cs="Arial"/>
          <w:b/>
          <w:bCs/>
          <w:sz w:val="24"/>
          <w:szCs w:val="24"/>
        </w:rPr>
        <w:t>Spain: Devolved Healthcare System Under Crisis Centralisation</w:t>
      </w:r>
      <w:bookmarkEnd w:id="3"/>
    </w:p>
    <w:p w14:paraId="00EE4468" w14:textId="77777777" w:rsidR="00180CD7" w:rsidRPr="00180CD7" w:rsidRDefault="00180CD7" w:rsidP="00180CD7">
      <w:pPr>
        <w:pStyle w:val="NoSpacing"/>
        <w:ind w:left="760"/>
        <w:rPr>
          <w:rFonts w:ascii="Arial" w:hAnsi="Arial" w:cs="Arial"/>
          <w:b/>
          <w:bCs/>
          <w:sz w:val="24"/>
          <w:szCs w:val="24"/>
        </w:rPr>
      </w:pPr>
    </w:p>
    <w:p w14:paraId="3F4920CA" w14:textId="2032E017" w:rsidR="002972BB" w:rsidRDefault="002972BB" w:rsidP="0020479B">
      <w:pPr>
        <w:spacing w:line="360" w:lineRule="auto"/>
        <w:jc w:val="both"/>
        <w:rPr>
          <w:rFonts w:ascii="Arial" w:hAnsi="Arial" w:cs="Arial"/>
        </w:rPr>
      </w:pPr>
      <w:r w:rsidRPr="002972BB">
        <w:rPr>
          <w:rFonts w:ascii="Arial" w:hAnsi="Arial" w:cs="Arial"/>
        </w:rPr>
        <w:t>Spain operates a highly decentralised healthcare system established through constitutional devolution. The 1978 Spanish Constitution initiated a process of transferring healthcare responsibilities to 17 autonomous communities, a process completed by 2002 (Legido-Quigley et al., 2020). Under this arrangement, regional governments control approximately 90% of public healthcare expenditure and possess primary responsibility for healthcare service delivery within their territories. The Ministry of Health (</w:t>
      </w:r>
      <w:r w:rsidR="005D4D0E" w:rsidRPr="002972BB">
        <w:rPr>
          <w:rFonts w:ascii="Arial" w:hAnsi="Arial" w:cs="Arial"/>
        </w:rPr>
        <w:t>Monasterio</w:t>
      </w:r>
      <w:r w:rsidRPr="002972BB">
        <w:rPr>
          <w:rFonts w:ascii="Arial" w:hAnsi="Arial" w:cs="Arial"/>
        </w:rPr>
        <w:t xml:space="preserve"> de Sanidad) maintains coordinating functions, standard-setting authority, and responsibility for international health matters, but exercises limited direct operational control during normal circumstances.</w:t>
      </w:r>
    </w:p>
    <w:p w14:paraId="23FF18DE" w14:textId="77777777" w:rsidR="0020479B" w:rsidRPr="002972BB" w:rsidRDefault="0020479B" w:rsidP="0020479B">
      <w:pPr>
        <w:spacing w:line="360" w:lineRule="auto"/>
        <w:jc w:val="both"/>
        <w:rPr>
          <w:rFonts w:ascii="Arial" w:hAnsi="Arial" w:cs="Arial"/>
        </w:rPr>
      </w:pPr>
    </w:p>
    <w:p w14:paraId="6C4FCBCB" w14:textId="3DBF900F" w:rsidR="002972BB" w:rsidRPr="009C511A" w:rsidRDefault="002972BB" w:rsidP="0020479B">
      <w:pPr>
        <w:spacing w:line="360" w:lineRule="auto"/>
        <w:jc w:val="both"/>
        <w:rPr>
          <w:rFonts w:ascii="Arial" w:hAnsi="Arial" w:cs="Arial"/>
          <w:b/>
          <w:bCs/>
        </w:rPr>
      </w:pPr>
      <w:r w:rsidRPr="009C511A">
        <w:rPr>
          <w:rFonts w:ascii="Arial" w:hAnsi="Arial" w:cs="Arial"/>
          <w:b/>
          <w:bCs/>
        </w:rPr>
        <w:t>Initial Pandemic Response and Coordination Challenges</w:t>
      </w:r>
    </w:p>
    <w:p w14:paraId="4C4A1046" w14:textId="1BB60B01" w:rsidR="002972BB" w:rsidRPr="002972BB" w:rsidRDefault="002972BB" w:rsidP="0020479B">
      <w:pPr>
        <w:spacing w:line="360" w:lineRule="auto"/>
        <w:jc w:val="both"/>
        <w:rPr>
          <w:rFonts w:ascii="Arial" w:hAnsi="Arial" w:cs="Arial"/>
        </w:rPr>
      </w:pPr>
      <w:r w:rsidRPr="002972BB">
        <w:rPr>
          <w:rFonts w:ascii="Arial" w:hAnsi="Arial" w:cs="Arial"/>
        </w:rPr>
        <w:t>The initial COVID-19 outbreak in Spain during January and February 2020 exposed significant weaknesses in inter-regional coordination and central-regional communication. The system is prepared to confront the situation</w:t>
      </w:r>
      <w:r w:rsidR="00FE14E3">
        <w:rPr>
          <w:rFonts w:ascii="Arial" w:hAnsi="Arial" w:cs="Arial"/>
        </w:rPr>
        <w:t xml:space="preserve">, </w:t>
      </w:r>
      <w:r w:rsidRPr="002972BB">
        <w:rPr>
          <w:rFonts w:ascii="Arial" w:hAnsi="Arial" w:cs="Arial"/>
        </w:rPr>
        <w:t>suggested confidence in existing capacity rather than recognition of emerging threats</w:t>
      </w:r>
      <w:r w:rsidR="009C511A">
        <w:rPr>
          <w:rFonts w:ascii="Arial" w:hAnsi="Arial" w:cs="Arial"/>
        </w:rPr>
        <w:t xml:space="preserve"> </w:t>
      </w:r>
      <w:r w:rsidR="009C511A" w:rsidRPr="009C511A">
        <w:rPr>
          <w:rFonts w:ascii="Arial" w:hAnsi="Arial" w:cs="Arial"/>
        </w:rPr>
        <w:t>(Legido-Quigley et al., 2020).</w:t>
      </w:r>
      <w:r w:rsidRPr="002972BB">
        <w:rPr>
          <w:rFonts w:ascii="Arial" w:hAnsi="Arial" w:cs="Arial"/>
        </w:rPr>
        <w:t xml:space="preserve"> </w:t>
      </w:r>
      <w:r w:rsidR="00FE14E3">
        <w:rPr>
          <w:rFonts w:ascii="Arial" w:hAnsi="Arial" w:cs="Arial"/>
        </w:rPr>
        <w:t>T</w:t>
      </w:r>
      <w:r w:rsidRPr="002972BB">
        <w:rPr>
          <w:rFonts w:ascii="Arial" w:hAnsi="Arial" w:cs="Arial"/>
        </w:rPr>
        <w:t>he virus spread rapidly, particularly in Madrid and Catalonia, overwhelming regional healthcare systems.</w:t>
      </w:r>
    </w:p>
    <w:p w14:paraId="173611B7" w14:textId="77777777" w:rsidR="00066022" w:rsidRDefault="00066022" w:rsidP="0020479B">
      <w:pPr>
        <w:spacing w:line="360" w:lineRule="auto"/>
        <w:jc w:val="both"/>
        <w:rPr>
          <w:rFonts w:ascii="Arial" w:hAnsi="Arial" w:cs="Arial"/>
        </w:rPr>
      </w:pPr>
      <w:r w:rsidRPr="00066022">
        <w:rPr>
          <w:rFonts w:ascii="Arial" w:hAnsi="Arial" w:cs="Arial"/>
        </w:rPr>
        <w:t xml:space="preserve">Spain's decentralised structure initially hampered a coordinated response. Different autonomous communities implemented varied measures at different times, leading to inconsistent public health messaging and facilitating viral transmission across regional borders. Resource distribution issues arose as some regions faced severe shortages of personal protective equipment, ventilators, and intensive care capacities, while others had surplus resources </w:t>
      </w:r>
      <w:bookmarkStart w:id="4" w:name="_Hlk216297311"/>
      <w:r w:rsidRPr="00066022">
        <w:rPr>
          <w:rFonts w:ascii="Arial" w:hAnsi="Arial" w:cs="Arial"/>
        </w:rPr>
        <w:t xml:space="preserve">(Legido-Quigley et al., 2020). </w:t>
      </w:r>
      <w:bookmarkEnd w:id="4"/>
      <w:r w:rsidRPr="00066022">
        <w:rPr>
          <w:rFonts w:ascii="Arial" w:hAnsi="Arial" w:cs="Arial"/>
        </w:rPr>
        <w:t>The lack of strong central coordination during the early critical weeks contributed to Spain experiencing one of Europe's highest infection and mortality rates during the first wave.</w:t>
      </w:r>
    </w:p>
    <w:p w14:paraId="586004F1" w14:textId="77777777" w:rsidR="00E319FC" w:rsidRPr="009C511A" w:rsidRDefault="00E319FC" w:rsidP="0020479B">
      <w:pPr>
        <w:spacing w:line="360" w:lineRule="auto"/>
        <w:jc w:val="both"/>
        <w:rPr>
          <w:rFonts w:ascii="Arial" w:hAnsi="Arial" w:cs="Arial"/>
          <w:b/>
          <w:bCs/>
        </w:rPr>
      </w:pPr>
    </w:p>
    <w:p w14:paraId="6E2A4B75" w14:textId="6D3DB6DC" w:rsidR="002972BB" w:rsidRPr="009C511A" w:rsidRDefault="002972BB" w:rsidP="0020479B">
      <w:pPr>
        <w:spacing w:line="360" w:lineRule="auto"/>
        <w:jc w:val="both"/>
        <w:rPr>
          <w:rFonts w:ascii="Arial" w:hAnsi="Arial" w:cs="Arial"/>
          <w:b/>
          <w:bCs/>
        </w:rPr>
      </w:pPr>
      <w:r w:rsidRPr="009C511A">
        <w:rPr>
          <w:rFonts w:ascii="Arial" w:hAnsi="Arial" w:cs="Arial"/>
          <w:b/>
          <w:bCs/>
        </w:rPr>
        <w:t>Crisis-Induced Recentralisation</w:t>
      </w:r>
    </w:p>
    <w:p w14:paraId="22ED301A" w14:textId="3D0FC9C5" w:rsidR="00764A4C" w:rsidRPr="00764A4C" w:rsidRDefault="00764A4C" w:rsidP="0020479B">
      <w:pPr>
        <w:spacing w:line="360" w:lineRule="auto"/>
        <w:jc w:val="both"/>
        <w:rPr>
          <w:rFonts w:ascii="Arial" w:hAnsi="Arial" w:cs="Arial"/>
        </w:rPr>
      </w:pPr>
      <w:r w:rsidRPr="00764A4C">
        <w:rPr>
          <w:rFonts w:ascii="Arial" w:hAnsi="Arial" w:cs="Arial"/>
        </w:rPr>
        <w:t>Responding to the escalating crisis, the Spanish government invoked Article 116 of the Constitution on March 14, 2020, declaring a state of alarm</w:t>
      </w:r>
      <w:r>
        <w:rPr>
          <w:rFonts w:ascii="Arial" w:hAnsi="Arial" w:cs="Arial"/>
        </w:rPr>
        <w:t xml:space="preserve"> </w:t>
      </w:r>
      <w:r w:rsidRPr="00764A4C">
        <w:rPr>
          <w:rFonts w:ascii="Arial" w:hAnsi="Arial" w:cs="Arial"/>
        </w:rPr>
        <w:t xml:space="preserve"> (Legido-Quigley et al., 2020). This declaration temporarily re-centralised health authority, granting the central government extraordinary powers to impose nationwide measures, including strict lockdowns, movement </w:t>
      </w:r>
      <w:r w:rsidRPr="00764A4C">
        <w:rPr>
          <w:rFonts w:ascii="Arial" w:hAnsi="Arial" w:cs="Arial"/>
        </w:rPr>
        <w:lastRenderedPageBreak/>
        <w:t>restrictions, and mandatory business closures (Boin et al., 2016; Legido-Quigley et al., 2020). The Minister of Health assumed direct authority over all regional health services, enabling unified command and control structures (Legido-Quigley et al., 2020).</w:t>
      </w:r>
    </w:p>
    <w:p w14:paraId="005B2121" w14:textId="16E47620" w:rsidR="00764A4C" w:rsidRPr="00764A4C" w:rsidRDefault="00764A4C" w:rsidP="0020479B">
      <w:pPr>
        <w:spacing w:line="360" w:lineRule="auto"/>
        <w:jc w:val="both"/>
        <w:rPr>
          <w:rFonts w:ascii="Arial" w:hAnsi="Arial" w:cs="Arial"/>
        </w:rPr>
      </w:pPr>
      <w:r w:rsidRPr="00764A4C">
        <w:rPr>
          <w:rFonts w:ascii="Arial" w:hAnsi="Arial" w:cs="Arial"/>
        </w:rPr>
        <w:t>The government standardised clinical protocols across regions, coordinated national procurement of medical supplies, redistributed resources from less-affected to overwhelmed regions, and imposed uniform public health measures (Legido-Quigley et al., 2020). The nationwide lockdown, among Europe's strictest, substantially reduced transmission rates by April 2020 (Boin et al., 2016).</w:t>
      </w:r>
      <w:r>
        <w:rPr>
          <w:rFonts w:ascii="Arial" w:hAnsi="Arial" w:cs="Arial"/>
        </w:rPr>
        <w:t xml:space="preserve"> This</w:t>
      </w:r>
      <w:r w:rsidRPr="00764A4C">
        <w:rPr>
          <w:rFonts w:ascii="Arial" w:hAnsi="Arial" w:cs="Arial"/>
        </w:rPr>
        <w:t xml:space="preserve"> centralisation generated political tensions with some autonomous communities, particularly Catalonia and the Basque Country, which viewed central government intervention as encroaching upon constitutional autonomy (Legido-Quigley et al., 2020). This temporary recentralisation reflected what crisis leadership scholars describe as necessary "decisive intervention" during acute emergencies, where leaders must assert authority and centralise decision-making to enable coordinated response (Boin et al., 2016, p. 45).</w:t>
      </w:r>
    </w:p>
    <w:p w14:paraId="02D84DA7" w14:textId="77777777" w:rsidR="00E319FC" w:rsidRPr="002972BB" w:rsidRDefault="00E319FC" w:rsidP="0020479B">
      <w:pPr>
        <w:spacing w:line="360" w:lineRule="auto"/>
        <w:jc w:val="both"/>
        <w:rPr>
          <w:rFonts w:ascii="Arial" w:hAnsi="Arial" w:cs="Arial"/>
        </w:rPr>
      </w:pPr>
    </w:p>
    <w:p w14:paraId="3228D884" w14:textId="3B6C3BC3" w:rsidR="002972BB" w:rsidRPr="00CB6112" w:rsidRDefault="002972BB" w:rsidP="0020479B">
      <w:pPr>
        <w:spacing w:line="360" w:lineRule="auto"/>
        <w:jc w:val="both"/>
        <w:rPr>
          <w:rFonts w:ascii="Arial" w:hAnsi="Arial" w:cs="Arial"/>
          <w:b/>
          <w:bCs/>
        </w:rPr>
      </w:pPr>
      <w:r w:rsidRPr="00CB6112">
        <w:rPr>
          <w:rFonts w:ascii="Arial" w:hAnsi="Arial" w:cs="Arial"/>
          <w:b/>
          <w:bCs/>
        </w:rPr>
        <w:t>Vaccination Campaign Success Through Coordinated Federalism</w:t>
      </w:r>
    </w:p>
    <w:p w14:paraId="0C87A03F" w14:textId="25C1C94B" w:rsidR="00764A4C" w:rsidRPr="00764A4C" w:rsidRDefault="00764A4C" w:rsidP="0020479B">
      <w:pPr>
        <w:spacing w:line="360" w:lineRule="auto"/>
        <w:jc w:val="both"/>
        <w:rPr>
          <w:rFonts w:ascii="Arial" w:hAnsi="Arial" w:cs="Arial"/>
        </w:rPr>
      </w:pPr>
      <w:r w:rsidRPr="00764A4C">
        <w:rPr>
          <w:rFonts w:ascii="Arial" w:hAnsi="Arial" w:cs="Arial"/>
        </w:rPr>
        <w:t>Spain's subsequent vaccination campaign demonstrated more effective coordination between central and regional authorities (Lazarus et al., 2021). The central government negotiated vaccine procurement through the European Union framework, ensuring equitable access to vaccine supplies across regions (Forman et al., 2021; Lazarus et al., 2021). The Ministry of Health established national prioritisation guidelines, identifying</w:t>
      </w:r>
      <w:r w:rsidR="0020479B">
        <w:rPr>
          <w:rFonts w:ascii="Arial" w:hAnsi="Arial" w:cs="Arial"/>
        </w:rPr>
        <w:t xml:space="preserve"> </w:t>
      </w:r>
      <w:r w:rsidRPr="00764A4C">
        <w:rPr>
          <w:rFonts w:ascii="Arial" w:hAnsi="Arial" w:cs="Arial"/>
        </w:rPr>
        <w:t>vulnerable populations including healthcare workers, elderly residents in care facilities, and individuals with comorbidities (Lazarus et al., 2021). This strategic framework reflected principles of distributive justice and equity in vaccine allocation, prioritising those at greatest risk of severe outcomes (Forman et al., 2021).</w:t>
      </w:r>
    </w:p>
    <w:p w14:paraId="6E58C369" w14:textId="77777777" w:rsidR="00E319FC" w:rsidRPr="003D0A33" w:rsidRDefault="00E319FC" w:rsidP="0020479B">
      <w:pPr>
        <w:spacing w:line="360" w:lineRule="auto"/>
        <w:jc w:val="both"/>
        <w:rPr>
          <w:rFonts w:ascii="Arial" w:hAnsi="Arial" w:cs="Arial"/>
          <w:b/>
          <w:bCs/>
        </w:rPr>
      </w:pPr>
    </w:p>
    <w:p w14:paraId="48E8C383" w14:textId="1B23BD19" w:rsidR="002972BB" w:rsidRDefault="0020479B" w:rsidP="00180CD7">
      <w:pPr>
        <w:pStyle w:val="NoSpacing"/>
        <w:numPr>
          <w:ilvl w:val="1"/>
          <w:numId w:val="1"/>
        </w:numPr>
        <w:rPr>
          <w:rFonts w:ascii="Arial" w:hAnsi="Arial" w:cs="Arial"/>
          <w:b/>
          <w:bCs/>
          <w:sz w:val="24"/>
          <w:szCs w:val="24"/>
        </w:rPr>
      </w:pPr>
      <w:bookmarkStart w:id="5" w:name="_Toc216707581"/>
      <w:r w:rsidRPr="00180CD7">
        <w:rPr>
          <w:rFonts w:ascii="Arial" w:hAnsi="Arial" w:cs="Arial"/>
          <w:b/>
          <w:bCs/>
          <w:sz w:val="24"/>
          <w:szCs w:val="24"/>
        </w:rPr>
        <w:t>Centralised Strategic Coordination with Decentralised</w:t>
      </w:r>
      <w:r w:rsidRPr="00180CD7">
        <w:rPr>
          <w:rFonts w:ascii="Arial" w:hAnsi="Arial" w:cs="Arial"/>
          <w:b/>
          <w:bCs/>
          <w:sz w:val="24"/>
          <w:szCs w:val="24"/>
        </w:rPr>
        <w:t xml:space="preserve"> </w:t>
      </w:r>
      <w:r w:rsidRPr="00180CD7">
        <w:rPr>
          <w:rFonts w:ascii="Arial" w:hAnsi="Arial" w:cs="Arial"/>
          <w:b/>
          <w:bCs/>
          <w:sz w:val="24"/>
          <w:szCs w:val="24"/>
        </w:rPr>
        <w:t>Implementation in South Korea</w:t>
      </w:r>
      <w:bookmarkEnd w:id="5"/>
    </w:p>
    <w:p w14:paraId="1968C30A" w14:textId="77777777" w:rsidR="00180CD7" w:rsidRDefault="00180CD7" w:rsidP="00180CD7">
      <w:pPr>
        <w:pStyle w:val="NoSpacing"/>
        <w:ind w:left="760"/>
        <w:rPr>
          <w:rFonts w:ascii="Arial" w:hAnsi="Arial" w:cs="Arial"/>
          <w:b/>
          <w:bCs/>
          <w:sz w:val="24"/>
          <w:szCs w:val="24"/>
        </w:rPr>
      </w:pPr>
    </w:p>
    <w:p w14:paraId="6A495A8D" w14:textId="77777777" w:rsidR="00180CD7" w:rsidRPr="00180CD7" w:rsidRDefault="00180CD7" w:rsidP="00180CD7">
      <w:pPr>
        <w:pStyle w:val="NoSpacing"/>
        <w:ind w:left="760"/>
        <w:rPr>
          <w:rFonts w:ascii="Arial" w:hAnsi="Arial" w:cs="Arial"/>
          <w:b/>
          <w:bCs/>
          <w:sz w:val="24"/>
          <w:szCs w:val="24"/>
        </w:rPr>
      </w:pPr>
    </w:p>
    <w:p w14:paraId="24A164CA" w14:textId="1D004548" w:rsidR="002972BB" w:rsidRPr="003D0A33" w:rsidRDefault="002972BB" w:rsidP="0020479B">
      <w:pPr>
        <w:spacing w:line="360" w:lineRule="auto"/>
        <w:jc w:val="both"/>
        <w:rPr>
          <w:rFonts w:ascii="Arial" w:hAnsi="Arial" w:cs="Arial"/>
          <w:b/>
          <w:bCs/>
        </w:rPr>
      </w:pPr>
      <w:r w:rsidRPr="003D0A33">
        <w:rPr>
          <w:rFonts w:ascii="Arial" w:hAnsi="Arial" w:cs="Arial"/>
          <w:b/>
          <w:bCs/>
        </w:rPr>
        <w:t>Healthcare System Structure</w:t>
      </w:r>
    </w:p>
    <w:p w14:paraId="0F1E959A" w14:textId="630F284E" w:rsidR="0080267E" w:rsidRDefault="002972BB" w:rsidP="0020479B">
      <w:pPr>
        <w:spacing w:line="360" w:lineRule="auto"/>
        <w:jc w:val="both"/>
        <w:rPr>
          <w:rFonts w:ascii="Arial" w:hAnsi="Arial" w:cs="Arial"/>
        </w:rPr>
      </w:pPr>
      <w:r w:rsidRPr="002972BB">
        <w:rPr>
          <w:rFonts w:ascii="Arial" w:hAnsi="Arial" w:cs="Arial"/>
        </w:rPr>
        <w:t>South Korea's healthcare system combines universal coverage through National Health Insurance (NHI) with predominantly private service delivery</w:t>
      </w:r>
      <w:r w:rsidR="009C511A">
        <w:rPr>
          <w:rFonts w:ascii="Arial" w:hAnsi="Arial" w:cs="Arial"/>
        </w:rPr>
        <w:t xml:space="preserve"> </w:t>
      </w:r>
      <w:r w:rsidR="009C511A" w:rsidRPr="009C511A">
        <w:rPr>
          <w:rFonts w:ascii="Arial" w:hAnsi="Arial" w:cs="Arial"/>
        </w:rPr>
        <w:t>(Choi et al., 2020).</w:t>
      </w:r>
      <w:r w:rsidRPr="002972BB">
        <w:rPr>
          <w:rFonts w:ascii="Arial" w:hAnsi="Arial" w:cs="Arial"/>
        </w:rPr>
        <w:t xml:space="preserve"> Established in 1989, the NHI provides comprehensive coverage to all citizens and residents, funded through mandatory contributions from</w:t>
      </w:r>
      <w:r w:rsidR="009F756D">
        <w:rPr>
          <w:rFonts w:ascii="Arial" w:hAnsi="Arial" w:cs="Arial"/>
        </w:rPr>
        <w:t xml:space="preserve"> </w:t>
      </w:r>
      <w:r w:rsidRPr="002972BB">
        <w:rPr>
          <w:rFonts w:ascii="Arial" w:hAnsi="Arial" w:cs="Arial"/>
        </w:rPr>
        <w:t>employers, employees, and</w:t>
      </w:r>
      <w:r w:rsidR="0020479B">
        <w:rPr>
          <w:rFonts w:ascii="Arial" w:hAnsi="Arial" w:cs="Arial"/>
        </w:rPr>
        <w:t xml:space="preserve"> </w:t>
      </w:r>
      <w:r w:rsidRPr="002972BB">
        <w:rPr>
          <w:rFonts w:ascii="Arial" w:hAnsi="Arial" w:cs="Arial"/>
        </w:rPr>
        <w:t xml:space="preserve">government subsidies. </w:t>
      </w:r>
      <w:r w:rsidR="00B617FC">
        <w:rPr>
          <w:rFonts w:ascii="Arial" w:hAnsi="Arial" w:cs="Arial"/>
        </w:rPr>
        <w:lastRenderedPageBreak/>
        <w:t>A</w:t>
      </w:r>
      <w:r w:rsidRPr="002972BB">
        <w:rPr>
          <w:rFonts w:ascii="Arial" w:hAnsi="Arial" w:cs="Arial"/>
        </w:rPr>
        <w:t xml:space="preserve">pproximately 90% of hospitals and clinics operate as private entities, creating a mixed public-private system structure </w:t>
      </w:r>
      <w:bookmarkStart w:id="6" w:name="_Hlk216297487"/>
      <w:r w:rsidRPr="002972BB">
        <w:rPr>
          <w:rFonts w:ascii="Arial" w:hAnsi="Arial" w:cs="Arial"/>
        </w:rPr>
        <w:t>(Choi et al., 2020).</w:t>
      </w:r>
      <w:bookmarkEnd w:id="6"/>
    </w:p>
    <w:p w14:paraId="6559A104" w14:textId="77777777" w:rsidR="0080267E" w:rsidRPr="002972BB" w:rsidRDefault="0080267E" w:rsidP="0020479B">
      <w:pPr>
        <w:spacing w:line="360" w:lineRule="auto"/>
        <w:jc w:val="both"/>
        <w:rPr>
          <w:rFonts w:ascii="Arial" w:hAnsi="Arial" w:cs="Arial"/>
        </w:rPr>
      </w:pPr>
    </w:p>
    <w:p w14:paraId="654188DD" w14:textId="102478DE" w:rsidR="002972BB" w:rsidRPr="009F756D" w:rsidRDefault="002972BB" w:rsidP="0020479B">
      <w:pPr>
        <w:spacing w:line="360" w:lineRule="auto"/>
        <w:jc w:val="both"/>
        <w:rPr>
          <w:rFonts w:ascii="Arial" w:hAnsi="Arial" w:cs="Arial"/>
          <w:b/>
          <w:bCs/>
        </w:rPr>
      </w:pPr>
      <w:r w:rsidRPr="009F756D">
        <w:rPr>
          <w:rFonts w:ascii="Arial" w:hAnsi="Arial" w:cs="Arial"/>
          <w:b/>
          <w:bCs/>
        </w:rPr>
        <w:t>The "3T Strategy" Test, Trace, and Treat</w:t>
      </w:r>
    </w:p>
    <w:p w14:paraId="358C0272" w14:textId="57469ACA" w:rsidR="0020479B" w:rsidRPr="003D0A33" w:rsidRDefault="003D0A33" w:rsidP="0020479B">
      <w:pPr>
        <w:spacing w:line="360" w:lineRule="auto"/>
        <w:jc w:val="both"/>
        <w:rPr>
          <w:rFonts w:ascii="Arial" w:hAnsi="Arial" w:cs="Arial"/>
        </w:rPr>
      </w:pPr>
      <w:r w:rsidRPr="003D0A33">
        <w:rPr>
          <w:rFonts w:ascii="Arial" w:hAnsi="Arial" w:cs="Arial"/>
        </w:rPr>
        <w:t>South Korea's pandemic response centred on the "3T strategy"</w:t>
      </w:r>
      <w:r>
        <w:rPr>
          <w:rFonts w:ascii="Arial" w:hAnsi="Arial" w:cs="Arial"/>
        </w:rPr>
        <w:t xml:space="preserve">, </w:t>
      </w:r>
      <w:r w:rsidRPr="003D0A33">
        <w:rPr>
          <w:rFonts w:ascii="Arial" w:hAnsi="Arial" w:cs="Arial"/>
        </w:rPr>
        <w:t>test, trace, and treat</w:t>
      </w:r>
      <w:r>
        <w:rPr>
          <w:rFonts w:ascii="Arial" w:hAnsi="Arial" w:cs="Arial"/>
        </w:rPr>
        <w:t xml:space="preserve">, </w:t>
      </w:r>
      <w:r w:rsidRPr="003D0A33">
        <w:rPr>
          <w:rFonts w:ascii="Arial" w:hAnsi="Arial" w:cs="Arial"/>
        </w:rPr>
        <w:t xml:space="preserve">coordinated nationally but executed through partnerships between public health authorities, private medical facilities, and technology companies (Choi et al., 2020). This approach prioritised early case detection and isolation over broad lockdown measures, enabling the country to control transmission while maintaining economic activity and civil liberties (Kim </w:t>
      </w:r>
      <w:r>
        <w:rPr>
          <w:rFonts w:ascii="Arial" w:hAnsi="Arial" w:cs="Arial"/>
        </w:rPr>
        <w:t>and</w:t>
      </w:r>
      <w:r w:rsidRPr="003D0A33">
        <w:rPr>
          <w:rFonts w:ascii="Arial" w:hAnsi="Arial" w:cs="Arial"/>
        </w:rPr>
        <w:t xml:space="preserve"> Lee, 2021).</w:t>
      </w:r>
    </w:p>
    <w:p w14:paraId="34D17539" w14:textId="2AEEC09C" w:rsidR="003D0A33" w:rsidRPr="003D0A33" w:rsidRDefault="003D0A33" w:rsidP="0020479B">
      <w:pPr>
        <w:spacing w:line="360" w:lineRule="auto"/>
        <w:jc w:val="both"/>
        <w:rPr>
          <w:rFonts w:ascii="Arial" w:hAnsi="Arial" w:cs="Arial"/>
        </w:rPr>
      </w:pPr>
      <w:r w:rsidRPr="003D0A33">
        <w:rPr>
          <w:rFonts w:ascii="Arial" w:hAnsi="Arial" w:cs="Arial"/>
          <w:b/>
          <w:bCs/>
        </w:rPr>
        <w:t>Testing:</w:t>
      </w:r>
      <w:r w:rsidRPr="003D0A33">
        <w:rPr>
          <w:rFonts w:ascii="Arial" w:hAnsi="Arial" w:cs="Arial"/>
        </w:rPr>
        <w:t xml:space="preserve"> The government leveraged public-private partnerships to rapidly expand testing capacity (Choi et al., 2020). Within weeks of identifying the first case, authorities approved multiple diagnostic tests through emergency authorisation procedures and mandated private laboratories to develop testing capacity (Kim </w:t>
      </w:r>
      <w:r>
        <w:rPr>
          <w:rFonts w:ascii="Arial" w:hAnsi="Arial" w:cs="Arial"/>
        </w:rPr>
        <w:t>and</w:t>
      </w:r>
      <w:r w:rsidRPr="003D0A33">
        <w:rPr>
          <w:rFonts w:ascii="Arial" w:hAnsi="Arial" w:cs="Arial"/>
        </w:rPr>
        <w:t xml:space="preserve"> Lee, 2021). Drive-through and walk-through testing centres enabled rapid sample collection while minimising healthcare worker exposure (Choi et al., 2020). Testing capacity scaled from approximately 3,000 tests daily in February 2020 to over 20,000 by March 2020 (Choi et al., 2020). Free, widely accessible testing reduced barriers to case detection and enabled early isolation (Kim </w:t>
      </w:r>
      <w:r>
        <w:rPr>
          <w:rFonts w:ascii="Arial" w:hAnsi="Arial" w:cs="Arial"/>
        </w:rPr>
        <w:t>and</w:t>
      </w:r>
      <w:r w:rsidRPr="003D0A33">
        <w:rPr>
          <w:rFonts w:ascii="Arial" w:hAnsi="Arial" w:cs="Arial"/>
        </w:rPr>
        <w:t xml:space="preserve"> Lee, 2021). </w:t>
      </w:r>
    </w:p>
    <w:p w14:paraId="628AE77E" w14:textId="79B5EC3F" w:rsidR="003D0A33" w:rsidRPr="003D0A33" w:rsidRDefault="003D0A33" w:rsidP="0020479B">
      <w:pPr>
        <w:spacing w:line="360" w:lineRule="auto"/>
        <w:jc w:val="both"/>
        <w:rPr>
          <w:rFonts w:ascii="Arial" w:hAnsi="Arial" w:cs="Arial"/>
        </w:rPr>
      </w:pPr>
      <w:r w:rsidRPr="003D0A33">
        <w:rPr>
          <w:rFonts w:ascii="Arial" w:hAnsi="Arial" w:cs="Arial"/>
          <w:b/>
          <w:bCs/>
        </w:rPr>
        <w:t>Tracing:</w:t>
      </w:r>
      <w:r w:rsidRPr="003D0A33">
        <w:rPr>
          <w:rFonts w:ascii="Arial" w:hAnsi="Arial" w:cs="Arial"/>
        </w:rPr>
        <w:t xml:space="preserve"> South Korea implemented comprehensive digital contact tracing utilising mobile phone location data, credit card transaction records, and CCTV footage (Kim </w:t>
      </w:r>
      <w:r>
        <w:rPr>
          <w:rFonts w:ascii="Arial" w:hAnsi="Arial" w:cs="Arial"/>
        </w:rPr>
        <w:t>and</w:t>
      </w:r>
      <w:r w:rsidRPr="003D0A33">
        <w:rPr>
          <w:rFonts w:ascii="Arial" w:hAnsi="Arial" w:cs="Arial"/>
        </w:rPr>
        <w:t xml:space="preserve"> Lee, 2021). When individuals tested positive, KDCA epidemiologists reconstructed detailed movement histories and identified potential exposure contacts within hours (Choi et al., 2020; Kim </w:t>
      </w:r>
      <w:r>
        <w:rPr>
          <w:rFonts w:ascii="Arial" w:hAnsi="Arial" w:cs="Arial"/>
        </w:rPr>
        <w:t>and</w:t>
      </w:r>
      <w:r w:rsidRPr="003D0A33">
        <w:rPr>
          <w:rFonts w:ascii="Arial" w:hAnsi="Arial" w:cs="Arial"/>
        </w:rPr>
        <w:t xml:space="preserve"> Lee, 2021). Contacts received immediate notification via text message and instructions for testing and self-isolation (Kim </w:t>
      </w:r>
      <w:r>
        <w:rPr>
          <w:rFonts w:ascii="Arial" w:hAnsi="Arial" w:cs="Arial"/>
        </w:rPr>
        <w:t>and</w:t>
      </w:r>
      <w:r w:rsidRPr="003D0A33">
        <w:rPr>
          <w:rFonts w:ascii="Arial" w:hAnsi="Arial" w:cs="Arial"/>
        </w:rPr>
        <w:t xml:space="preserve"> Lee, 2021). </w:t>
      </w:r>
    </w:p>
    <w:p w14:paraId="05DFBA2C" w14:textId="35DAEE25" w:rsidR="003D0A33" w:rsidRPr="003D0A33" w:rsidRDefault="003D0A33" w:rsidP="0020479B">
      <w:pPr>
        <w:spacing w:line="360" w:lineRule="auto"/>
        <w:jc w:val="both"/>
        <w:rPr>
          <w:rFonts w:ascii="Arial" w:hAnsi="Arial" w:cs="Arial"/>
        </w:rPr>
      </w:pPr>
      <w:r w:rsidRPr="003D0A33">
        <w:rPr>
          <w:rFonts w:ascii="Arial" w:hAnsi="Arial" w:cs="Arial"/>
          <w:b/>
          <w:bCs/>
        </w:rPr>
        <w:t>Treating:</w:t>
      </w:r>
      <w:r w:rsidRPr="003D0A33">
        <w:rPr>
          <w:rFonts w:ascii="Arial" w:hAnsi="Arial" w:cs="Arial"/>
        </w:rPr>
        <w:t xml:space="preserve"> Confirmed cases were categorised by severity and directed to appropriate care settings (Choi et al., 2020). Severe cases received hospital treatment while mild and asymptomatic cases were isolated in designated facilities including repurposed dormitories and training centres (Kim </w:t>
      </w:r>
      <w:r>
        <w:rPr>
          <w:rFonts w:ascii="Arial" w:hAnsi="Arial" w:cs="Arial"/>
        </w:rPr>
        <w:t>and</w:t>
      </w:r>
      <w:r w:rsidRPr="003D0A33">
        <w:rPr>
          <w:rFonts w:ascii="Arial" w:hAnsi="Arial" w:cs="Arial"/>
        </w:rPr>
        <w:t xml:space="preserve"> Lee, 2021). This approach preserved hospital capacity for severe cases while preventing home isolation from becoming a transmission vector (Choi et al., 2020). The government covered all testing and treatment costs, eliminating financial barriers to seeking care (Kim </w:t>
      </w:r>
      <w:r>
        <w:rPr>
          <w:rFonts w:ascii="Arial" w:hAnsi="Arial" w:cs="Arial"/>
        </w:rPr>
        <w:t>and</w:t>
      </w:r>
      <w:r w:rsidRPr="003D0A33">
        <w:rPr>
          <w:rFonts w:ascii="Arial" w:hAnsi="Arial" w:cs="Arial"/>
        </w:rPr>
        <w:t xml:space="preserve"> Lee, 2021).</w:t>
      </w:r>
    </w:p>
    <w:p w14:paraId="5EB64AB3" w14:textId="77777777" w:rsidR="00E319FC" w:rsidRDefault="00E319FC" w:rsidP="0020479B">
      <w:pPr>
        <w:spacing w:line="360" w:lineRule="auto"/>
        <w:jc w:val="both"/>
        <w:rPr>
          <w:rFonts w:ascii="Arial" w:hAnsi="Arial" w:cs="Arial"/>
        </w:rPr>
      </w:pPr>
    </w:p>
    <w:p w14:paraId="690F755A" w14:textId="77777777" w:rsidR="003D0A33" w:rsidRPr="002972BB" w:rsidRDefault="003D0A33" w:rsidP="0020479B">
      <w:pPr>
        <w:spacing w:line="360" w:lineRule="auto"/>
        <w:jc w:val="both"/>
        <w:rPr>
          <w:rFonts w:ascii="Arial" w:hAnsi="Arial" w:cs="Arial"/>
        </w:rPr>
      </w:pPr>
    </w:p>
    <w:p w14:paraId="0537BCEF" w14:textId="77777777" w:rsidR="00E319FC" w:rsidRPr="003D0A33" w:rsidRDefault="00E319FC" w:rsidP="0020479B">
      <w:pPr>
        <w:spacing w:line="360" w:lineRule="auto"/>
        <w:jc w:val="both"/>
        <w:rPr>
          <w:rFonts w:ascii="Arial" w:hAnsi="Arial" w:cs="Arial"/>
          <w:b/>
          <w:bCs/>
        </w:rPr>
      </w:pPr>
    </w:p>
    <w:p w14:paraId="29FAD4F7" w14:textId="758612C0" w:rsidR="002972BB" w:rsidRDefault="00D152E0" w:rsidP="00180CD7">
      <w:pPr>
        <w:pStyle w:val="NoSpacing"/>
        <w:numPr>
          <w:ilvl w:val="1"/>
          <w:numId w:val="1"/>
        </w:numPr>
        <w:rPr>
          <w:rFonts w:ascii="Arial" w:hAnsi="Arial" w:cs="Arial"/>
          <w:b/>
          <w:bCs/>
          <w:sz w:val="24"/>
          <w:szCs w:val="24"/>
        </w:rPr>
      </w:pPr>
      <w:bookmarkStart w:id="7" w:name="_Toc216707582"/>
      <w:r w:rsidRPr="00180CD7">
        <w:rPr>
          <w:rFonts w:ascii="Arial" w:hAnsi="Arial" w:cs="Arial"/>
          <w:b/>
          <w:bCs/>
          <w:sz w:val="24"/>
          <w:szCs w:val="24"/>
        </w:rPr>
        <w:t>Federal Structure and Shared Jurisdiction Challenges in Canada</w:t>
      </w:r>
      <w:bookmarkEnd w:id="7"/>
    </w:p>
    <w:p w14:paraId="53B22D70" w14:textId="77777777" w:rsidR="00180CD7" w:rsidRPr="00180CD7" w:rsidRDefault="00180CD7" w:rsidP="00180CD7">
      <w:pPr>
        <w:pStyle w:val="NoSpacing"/>
        <w:ind w:left="760"/>
        <w:rPr>
          <w:rFonts w:ascii="Arial" w:hAnsi="Arial" w:cs="Arial"/>
          <w:b/>
          <w:bCs/>
          <w:sz w:val="24"/>
          <w:szCs w:val="24"/>
        </w:rPr>
      </w:pPr>
    </w:p>
    <w:p w14:paraId="16C8DEE0" w14:textId="2EED406E" w:rsidR="002972BB" w:rsidRPr="003D0A33" w:rsidRDefault="002972BB" w:rsidP="0020479B">
      <w:pPr>
        <w:spacing w:line="360" w:lineRule="auto"/>
        <w:jc w:val="both"/>
        <w:rPr>
          <w:rFonts w:ascii="Arial" w:hAnsi="Arial" w:cs="Arial"/>
          <w:b/>
          <w:bCs/>
        </w:rPr>
      </w:pPr>
      <w:r w:rsidRPr="003D0A33">
        <w:rPr>
          <w:rFonts w:ascii="Arial" w:hAnsi="Arial" w:cs="Arial"/>
          <w:b/>
          <w:bCs/>
        </w:rPr>
        <w:t>Constitutional Healthcare Jurisdiction</w:t>
      </w:r>
    </w:p>
    <w:p w14:paraId="330CBE11" w14:textId="3F798106" w:rsidR="00E319FC" w:rsidRDefault="003D0A33" w:rsidP="0020479B">
      <w:pPr>
        <w:spacing w:line="360" w:lineRule="auto"/>
        <w:jc w:val="both"/>
        <w:rPr>
          <w:rFonts w:ascii="Arial" w:hAnsi="Arial" w:cs="Arial"/>
        </w:rPr>
      </w:pPr>
      <w:r w:rsidRPr="003D0A33">
        <w:rPr>
          <w:rFonts w:ascii="Arial" w:hAnsi="Arial" w:cs="Arial"/>
        </w:rPr>
        <w:t>The Canada Health Act (1984) establishes five national principles</w:t>
      </w:r>
      <w:r>
        <w:rPr>
          <w:rFonts w:ascii="Arial" w:hAnsi="Arial" w:cs="Arial"/>
        </w:rPr>
        <w:t xml:space="preserve">, </w:t>
      </w:r>
      <w:r w:rsidRPr="003D0A33">
        <w:rPr>
          <w:rFonts w:ascii="Arial" w:hAnsi="Arial" w:cs="Arial"/>
        </w:rPr>
        <w:t>public administration, comprehensiveness, universality, portability, and accessibility</w:t>
      </w:r>
      <w:r>
        <w:rPr>
          <w:rFonts w:ascii="Arial" w:hAnsi="Arial" w:cs="Arial"/>
        </w:rPr>
        <w:t xml:space="preserve">, </w:t>
      </w:r>
      <w:r w:rsidRPr="003D0A33">
        <w:rPr>
          <w:rFonts w:ascii="Arial" w:hAnsi="Arial" w:cs="Arial"/>
        </w:rPr>
        <w:t xml:space="preserve">that provincial systems must meet to receive federal transfer payments (Fierlbeck, 2020; Marchildon, 2013). </w:t>
      </w:r>
      <w:r>
        <w:rPr>
          <w:rFonts w:ascii="Arial" w:hAnsi="Arial" w:cs="Arial"/>
        </w:rPr>
        <w:t>T</w:t>
      </w:r>
      <w:r w:rsidRPr="003D0A33">
        <w:rPr>
          <w:rFonts w:ascii="Arial" w:hAnsi="Arial" w:cs="Arial"/>
        </w:rPr>
        <w:t>he federal government cannot directly compel provincial compliance or impose operational requirements beyond these principles (Fierlbeck, 2020). This arrangement creates a uniquely decentralised structure where thirteen separate provincial and territorial health systems operate with substantial autonomy while sharing common principles and federal funding support (Fierlbeck, 2020; Marchildon, 2013</w:t>
      </w:r>
      <w:r>
        <w:rPr>
          <w:rFonts w:ascii="Arial" w:hAnsi="Arial" w:cs="Arial"/>
        </w:rPr>
        <w:t>).</w:t>
      </w:r>
    </w:p>
    <w:p w14:paraId="430A3C2B" w14:textId="77777777" w:rsidR="003D0A33" w:rsidRPr="002972BB" w:rsidRDefault="003D0A33" w:rsidP="0020479B">
      <w:pPr>
        <w:spacing w:line="360" w:lineRule="auto"/>
        <w:jc w:val="both"/>
        <w:rPr>
          <w:rFonts w:ascii="Arial" w:hAnsi="Arial" w:cs="Arial"/>
        </w:rPr>
      </w:pPr>
    </w:p>
    <w:p w14:paraId="04EE6C28" w14:textId="5E8B9058" w:rsidR="002972BB" w:rsidRPr="003D0A33" w:rsidRDefault="002972BB" w:rsidP="0020479B">
      <w:pPr>
        <w:spacing w:line="360" w:lineRule="auto"/>
        <w:jc w:val="both"/>
        <w:rPr>
          <w:rFonts w:ascii="Arial" w:hAnsi="Arial" w:cs="Arial"/>
          <w:b/>
          <w:bCs/>
        </w:rPr>
      </w:pPr>
      <w:r w:rsidRPr="003D0A33">
        <w:rPr>
          <w:rFonts w:ascii="Arial" w:hAnsi="Arial" w:cs="Arial"/>
          <w:b/>
          <w:bCs/>
        </w:rPr>
        <w:t>Jurisdictional Fragmentation During Pandemic Response</w:t>
      </w:r>
    </w:p>
    <w:p w14:paraId="1AA29028" w14:textId="29615517" w:rsidR="0016294E" w:rsidRPr="0016294E" w:rsidRDefault="0016294E" w:rsidP="0020479B">
      <w:pPr>
        <w:spacing w:line="360" w:lineRule="auto"/>
        <w:jc w:val="both"/>
        <w:rPr>
          <w:rFonts w:ascii="Arial" w:hAnsi="Arial" w:cs="Arial"/>
        </w:rPr>
      </w:pPr>
      <w:r w:rsidRPr="0016294E">
        <w:rPr>
          <w:rFonts w:ascii="Arial" w:hAnsi="Arial" w:cs="Arial"/>
        </w:rPr>
        <w:t>Canada's federal structure posed unique coordination challenges during the COVID-19 pandemic. While the Public Health Agency of Canada (PHAC) provided national guidance, coordinated international border measures, and facilitated information sharing, provinces independently determined most public health interventions including lockdown measures, business restrictions, school closures, gathering limits, and mask mandates (Fierlbeck, 2020). This jurisdictional division resulted in significant interprovincial variation, with some provinces implementing aggressive early restrictions while others adopted more gradual approaches (Fierlbeck, 2020; Greer et al., 2020).</w:t>
      </w:r>
      <w:r>
        <w:rPr>
          <w:rFonts w:ascii="Arial" w:hAnsi="Arial" w:cs="Arial"/>
        </w:rPr>
        <w:t xml:space="preserve"> </w:t>
      </w:r>
      <w:r w:rsidRPr="0016294E">
        <w:rPr>
          <w:rFonts w:ascii="Arial" w:hAnsi="Arial" w:cs="Arial"/>
        </w:rPr>
        <w:t xml:space="preserve">The federal government lacked constitutional authority to impose uniform measures without provincial cooperation, necessitating extensive intergovernmental negotiation through forums such as the Council of the Federation and federal-provincial-territorial ministerial meetings (Fierlbeck, 2020; Laforest and Phillips, 2021). </w:t>
      </w:r>
    </w:p>
    <w:p w14:paraId="4CE7C977" w14:textId="77777777" w:rsidR="00E319FC" w:rsidRPr="0016294E" w:rsidRDefault="00E319FC" w:rsidP="0020479B">
      <w:pPr>
        <w:spacing w:line="360" w:lineRule="auto"/>
        <w:jc w:val="both"/>
        <w:rPr>
          <w:rFonts w:ascii="Arial" w:hAnsi="Arial" w:cs="Arial"/>
          <w:b/>
          <w:bCs/>
        </w:rPr>
      </w:pPr>
    </w:p>
    <w:p w14:paraId="2C9CE1A6" w14:textId="0EDFBBC4" w:rsidR="002972BB" w:rsidRPr="0016294E" w:rsidRDefault="002972BB" w:rsidP="0020479B">
      <w:pPr>
        <w:spacing w:line="360" w:lineRule="auto"/>
        <w:jc w:val="both"/>
        <w:rPr>
          <w:rFonts w:ascii="Arial" w:hAnsi="Arial" w:cs="Arial"/>
          <w:b/>
          <w:bCs/>
        </w:rPr>
      </w:pPr>
      <w:r w:rsidRPr="0016294E">
        <w:rPr>
          <w:rFonts w:ascii="Arial" w:hAnsi="Arial" w:cs="Arial"/>
          <w:b/>
          <w:bCs/>
        </w:rPr>
        <w:t>Vaccine Procurement and Distribution Challenges</w:t>
      </w:r>
    </w:p>
    <w:p w14:paraId="0C432CAB" w14:textId="77777777" w:rsidR="0016294E" w:rsidRPr="0016294E" w:rsidRDefault="0016294E" w:rsidP="0020479B">
      <w:pPr>
        <w:spacing w:line="360" w:lineRule="auto"/>
        <w:jc w:val="both"/>
        <w:rPr>
          <w:rFonts w:ascii="Arial" w:hAnsi="Arial" w:cs="Arial"/>
        </w:rPr>
      </w:pPr>
      <w:r w:rsidRPr="0016294E">
        <w:rPr>
          <w:rFonts w:ascii="Arial" w:hAnsi="Arial" w:cs="Arial"/>
        </w:rPr>
        <w:t>Canada's vaccination campaign illustrated both strengths and limitations of federal-provincial coordination (Forman et al., 2021; Laforest and Phillips, 2021). The federal government successfully negotiated diverse vaccine supply agreements with multiple manufacturers, ultimately securing more doses per capita than most countries (Forman et al., 2021). Federal procurement efforts prioritised supply diversity to mitigate risks of manufacturing delays or efficacy issues with specific vaccines, negotiating contracts with seven different manufacturers by early 2021 (Forman et al., 2021; Vogel, 2021).</w:t>
      </w:r>
    </w:p>
    <w:p w14:paraId="08154B68" w14:textId="367AE9CB" w:rsidR="0016294E" w:rsidRPr="0016294E" w:rsidRDefault="0016294E" w:rsidP="0020479B">
      <w:pPr>
        <w:spacing w:line="360" w:lineRule="auto"/>
        <w:jc w:val="both"/>
        <w:rPr>
          <w:rFonts w:ascii="Arial" w:hAnsi="Arial" w:cs="Arial"/>
        </w:rPr>
      </w:pPr>
      <w:r>
        <w:rPr>
          <w:rFonts w:ascii="Arial" w:hAnsi="Arial" w:cs="Arial"/>
        </w:rPr>
        <w:lastRenderedPageBreak/>
        <w:t>I</w:t>
      </w:r>
      <w:r w:rsidRPr="0016294E">
        <w:rPr>
          <w:rFonts w:ascii="Arial" w:hAnsi="Arial" w:cs="Arial"/>
        </w:rPr>
        <w:t xml:space="preserve">nitial distribution faced challenges stemming from Canada's lack of domestic vaccine manufacturing capacity and the need to coordinate delivery across provincial systems with varying infrastructure (Forman et al., 2021; Laforest and Phillips, 2021). Early supply constraints meant provinces received limited initial doses, requiring careful prioritisation decisions (Forman et al., 2021). Some provinces achieved rapid deployment utilising existing infrastructure while others experienced delays due to logistical challenges, particularly in reaching remote northern and Indigenous communities (Forman et al., 2021; Macdonald and Steenbeek, 2021). </w:t>
      </w:r>
    </w:p>
    <w:p w14:paraId="2D30370B" w14:textId="77777777" w:rsidR="00E319FC" w:rsidRPr="002972BB" w:rsidRDefault="00E319FC" w:rsidP="0020479B">
      <w:pPr>
        <w:spacing w:line="360" w:lineRule="auto"/>
        <w:jc w:val="both"/>
        <w:rPr>
          <w:rFonts w:ascii="Arial" w:hAnsi="Arial" w:cs="Arial"/>
        </w:rPr>
      </w:pPr>
    </w:p>
    <w:p w14:paraId="16065E34" w14:textId="3B2FCAAC" w:rsidR="002972BB" w:rsidRPr="007303FE" w:rsidRDefault="002972BB" w:rsidP="0020479B">
      <w:pPr>
        <w:spacing w:line="360" w:lineRule="auto"/>
        <w:jc w:val="both"/>
        <w:rPr>
          <w:rFonts w:ascii="Arial" w:hAnsi="Arial" w:cs="Arial"/>
          <w:b/>
          <w:bCs/>
        </w:rPr>
      </w:pPr>
      <w:r w:rsidRPr="007303FE">
        <w:rPr>
          <w:rFonts w:ascii="Arial" w:hAnsi="Arial" w:cs="Arial"/>
          <w:b/>
          <w:bCs/>
        </w:rPr>
        <w:t>Comparative Analysis of Healthcare System Structures</w:t>
      </w:r>
    </w:p>
    <w:p w14:paraId="7F05EB66" w14:textId="77777777" w:rsidR="007303FE" w:rsidRDefault="007303FE" w:rsidP="0020479B">
      <w:pPr>
        <w:spacing w:line="360" w:lineRule="auto"/>
        <w:jc w:val="both"/>
        <w:rPr>
          <w:rFonts w:ascii="Arial" w:hAnsi="Arial" w:cs="Arial"/>
        </w:rPr>
      </w:pPr>
      <w:r w:rsidRPr="007303FE">
        <w:rPr>
          <w:rFonts w:ascii="Arial" w:hAnsi="Arial" w:cs="Arial"/>
        </w:rPr>
        <w:t>The three countries represent fundamentally different approaches to balancing centralisation and decentralisation in healthcare governance, with significant implications for pandemic response capabilities (Greer et al., 2020; Legido-Quigley et al., 2020).</w:t>
      </w:r>
    </w:p>
    <w:p w14:paraId="1BA8F1AD" w14:textId="77777777" w:rsidR="00D152E0" w:rsidRPr="007303FE" w:rsidRDefault="00D152E0" w:rsidP="0020479B">
      <w:pPr>
        <w:spacing w:line="360" w:lineRule="auto"/>
        <w:jc w:val="both"/>
        <w:rPr>
          <w:rFonts w:ascii="Arial" w:hAnsi="Arial" w:cs="Arial"/>
        </w:rPr>
      </w:pPr>
    </w:p>
    <w:p w14:paraId="7637DEFF" w14:textId="1A4D3EA9" w:rsidR="00CB6112" w:rsidRDefault="007303FE" w:rsidP="0020479B">
      <w:pPr>
        <w:spacing w:line="360" w:lineRule="auto"/>
        <w:jc w:val="both"/>
        <w:rPr>
          <w:rFonts w:ascii="Arial" w:hAnsi="Arial" w:cs="Arial"/>
          <w:b/>
          <w:bCs/>
        </w:rPr>
      </w:pPr>
      <w:r w:rsidRPr="007303FE">
        <w:rPr>
          <w:rFonts w:ascii="Arial" w:hAnsi="Arial" w:cs="Arial"/>
          <w:b/>
          <w:bCs/>
        </w:rPr>
        <w:t>Degree of Centralisation</w:t>
      </w:r>
    </w:p>
    <w:p w14:paraId="2124A45D" w14:textId="0E289676" w:rsidR="007303FE" w:rsidRDefault="007303FE" w:rsidP="0020479B">
      <w:pPr>
        <w:spacing w:line="360" w:lineRule="auto"/>
        <w:jc w:val="both"/>
        <w:rPr>
          <w:rFonts w:ascii="Arial" w:hAnsi="Arial" w:cs="Arial"/>
        </w:rPr>
      </w:pPr>
      <w:r w:rsidRPr="007303FE">
        <w:rPr>
          <w:rFonts w:ascii="Arial" w:hAnsi="Arial" w:cs="Arial"/>
        </w:rPr>
        <w:t xml:space="preserve">South Korea maintained the highest degree of centralised strategic coordination, with the KDCA and MOHW exercising substantial authority over pandemic response while leveraging private sector implementation capacity (Kim </w:t>
      </w:r>
      <w:r>
        <w:rPr>
          <w:rFonts w:ascii="Arial" w:hAnsi="Arial" w:cs="Arial"/>
        </w:rPr>
        <w:t>and</w:t>
      </w:r>
      <w:r w:rsidRPr="007303FE">
        <w:rPr>
          <w:rFonts w:ascii="Arial" w:hAnsi="Arial" w:cs="Arial"/>
        </w:rPr>
        <w:t xml:space="preserve"> Lee, 2021). Spain's system was nominally highly decentralised but required temporary crisis recentralisation to enable coordinated response (Legido-Quigley et al., 2020). Canada's federal structure created the most decentralised arrangement, with provinces retaining primary authority throughout the pandemic despite federal coordination efforts (Fierlbeck, 2020; Laforest and Phillips, 2021).</w:t>
      </w:r>
    </w:p>
    <w:p w14:paraId="7503545B" w14:textId="77777777" w:rsidR="00D152E0" w:rsidRPr="007303FE" w:rsidRDefault="00D152E0" w:rsidP="0020479B">
      <w:pPr>
        <w:spacing w:line="360" w:lineRule="auto"/>
        <w:jc w:val="both"/>
        <w:rPr>
          <w:rFonts w:ascii="Arial" w:hAnsi="Arial" w:cs="Arial"/>
        </w:rPr>
      </w:pPr>
    </w:p>
    <w:p w14:paraId="184B2EC9" w14:textId="7A59E387" w:rsidR="00D97BC8" w:rsidRDefault="007303FE" w:rsidP="0020479B">
      <w:pPr>
        <w:spacing w:line="360" w:lineRule="auto"/>
        <w:jc w:val="both"/>
        <w:rPr>
          <w:rFonts w:ascii="Arial" w:hAnsi="Arial" w:cs="Arial"/>
          <w:b/>
          <w:bCs/>
        </w:rPr>
      </w:pPr>
      <w:r w:rsidRPr="007303FE">
        <w:rPr>
          <w:rFonts w:ascii="Arial" w:hAnsi="Arial" w:cs="Arial"/>
          <w:b/>
          <w:bCs/>
        </w:rPr>
        <w:t>Coordination Mechanisms</w:t>
      </w:r>
    </w:p>
    <w:p w14:paraId="15C24474" w14:textId="7BF244ED" w:rsidR="007303FE" w:rsidRDefault="007303FE" w:rsidP="0020479B">
      <w:pPr>
        <w:spacing w:line="360" w:lineRule="auto"/>
        <w:jc w:val="both"/>
        <w:rPr>
          <w:rFonts w:ascii="Arial" w:hAnsi="Arial" w:cs="Arial"/>
        </w:rPr>
      </w:pPr>
      <w:r w:rsidRPr="007303FE">
        <w:rPr>
          <w:rFonts w:ascii="Arial" w:hAnsi="Arial" w:cs="Arial"/>
        </w:rPr>
        <w:t xml:space="preserve">Effective pandemic response required coordination regardless of governance structure, but mechanisms differed substantially (Greer et al., 2020). South Korea's coordination occurred through hierarchical government authority and public-private partnerships established through regulatory frameworks (Kim </w:t>
      </w:r>
      <w:r>
        <w:rPr>
          <w:rFonts w:ascii="Arial" w:hAnsi="Arial" w:cs="Arial"/>
        </w:rPr>
        <w:t>and</w:t>
      </w:r>
      <w:r w:rsidRPr="007303FE">
        <w:rPr>
          <w:rFonts w:ascii="Arial" w:hAnsi="Arial" w:cs="Arial"/>
        </w:rPr>
        <w:t xml:space="preserve"> Lee, 2021; Choi et al., 2020). Spain initially struggled with coordination across autonomous communities, improved following crisis centralisation, and ultimately developed hybrid coordination during vaccination (Legido-Quigley et al., 2020). Canada relied primarily on intergovernmental negotiation, consensus-building through ministerial councils, and federal financial leverage rather than direct authority (Fierlbeck, 2020; Laforest and Phillips, 2021). </w:t>
      </w:r>
    </w:p>
    <w:p w14:paraId="6663A06F" w14:textId="77777777" w:rsidR="00D152E0" w:rsidRPr="007303FE" w:rsidRDefault="00D152E0" w:rsidP="0020479B">
      <w:pPr>
        <w:spacing w:line="360" w:lineRule="auto"/>
        <w:jc w:val="both"/>
        <w:rPr>
          <w:rFonts w:ascii="Arial" w:hAnsi="Arial" w:cs="Arial"/>
        </w:rPr>
      </w:pPr>
    </w:p>
    <w:p w14:paraId="46C5F21E" w14:textId="30644171" w:rsidR="00D97BC8" w:rsidRDefault="007303FE" w:rsidP="0020479B">
      <w:pPr>
        <w:spacing w:line="360" w:lineRule="auto"/>
        <w:jc w:val="both"/>
        <w:rPr>
          <w:rFonts w:ascii="Arial" w:hAnsi="Arial" w:cs="Arial"/>
          <w:b/>
          <w:bCs/>
        </w:rPr>
      </w:pPr>
      <w:r w:rsidRPr="007303FE">
        <w:rPr>
          <w:rFonts w:ascii="Arial" w:hAnsi="Arial" w:cs="Arial"/>
          <w:b/>
          <w:bCs/>
        </w:rPr>
        <w:t>Resource Mobilisation</w:t>
      </w:r>
    </w:p>
    <w:p w14:paraId="58C8C040" w14:textId="10D7EDAE" w:rsidR="007303FE" w:rsidRPr="007303FE" w:rsidRDefault="007303FE" w:rsidP="0020479B">
      <w:pPr>
        <w:spacing w:line="360" w:lineRule="auto"/>
        <w:jc w:val="both"/>
        <w:rPr>
          <w:rFonts w:ascii="Arial" w:hAnsi="Arial" w:cs="Arial"/>
        </w:rPr>
      </w:pPr>
      <w:r w:rsidRPr="007303FE">
        <w:rPr>
          <w:rFonts w:ascii="Arial" w:hAnsi="Arial" w:cs="Arial"/>
        </w:rPr>
        <w:t>Centralised systems</w:t>
      </w:r>
      <w:r w:rsidR="009F756D">
        <w:rPr>
          <w:rFonts w:ascii="Arial" w:hAnsi="Arial" w:cs="Arial"/>
        </w:rPr>
        <w:t xml:space="preserve"> </w:t>
      </w:r>
      <w:r w:rsidRPr="007303FE">
        <w:rPr>
          <w:rFonts w:ascii="Arial" w:hAnsi="Arial" w:cs="Arial"/>
        </w:rPr>
        <w:t xml:space="preserve">demonstrated advantages in resource mobilisation and redistribution (Legido-Quigley et al., 2020). South Korea effectively directed resources to outbreak hotspots and coordinated national procurement (Kim </w:t>
      </w:r>
      <w:r>
        <w:rPr>
          <w:rFonts w:ascii="Arial" w:hAnsi="Arial" w:cs="Arial"/>
        </w:rPr>
        <w:t>and</w:t>
      </w:r>
      <w:r w:rsidRPr="007303FE">
        <w:rPr>
          <w:rFonts w:ascii="Arial" w:hAnsi="Arial" w:cs="Arial"/>
        </w:rPr>
        <w:t xml:space="preserve"> Lee, 2021). Spain struggled with resource distribution initially but improved following centralisation (Legido-Quigley et al., 2020). Canada's federal government provided substantial financial resources but depended on provincial capacity for operational deployment, creating implementation variability (Fierlbeck, 2020; </w:t>
      </w:r>
      <w:r w:rsidRPr="007303FE">
        <w:rPr>
          <w:rFonts w:ascii="Arial" w:hAnsi="Arial" w:cs="Arial"/>
        </w:rPr>
        <w:t>Beland</w:t>
      </w:r>
      <w:r w:rsidRPr="007303FE">
        <w:rPr>
          <w:rFonts w:ascii="Arial" w:hAnsi="Arial" w:cs="Arial"/>
        </w:rPr>
        <w:t xml:space="preserve"> et al., 2021).</w:t>
      </w:r>
    </w:p>
    <w:p w14:paraId="11631E28" w14:textId="77777777" w:rsidR="007303FE" w:rsidRDefault="007303FE" w:rsidP="0020479B">
      <w:pPr>
        <w:spacing w:line="360" w:lineRule="auto"/>
        <w:jc w:val="both"/>
        <w:rPr>
          <w:rFonts w:ascii="Arial" w:hAnsi="Arial" w:cs="Arial"/>
        </w:rPr>
      </w:pPr>
    </w:p>
    <w:p w14:paraId="753E1E4F" w14:textId="77777777" w:rsidR="007303FE" w:rsidRPr="007303FE" w:rsidRDefault="007303FE" w:rsidP="0020479B">
      <w:pPr>
        <w:spacing w:line="360" w:lineRule="auto"/>
        <w:jc w:val="both"/>
        <w:rPr>
          <w:rFonts w:ascii="Arial" w:hAnsi="Arial" w:cs="Arial"/>
        </w:rPr>
      </w:pPr>
    </w:p>
    <w:p w14:paraId="03C8E8A7" w14:textId="6F3E5C38" w:rsidR="00EC5D7D" w:rsidRDefault="00EC5D7D" w:rsidP="00180CD7">
      <w:pPr>
        <w:pStyle w:val="NoSpacing"/>
        <w:numPr>
          <w:ilvl w:val="0"/>
          <w:numId w:val="1"/>
        </w:numPr>
        <w:rPr>
          <w:rFonts w:ascii="Arial" w:hAnsi="Arial" w:cs="Arial"/>
          <w:b/>
          <w:bCs/>
          <w:sz w:val="28"/>
          <w:szCs w:val="28"/>
        </w:rPr>
      </w:pPr>
      <w:bookmarkStart w:id="8" w:name="_Toc216707583"/>
      <w:r w:rsidRPr="00180CD7">
        <w:rPr>
          <w:rFonts w:ascii="Arial" w:hAnsi="Arial" w:cs="Arial"/>
          <w:b/>
          <w:bCs/>
          <w:sz w:val="28"/>
          <w:szCs w:val="28"/>
        </w:rPr>
        <w:t>Leadership Styles</w:t>
      </w:r>
      <w:r w:rsidR="00C27D07" w:rsidRPr="00180CD7">
        <w:rPr>
          <w:rFonts w:ascii="Arial" w:hAnsi="Arial" w:cs="Arial"/>
          <w:b/>
          <w:bCs/>
          <w:sz w:val="28"/>
          <w:szCs w:val="28"/>
        </w:rPr>
        <w:t xml:space="preserve"> and Theories</w:t>
      </w:r>
      <w:r w:rsidRPr="00180CD7">
        <w:rPr>
          <w:rFonts w:ascii="Arial" w:hAnsi="Arial" w:cs="Arial"/>
          <w:b/>
          <w:bCs/>
          <w:sz w:val="28"/>
          <w:szCs w:val="28"/>
        </w:rPr>
        <w:t xml:space="preserve"> in COVID-19 Pandemic Response</w:t>
      </w:r>
      <w:bookmarkEnd w:id="8"/>
    </w:p>
    <w:p w14:paraId="0BE870DC" w14:textId="77777777" w:rsidR="00180CD7" w:rsidRPr="00180CD7" w:rsidRDefault="00180CD7" w:rsidP="00180CD7">
      <w:pPr>
        <w:pStyle w:val="NoSpacing"/>
        <w:ind w:left="720"/>
        <w:rPr>
          <w:rFonts w:ascii="Arial" w:hAnsi="Arial" w:cs="Arial"/>
          <w:b/>
          <w:bCs/>
          <w:sz w:val="28"/>
          <w:szCs w:val="28"/>
        </w:rPr>
      </w:pPr>
    </w:p>
    <w:p w14:paraId="63466DE6" w14:textId="1FF3067E" w:rsidR="00180CD7" w:rsidRDefault="00D458C1" w:rsidP="00180CD7">
      <w:pPr>
        <w:pStyle w:val="NoSpacing"/>
        <w:numPr>
          <w:ilvl w:val="1"/>
          <w:numId w:val="1"/>
        </w:numPr>
        <w:rPr>
          <w:rFonts w:ascii="Arial" w:hAnsi="Arial" w:cs="Arial"/>
          <w:b/>
          <w:bCs/>
          <w:sz w:val="24"/>
          <w:szCs w:val="24"/>
        </w:rPr>
      </w:pPr>
      <w:bookmarkStart w:id="9" w:name="_Toc216707584"/>
      <w:r w:rsidRPr="00180CD7">
        <w:rPr>
          <w:rFonts w:ascii="Arial" w:hAnsi="Arial" w:cs="Arial"/>
          <w:b/>
          <w:bCs/>
          <w:sz w:val="24"/>
          <w:szCs w:val="24"/>
        </w:rPr>
        <w:t>Authoritative Leadership</w:t>
      </w:r>
      <w:r w:rsidRPr="00180CD7">
        <w:rPr>
          <w:rFonts w:ascii="Arial" w:hAnsi="Arial" w:cs="Arial"/>
          <w:b/>
          <w:bCs/>
          <w:sz w:val="24"/>
          <w:szCs w:val="24"/>
        </w:rPr>
        <w:t xml:space="preserve"> </w:t>
      </w:r>
      <w:r w:rsidRPr="00180CD7">
        <w:rPr>
          <w:rFonts w:ascii="Arial" w:hAnsi="Arial" w:cs="Arial"/>
          <w:b/>
          <w:bCs/>
          <w:sz w:val="24"/>
          <w:szCs w:val="24"/>
        </w:rPr>
        <w:t>Styles in Spain</w:t>
      </w:r>
      <w:bookmarkEnd w:id="9"/>
    </w:p>
    <w:p w14:paraId="129443D4" w14:textId="4D66292C" w:rsidR="00D458C1" w:rsidRPr="00180CD7" w:rsidRDefault="00CE3789" w:rsidP="00180CD7">
      <w:pPr>
        <w:pStyle w:val="NoSpacing"/>
        <w:rPr>
          <w:rFonts w:ascii="Arial" w:hAnsi="Arial" w:cs="Arial"/>
          <w:b/>
          <w:bCs/>
          <w:sz w:val="24"/>
          <w:szCs w:val="24"/>
        </w:rPr>
      </w:pPr>
      <w:r w:rsidRPr="00180CD7">
        <w:rPr>
          <w:rFonts w:ascii="Arial" w:hAnsi="Arial" w:cs="Arial"/>
          <w:b/>
          <w:bCs/>
          <w:sz w:val="24"/>
          <w:szCs w:val="24"/>
        </w:rPr>
        <w:t xml:space="preserve"> </w:t>
      </w:r>
    </w:p>
    <w:p w14:paraId="1DD43C7D" w14:textId="61DFCB82" w:rsidR="00D458C1" w:rsidRPr="00D458C1" w:rsidRDefault="00D458C1" w:rsidP="0020479B">
      <w:pPr>
        <w:spacing w:line="360" w:lineRule="auto"/>
        <w:jc w:val="both"/>
        <w:rPr>
          <w:rFonts w:ascii="Arial" w:hAnsi="Arial" w:cs="Arial"/>
        </w:rPr>
      </w:pPr>
      <w:r w:rsidRPr="00D458C1">
        <w:rPr>
          <w:rFonts w:ascii="Arial" w:hAnsi="Arial" w:cs="Arial"/>
        </w:rPr>
        <w:t>As Spain's situation deteriorated in March 2020, Illa's leadership shifted toward "crisis management leadership" (Boin et al., 2016). The Spanish government invoked Article 116 of the Constitution, temporarily re-centralising health authority and granting extraordinary powers to impose nationwide measures including strict lockdowns, movement restrictions, and mandatory business closures (Boin et al., 2016; Legido-Quigley et al., 2020). The Minister of Health assumed direct authority over all regional health services, enabling unified command structures (Legido-Quigley et al., 2020</w:t>
      </w:r>
    </w:p>
    <w:p w14:paraId="72215662" w14:textId="1FEBDB22" w:rsidR="00D458C1" w:rsidRDefault="00D458C1" w:rsidP="0020479B">
      <w:pPr>
        <w:spacing w:line="360" w:lineRule="auto"/>
        <w:jc w:val="both"/>
        <w:rPr>
          <w:rFonts w:ascii="Arial" w:hAnsi="Arial" w:cs="Arial"/>
        </w:rPr>
      </w:pPr>
      <w:r w:rsidRPr="00D458C1">
        <w:rPr>
          <w:rFonts w:ascii="Arial" w:hAnsi="Arial" w:cs="Arial"/>
        </w:rPr>
        <w:t>This authoritative style proved necessary for coordinated national response that Spain's fragmented regional system had failed to achieve independently (Legido-Quigley et al., 2020). The approach reflected situational leadership theory's premise that effective leaders adapt their approach to circumstances</w:t>
      </w:r>
      <w:r>
        <w:rPr>
          <w:rFonts w:ascii="Arial" w:hAnsi="Arial" w:cs="Arial"/>
        </w:rPr>
        <w:t xml:space="preserve">, </w:t>
      </w:r>
      <w:r w:rsidRPr="00D458C1">
        <w:rPr>
          <w:rFonts w:ascii="Arial" w:hAnsi="Arial" w:cs="Arial"/>
        </w:rPr>
        <w:t xml:space="preserve">during acute crises, directive styles may prove more effective than participatory approaches requiring time-consuming consensus-building (Hersey </w:t>
      </w:r>
      <w:r>
        <w:rPr>
          <w:rFonts w:ascii="Arial" w:hAnsi="Arial" w:cs="Arial"/>
        </w:rPr>
        <w:t>and</w:t>
      </w:r>
      <w:r w:rsidRPr="00D458C1">
        <w:rPr>
          <w:rFonts w:ascii="Arial" w:hAnsi="Arial" w:cs="Arial"/>
        </w:rPr>
        <w:t xml:space="preserve"> Blanchard, 1969).</w:t>
      </w:r>
    </w:p>
    <w:p w14:paraId="1AE87D37" w14:textId="77777777" w:rsidR="00D152E0" w:rsidRDefault="00D152E0" w:rsidP="0020479B">
      <w:pPr>
        <w:spacing w:line="360" w:lineRule="auto"/>
        <w:jc w:val="both"/>
        <w:rPr>
          <w:rFonts w:ascii="Arial" w:hAnsi="Arial" w:cs="Arial"/>
        </w:rPr>
      </w:pPr>
    </w:p>
    <w:p w14:paraId="796A0ECC" w14:textId="77777777" w:rsidR="00CE3789" w:rsidRDefault="00CE3789" w:rsidP="0020479B">
      <w:pPr>
        <w:spacing w:line="360" w:lineRule="auto"/>
        <w:jc w:val="both"/>
        <w:rPr>
          <w:rFonts w:ascii="Arial" w:hAnsi="Arial" w:cs="Arial"/>
        </w:rPr>
      </w:pPr>
    </w:p>
    <w:p w14:paraId="4AD6BDDA" w14:textId="77777777" w:rsidR="00624396" w:rsidRDefault="00624396" w:rsidP="0020479B">
      <w:pPr>
        <w:spacing w:line="360" w:lineRule="auto"/>
        <w:jc w:val="both"/>
        <w:rPr>
          <w:rFonts w:ascii="Arial" w:hAnsi="Arial" w:cs="Arial"/>
        </w:rPr>
      </w:pPr>
    </w:p>
    <w:p w14:paraId="0E336185" w14:textId="77777777" w:rsidR="00624396" w:rsidRPr="00D458C1" w:rsidRDefault="00624396" w:rsidP="0020479B">
      <w:pPr>
        <w:spacing w:line="360" w:lineRule="auto"/>
        <w:jc w:val="both"/>
        <w:rPr>
          <w:rFonts w:ascii="Arial" w:hAnsi="Arial" w:cs="Arial"/>
        </w:rPr>
      </w:pPr>
    </w:p>
    <w:p w14:paraId="6FB42E0D" w14:textId="18667230" w:rsidR="00D458C1" w:rsidRPr="00D458C1" w:rsidRDefault="00D458C1" w:rsidP="0020479B">
      <w:pPr>
        <w:spacing w:line="360" w:lineRule="auto"/>
        <w:jc w:val="both"/>
        <w:rPr>
          <w:rFonts w:ascii="Arial" w:hAnsi="Arial" w:cs="Arial"/>
          <w:b/>
          <w:bCs/>
        </w:rPr>
      </w:pPr>
      <w:r w:rsidRPr="00D458C1">
        <w:rPr>
          <w:rFonts w:ascii="Arial" w:hAnsi="Arial" w:cs="Arial"/>
          <w:b/>
          <w:bCs/>
        </w:rPr>
        <w:lastRenderedPageBreak/>
        <w:t>Vaccination Phase</w:t>
      </w:r>
      <w:r w:rsidR="00CE3789">
        <w:rPr>
          <w:rFonts w:ascii="Arial" w:hAnsi="Arial" w:cs="Arial"/>
          <w:b/>
          <w:bCs/>
        </w:rPr>
        <w:t xml:space="preserve"> </w:t>
      </w:r>
    </w:p>
    <w:p w14:paraId="6E579451" w14:textId="77777777" w:rsidR="00D458C1" w:rsidRPr="00D458C1" w:rsidRDefault="00D458C1" w:rsidP="0020479B">
      <w:pPr>
        <w:spacing w:line="360" w:lineRule="auto"/>
        <w:jc w:val="both"/>
        <w:rPr>
          <w:rFonts w:ascii="Arial" w:hAnsi="Arial" w:cs="Arial"/>
        </w:rPr>
      </w:pPr>
      <w:r w:rsidRPr="00D458C1">
        <w:rPr>
          <w:rFonts w:ascii="Arial" w:hAnsi="Arial" w:cs="Arial"/>
        </w:rPr>
        <w:t>During the vaccination campaign beginning in late 2020, Illa's leadership evolved toward transformational and collaborative styles (Lazarus et al., 2021). Transformational leadership involves inspiring collective action toward shared goals, articulating compelling visions, and empowering distributed actors (Bass &amp; Riggio, 2006). Illa framed vaccination as Spain's pathway to recovery, emphasising social solidarity and collective responsibility to protect vulnerable populations (Lazarus et al., 2021).</w:t>
      </w:r>
    </w:p>
    <w:p w14:paraId="30E1E156" w14:textId="77777777" w:rsidR="00D458C1" w:rsidRDefault="00D458C1" w:rsidP="0020479B">
      <w:pPr>
        <w:spacing w:line="360" w:lineRule="auto"/>
        <w:jc w:val="both"/>
        <w:rPr>
          <w:rFonts w:ascii="Arial" w:hAnsi="Arial" w:cs="Arial"/>
        </w:rPr>
      </w:pPr>
      <w:r w:rsidRPr="00D458C1">
        <w:rPr>
          <w:rFonts w:ascii="Arial" w:hAnsi="Arial" w:cs="Arial"/>
        </w:rPr>
        <w:t>Spain's vaccination campaign demonstrated more effective coordination between central and regional authorities (Lazarus et al., 2021). The central government negotiated vaccine procurement through the European Union framework, ensuring equitable access across regions (Forman et al., 2021; Lazarus et al., 2021). The Ministry established national prioritisation guidelines identifying vulnerable populations including healthcare workers, elderly residents, and individuals with comorbidities (Lazarus et al., 2021).</w:t>
      </w:r>
    </w:p>
    <w:p w14:paraId="27391F9C" w14:textId="77777777" w:rsidR="00CE3789" w:rsidRDefault="00CE3789" w:rsidP="0020479B">
      <w:pPr>
        <w:spacing w:line="360" w:lineRule="auto"/>
        <w:jc w:val="both"/>
        <w:rPr>
          <w:rFonts w:ascii="Arial" w:hAnsi="Arial" w:cs="Arial"/>
        </w:rPr>
      </w:pPr>
    </w:p>
    <w:p w14:paraId="530C2F07" w14:textId="57794BB3" w:rsidR="00CE3789" w:rsidRPr="00CE3789" w:rsidRDefault="00CE3789" w:rsidP="0020479B">
      <w:pPr>
        <w:spacing w:line="360" w:lineRule="auto"/>
        <w:jc w:val="both"/>
        <w:rPr>
          <w:rFonts w:ascii="Arial" w:hAnsi="Arial" w:cs="Arial"/>
          <w:b/>
          <w:bCs/>
          <w:sz w:val="24"/>
          <w:szCs w:val="24"/>
        </w:rPr>
      </w:pPr>
      <w:r w:rsidRPr="00CE3789">
        <w:rPr>
          <w:rFonts w:ascii="Arial" w:hAnsi="Arial" w:cs="Arial"/>
          <w:b/>
          <w:bCs/>
          <w:sz w:val="24"/>
          <w:szCs w:val="24"/>
        </w:rPr>
        <w:t>Critical Evaluation</w:t>
      </w:r>
    </w:p>
    <w:p w14:paraId="15750CF1" w14:textId="4133AA84" w:rsidR="00CE3789" w:rsidRPr="00CE3789" w:rsidRDefault="00CE3789" w:rsidP="0020479B">
      <w:pPr>
        <w:spacing w:line="360" w:lineRule="auto"/>
        <w:jc w:val="both"/>
        <w:rPr>
          <w:rFonts w:ascii="Arial" w:hAnsi="Arial" w:cs="Arial"/>
        </w:rPr>
      </w:pPr>
      <w:r w:rsidRPr="00CE3789">
        <w:rPr>
          <w:rFonts w:ascii="Arial" w:hAnsi="Arial" w:cs="Arial"/>
          <w:b/>
          <w:bCs/>
        </w:rPr>
        <w:t>Advantages</w:t>
      </w:r>
    </w:p>
    <w:p w14:paraId="0F617465" w14:textId="04653F3D" w:rsidR="00D152E0" w:rsidRDefault="00CE3789" w:rsidP="0020479B">
      <w:pPr>
        <w:spacing w:line="360" w:lineRule="auto"/>
        <w:jc w:val="both"/>
        <w:rPr>
          <w:rFonts w:ascii="Arial" w:hAnsi="Arial" w:cs="Arial"/>
        </w:rPr>
      </w:pPr>
      <w:r w:rsidRPr="00CE3789">
        <w:rPr>
          <w:rFonts w:ascii="Arial" w:hAnsi="Arial" w:cs="Arial"/>
        </w:rPr>
        <w:t>The primary advantage of Illa's adaptive approach was its responsiveness to changing circumstances (Legido-Quigley et al., 2020). The shift from technical to crisis management leadership enabled decisive intervention when Spain faced healthcare system collapse. Authoritative centralisation facilitated rapid resource mobilisation, standardised protocols, and uniform implementation that fragmented regional responses could not achieve (Legido-Quigley et al., 2020). The subsequent transition to collaborative leadership during vaccination preserved coordination benefits while re-engaging regional capacity and respecting constitutional autonomy (Lazarus et al., 2021).</w:t>
      </w:r>
    </w:p>
    <w:p w14:paraId="281EF52A" w14:textId="77777777" w:rsidR="00D152E0" w:rsidRPr="00CE3789" w:rsidRDefault="00D152E0" w:rsidP="0020479B">
      <w:pPr>
        <w:spacing w:line="360" w:lineRule="auto"/>
        <w:jc w:val="both"/>
        <w:rPr>
          <w:rFonts w:ascii="Arial" w:hAnsi="Arial" w:cs="Arial"/>
        </w:rPr>
      </w:pPr>
    </w:p>
    <w:p w14:paraId="24DE6F70" w14:textId="16835E85" w:rsidR="00CE3789" w:rsidRPr="00CE3789" w:rsidRDefault="00CE3789" w:rsidP="0020479B">
      <w:pPr>
        <w:spacing w:line="360" w:lineRule="auto"/>
        <w:jc w:val="both"/>
        <w:rPr>
          <w:rFonts w:ascii="Arial" w:hAnsi="Arial" w:cs="Arial"/>
        </w:rPr>
      </w:pPr>
      <w:r w:rsidRPr="00CE3789">
        <w:rPr>
          <w:rFonts w:ascii="Arial" w:hAnsi="Arial" w:cs="Arial"/>
          <w:b/>
          <w:bCs/>
        </w:rPr>
        <w:t>Disadvantages</w:t>
      </w:r>
    </w:p>
    <w:p w14:paraId="54ABE32F" w14:textId="77777777" w:rsidR="00CE3789" w:rsidRDefault="00CE3789" w:rsidP="0020479B">
      <w:pPr>
        <w:spacing w:line="360" w:lineRule="auto"/>
        <w:jc w:val="both"/>
        <w:rPr>
          <w:rFonts w:ascii="Arial" w:hAnsi="Arial" w:cs="Arial"/>
        </w:rPr>
      </w:pPr>
      <w:r w:rsidRPr="00CE3789">
        <w:rPr>
          <w:rFonts w:ascii="Arial" w:hAnsi="Arial" w:cs="Arial"/>
        </w:rPr>
        <w:t>The authoritative crisis leadership, while effective for rapid mobilisation, generated political tensions with autonomous communities who viewed central intervention as constitutional overreach (Legido-Quigley et al., 2020). Some regional governments resisted central directives, arguing they understood local contexts better and possessed constitutional authority over health matters. These tensions complicated coordination and created compliance challenges in regions with strong autonomy movements, particularly Catalonia and the Basque Country.</w:t>
      </w:r>
    </w:p>
    <w:p w14:paraId="2E0C835D" w14:textId="77777777" w:rsidR="005B3278" w:rsidRPr="00D152E0" w:rsidRDefault="005B3278" w:rsidP="0020479B">
      <w:pPr>
        <w:spacing w:line="360" w:lineRule="auto"/>
        <w:jc w:val="both"/>
        <w:rPr>
          <w:rFonts w:ascii="Arial" w:hAnsi="Arial" w:cs="Arial"/>
          <w:sz w:val="24"/>
          <w:szCs w:val="24"/>
        </w:rPr>
      </w:pPr>
    </w:p>
    <w:p w14:paraId="786D92CD" w14:textId="24903893" w:rsidR="00C27D07" w:rsidRDefault="00C33C2E" w:rsidP="00180CD7">
      <w:pPr>
        <w:pStyle w:val="NoSpacing"/>
        <w:rPr>
          <w:rFonts w:ascii="Arial" w:hAnsi="Arial" w:cs="Arial"/>
          <w:b/>
          <w:bCs/>
          <w:sz w:val="24"/>
          <w:szCs w:val="24"/>
        </w:rPr>
      </w:pPr>
      <w:bookmarkStart w:id="10" w:name="_Toc216707585"/>
      <w:r w:rsidRPr="00180CD7">
        <w:rPr>
          <w:rFonts w:ascii="Arial" w:hAnsi="Arial" w:cs="Arial"/>
          <w:b/>
          <w:bCs/>
          <w:sz w:val="24"/>
          <w:szCs w:val="24"/>
        </w:rPr>
        <w:t>S</w:t>
      </w:r>
      <w:r w:rsidRPr="00180CD7">
        <w:rPr>
          <w:rFonts w:ascii="Arial" w:hAnsi="Arial" w:cs="Arial"/>
          <w:b/>
          <w:bCs/>
          <w:sz w:val="24"/>
          <w:szCs w:val="24"/>
        </w:rPr>
        <w:t>pain</w:t>
      </w:r>
      <w:r w:rsidRPr="00180CD7">
        <w:rPr>
          <w:rFonts w:ascii="Arial" w:hAnsi="Arial" w:cs="Arial"/>
          <w:b/>
          <w:bCs/>
          <w:sz w:val="24"/>
          <w:szCs w:val="24"/>
        </w:rPr>
        <w:t xml:space="preserve">’s COVID-19 Response and </w:t>
      </w:r>
      <w:r w:rsidR="005B3278" w:rsidRPr="00180CD7">
        <w:rPr>
          <w:rFonts w:ascii="Arial" w:hAnsi="Arial" w:cs="Arial"/>
          <w:b/>
          <w:bCs/>
          <w:sz w:val="24"/>
          <w:szCs w:val="24"/>
        </w:rPr>
        <w:t>Trait Theory</w:t>
      </w:r>
      <w:bookmarkEnd w:id="10"/>
      <w:r w:rsidR="005B3278" w:rsidRPr="00180CD7">
        <w:rPr>
          <w:rFonts w:ascii="Arial" w:hAnsi="Arial" w:cs="Arial"/>
          <w:b/>
          <w:bCs/>
          <w:sz w:val="24"/>
          <w:szCs w:val="24"/>
        </w:rPr>
        <w:t xml:space="preserve"> </w:t>
      </w:r>
    </w:p>
    <w:p w14:paraId="13974A2E" w14:textId="77777777" w:rsidR="00180CD7" w:rsidRPr="00180CD7" w:rsidRDefault="00180CD7" w:rsidP="00180CD7">
      <w:pPr>
        <w:pStyle w:val="NoSpacing"/>
        <w:rPr>
          <w:rFonts w:ascii="Arial" w:hAnsi="Arial" w:cs="Arial"/>
          <w:b/>
          <w:bCs/>
          <w:sz w:val="24"/>
          <w:szCs w:val="24"/>
        </w:rPr>
      </w:pPr>
    </w:p>
    <w:p w14:paraId="5C014028" w14:textId="1EA5B44B" w:rsidR="005B3278" w:rsidRDefault="00C27D07" w:rsidP="0020479B">
      <w:pPr>
        <w:spacing w:line="360" w:lineRule="auto"/>
        <w:jc w:val="both"/>
        <w:rPr>
          <w:rFonts w:ascii="Arial" w:hAnsi="Arial" w:cs="Arial"/>
        </w:rPr>
      </w:pPr>
      <w:r w:rsidRPr="00C27D07">
        <w:rPr>
          <w:rFonts w:ascii="Arial" w:hAnsi="Arial" w:cs="Arial"/>
        </w:rPr>
        <w:t>T</w:t>
      </w:r>
      <w:r w:rsidR="005B3278" w:rsidRPr="005B3278">
        <w:rPr>
          <w:rFonts w:ascii="Arial" w:hAnsi="Arial" w:cs="Arial"/>
        </w:rPr>
        <w:t>rait theory focuses on identifying specific personal characteristics and qualities that distinguish effective leaders from non-leaders (Stogdill, 1948; Northouse, 2019). Early trait theorists believed that leaders possessed innate characteristics that made them effective across contexts. While modern trait theory recognises that traits alone do not guarantee leadership success</w:t>
      </w:r>
      <w:r w:rsidR="00E6256F">
        <w:rPr>
          <w:rFonts w:ascii="Arial" w:hAnsi="Arial" w:cs="Arial"/>
        </w:rPr>
        <w:t xml:space="preserve">, </w:t>
      </w:r>
      <w:r w:rsidR="005B3278" w:rsidRPr="005B3278">
        <w:rPr>
          <w:rFonts w:ascii="Arial" w:hAnsi="Arial" w:cs="Arial"/>
        </w:rPr>
        <w:t>situational factors and learned behaviours</w:t>
      </w:r>
      <w:r w:rsidR="00E6256F">
        <w:rPr>
          <w:rFonts w:ascii="Arial" w:hAnsi="Arial" w:cs="Arial"/>
        </w:rPr>
        <w:t xml:space="preserve"> </w:t>
      </w:r>
      <w:r w:rsidR="005B3278" w:rsidRPr="005B3278">
        <w:rPr>
          <w:rFonts w:ascii="Arial" w:hAnsi="Arial" w:cs="Arial"/>
        </w:rPr>
        <w:t>matter</w:t>
      </w:r>
      <w:r w:rsidR="00E6256F">
        <w:rPr>
          <w:rFonts w:ascii="Arial" w:hAnsi="Arial" w:cs="Arial"/>
        </w:rPr>
        <w:t xml:space="preserve">, </w:t>
      </w:r>
      <w:r w:rsidR="005B3278" w:rsidRPr="005B3278">
        <w:rPr>
          <w:rFonts w:ascii="Arial" w:hAnsi="Arial" w:cs="Arial"/>
        </w:rPr>
        <w:t>certain traits consistently correlate with leadership effectiveness (Northouse, 2019).</w:t>
      </w:r>
    </w:p>
    <w:p w14:paraId="6E0306A4" w14:textId="77777777" w:rsidR="00D152E0" w:rsidRPr="005B3278" w:rsidRDefault="00D152E0" w:rsidP="0020479B">
      <w:pPr>
        <w:spacing w:line="360" w:lineRule="auto"/>
        <w:jc w:val="both"/>
        <w:rPr>
          <w:rFonts w:ascii="Arial" w:hAnsi="Arial" w:cs="Arial"/>
          <w:b/>
          <w:bCs/>
        </w:rPr>
      </w:pPr>
    </w:p>
    <w:p w14:paraId="425BC75E" w14:textId="4959447A" w:rsidR="00E6256F" w:rsidRDefault="005B3278" w:rsidP="0020479B">
      <w:pPr>
        <w:spacing w:line="360" w:lineRule="auto"/>
        <w:jc w:val="both"/>
        <w:rPr>
          <w:rFonts w:ascii="Arial" w:hAnsi="Arial" w:cs="Arial"/>
          <w:b/>
          <w:bCs/>
        </w:rPr>
      </w:pPr>
      <w:r w:rsidRPr="005B3278">
        <w:rPr>
          <w:rFonts w:ascii="Arial" w:hAnsi="Arial" w:cs="Arial"/>
          <w:b/>
          <w:bCs/>
        </w:rPr>
        <w:t>Adaptability and Flexibility</w:t>
      </w:r>
    </w:p>
    <w:p w14:paraId="15E7EF85" w14:textId="30EE55BB" w:rsidR="005B3278" w:rsidRDefault="005B3278" w:rsidP="0020479B">
      <w:pPr>
        <w:spacing w:line="360" w:lineRule="auto"/>
        <w:jc w:val="both"/>
        <w:rPr>
          <w:rFonts w:ascii="Arial" w:hAnsi="Arial" w:cs="Arial"/>
        </w:rPr>
      </w:pPr>
      <w:r w:rsidRPr="005B3278">
        <w:rPr>
          <w:rFonts w:ascii="Arial" w:hAnsi="Arial" w:cs="Arial"/>
        </w:rPr>
        <w:t>Perhaps the most evident trait was Illa's capacity for adaptation. Northouse (2019, p. 27) identifies "adaptive capacity" as a key leadership trait, describing it as "the ability to adapt and adjust to changing circumstances." Illa demonstrated this through his evolution from technical to crisis management to transformational approaches as pandemic demands changed (Legido-Quigley et al., 2020; Lazarus et al., 2021). This flexibility proved crucial for managing an extended crisis requiring different responses across phases.</w:t>
      </w:r>
    </w:p>
    <w:p w14:paraId="1ECD65B9" w14:textId="77777777" w:rsidR="00D152E0" w:rsidRPr="005B3278" w:rsidRDefault="00D152E0" w:rsidP="0020479B">
      <w:pPr>
        <w:spacing w:line="360" w:lineRule="auto"/>
        <w:jc w:val="both"/>
        <w:rPr>
          <w:rFonts w:ascii="Arial" w:hAnsi="Arial" w:cs="Arial"/>
        </w:rPr>
      </w:pPr>
    </w:p>
    <w:p w14:paraId="7DDB7A7A" w14:textId="7EA898C4" w:rsidR="00D97BC8" w:rsidRDefault="005B3278" w:rsidP="0020479B">
      <w:pPr>
        <w:spacing w:line="360" w:lineRule="auto"/>
        <w:jc w:val="both"/>
        <w:rPr>
          <w:rFonts w:ascii="Arial" w:hAnsi="Arial" w:cs="Arial"/>
          <w:b/>
          <w:bCs/>
        </w:rPr>
      </w:pPr>
      <w:r w:rsidRPr="005B3278">
        <w:rPr>
          <w:rFonts w:ascii="Arial" w:hAnsi="Arial" w:cs="Arial"/>
          <w:b/>
          <w:bCs/>
        </w:rPr>
        <w:t>Intelligence and Problem-Solving</w:t>
      </w:r>
    </w:p>
    <w:p w14:paraId="7DDC7CE2" w14:textId="44294226" w:rsidR="005B3278" w:rsidRDefault="005B3278" w:rsidP="0020479B">
      <w:pPr>
        <w:spacing w:line="360" w:lineRule="auto"/>
        <w:jc w:val="both"/>
        <w:rPr>
          <w:rFonts w:ascii="Arial" w:hAnsi="Arial" w:cs="Arial"/>
        </w:rPr>
      </w:pPr>
      <w:r w:rsidRPr="005B3278">
        <w:rPr>
          <w:rFonts w:ascii="Arial" w:hAnsi="Arial" w:cs="Arial"/>
        </w:rPr>
        <w:t xml:space="preserve">Trait theory identifies intelligence as a core leadership characteristic (Stogdill, 1948). While Illa's initial technical response underestimated COVID-19's severity, his subsequent approaches demonstrated capacity for complex problem-solving, including coordinating across Spain's fragmented autonomous communities, managing resource allocation, and developing vaccination strategies (Legido-Quigley et al., 2020). </w:t>
      </w:r>
    </w:p>
    <w:p w14:paraId="2809A4DC" w14:textId="77777777" w:rsidR="00D152E0" w:rsidRPr="005B3278" w:rsidRDefault="00D152E0" w:rsidP="0020479B">
      <w:pPr>
        <w:spacing w:line="360" w:lineRule="auto"/>
        <w:jc w:val="both"/>
        <w:rPr>
          <w:rFonts w:ascii="Arial" w:hAnsi="Arial" w:cs="Arial"/>
        </w:rPr>
      </w:pPr>
    </w:p>
    <w:p w14:paraId="780B3590" w14:textId="37DD88D5" w:rsidR="00D97BC8" w:rsidRDefault="005B3278" w:rsidP="0020479B">
      <w:pPr>
        <w:spacing w:line="360" w:lineRule="auto"/>
        <w:jc w:val="both"/>
        <w:rPr>
          <w:rFonts w:ascii="Arial" w:hAnsi="Arial" w:cs="Arial"/>
          <w:b/>
          <w:bCs/>
        </w:rPr>
      </w:pPr>
      <w:r w:rsidRPr="005B3278">
        <w:rPr>
          <w:rFonts w:ascii="Arial" w:hAnsi="Arial" w:cs="Arial"/>
          <w:b/>
          <w:bCs/>
        </w:rPr>
        <w:t>Determination and Persistence</w:t>
      </w:r>
    </w:p>
    <w:p w14:paraId="0EAFD374" w14:textId="663E1DD4" w:rsidR="005B3278" w:rsidRDefault="005B3278" w:rsidP="0020479B">
      <w:pPr>
        <w:spacing w:line="360" w:lineRule="auto"/>
        <w:jc w:val="both"/>
        <w:rPr>
          <w:rFonts w:ascii="Arial" w:hAnsi="Arial" w:cs="Arial"/>
        </w:rPr>
      </w:pPr>
      <w:r w:rsidRPr="005B3278">
        <w:rPr>
          <w:rFonts w:ascii="Arial" w:hAnsi="Arial" w:cs="Arial"/>
        </w:rPr>
        <w:t>Illa showed persistence through maintaining focus despite criticism of initial delays, implementing unpopular strict lockdowns, and sustaining coordination efforts through the extended vaccination campaign (Legido-Quigley et al., 2020; Lazarus et al., 2021). This determination proved essential for seeing Spain through multiple pandemic waves to vaccination success.</w:t>
      </w:r>
    </w:p>
    <w:p w14:paraId="2CE8D026" w14:textId="77777777" w:rsidR="00D152E0" w:rsidRPr="005B3278" w:rsidRDefault="00D152E0" w:rsidP="0020479B">
      <w:pPr>
        <w:spacing w:line="360" w:lineRule="auto"/>
        <w:jc w:val="both"/>
        <w:rPr>
          <w:rFonts w:ascii="Arial" w:hAnsi="Arial" w:cs="Arial"/>
        </w:rPr>
      </w:pPr>
    </w:p>
    <w:p w14:paraId="3A9953E9" w14:textId="025C1847" w:rsidR="00D97BC8" w:rsidRDefault="005B3278" w:rsidP="0020479B">
      <w:pPr>
        <w:spacing w:line="360" w:lineRule="auto"/>
        <w:jc w:val="both"/>
        <w:rPr>
          <w:rFonts w:ascii="Arial" w:hAnsi="Arial" w:cs="Arial"/>
          <w:b/>
          <w:bCs/>
        </w:rPr>
      </w:pPr>
      <w:r w:rsidRPr="005B3278">
        <w:rPr>
          <w:rFonts w:ascii="Arial" w:hAnsi="Arial" w:cs="Arial"/>
          <w:b/>
          <w:bCs/>
        </w:rPr>
        <w:lastRenderedPageBreak/>
        <w:t>Integrity and Trustworthiness</w:t>
      </w:r>
    </w:p>
    <w:p w14:paraId="0A4FCB9B" w14:textId="5E994FDA" w:rsidR="005B3278" w:rsidRDefault="005B3278" w:rsidP="0020479B">
      <w:pPr>
        <w:spacing w:line="360" w:lineRule="auto"/>
        <w:jc w:val="both"/>
        <w:rPr>
          <w:rFonts w:ascii="Arial" w:hAnsi="Arial" w:cs="Arial"/>
        </w:rPr>
      </w:pPr>
      <w:r w:rsidRPr="005B3278">
        <w:rPr>
          <w:rFonts w:ascii="Arial" w:hAnsi="Arial" w:cs="Arial"/>
        </w:rPr>
        <w:t>While initially damaged by underestimation of the crisis, Illa worked to rebuild integrity and trust through transparent communication during vaccination phases (Lazarus et al., 2021). Northouse (2019, p. 25) notes that "integrity is the quality of honesty and trustworthiness" and is "essential to leadership because it has to do with a leader's character and moral foundation." The vaccination phase's emphasis on transparent prioritisation and equitable distribution reflected efforts to demonstrate integrity (Forman et al., 2021).</w:t>
      </w:r>
    </w:p>
    <w:p w14:paraId="04330DE3" w14:textId="77777777" w:rsidR="00D152E0" w:rsidRPr="005B3278" w:rsidRDefault="00D152E0" w:rsidP="0020479B">
      <w:pPr>
        <w:spacing w:line="360" w:lineRule="auto"/>
        <w:jc w:val="both"/>
        <w:rPr>
          <w:rFonts w:ascii="Arial" w:hAnsi="Arial" w:cs="Arial"/>
        </w:rPr>
      </w:pPr>
    </w:p>
    <w:p w14:paraId="00A407B0" w14:textId="2F5D4081" w:rsidR="00D97BC8" w:rsidRDefault="005B3278" w:rsidP="0020479B">
      <w:pPr>
        <w:spacing w:line="360" w:lineRule="auto"/>
        <w:jc w:val="both"/>
        <w:rPr>
          <w:rFonts w:ascii="Arial" w:hAnsi="Arial" w:cs="Arial"/>
          <w:b/>
          <w:bCs/>
        </w:rPr>
      </w:pPr>
      <w:r w:rsidRPr="005B3278">
        <w:rPr>
          <w:rFonts w:ascii="Arial" w:hAnsi="Arial" w:cs="Arial"/>
          <w:b/>
          <w:bCs/>
        </w:rPr>
        <w:t>Sociability and Communication Skills</w:t>
      </w:r>
    </w:p>
    <w:p w14:paraId="3242B135" w14:textId="429F9DDB" w:rsidR="005B3278" w:rsidRDefault="005B3278" w:rsidP="0020479B">
      <w:pPr>
        <w:spacing w:line="360" w:lineRule="auto"/>
        <w:jc w:val="both"/>
        <w:rPr>
          <w:rFonts w:ascii="Arial" w:hAnsi="Arial" w:cs="Arial"/>
        </w:rPr>
      </w:pPr>
      <w:r w:rsidRPr="005B3278">
        <w:rPr>
          <w:rFonts w:ascii="Arial" w:hAnsi="Arial" w:cs="Arial"/>
        </w:rPr>
        <w:t>Trait theory identifies sociability</w:t>
      </w:r>
      <w:r w:rsidR="00D97BC8">
        <w:rPr>
          <w:rFonts w:ascii="Arial" w:hAnsi="Arial" w:cs="Arial"/>
        </w:rPr>
        <w:t xml:space="preserve">, </w:t>
      </w:r>
      <w:r w:rsidRPr="005B3278">
        <w:rPr>
          <w:rFonts w:ascii="Arial" w:hAnsi="Arial" w:cs="Arial"/>
        </w:rPr>
        <w:t>including being friendly, outgoing, courteous, and diplomatic</w:t>
      </w:r>
      <w:r w:rsidR="00D97BC8">
        <w:rPr>
          <w:rFonts w:ascii="Arial" w:hAnsi="Arial" w:cs="Arial"/>
        </w:rPr>
        <w:t xml:space="preserve">, </w:t>
      </w:r>
      <w:r w:rsidRPr="005B3278">
        <w:rPr>
          <w:rFonts w:ascii="Arial" w:hAnsi="Arial" w:cs="Arial"/>
        </w:rPr>
        <w:t>as important for leadership (Northouse, 2019). Illa's evolution toward more collaborative, relationship-oriented approaches during vaccination demonstrated developing sociability and interpersonal skills necessary for building partnerships with autonomous communities (Lazarus et al., 2021). His communication became more effective at articulating shared values and collective purpose during transformational phases.</w:t>
      </w:r>
    </w:p>
    <w:p w14:paraId="50E6C064" w14:textId="77777777" w:rsidR="00C27D07" w:rsidRDefault="00C27D07" w:rsidP="0020479B">
      <w:pPr>
        <w:spacing w:line="360" w:lineRule="auto"/>
        <w:jc w:val="both"/>
        <w:rPr>
          <w:rFonts w:ascii="Arial" w:hAnsi="Arial" w:cs="Arial"/>
        </w:rPr>
      </w:pPr>
    </w:p>
    <w:p w14:paraId="371A3EB5" w14:textId="0D5811B9" w:rsidR="00C27D07" w:rsidRDefault="007750F2" w:rsidP="00180CD7">
      <w:pPr>
        <w:pStyle w:val="NoSpacing"/>
        <w:numPr>
          <w:ilvl w:val="1"/>
          <w:numId w:val="1"/>
        </w:numPr>
        <w:rPr>
          <w:rFonts w:ascii="Arial" w:hAnsi="Arial" w:cs="Arial"/>
          <w:b/>
          <w:bCs/>
          <w:sz w:val="24"/>
          <w:szCs w:val="24"/>
        </w:rPr>
      </w:pPr>
      <w:bookmarkStart w:id="11" w:name="_Hlk216694911"/>
      <w:bookmarkStart w:id="12" w:name="_Toc216707586"/>
      <w:r w:rsidRPr="00180CD7">
        <w:rPr>
          <w:rFonts w:ascii="Arial" w:hAnsi="Arial" w:cs="Arial"/>
          <w:b/>
          <w:bCs/>
          <w:sz w:val="24"/>
          <w:szCs w:val="24"/>
        </w:rPr>
        <w:t>Servant Leadership Styles in COVID-19 Pandemic Response in South Korea</w:t>
      </w:r>
      <w:bookmarkEnd w:id="12"/>
    </w:p>
    <w:p w14:paraId="7C09CE6F" w14:textId="77777777" w:rsidR="00180CD7" w:rsidRPr="00180CD7" w:rsidRDefault="00180CD7" w:rsidP="00180CD7">
      <w:pPr>
        <w:pStyle w:val="NoSpacing"/>
        <w:ind w:left="760"/>
        <w:rPr>
          <w:rFonts w:ascii="Arial" w:hAnsi="Arial" w:cs="Arial"/>
          <w:b/>
          <w:bCs/>
          <w:sz w:val="24"/>
          <w:szCs w:val="24"/>
        </w:rPr>
      </w:pPr>
    </w:p>
    <w:bookmarkEnd w:id="11"/>
    <w:p w14:paraId="4C14067F" w14:textId="1346284C" w:rsidR="00C27D07" w:rsidRPr="005B3278" w:rsidRDefault="00F63654" w:rsidP="0020479B">
      <w:pPr>
        <w:spacing w:line="360" w:lineRule="auto"/>
        <w:jc w:val="both"/>
        <w:rPr>
          <w:rFonts w:ascii="Arial" w:hAnsi="Arial" w:cs="Arial"/>
        </w:rPr>
      </w:pPr>
      <w:r w:rsidRPr="00F63654">
        <w:rPr>
          <w:rFonts w:ascii="Arial" w:hAnsi="Arial" w:cs="Arial"/>
        </w:rPr>
        <w:t>Prime Minister Chung Sye-</w:t>
      </w:r>
      <w:r w:rsidR="00B436BF" w:rsidRPr="00F63654">
        <w:rPr>
          <w:rFonts w:ascii="Arial" w:hAnsi="Arial" w:cs="Arial"/>
        </w:rPr>
        <w:t>Kyun’s</w:t>
      </w:r>
      <w:r w:rsidRPr="00F63654">
        <w:rPr>
          <w:rFonts w:ascii="Arial" w:hAnsi="Arial" w:cs="Arial"/>
        </w:rPr>
        <w:t xml:space="preserve"> leadership during South Korea's COVID-19 response exemplified servant leadership and transparent governance principles, achieving remarkable public health outcomes while preserving substantial civil liberties (Kim and Lee, 2021). His explicit emphasis on "showing transparency, showing respect and allowing openness to travel" reflected a leadership philosophy prioritising public empowerment, information sharing, and citizen autonomy over coercive control (Northouse, 2019).</w:t>
      </w:r>
    </w:p>
    <w:p w14:paraId="70D4F0E2" w14:textId="77777777" w:rsidR="009F756D" w:rsidRPr="007750F2" w:rsidRDefault="009F756D" w:rsidP="0020479B">
      <w:pPr>
        <w:spacing w:line="360" w:lineRule="auto"/>
        <w:jc w:val="both"/>
        <w:rPr>
          <w:rFonts w:ascii="Arial" w:hAnsi="Arial" w:cs="Arial"/>
          <w:b/>
          <w:bCs/>
        </w:rPr>
      </w:pPr>
    </w:p>
    <w:p w14:paraId="7A5F4CE1" w14:textId="77777777" w:rsidR="007750F2" w:rsidRPr="007750F2" w:rsidRDefault="007750F2" w:rsidP="0020479B">
      <w:pPr>
        <w:spacing w:line="360" w:lineRule="auto"/>
        <w:jc w:val="both"/>
        <w:rPr>
          <w:rFonts w:ascii="Arial" w:hAnsi="Arial" w:cs="Arial"/>
          <w:b/>
          <w:bCs/>
        </w:rPr>
      </w:pPr>
      <w:r w:rsidRPr="007750F2">
        <w:rPr>
          <w:rFonts w:ascii="Arial" w:hAnsi="Arial" w:cs="Arial"/>
          <w:b/>
          <w:bCs/>
        </w:rPr>
        <w:t>Multidimensional Transparency as a Leadership Practice</w:t>
      </w:r>
    </w:p>
    <w:p w14:paraId="4AF82927" w14:textId="35154CAC" w:rsidR="009F756D" w:rsidRDefault="007750F2" w:rsidP="0020479B">
      <w:pPr>
        <w:spacing w:line="360" w:lineRule="auto"/>
        <w:jc w:val="both"/>
        <w:rPr>
          <w:rFonts w:ascii="Arial" w:hAnsi="Arial" w:cs="Arial"/>
        </w:rPr>
      </w:pPr>
      <w:r w:rsidRPr="007750F2">
        <w:rPr>
          <w:rFonts w:ascii="Arial" w:hAnsi="Arial" w:cs="Arial"/>
        </w:rPr>
        <w:t>Transparency is presented as a key leadership principle across various dimensions (Kim and Lee, 2021). The government publicly released detailed epidemiological data through mobile applications and websites updated in real-time, including infection locations, transmission chains, age demographics, testing statistics, and hospital capacity (Kim and Lee, 2021). Citizens could access detailed information about confirmed cases in their local areas, including sanitised details about locations visited by infected individuals and exposure timeframes (Choi et al., 2020; Kim and Lee, 2021).</w:t>
      </w:r>
    </w:p>
    <w:p w14:paraId="1DCAD311" w14:textId="77777777" w:rsidR="007750F2" w:rsidRPr="007750F2" w:rsidRDefault="007750F2" w:rsidP="0020479B">
      <w:pPr>
        <w:spacing w:line="360" w:lineRule="auto"/>
        <w:jc w:val="both"/>
        <w:rPr>
          <w:rFonts w:ascii="Arial" w:hAnsi="Arial" w:cs="Arial"/>
          <w:b/>
          <w:bCs/>
        </w:rPr>
      </w:pPr>
    </w:p>
    <w:p w14:paraId="0F68DA29" w14:textId="77777777" w:rsidR="007750F2" w:rsidRPr="007750F2" w:rsidRDefault="007750F2" w:rsidP="0020479B">
      <w:pPr>
        <w:spacing w:line="360" w:lineRule="auto"/>
        <w:jc w:val="both"/>
        <w:rPr>
          <w:rFonts w:ascii="Arial" w:hAnsi="Arial" w:cs="Arial"/>
          <w:b/>
          <w:bCs/>
        </w:rPr>
      </w:pPr>
      <w:r w:rsidRPr="007750F2">
        <w:rPr>
          <w:rFonts w:ascii="Arial" w:hAnsi="Arial" w:cs="Arial"/>
          <w:b/>
          <w:bCs/>
        </w:rPr>
        <w:t>Situational Leadership and Adaptive Response</w:t>
      </w:r>
    </w:p>
    <w:p w14:paraId="4540C19C" w14:textId="44861922" w:rsidR="007750F2" w:rsidRDefault="007750F2" w:rsidP="0020479B">
      <w:pPr>
        <w:spacing w:line="360" w:lineRule="auto"/>
        <w:jc w:val="both"/>
        <w:rPr>
          <w:rFonts w:ascii="Arial" w:hAnsi="Arial" w:cs="Arial"/>
        </w:rPr>
      </w:pPr>
      <w:r w:rsidRPr="007750F2">
        <w:rPr>
          <w:rFonts w:ascii="Arial" w:hAnsi="Arial" w:cs="Arial"/>
        </w:rPr>
        <w:t>Chung's leadership demonstrated situational adaptability, adjusting strategies based on epidemiological conditions while maintaining core principles (Hersey and Blanchard, 1969). Situational leadership theory suggests that effective leadership varies with follower maturity, task features, and contextual factors (Hersey and Blanchard, 1969, p. 27). Leaders should modify directive versus supportive behaviours according to situational needs rather than applying a uniform approach regardless of circumstances.</w:t>
      </w:r>
    </w:p>
    <w:p w14:paraId="6C6B5B09" w14:textId="77777777" w:rsidR="007750F2" w:rsidRDefault="007750F2" w:rsidP="0020479B">
      <w:pPr>
        <w:spacing w:line="360" w:lineRule="auto"/>
        <w:jc w:val="both"/>
        <w:rPr>
          <w:rFonts w:ascii="Arial" w:hAnsi="Arial" w:cs="Arial"/>
        </w:rPr>
      </w:pPr>
    </w:p>
    <w:p w14:paraId="789A02CD" w14:textId="0DC89B5D" w:rsidR="00B436BF" w:rsidRPr="00D152E0" w:rsidRDefault="00B436BF" w:rsidP="0020479B">
      <w:pPr>
        <w:spacing w:line="360" w:lineRule="auto"/>
        <w:jc w:val="both"/>
        <w:rPr>
          <w:rFonts w:ascii="Arial" w:hAnsi="Arial" w:cs="Arial"/>
          <w:b/>
          <w:bCs/>
          <w:sz w:val="24"/>
          <w:szCs w:val="24"/>
        </w:rPr>
      </w:pPr>
      <w:r w:rsidRPr="00D152E0">
        <w:rPr>
          <w:rFonts w:ascii="Arial" w:hAnsi="Arial" w:cs="Arial"/>
          <w:b/>
          <w:bCs/>
          <w:sz w:val="24"/>
          <w:szCs w:val="24"/>
        </w:rPr>
        <w:t>Critical Evaluation</w:t>
      </w:r>
    </w:p>
    <w:p w14:paraId="476A7A8B" w14:textId="63FCE585" w:rsidR="00B436BF" w:rsidRPr="00B436BF" w:rsidRDefault="00B436BF" w:rsidP="0020479B">
      <w:pPr>
        <w:spacing w:line="360" w:lineRule="auto"/>
        <w:jc w:val="both"/>
        <w:rPr>
          <w:rFonts w:ascii="Arial" w:hAnsi="Arial" w:cs="Arial"/>
          <w:b/>
          <w:bCs/>
        </w:rPr>
      </w:pPr>
      <w:r w:rsidRPr="00B436BF">
        <w:rPr>
          <w:rFonts w:ascii="Arial" w:hAnsi="Arial" w:cs="Arial"/>
          <w:b/>
          <w:bCs/>
        </w:rPr>
        <w:t>Advantages of Chung's Leadership Approach</w:t>
      </w:r>
    </w:p>
    <w:p w14:paraId="07CFE1FC" w14:textId="182A4B76" w:rsidR="009F756D" w:rsidRDefault="00B436BF" w:rsidP="0020479B">
      <w:pPr>
        <w:spacing w:line="360" w:lineRule="auto"/>
        <w:jc w:val="both"/>
        <w:rPr>
          <w:rFonts w:ascii="Arial" w:hAnsi="Arial" w:cs="Arial"/>
        </w:rPr>
      </w:pPr>
      <w:r w:rsidRPr="00B436BF">
        <w:rPr>
          <w:rFonts w:ascii="Arial" w:hAnsi="Arial" w:cs="Arial"/>
        </w:rPr>
        <w:t>Maintaining high public trust enabled effective voluntary compliance with testing, tracing, and isolation protocols without requiring stringent enforcement or nationwide lockdowns (Kim and Lee, 2021). South Korea achieved one of the world's lowest per-capita mortality rates in 2020, while maintaining substantially more economic and social normalcy than countries relying primarily on lockdowns (Choi et al., 2020).</w:t>
      </w:r>
    </w:p>
    <w:p w14:paraId="1E2CAB30" w14:textId="77777777" w:rsidR="00D152E0" w:rsidRDefault="00D152E0" w:rsidP="0020479B">
      <w:pPr>
        <w:spacing w:line="360" w:lineRule="auto"/>
        <w:jc w:val="both"/>
        <w:rPr>
          <w:rFonts w:ascii="Arial" w:hAnsi="Arial" w:cs="Arial"/>
        </w:rPr>
      </w:pPr>
    </w:p>
    <w:p w14:paraId="36AECFC6" w14:textId="3DABBF44" w:rsidR="00B436BF" w:rsidRPr="00B436BF" w:rsidRDefault="00B436BF" w:rsidP="0020479B">
      <w:pPr>
        <w:spacing w:line="360" w:lineRule="auto"/>
        <w:jc w:val="both"/>
        <w:rPr>
          <w:rFonts w:ascii="Arial" w:hAnsi="Arial" w:cs="Arial"/>
          <w:b/>
          <w:bCs/>
        </w:rPr>
      </w:pPr>
      <w:r w:rsidRPr="00B436BF">
        <w:rPr>
          <w:rFonts w:ascii="Arial" w:hAnsi="Arial" w:cs="Arial"/>
          <w:b/>
          <w:bCs/>
        </w:rPr>
        <w:t>Limitations</w:t>
      </w:r>
    </w:p>
    <w:p w14:paraId="73536801" w14:textId="6B65BED6" w:rsidR="009F756D" w:rsidRPr="00CE3789" w:rsidRDefault="00B436BF" w:rsidP="0020479B">
      <w:pPr>
        <w:spacing w:line="360" w:lineRule="auto"/>
        <w:jc w:val="both"/>
        <w:rPr>
          <w:rFonts w:ascii="Arial" w:hAnsi="Arial" w:cs="Arial"/>
        </w:rPr>
      </w:pPr>
      <w:r w:rsidRPr="00B436BF">
        <w:rPr>
          <w:rFonts w:ascii="Arial" w:hAnsi="Arial" w:cs="Arial"/>
        </w:rPr>
        <w:t>Despite significant successes, Chung's approach involved notable disadvantages and trade-offs. Most significantly, the extensive surveillance and contact tracing raised serious privacy concerns (Kim and Lee, 2021). Detailed tracking utilising mobile phone locations, credit card transactions, and CCTV footage, combined with public disclosure of infected individuals' movement patterns, substantially reduced personal privacy (Choi et al., 2020). While data was nominally anonymised, the granularity often enabled identification, leading to stigmatisation concerns and potential discrimination against infected individuals (Kim and Lee, 2021).</w:t>
      </w:r>
    </w:p>
    <w:p w14:paraId="725F8DAE" w14:textId="77777777" w:rsidR="00327AD7" w:rsidRDefault="00327AD7" w:rsidP="0020479B">
      <w:pPr>
        <w:spacing w:line="360" w:lineRule="auto"/>
        <w:jc w:val="both"/>
        <w:rPr>
          <w:rFonts w:ascii="Arial" w:hAnsi="Arial" w:cs="Arial"/>
        </w:rPr>
      </w:pPr>
    </w:p>
    <w:p w14:paraId="1132F280" w14:textId="77777777" w:rsidR="00D152E0" w:rsidRPr="00783B87" w:rsidRDefault="00D152E0" w:rsidP="0020479B">
      <w:pPr>
        <w:spacing w:line="360" w:lineRule="auto"/>
        <w:jc w:val="both"/>
        <w:rPr>
          <w:rFonts w:ascii="Arial" w:hAnsi="Arial" w:cs="Arial"/>
          <w:b/>
          <w:bCs/>
        </w:rPr>
      </w:pPr>
    </w:p>
    <w:p w14:paraId="4F22E275" w14:textId="6200D1FF" w:rsidR="005B3278" w:rsidRDefault="007E5D7E" w:rsidP="00180CD7">
      <w:pPr>
        <w:pStyle w:val="NoSpacing"/>
        <w:rPr>
          <w:rFonts w:ascii="Arial" w:hAnsi="Arial" w:cs="Arial"/>
          <w:b/>
          <w:bCs/>
          <w:sz w:val="24"/>
          <w:szCs w:val="24"/>
        </w:rPr>
      </w:pPr>
      <w:bookmarkStart w:id="13" w:name="_Toc216707587"/>
      <w:r w:rsidRPr="00180CD7">
        <w:rPr>
          <w:rFonts w:ascii="Arial" w:hAnsi="Arial" w:cs="Arial"/>
          <w:b/>
          <w:bCs/>
          <w:sz w:val="24"/>
          <w:szCs w:val="24"/>
        </w:rPr>
        <w:t xml:space="preserve">South Korea’s COVID-19 Response and </w:t>
      </w:r>
      <w:r w:rsidR="00783B87" w:rsidRPr="00180CD7">
        <w:rPr>
          <w:rFonts w:ascii="Arial" w:hAnsi="Arial" w:cs="Arial"/>
          <w:b/>
          <w:bCs/>
          <w:sz w:val="24"/>
          <w:szCs w:val="24"/>
        </w:rPr>
        <w:t>Behavioural Theory</w:t>
      </w:r>
      <w:bookmarkEnd w:id="13"/>
    </w:p>
    <w:p w14:paraId="045BAAF6" w14:textId="77777777" w:rsidR="00180CD7" w:rsidRPr="00180CD7" w:rsidRDefault="00180CD7" w:rsidP="00180CD7">
      <w:pPr>
        <w:pStyle w:val="NoSpacing"/>
        <w:rPr>
          <w:rFonts w:ascii="Arial" w:hAnsi="Arial" w:cs="Arial"/>
          <w:b/>
          <w:bCs/>
          <w:sz w:val="24"/>
          <w:szCs w:val="24"/>
        </w:rPr>
      </w:pPr>
    </w:p>
    <w:p w14:paraId="53A489BA" w14:textId="6A8DC0A9" w:rsidR="00327AD7" w:rsidRDefault="007E5D7E" w:rsidP="0020479B">
      <w:pPr>
        <w:spacing w:line="360" w:lineRule="auto"/>
        <w:jc w:val="both"/>
        <w:rPr>
          <w:rFonts w:ascii="Arial" w:hAnsi="Arial" w:cs="Arial"/>
        </w:rPr>
      </w:pPr>
      <w:r w:rsidRPr="007E5D7E">
        <w:rPr>
          <w:rFonts w:ascii="Arial" w:hAnsi="Arial" w:cs="Arial"/>
        </w:rPr>
        <w:t xml:space="preserve">South Korea’s effective management of the COVID-19 pandemic illustrates the principles of Behavioural Theory, which emphasises leaders’ actions and decision-making behaviours rather than inherent traits or charismatic authority (Northouse, 2022). Leadership under </w:t>
      </w:r>
      <w:r w:rsidRPr="007E5D7E">
        <w:rPr>
          <w:rFonts w:ascii="Arial" w:hAnsi="Arial" w:cs="Arial"/>
        </w:rPr>
        <w:lastRenderedPageBreak/>
        <w:t>President Moon Jae-in and the Korea Disease Control and Prevention Agency (KDCA) focused on task-oriented and people-oriented behaviours, alongside adaptive strategies responsive to evolving circumstances.</w:t>
      </w:r>
    </w:p>
    <w:p w14:paraId="2A64F636" w14:textId="075FC4B4" w:rsidR="00327AD7" w:rsidRPr="00327AD7" w:rsidRDefault="00327AD7" w:rsidP="0020479B">
      <w:pPr>
        <w:spacing w:line="360" w:lineRule="auto"/>
        <w:jc w:val="both"/>
        <w:rPr>
          <w:rFonts w:ascii="Arial" w:hAnsi="Arial" w:cs="Arial"/>
        </w:rPr>
      </w:pPr>
      <w:r w:rsidRPr="00327AD7">
        <w:rPr>
          <w:rFonts w:ascii="Arial" w:hAnsi="Arial" w:cs="Arial"/>
          <w:b/>
          <w:bCs/>
        </w:rPr>
        <w:t xml:space="preserve">Task-oriented </w:t>
      </w:r>
      <w:r w:rsidRPr="00327AD7">
        <w:rPr>
          <w:rFonts w:ascii="Arial" w:hAnsi="Arial" w:cs="Arial"/>
          <w:b/>
          <w:bCs/>
        </w:rPr>
        <w:t>behaviours</w:t>
      </w:r>
      <w:r w:rsidRPr="00327AD7">
        <w:rPr>
          <w:rFonts w:ascii="Arial" w:hAnsi="Arial" w:cs="Arial"/>
        </w:rPr>
        <w:t xml:space="preserve"> included rapid expansion of testing and treatment capacity through public–private partnerships, implementation of drive-through testing centres, and mobilisation of private healthcare facilities under emergency protocols (You, 2020; Park </w:t>
      </w:r>
      <w:r w:rsidRPr="00327AD7">
        <w:rPr>
          <w:rFonts w:ascii="Arial" w:hAnsi="Arial" w:cs="Arial"/>
          <w:i/>
          <w:iCs/>
        </w:rPr>
        <w:t>et al.</w:t>
      </w:r>
      <w:r w:rsidRPr="00327AD7">
        <w:rPr>
          <w:rFonts w:ascii="Arial" w:hAnsi="Arial" w:cs="Arial"/>
        </w:rPr>
        <w:t xml:space="preserve">, 2021). Leaders invested in technological infrastructure, such as digital contact tracing and real-time epidemiological dashboards, to support rapid detection and containment (Kim </w:t>
      </w:r>
      <w:r>
        <w:rPr>
          <w:rFonts w:ascii="Arial" w:hAnsi="Arial" w:cs="Arial"/>
        </w:rPr>
        <w:t>and</w:t>
      </w:r>
      <w:r w:rsidRPr="00327AD7">
        <w:rPr>
          <w:rFonts w:ascii="Arial" w:hAnsi="Arial" w:cs="Arial"/>
        </w:rPr>
        <w:t xml:space="preserve"> Lee, 2021).</w:t>
      </w:r>
    </w:p>
    <w:p w14:paraId="7E4642DD" w14:textId="24320AC4" w:rsidR="00327AD7" w:rsidRPr="00327AD7" w:rsidRDefault="00327AD7" w:rsidP="0020479B">
      <w:pPr>
        <w:spacing w:line="360" w:lineRule="auto"/>
        <w:jc w:val="both"/>
        <w:rPr>
          <w:rFonts w:ascii="Arial" w:hAnsi="Arial" w:cs="Arial"/>
        </w:rPr>
      </w:pPr>
      <w:r w:rsidRPr="00327AD7">
        <w:rPr>
          <w:rFonts w:ascii="Arial" w:hAnsi="Arial" w:cs="Arial"/>
          <w:b/>
          <w:bCs/>
        </w:rPr>
        <w:t xml:space="preserve">People-oriented </w:t>
      </w:r>
      <w:r w:rsidRPr="00327AD7">
        <w:rPr>
          <w:rFonts w:ascii="Arial" w:hAnsi="Arial" w:cs="Arial"/>
          <w:b/>
          <w:bCs/>
        </w:rPr>
        <w:t>behaviours</w:t>
      </w:r>
      <w:r w:rsidRPr="00327AD7">
        <w:rPr>
          <w:rFonts w:ascii="Arial" w:hAnsi="Arial" w:cs="Arial"/>
        </w:rPr>
        <w:t xml:space="preserve"> involved proactive coordination with regional authorities and clear communication with the public, building trust and encouraging compliance without relying on coercion (Moon, 2020; Legido-Quigley </w:t>
      </w:r>
      <w:r w:rsidRPr="00327AD7">
        <w:rPr>
          <w:rFonts w:ascii="Arial" w:hAnsi="Arial" w:cs="Arial"/>
          <w:i/>
          <w:iCs/>
        </w:rPr>
        <w:t>et al.</w:t>
      </w:r>
      <w:r w:rsidRPr="00327AD7">
        <w:rPr>
          <w:rFonts w:ascii="Arial" w:hAnsi="Arial" w:cs="Arial"/>
        </w:rPr>
        <w:t>, 2020). This collaborative approach ensured that policy directives were effectively implemented across decentralized healthcare networks.</w:t>
      </w:r>
    </w:p>
    <w:p w14:paraId="688022E6" w14:textId="772DDC09" w:rsidR="00327AD7" w:rsidRPr="00327AD7" w:rsidRDefault="00327AD7" w:rsidP="0020479B">
      <w:pPr>
        <w:spacing w:line="360" w:lineRule="auto"/>
        <w:jc w:val="both"/>
        <w:rPr>
          <w:rFonts w:ascii="Arial" w:hAnsi="Arial" w:cs="Arial"/>
        </w:rPr>
      </w:pPr>
      <w:r>
        <w:rPr>
          <w:rFonts w:ascii="Arial" w:hAnsi="Arial" w:cs="Arial"/>
        </w:rPr>
        <w:t xml:space="preserve">The </w:t>
      </w:r>
      <w:r w:rsidRPr="00327AD7">
        <w:rPr>
          <w:rFonts w:ascii="Arial" w:hAnsi="Arial" w:cs="Arial"/>
        </w:rPr>
        <w:t xml:space="preserve">leadership was adaptive, shifting focus over time from emergency containment to vaccination rollout and long-term health system strengthening, such as elevating the KDCA to independent agency status and institutionalising surveillance systems (Kim </w:t>
      </w:r>
      <w:r>
        <w:rPr>
          <w:rFonts w:ascii="Arial" w:hAnsi="Arial" w:cs="Arial"/>
        </w:rPr>
        <w:t>and</w:t>
      </w:r>
      <w:r w:rsidRPr="00327AD7">
        <w:rPr>
          <w:rFonts w:ascii="Arial" w:hAnsi="Arial" w:cs="Arial"/>
        </w:rPr>
        <w:t xml:space="preserve"> Lee, 2021).</w:t>
      </w:r>
    </w:p>
    <w:p w14:paraId="50E4FB83" w14:textId="77777777" w:rsidR="00783B87" w:rsidRDefault="00783B87" w:rsidP="0020479B">
      <w:pPr>
        <w:spacing w:line="360" w:lineRule="auto"/>
        <w:jc w:val="both"/>
        <w:rPr>
          <w:rFonts w:ascii="Arial" w:hAnsi="Arial" w:cs="Arial"/>
        </w:rPr>
      </w:pPr>
    </w:p>
    <w:p w14:paraId="27EBBEA7" w14:textId="77777777" w:rsidR="00D152E0" w:rsidRDefault="00D152E0" w:rsidP="0020479B">
      <w:pPr>
        <w:spacing w:line="360" w:lineRule="auto"/>
        <w:jc w:val="both"/>
        <w:rPr>
          <w:rFonts w:ascii="Arial" w:hAnsi="Arial" w:cs="Arial"/>
        </w:rPr>
      </w:pPr>
    </w:p>
    <w:p w14:paraId="37BD503A" w14:textId="0D878579" w:rsidR="00783B87" w:rsidRDefault="00041B94" w:rsidP="00180CD7">
      <w:pPr>
        <w:pStyle w:val="NoSpacing"/>
        <w:numPr>
          <w:ilvl w:val="1"/>
          <w:numId w:val="1"/>
        </w:numPr>
        <w:rPr>
          <w:rFonts w:ascii="Arial" w:hAnsi="Arial" w:cs="Arial"/>
          <w:b/>
          <w:bCs/>
          <w:sz w:val="24"/>
          <w:szCs w:val="24"/>
        </w:rPr>
      </w:pPr>
      <w:bookmarkStart w:id="14" w:name="_Toc216707588"/>
      <w:r w:rsidRPr="00180CD7">
        <w:rPr>
          <w:rFonts w:ascii="Arial" w:hAnsi="Arial" w:cs="Arial"/>
          <w:b/>
          <w:bCs/>
          <w:sz w:val="24"/>
          <w:szCs w:val="24"/>
        </w:rPr>
        <w:t>Democratic Leadership</w:t>
      </w:r>
      <w:r w:rsidRPr="00180CD7">
        <w:rPr>
          <w:rFonts w:ascii="Arial" w:hAnsi="Arial" w:cs="Arial"/>
          <w:b/>
          <w:bCs/>
          <w:sz w:val="24"/>
          <w:szCs w:val="24"/>
        </w:rPr>
        <w:t xml:space="preserve"> </w:t>
      </w:r>
      <w:r w:rsidRPr="00180CD7">
        <w:rPr>
          <w:rFonts w:ascii="Arial" w:hAnsi="Arial" w:cs="Arial"/>
          <w:b/>
          <w:bCs/>
          <w:sz w:val="24"/>
          <w:szCs w:val="24"/>
        </w:rPr>
        <w:t>Style in</w:t>
      </w:r>
      <w:r w:rsidRPr="00180CD7">
        <w:rPr>
          <w:rFonts w:ascii="Arial" w:hAnsi="Arial" w:cs="Arial"/>
          <w:b/>
          <w:bCs/>
          <w:sz w:val="24"/>
          <w:szCs w:val="24"/>
        </w:rPr>
        <w:t xml:space="preserve"> the</w:t>
      </w:r>
      <w:r w:rsidRPr="00180CD7">
        <w:rPr>
          <w:rFonts w:ascii="Arial" w:hAnsi="Arial" w:cs="Arial"/>
          <w:b/>
          <w:bCs/>
          <w:sz w:val="24"/>
          <w:szCs w:val="24"/>
        </w:rPr>
        <w:t xml:space="preserve"> COVID-19 Pandemic Response in </w:t>
      </w:r>
      <w:r w:rsidRPr="00180CD7">
        <w:rPr>
          <w:rFonts w:ascii="Arial" w:hAnsi="Arial" w:cs="Arial"/>
          <w:b/>
          <w:bCs/>
          <w:sz w:val="24"/>
          <w:szCs w:val="24"/>
        </w:rPr>
        <w:t>Canada</w:t>
      </w:r>
      <w:bookmarkEnd w:id="14"/>
    </w:p>
    <w:p w14:paraId="4B4768AD" w14:textId="77777777" w:rsidR="00180CD7" w:rsidRPr="00180CD7" w:rsidRDefault="00180CD7" w:rsidP="00180CD7">
      <w:pPr>
        <w:pStyle w:val="NoSpacing"/>
        <w:ind w:left="760"/>
        <w:rPr>
          <w:rFonts w:ascii="Arial" w:hAnsi="Arial" w:cs="Arial"/>
          <w:b/>
          <w:bCs/>
          <w:sz w:val="24"/>
          <w:szCs w:val="24"/>
        </w:rPr>
      </w:pPr>
    </w:p>
    <w:p w14:paraId="516F6A16" w14:textId="73D589E7" w:rsidR="00041B94" w:rsidRDefault="002869EB" w:rsidP="0020479B">
      <w:pPr>
        <w:spacing w:line="360" w:lineRule="auto"/>
        <w:jc w:val="both"/>
        <w:rPr>
          <w:rFonts w:ascii="Arial" w:hAnsi="Arial" w:cs="Arial"/>
        </w:rPr>
      </w:pPr>
      <w:r w:rsidRPr="002869EB">
        <w:rPr>
          <w:rFonts w:ascii="Arial" w:hAnsi="Arial" w:cs="Arial"/>
        </w:rPr>
        <w:t xml:space="preserve">Trudeau’s leadership reflected democratic leadership principles, emphasising participation, consultation and shared decision-making. Democratic leadership involves engaging stakeholders, valuing diverse perspectives and building consensus rather than concentrating authority (Lewin </w:t>
      </w:r>
      <w:r w:rsidRPr="002869EB">
        <w:rPr>
          <w:rFonts w:ascii="Arial" w:hAnsi="Arial" w:cs="Arial"/>
          <w:i/>
          <w:iCs/>
        </w:rPr>
        <w:t>et al.</w:t>
      </w:r>
      <w:r w:rsidRPr="002869EB">
        <w:rPr>
          <w:rFonts w:ascii="Arial" w:hAnsi="Arial" w:cs="Arial"/>
        </w:rPr>
        <w:t>, 1939; Yukl, 2013). This approach aligned with Canada’s federal system, which constitutionally disperses authority and requires provincial cooperation for many pandemic-related measures (Cameron and Simeon, 2002; Bakvis and Skogstad, 2012).</w:t>
      </w:r>
    </w:p>
    <w:p w14:paraId="62EE1920" w14:textId="77777777" w:rsidR="002869EB" w:rsidRDefault="002869EB" w:rsidP="0020479B">
      <w:pPr>
        <w:spacing w:line="360" w:lineRule="auto"/>
        <w:jc w:val="both"/>
        <w:rPr>
          <w:rFonts w:ascii="Arial" w:hAnsi="Arial" w:cs="Arial"/>
        </w:rPr>
      </w:pPr>
    </w:p>
    <w:p w14:paraId="39D7998D" w14:textId="77777777" w:rsidR="00D152E0" w:rsidRDefault="00D152E0" w:rsidP="0020479B">
      <w:pPr>
        <w:spacing w:line="360" w:lineRule="auto"/>
        <w:jc w:val="both"/>
        <w:rPr>
          <w:rFonts w:ascii="Arial" w:hAnsi="Arial" w:cs="Arial"/>
        </w:rPr>
      </w:pPr>
    </w:p>
    <w:p w14:paraId="41F9FDA1" w14:textId="610BBC56" w:rsidR="002869EB" w:rsidRPr="002869EB" w:rsidRDefault="002869EB" w:rsidP="0020479B">
      <w:pPr>
        <w:spacing w:line="360" w:lineRule="auto"/>
        <w:jc w:val="both"/>
        <w:rPr>
          <w:rFonts w:ascii="Arial" w:hAnsi="Arial" w:cs="Arial"/>
          <w:b/>
          <w:bCs/>
        </w:rPr>
      </w:pPr>
      <w:r w:rsidRPr="002869EB">
        <w:rPr>
          <w:rFonts w:ascii="Arial" w:hAnsi="Arial" w:cs="Arial"/>
          <w:b/>
          <w:bCs/>
        </w:rPr>
        <w:t>Adaptive Leadership Across Pandemic</w:t>
      </w:r>
    </w:p>
    <w:p w14:paraId="205244E0" w14:textId="6346C4E1" w:rsidR="00041B94" w:rsidRDefault="002869EB" w:rsidP="0020479B">
      <w:pPr>
        <w:spacing w:line="360" w:lineRule="auto"/>
        <w:jc w:val="both"/>
        <w:rPr>
          <w:rFonts w:ascii="Arial" w:hAnsi="Arial" w:cs="Arial"/>
        </w:rPr>
      </w:pPr>
      <w:r w:rsidRPr="002869EB">
        <w:rPr>
          <w:rFonts w:ascii="Arial" w:hAnsi="Arial" w:cs="Arial"/>
        </w:rPr>
        <w:t xml:space="preserve">Trudeau’s leadership evolved across pandemic phases, demonstrating adaptive capacity. During the early response (March–April 2020), the government prioritised crisis communication, border controls and rapid economic intervention (Paquet and Schertzer, </w:t>
      </w:r>
      <w:r w:rsidRPr="002869EB">
        <w:rPr>
          <w:rFonts w:ascii="Arial" w:hAnsi="Arial" w:cs="Arial"/>
        </w:rPr>
        <w:lastRenderedPageBreak/>
        <w:t xml:space="preserve">2020). The Canada Emergency Response Benefit (CERB) was implemented within weeks, providing income support during nationwide lockdowns (Department of Finance Canada, 2020). This rapid mobilisation illustrated the federal government’s capacity for decisive action within its constitutional jurisdiction, helping to build public credibility despite limited authority over health policy (Béland </w:t>
      </w:r>
      <w:r w:rsidRPr="002869EB">
        <w:rPr>
          <w:rFonts w:ascii="Arial" w:hAnsi="Arial" w:cs="Arial"/>
          <w:i/>
          <w:iCs/>
        </w:rPr>
        <w:t>et al.</w:t>
      </w:r>
      <w:r w:rsidRPr="002869EB">
        <w:rPr>
          <w:rFonts w:ascii="Arial" w:hAnsi="Arial" w:cs="Arial"/>
        </w:rPr>
        <w:t>, 2021).</w:t>
      </w:r>
    </w:p>
    <w:p w14:paraId="15D48D1A" w14:textId="77777777" w:rsidR="002869EB" w:rsidRDefault="002869EB" w:rsidP="0020479B">
      <w:pPr>
        <w:spacing w:line="360" w:lineRule="auto"/>
        <w:jc w:val="both"/>
        <w:rPr>
          <w:rFonts w:ascii="Arial" w:hAnsi="Arial" w:cs="Arial"/>
        </w:rPr>
      </w:pPr>
    </w:p>
    <w:p w14:paraId="364C21EA" w14:textId="796262FC" w:rsidR="00041B94" w:rsidRPr="002869EB" w:rsidRDefault="002869EB" w:rsidP="0020479B">
      <w:pPr>
        <w:spacing w:line="360" w:lineRule="auto"/>
        <w:jc w:val="both"/>
        <w:rPr>
          <w:rFonts w:ascii="Arial" w:hAnsi="Arial" w:cs="Arial"/>
          <w:b/>
          <w:bCs/>
        </w:rPr>
      </w:pPr>
      <w:r w:rsidRPr="002869EB">
        <w:rPr>
          <w:rFonts w:ascii="Arial" w:hAnsi="Arial" w:cs="Arial"/>
          <w:b/>
          <w:bCs/>
        </w:rPr>
        <w:t>T</w:t>
      </w:r>
      <w:r w:rsidRPr="002869EB">
        <w:rPr>
          <w:rFonts w:ascii="Arial" w:hAnsi="Arial" w:cs="Arial"/>
          <w:b/>
          <w:bCs/>
        </w:rPr>
        <w:t>he vaccination phase</w:t>
      </w:r>
    </w:p>
    <w:p w14:paraId="7D730A11" w14:textId="239774B6" w:rsidR="002869EB" w:rsidRDefault="002869EB" w:rsidP="0020479B">
      <w:pPr>
        <w:spacing w:line="360" w:lineRule="auto"/>
        <w:jc w:val="both"/>
        <w:rPr>
          <w:rFonts w:ascii="Arial" w:hAnsi="Arial" w:cs="Arial"/>
        </w:rPr>
      </w:pPr>
      <w:r w:rsidRPr="002869EB">
        <w:rPr>
          <w:rFonts w:ascii="Arial" w:hAnsi="Arial" w:cs="Arial"/>
        </w:rPr>
        <w:t>During</w:t>
      </w:r>
      <w:bookmarkStart w:id="15" w:name="_Hlk216695747"/>
      <w:r w:rsidRPr="002869EB">
        <w:rPr>
          <w:rFonts w:ascii="Arial" w:hAnsi="Arial" w:cs="Arial"/>
        </w:rPr>
        <w:t xml:space="preserve"> the vaccination phase</w:t>
      </w:r>
      <w:bookmarkEnd w:id="15"/>
      <w:r w:rsidRPr="002869EB">
        <w:rPr>
          <w:rFonts w:ascii="Arial" w:hAnsi="Arial" w:cs="Arial"/>
        </w:rPr>
        <w:t xml:space="preserve"> (from January 2021), leadership shifted toward supply negotiation, logistical coordination and sustaining public confidence amid early delays (Paquet and Schertzer, 2021). Trudeau’s government secured agreements with multiple vaccine manufacturers, creating a diversified supply despite criticism over Canada’s limited domestic production capacity (Béland </w:t>
      </w:r>
      <w:r w:rsidRPr="002869EB">
        <w:rPr>
          <w:rFonts w:ascii="Arial" w:hAnsi="Arial" w:cs="Arial"/>
          <w:i/>
          <w:iCs/>
        </w:rPr>
        <w:t>et al.</w:t>
      </w:r>
      <w:r w:rsidRPr="002869EB">
        <w:rPr>
          <w:rFonts w:ascii="Arial" w:hAnsi="Arial" w:cs="Arial"/>
        </w:rPr>
        <w:t>, 2021). As supply improved in spring 2021, the focus moved to promoting uptake and managing interprovincial variation in distribution. This evolution reflected situational leadership, with strategies adapted to changing conditions rather than rigidly applied across contexts (Hersey and Blanchard, 1969).</w:t>
      </w:r>
    </w:p>
    <w:p w14:paraId="229A0CD9" w14:textId="77777777" w:rsidR="002869EB" w:rsidRDefault="002869EB" w:rsidP="0020479B">
      <w:pPr>
        <w:spacing w:line="360" w:lineRule="auto"/>
        <w:jc w:val="both"/>
        <w:rPr>
          <w:rFonts w:ascii="Arial" w:hAnsi="Arial" w:cs="Arial"/>
        </w:rPr>
      </w:pPr>
    </w:p>
    <w:p w14:paraId="7E50366F" w14:textId="2019AA74" w:rsidR="002869EB" w:rsidRPr="002869EB" w:rsidRDefault="002869EB" w:rsidP="0020479B">
      <w:pPr>
        <w:spacing w:line="360" w:lineRule="auto"/>
        <w:jc w:val="both"/>
        <w:rPr>
          <w:rFonts w:ascii="Arial" w:hAnsi="Arial" w:cs="Arial"/>
          <w:b/>
          <w:bCs/>
          <w:sz w:val="24"/>
          <w:szCs w:val="24"/>
        </w:rPr>
      </w:pPr>
      <w:r w:rsidRPr="002869EB">
        <w:rPr>
          <w:rFonts w:ascii="Arial" w:hAnsi="Arial" w:cs="Arial"/>
          <w:b/>
          <w:bCs/>
          <w:sz w:val="24"/>
          <w:szCs w:val="24"/>
        </w:rPr>
        <w:t>Critical Evaluation</w:t>
      </w:r>
    </w:p>
    <w:p w14:paraId="0EDB5BE1" w14:textId="42AC6E16" w:rsidR="002869EB" w:rsidRDefault="002869EB" w:rsidP="0020479B">
      <w:pPr>
        <w:spacing w:line="360" w:lineRule="auto"/>
        <w:jc w:val="both"/>
        <w:rPr>
          <w:rFonts w:ascii="Arial" w:hAnsi="Arial" w:cs="Arial"/>
        </w:rPr>
      </w:pPr>
      <w:r w:rsidRPr="002869EB">
        <w:rPr>
          <w:rFonts w:ascii="Arial" w:hAnsi="Arial" w:cs="Arial"/>
          <w:b/>
          <w:bCs/>
        </w:rPr>
        <w:t>Advantages of Trudeau's Leadership Approach</w:t>
      </w:r>
    </w:p>
    <w:p w14:paraId="5E8B552E" w14:textId="2BD2C354" w:rsidR="002869EB" w:rsidRDefault="002869EB" w:rsidP="0020479B">
      <w:pPr>
        <w:spacing w:line="360" w:lineRule="auto"/>
        <w:jc w:val="both"/>
        <w:rPr>
          <w:rFonts w:ascii="Arial" w:hAnsi="Arial" w:cs="Arial"/>
        </w:rPr>
      </w:pPr>
      <w:r w:rsidRPr="002869EB">
        <w:rPr>
          <w:rFonts w:ascii="Arial" w:hAnsi="Arial" w:cs="Arial"/>
        </w:rPr>
        <w:t>Maintaining effective federal–provincial relationships enabled coordination despite constitutional constraints. By respecting provincial jurisdiction and framing federal actions as complementary rather than intrusive, Trudeau secured provincial cooperation that might otherwise have been withheld (Cameron and Simeon, 2002; Paquet and Schertzer, 2020). This collaboration was essential, as provinces retain primary authority over healthcare delivery and public health administration in Canada (Fierlbeck, 2020).</w:t>
      </w:r>
    </w:p>
    <w:p w14:paraId="6F3C42BB" w14:textId="77777777" w:rsidR="002869EB" w:rsidRDefault="002869EB" w:rsidP="0020479B">
      <w:pPr>
        <w:spacing w:line="360" w:lineRule="auto"/>
        <w:jc w:val="both"/>
        <w:rPr>
          <w:rFonts w:ascii="Arial" w:hAnsi="Arial" w:cs="Arial"/>
        </w:rPr>
      </w:pPr>
    </w:p>
    <w:p w14:paraId="5C57663A" w14:textId="6C08147C" w:rsidR="002869EB" w:rsidRPr="00D152E0" w:rsidRDefault="002869EB" w:rsidP="0020479B">
      <w:pPr>
        <w:spacing w:line="360" w:lineRule="auto"/>
        <w:jc w:val="both"/>
        <w:rPr>
          <w:rFonts w:ascii="Arial" w:hAnsi="Arial" w:cs="Arial"/>
          <w:b/>
          <w:bCs/>
        </w:rPr>
      </w:pPr>
      <w:r w:rsidRPr="002869EB">
        <w:rPr>
          <w:rFonts w:ascii="Arial" w:hAnsi="Arial" w:cs="Arial"/>
          <w:b/>
          <w:bCs/>
        </w:rPr>
        <w:t>Limitations</w:t>
      </w:r>
    </w:p>
    <w:p w14:paraId="47EFD759" w14:textId="1E33F1AB" w:rsidR="002869EB" w:rsidRDefault="002869EB" w:rsidP="0020479B">
      <w:pPr>
        <w:spacing w:line="360" w:lineRule="auto"/>
        <w:jc w:val="both"/>
        <w:rPr>
          <w:rFonts w:ascii="Arial" w:hAnsi="Arial" w:cs="Arial"/>
        </w:rPr>
      </w:pPr>
      <w:r w:rsidRPr="002869EB">
        <w:rPr>
          <w:rFonts w:ascii="Arial" w:hAnsi="Arial" w:cs="Arial"/>
        </w:rPr>
        <w:t>Trudeau’s leadership faced significant limitations arising from constitutional constraints, most notably the inability to impose uniform national measures when provinces resisted. Resulting interprovincial policy variation generated public confusion, perceived inequities and cross-border transmission risks, as provinces adopted divergent restriction levels (Fierlbeck, 2020; Paquet and Schertzer, 2020).</w:t>
      </w:r>
    </w:p>
    <w:p w14:paraId="734272AA" w14:textId="77777777" w:rsidR="00624396" w:rsidRDefault="00624396" w:rsidP="0020479B">
      <w:pPr>
        <w:spacing w:line="360" w:lineRule="auto"/>
        <w:jc w:val="both"/>
        <w:rPr>
          <w:rFonts w:ascii="Arial" w:hAnsi="Arial" w:cs="Arial"/>
        </w:rPr>
      </w:pPr>
    </w:p>
    <w:p w14:paraId="0B6454D2" w14:textId="77777777" w:rsidR="0020479B" w:rsidRPr="00624396" w:rsidRDefault="0020479B" w:rsidP="00624396">
      <w:pPr>
        <w:pStyle w:val="NoSpacing"/>
        <w:rPr>
          <w:rFonts w:ascii="Arial" w:hAnsi="Arial" w:cs="Arial"/>
          <w:b/>
          <w:bCs/>
          <w:sz w:val="24"/>
          <w:szCs w:val="24"/>
        </w:rPr>
      </w:pPr>
    </w:p>
    <w:p w14:paraId="0A58B461" w14:textId="1EFBC5AF" w:rsidR="0020479B" w:rsidRDefault="0020479B" w:rsidP="00624396">
      <w:pPr>
        <w:pStyle w:val="NoSpacing"/>
        <w:rPr>
          <w:rFonts w:ascii="Arial" w:hAnsi="Arial" w:cs="Arial"/>
          <w:b/>
          <w:bCs/>
          <w:sz w:val="24"/>
          <w:szCs w:val="24"/>
        </w:rPr>
      </w:pPr>
      <w:bookmarkStart w:id="16" w:name="_Toc216707589"/>
      <w:r w:rsidRPr="00624396">
        <w:rPr>
          <w:rFonts w:ascii="Arial" w:hAnsi="Arial" w:cs="Arial"/>
          <w:b/>
          <w:bCs/>
          <w:sz w:val="24"/>
          <w:szCs w:val="24"/>
        </w:rPr>
        <w:t xml:space="preserve">Canada’s COVID-19 Response and Behavioural </w:t>
      </w:r>
      <w:bookmarkEnd w:id="16"/>
      <w:r w:rsidR="00624396" w:rsidRPr="00624396">
        <w:rPr>
          <w:rFonts w:ascii="Arial" w:hAnsi="Arial" w:cs="Arial"/>
          <w:b/>
          <w:bCs/>
          <w:sz w:val="24"/>
          <w:szCs w:val="24"/>
        </w:rPr>
        <w:t>Theory</w:t>
      </w:r>
    </w:p>
    <w:p w14:paraId="47C7F983" w14:textId="77777777" w:rsidR="00624396" w:rsidRPr="00624396" w:rsidRDefault="00624396" w:rsidP="00624396">
      <w:pPr>
        <w:pStyle w:val="NoSpacing"/>
        <w:rPr>
          <w:rFonts w:ascii="Arial" w:hAnsi="Arial" w:cs="Arial"/>
          <w:b/>
          <w:bCs/>
          <w:sz w:val="24"/>
          <w:szCs w:val="24"/>
        </w:rPr>
      </w:pPr>
    </w:p>
    <w:p w14:paraId="080CA9A2" w14:textId="77777777" w:rsidR="0020479B" w:rsidRPr="0020479B" w:rsidRDefault="0020479B" w:rsidP="0020479B">
      <w:pPr>
        <w:spacing w:line="360" w:lineRule="auto"/>
        <w:jc w:val="both"/>
        <w:rPr>
          <w:rFonts w:ascii="Arial" w:hAnsi="Arial" w:cs="Arial"/>
        </w:rPr>
      </w:pPr>
      <w:r w:rsidRPr="0020479B">
        <w:rPr>
          <w:rFonts w:ascii="Arial" w:hAnsi="Arial" w:cs="Arial"/>
        </w:rPr>
        <w:t>Canada’s management of the COVID-19 pandemic illustrates Behavioural Theory, which emphasises leaders’ observable actions, decision-making patterns, and management strategies rather than inherent traits or charisma (Northouse, 2022; Yukl, 2013). Prime Minister Justin Trudeau and his government demonstrated both task-oriented and people-oriented behaviours, adapting strategies across different pandemic phases (Béland et al., 2021; Paquet and Schertzer, 2020).</w:t>
      </w:r>
    </w:p>
    <w:p w14:paraId="68D46EC3" w14:textId="77777777" w:rsidR="0020479B" w:rsidRPr="0020479B" w:rsidRDefault="0020479B" w:rsidP="0020479B">
      <w:pPr>
        <w:spacing w:line="360" w:lineRule="auto"/>
        <w:jc w:val="both"/>
        <w:rPr>
          <w:rFonts w:ascii="Arial" w:hAnsi="Arial" w:cs="Arial"/>
        </w:rPr>
      </w:pPr>
    </w:p>
    <w:p w14:paraId="38AA108C" w14:textId="77777777" w:rsidR="0020479B" w:rsidRPr="0020479B" w:rsidRDefault="0020479B" w:rsidP="0020479B">
      <w:pPr>
        <w:spacing w:line="360" w:lineRule="auto"/>
        <w:jc w:val="both"/>
        <w:rPr>
          <w:rFonts w:ascii="Arial" w:hAnsi="Arial" w:cs="Arial"/>
        </w:rPr>
      </w:pPr>
      <w:r w:rsidRPr="0020479B">
        <w:rPr>
          <w:rFonts w:ascii="Arial" w:hAnsi="Arial" w:cs="Arial"/>
          <w:b/>
          <w:bCs/>
        </w:rPr>
        <w:t>Task-oriented behaviours</w:t>
      </w:r>
      <w:r w:rsidRPr="0020479B">
        <w:rPr>
          <w:rFonts w:ascii="Arial" w:hAnsi="Arial" w:cs="Arial"/>
        </w:rPr>
        <w:t xml:space="preserve"> included rapid implementation of economic support measures such as the Canada Emergency Response Benefit (CERB), border closures, and investments in domestic vaccine production and biomanufacturing infrastructure (Béland et al., 2021; Forman et al., 2021; Government of Canada, 2021). These actions addressed immediate public health and economic challenges while creating lasting institutional capacity (Fierlbeck, 2020; Atkinson, 2021).</w:t>
      </w:r>
    </w:p>
    <w:p w14:paraId="6F499F4D" w14:textId="77777777" w:rsidR="0020479B" w:rsidRPr="0020479B" w:rsidRDefault="0020479B" w:rsidP="0020479B">
      <w:pPr>
        <w:spacing w:line="360" w:lineRule="auto"/>
        <w:jc w:val="both"/>
        <w:rPr>
          <w:rFonts w:ascii="Arial" w:hAnsi="Arial" w:cs="Arial"/>
        </w:rPr>
      </w:pPr>
    </w:p>
    <w:p w14:paraId="76714202" w14:textId="77777777" w:rsidR="0020479B" w:rsidRPr="0020479B" w:rsidRDefault="0020479B" w:rsidP="0020479B">
      <w:pPr>
        <w:spacing w:line="360" w:lineRule="auto"/>
        <w:jc w:val="both"/>
        <w:rPr>
          <w:rFonts w:ascii="Arial" w:hAnsi="Arial" w:cs="Arial"/>
        </w:rPr>
      </w:pPr>
      <w:r w:rsidRPr="0020479B">
        <w:rPr>
          <w:rFonts w:ascii="Arial" w:hAnsi="Arial" w:cs="Arial"/>
          <w:b/>
          <w:bCs/>
        </w:rPr>
        <w:t>People-oriented behaviours</w:t>
      </w:r>
      <w:r w:rsidRPr="0020479B">
        <w:rPr>
          <w:rFonts w:ascii="Arial" w:hAnsi="Arial" w:cs="Arial"/>
        </w:rPr>
        <w:t xml:space="preserve"> involved frequent consultation and coordination with provincial and territorial governments, enhancing federal–provincial communication and collaboration despite constitutional constraints (Fierlbeck, 2020; Cameron and Simeon, 2002; Simeon and Cameron, 2020). Trudeau’s government also engaged in clear, consistent public communication to build trust, maintain compliance with health measures, and manage public expectations (Paquet and Schertzer, 2020; Taylor, 2021).</w:t>
      </w:r>
    </w:p>
    <w:p w14:paraId="71FE3C70" w14:textId="77777777" w:rsidR="0020479B" w:rsidRPr="0020479B" w:rsidRDefault="0020479B" w:rsidP="0020479B">
      <w:pPr>
        <w:spacing w:line="360" w:lineRule="auto"/>
        <w:jc w:val="both"/>
        <w:rPr>
          <w:rFonts w:ascii="Arial" w:hAnsi="Arial" w:cs="Arial"/>
        </w:rPr>
      </w:pPr>
    </w:p>
    <w:p w14:paraId="53EAEAFE" w14:textId="6430DA5F" w:rsidR="0020479B" w:rsidRPr="0020479B" w:rsidRDefault="0020479B" w:rsidP="0020479B">
      <w:pPr>
        <w:spacing w:line="360" w:lineRule="auto"/>
        <w:jc w:val="both"/>
        <w:rPr>
          <w:rFonts w:ascii="Arial" w:hAnsi="Arial" w:cs="Arial"/>
        </w:rPr>
      </w:pPr>
      <w:r w:rsidRPr="0020479B">
        <w:rPr>
          <w:rFonts w:ascii="Arial" w:hAnsi="Arial" w:cs="Arial"/>
        </w:rPr>
        <w:t>Leadership was adaptive, with priorities shifting across pandemic phases</w:t>
      </w:r>
      <w:r>
        <w:rPr>
          <w:rFonts w:ascii="Arial" w:hAnsi="Arial" w:cs="Arial"/>
        </w:rPr>
        <w:t xml:space="preserve">, </w:t>
      </w:r>
      <w:r w:rsidRPr="0020479B">
        <w:rPr>
          <w:rFonts w:ascii="Arial" w:hAnsi="Arial" w:cs="Arial"/>
        </w:rPr>
        <w:t>from crisis management and economic support in early 2020 to vaccine procurement, distribution, and public engagement during 2021 (Béland et al., 2021; Forman et al., 2021). This behavioural flexibility allowed the federal government to respond effectively within the limits of its constitutional authority (Fierlbeck, 2020; Béland and Waddan, 2021).</w:t>
      </w:r>
    </w:p>
    <w:p w14:paraId="5DA29DC3" w14:textId="3BB80C16" w:rsidR="00783B87" w:rsidRPr="00D152E0" w:rsidRDefault="0020479B" w:rsidP="0020479B">
      <w:pPr>
        <w:spacing w:line="360" w:lineRule="auto"/>
        <w:jc w:val="both"/>
        <w:rPr>
          <w:rFonts w:ascii="Arial" w:hAnsi="Arial" w:cs="Arial"/>
          <w:b/>
          <w:bCs/>
        </w:rPr>
      </w:pPr>
      <w:r w:rsidRPr="0020479B">
        <w:rPr>
          <w:rFonts w:ascii="Arial" w:hAnsi="Arial" w:cs="Arial"/>
        </w:rPr>
        <w:t>Canada’s COVID-19 response demonstrates that effective leadership during complex crises depends on observable behaviours, strategic actions, and adaptive management, consistent with Behavioural Theory. While Trudeau’s personal qualities supported public trust, success was largely driven by the decisions and coordinated actions of government institutions and intergovernmental collaboration (Paquet and Schertzer, 2020; Béland et al., 2021).</w:t>
      </w:r>
    </w:p>
    <w:p w14:paraId="6F1623D8" w14:textId="77777777" w:rsidR="00783B87" w:rsidRDefault="00783B87" w:rsidP="0020479B">
      <w:pPr>
        <w:spacing w:line="360" w:lineRule="auto"/>
        <w:jc w:val="both"/>
        <w:rPr>
          <w:rFonts w:ascii="Arial" w:hAnsi="Arial" w:cs="Arial"/>
        </w:rPr>
      </w:pPr>
    </w:p>
    <w:p w14:paraId="2E2CBFF4" w14:textId="61D1F841" w:rsidR="00CE3789" w:rsidRDefault="003C73D8" w:rsidP="00624396">
      <w:pPr>
        <w:pStyle w:val="NoSpacing"/>
        <w:numPr>
          <w:ilvl w:val="0"/>
          <w:numId w:val="1"/>
        </w:numPr>
        <w:rPr>
          <w:rFonts w:ascii="Arial" w:hAnsi="Arial" w:cs="Arial"/>
          <w:b/>
          <w:bCs/>
          <w:sz w:val="28"/>
          <w:szCs w:val="28"/>
        </w:rPr>
      </w:pPr>
      <w:bookmarkStart w:id="17" w:name="_Toc216707590"/>
      <w:r w:rsidRPr="00624396">
        <w:rPr>
          <w:rFonts w:ascii="Arial" w:hAnsi="Arial" w:cs="Arial"/>
          <w:b/>
          <w:bCs/>
          <w:sz w:val="28"/>
          <w:szCs w:val="28"/>
        </w:rPr>
        <w:t>Leadership influence on health system structure</w:t>
      </w:r>
      <w:bookmarkEnd w:id="17"/>
      <w:r w:rsidRPr="00624396">
        <w:rPr>
          <w:rFonts w:ascii="Arial" w:hAnsi="Arial" w:cs="Arial"/>
          <w:b/>
          <w:bCs/>
          <w:sz w:val="28"/>
          <w:szCs w:val="28"/>
        </w:rPr>
        <w:t xml:space="preserve"> </w:t>
      </w:r>
    </w:p>
    <w:p w14:paraId="1803B8B7" w14:textId="77777777" w:rsidR="00624396" w:rsidRPr="00624396" w:rsidRDefault="00624396" w:rsidP="00624396">
      <w:pPr>
        <w:pStyle w:val="NoSpacing"/>
        <w:ind w:left="720"/>
        <w:rPr>
          <w:rFonts w:ascii="Arial" w:hAnsi="Arial" w:cs="Arial"/>
          <w:b/>
          <w:bCs/>
          <w:sz w:val="28"/>
          <w:szCs w:val="28"/>
        </w:rPr>
      </w:pPr>
    </w:p>
    <w:p w14:paraId="1C462B7F" w14:textId="17050DA5" w:rsidR="002972BB" w:rsidRDefault="002972BB" w:rsidP="00624396">
      <w:pPr>
        <w:pStyle w:val="NoSpacing"/>
        <w:numPr>
          <w:ilvl w:val="1"/>
          <w:numId w:val="1"/>
        </w:numPr>
        <w:rPr>
          <w:rFonts w:ascii="Arial" w:hAnsi="Arial" w:cs="Arial"/>
          <w:b/>
          <w:bCs/>
          <w:sz w:val="24"/>
          <w:szCs w:val="24"/>
        </w:rPr>
      </w:pPr>
      <w:bookmarkStart w:id="18" w:name="_Toc216707591"/>
      <w:r w:rsidRPr="00624396">
        <w:rPr>
          <w:rFonts w:ascii="Arial" w:hAnsi="Arial" w:cs="Arial"/>
          <w:b/>
          <w:bCs/>
          <w:sz w:val="24"/>
          <w:szCs w:val="24"/>
        </w:rPr>
        <w:t>Spain</w:t>
      </w:r>
      <w:r w:rsidR="00795426" w:rsidRPr="00624396">
        <w:rPr>
          <w:rFonts w:ascii="Arial" w:hAnsi="Arial" w:cs="Arial"/>
          <w:b/>
          <w:bCs/>
          <w:sz w:val="24"/>
          <w:szCs w:val="24"/>
        </w:rPr>
        <w:t xml:space="preserve"> - </w:t>
      </w:r>
      <w:r w:rsidRPr="00624396">
        <w:rPr>
          <w:rFonts w:ascii="Arial" w:hAnsi="Arial" w:cs="Arial"/>
          <w:b/>
          <w:bCs/>
          <w:sz w:val="24"/>
          <w:szCs w:val="24"/>
        </w:rPr>
        <w:t>From Crisis Centralisation to Collaborative Frameworks</w:t>
      </w:r>
      <w:bookmarkEnd w:id="18"/>
    </w:p>
    <w:p w14:paraId="29A4C4CD" w14:textId="77777777" w:rsidR="00624396" w:rsidRPr="00624396" w:rsidRDefault="00624396" w:rsidP="00624396">
      <w:pPr>
        <w:pStyle w:val="NoSpacing"/>
        <w:ind w:left="760"/>
        <w:rPr>
          <w:rFonts w:ascii="Arial" w:hAnsi="Arial" w:cs="Arial"/>
          <w:b/>
          <w:bCs/>
          <w:sz w:val="24"/>
          <w:szCs w:val="24"/>
        </w:rPr>
      </w:pPr>
    </w:p>
    <w:p w14:paraId="2DEFE6E6" w14:textId="77777777" w:rsidR="003C73D8" w:rsidRPr="003C73D8" w:rsidRDefault="003C73D8" w:rsidP="0020479B">
      <w:pPr>
        <w:spacing w:line="360" w:lineRule="auto"/>
        <w:jc w:val="both"/>
        <w:rPr>
          <w:rFonts w:ascii="Arial" w:hAnsi="Arial" w:cs="Arial"/>
        </w:rPr>
      </w:pPr>
      <w:r w:rsidRPr="003C73D8">
        <w:rPr>
          <w:rFonts w:ascii="Arial" w:hAnsi="Arial" w:cs="Arial"/>
        </w:rPr>
        <w:t xml:space="preserve">Leadership choices during Spain’s pandemic response influenced health-system governance in ways with potential long-term effects. Illa’s facilitation of temporary centralisation during the state of alarm established important precedents for central–regional coordination in public-health emergencies (Greer </w:t>
      </w:r>
      <w:r w:rsidRPr="003C73D8">
        <w:rPr>
          <w:rFonts w:ascii="Arial" w:hAnsi="Arial" w:cs="Arial"/>
          <w:i/>
          <w:iCs/>
        </w:rPr>
        <w:t>et al.</w:t>
      </w:r>
      <w:r w:rsidRPr="003C73D8">
        <w:rPr>
          <w:rFonts w:ascii="Arial" w:hAnsi="Arial" w:cs="Arial"/>
        </w:rPr>
        <w:t xml:space="preserve">, 2020; Royo, 2021). The legal frameworks activated under the state of alarm demonstrated how authority could be rapidly centralised when crises exceeded regional capacity, shaping expectations for future emergency response planning (Legido-Quigley </w:t>
      </w:r>
      <w:r w:rsidRPr="003C73D8">
        <w:rPr>
          <w:rFonts w:ascii="Arial" w:hAnsi="Arial" w:cs="Arial"/>
          <w:i/>
          <w:iCs/>
        </w:rPr>
        <w:t>et al.</w:t>
      </w:r>
      <w:r w:rsidRPr="003C73D8">
        <w:rPr>
          <w:rFonts w:ascii="Arial" w:hAnsi="Arial" w:cs="Arial"/>
        </w:rPr>
        <w:t xml:space="preserve">, 2020; García-Basteiro </w:t>
      </w:r>
      <w:r w:rsidRPr="003C73D8">
        <w:rPr>
          <w:rFonts w:ascii="Arial" w:hAnsi="Arial" w:cs="Arial"/>
          <w:i/>
          <w:iCs/>
        </w:rPr>
        <w:t>et al.</w:t>
      </w:r>
      <w:r w:rsidRPr="003C73D8">
        <w:rPr>
          <w:rFonts w:ascii="Arial" w:hAnsi="Arial" w:cs="Arial"/>
        </w:rPr>
        <w:t>, 2021).</w:t>
      </w:r>
    </w:p>
    <w:p w14:paraId="6779C265" w14:textId="4D1C5F49" w:rsidR="003C73D8" w:rsidRPr="003C73D8" w:rsidRDefault="003C73D8" w:rsidP="0020479B">
      <w:pPr>
        <w:spacing w:line="360" w:lineRule="auto"/>
        <w:jc w:val="both"/>
        <w:rPr>
          <w:rFonts w:ascii="Arial" w:hAnsi="Arial" w:cs="Arial"/>
        </w:rPr>
      </w:pPr>
      <w:r w:rsidRPr="003C73D8">
        <w:rPr>
          <w:rFonts w:ascii="Arial" w:hAnsi="Arial" w:cs="Arial"/>
        </w:rPr>
        <w:t xml:space="preserve">More significantly, the vaccination campaign highlighted the effectiveness of coordinated federalism. By combining central government leadership in international procurement and strategic planning with regional responsibility for implementation, Spain achieved outcomes that exceeded those associated with either full centralisation or fragmented regional governance (Legido-Quigley </w:t>
      </w:r>
      <w:r w:rsidRPr="003C73D8">
        <w:rPr>
          <w:rFonts w:ascii="Arial" w:hAnsi="Arial" w:cs="Arial"/>
          <w:i/>
          <w:iCs/>
        </w:rPr>
        <w:t>et al.</w:t>
      </w:r>
      <w:r w:rsidRPr="003C73D8">
        <w:rPr>
          <w:rFonts w:ascii="Arial" w:hAnsi="Arial" w:cs="Arial"/>
        </w:rPr>
        <w:t xml:space="preserve">, 2020; Greer </w:t>
      </w:r>
      <w:r w:rsidRPr="003C73D8">
        <w:rPr>
          <w:rFonts w:ascii="Arial" w:hAnsi="Arial" w:cs="Arial"/>
          <w:i/>
          <w:iCs/>
        </w:rPr>
        <w:t>et al.</w:t>
      </w:r>
      <w:r w:rsidRPr="003C73D8">
        <w:rPr>
          <w:rFonts w:ascii="Arial" w:hAnsi="Arial" w:cs="Arial"/>
        </w:rPr>
        <w:t>, 2021</w:t>
      </w:r>
      <w:r>
        <w:rPr>
          <w:rFonts w:ascii="Arial" w:hAnsi="Arial" w:cs="Arial"/>
        </w:rPr>
        <w:t>).</w:t>
      </w:r>
    </w:p>
    <w:p w14:paraId="02D71DC7" w14:textId="77777777" w:rsidR="00E319FC" w:rsidRPr="002972BB" w:rsidRDefault="00E319FC" w:rsidP="0020479B">
      <w:pPr>
        <w:spacing w:line="360" w:lineRule="auto"/>
        <w:jc w:val="both"/>
        <w:rPr>
          <w:rFonts w:ascii="Arial" w:hAnsi="Arial" w:cs="Arial"/>
        </w:rPr>
      </w:pPr>
    </w:p>
    <w:p w14:paraId="7B02E2FC" w14:textId="0F823354" w:rsidR="002972BB" w:rsidRDefault="002972BB" w:rsidP="00624396">
      <w:pPr>
        <w:pStyle w:val="NoSpacing"/>
        <w:numPr>
          <w:ilvl w:val="1"/>
          <w:numId w:val="1"/>
        </w:numPr>
        <w:rPr>
          <w:rFonts w:ascii="Arial" w:hAnsi="Arial" w:cs="Arial"/>
          <w:b/>
          <w:bCs/>
          <w:sz w:val="24"/>
          <w:szCs w:val="24"/>
        </w:rPr>
      </w:pPr>
      <w:bookmarkStart w:id="19" w:name="_Toc216707592"/>
      <w:r w:rsidRPr="00624396">
        <w:rPr>
          <w:rFonts w:ascii="Arial" w:hAnsi="Arial" w:cs="Arial"/>
          <w:b/>
          <w:bCs/>
          <w:sz w:val="24"/>
          <w:szCs w:val="24"/>
        </w:rPr>
        <w:t>South Korea</w:t>
      </w:r>
      <w:r w:rsidR="003C73D8" w:rsidRPr="00624396">
        <w:rPr>
          <w:rFonts w:ascii="Arial" w:hAnsi="Arial" w:cs="Arial"/>
          <w:b/>
          <w:bCs/>
          <w:sz w:val="24"/>
          <w:szCs w:val="24"/>
        </w:rPr>
        <w:t xml:space="preserve"> - </w:t>
      </w:r>
      <w:r w:rsidRPr="00624396">
        <w:rPr>
          <w:rFonts w:ascii="Arial" w:hAnsi="Arial" w:cs="Arial"/>
          <w:b/>
          <w:bCs/>
          <w:sz w:val="24"/>
          <w:szCs w:val="24"/>
        </w:rPr>
        <w:t>Institutionalising Preparedness and Public-Private Partnerships</w:t>
      </w:r>
      <w:bookmarkEnd w:id="19"/>
    </w:p>
    <w:p w14:paraId="7D89189D" w14:textId="77777777" w:rsidR="00624396" w:rsidRPr="00624396" w:rsidRDefault="00624396" w:rsidP="00624396">
      <w:pPr>
        <w:pStyle w:val="NoSpacing"/>
        <w:ind w:left="760"/>
        <w:rPr>
          <w:rFonts w:ascii="Arial" w:hAnsi="Arial" w:cs="Arial"/>
          <w:b/>
          <w:bCs/>
          <w:sz w:val="24"/>
          <w:szCs w:val="24"/>
        </w:rPr>
      </w:pPr>
    </w:p>
    <w:p w14:paraId="36EC686B" w14:textId="77777777" w:rsidR="003C73D8" w:rsidRPr="003C73D8" w:rsidRDefault="003C73D8" w:rsidP="0020479B">
      <w:pPr>
        <w:spacing w:line="360" w:lineRule="auto"/>
        <w:jc w:val="both"/>
        <w:rPr>
          <w:rFonts w:ascii="Arial" w:hAnsi="Arial" w:cs="Arial"/>
        </w:rPr>
      </w:pPr>
      <w:r w:rsidRPr="003C73D8">
        <w:rPr>
          <w:rFonts w:ascii="Arial" w:hAnsi="Arial" w:cs="Arial"/>
        </w:rPr>
        <w:t>Chung’s leadership reinforced and extended institutional reforms initiated after the MERS outbreak, embedding crisis lessons into permanent governance arrangements. The decision to elevate the Korea Disease Control and Prevention Agency (KDCA) to independent agency status during the pandemic reflected recognition that effective public health governance requires sustained institutional autonomy rather than temporary crisis mobilisation (Kim and Lee, 2021; Moon, 2020). This move built on post-MERS reforms aimed at strengthening surveillance, coordination and professional authority within South Korea’s health system (Kwon, 2020).</w:t>
      </w:r>
    </w:p>
    <w:p w14:paraId="266EA385" w14:textId="77777777" w:rsidR="003C73D8" w:rsidRPr="003C73D8" w:rsidRDefault="003C73D8" w:rsidP="0020479B">
      <w:pPr>
        <w:spacing w:line="360" w:lineRule="auto"/>
        <w:jc w:val="both"/>
        <w:rPr>
          <w:rFonts w:ascii="Arial" w:hAnsi="Arial" w:cs="Arial"/>
        </w:rPr>
      </w:pPr>
      <w:r w:rsidRPr="003C73D8">
        <w:rPr>
          <w:rFonts w:ascii="Arial" w:hAnsi="Arial" w:cs="Arial"/>
        </w:rPr>
        <w:t xml:space="preserve">The pandemic further institutionalised public–private partnerships in testing and treatment capacity. Regulatory frameworks enabling rapid private-sector mobilisation, government mandates for private facility participation during health emergencies, and cost-sharing mechanisms became embedded features of South Korea’s health security infrastructure (You, 2020; Park </w:t>
      </w:r>
      <w:r w:rsidRPr="003C73D8">
        <w:rPr>
          <w:rFonts w:ascii="Arial" w:hAnsi="Arial" w:cs="Arial"/>
          <w:i/>
          <w:iCs/>
        </w:rPr>
        <w:t>et al.</w:t>
      </w:r>
      <w:r w:rsidRPr="003C73D8">
        <w:rPr>
          <w:rFonts w:ascii="Arial" w:hAnsi="Arial" w:cs="Arial"/>
        </w:rPr>
        <w:t>, 2021). These arrangements demonstrated that a predominantly private healthcare delivery system could effectively serve public health objectives when governance frameworks align incentives and enforce cooperation (Kwon and Kim, 2020).</w:t>
      </w:r>
    </w:p>
    <w:p w14:paraId="7C81492D" w14:textId="77777777" w:rsidR="00EB767C" w:rsidRDefault="00EB767C" w:rsidP="0020479B">
      <w:pPr>
        <w:spacing w:line="360" w:lineRule="auto"/>
        <w:jc w:val="both"/>
        <w:rPr>
          <w:rFonts w:ascii="Arial" w:hAnsi="Arial" w:cs="Arial"/>
        </w:rPr>
      </w:pPr>
    </w:p>
    <w:p w14:paraId="0B0048F0" w14:textId="77777777" w:rsidR="00EB767C" w:rsidRDefault="00EB767C" w:rsidP="0020479B">
      <w:pPr>
        <w:spacing w:line="360" w:lineRule="auto"/>
        <w:jc w:val="both"/>
        <w:rPr>
          <w:rFonts w:ascii="Arial" w:hAnsi="Arial" w:cs="Arial"/>
        </w:rPr>
      </w:pPr>
    </w:p>
    <w:p w14:paraId="4739A0DE" w14:textId="77777777" w:rsidR="00EB767C" w:rsidRDefault="00EB767C" w:rsidP="0020479B">
      <w:pPr>
        <w:spacing w:line="360" w:lineRule="auto"/>
        <w:jc w:val="both"/>
        <w:rPr>
          <w:rFonts w:ascii="Arial" w:hAnsi="Arial" w:cs="Arial"/>
        </w:rPr>
      </w:pPr>
    </w:p>
    <w:p w14:paraId="2A2BF929" w14:textId="77777777" w:rsidR="00EB767C" w:rsidRDefault="00EB767C" w:rsidP="0020479B">
      <w:pPr>
        <w:spacing w:line="360" w:lineRule="auto"/>
        <w:jc w:val="both"/>
        <w:rPr>
          <w:rFonts w:ascii="Arial" w:hAnsi="Arial" w:cs="Arial"/>
        </w:rPr>
      </w:pPr>
    </w:p>
    <w:p w14:paraId="7D83E633" w14:textId="08DD3AF8" w:rsidR="003C73D8" w:rsidRPr="003C73D8" w:rsidRDefault="003C73D8" w:rsidP="0020479B">
      <w:pPr>
        <w:spacing w:line="360" w:lineRule="auto"/>
        <w:jc w:val="both"/>
        <w:rPr>
          <w:rFonts w:ascii="Arial" w:hAnsi="Arial" w:cs="Arial"/>
        </w:rPr>
      </w:pPr>
      <w:r w:rsidRPr="003C73D8">
        <w:rPr>
          <w:rFonts w:ascii="Arial" w:hAnsi="Arial" w:cs="Arial"/>
        </w:rPr>
        <w:t>Leadership commitment to technological surveillance capabilities</w:t>
      </w:r>
      <w:r>
        <w:rPr>
          <w:rFonts w:ascii="Arial" w:hAnsi="Arial" w:cs="Arial"/>
        </w:rPr>
        <w:t xml:space="preserve"> </w:t>
      </w:r>
      <w:r w:rsidRPr="003C73D8">
        <w:rPr>
          <w:rFonts w:ascii="Arial" w:hAnsi="Arial" w:cs="Arial"/>
        </w:rPr>
        <w:t xml:space="preserve"> reshaped system structures. Investments in digital contact tracing, real-time epidemiological data systems and public information platforms became permanent components of pandemic preparedness (Moon, 2020; Kim and Lee, 2021). While raising enduring privacy and civil-liberty concerns, these systems position South Korea for rapid response to future infectious disease threats (Park </w:t>
      </w:r>
      <w:r w:rsidRPr="003C73D8">
        <w:rPr>
          <w:rFonts w:ascii="Arial" w:hAnsi="Arial" w:cs="Arial"/>
          <w:i/>
          <w:iCs/>
        </w:rPr>
        <w:t>et al.</w:t>
      </w:r>
      <w:r w:rsidRPr="003C73D8">
        <w:rPr>
          <w:rFonts w:ascii="Arial" w:hAnsi="Arial" w:cs="Arial"/>
        </w:rPr>
        <w:t xml:space="preserve">, 2021). The prioritisation of technological prevention over purely clinical expansion reflected strategic leadership judgement that early detection and containment are more cost-effective than managing large-scale outbreaks after transmission is established (Kim and Lee, 2021; Legido-Quigley </w:t>
      </w:r>
      <w:r w:rsidRPr="003C73D8">
        <w:rPr>
          <w:rFonts w:ascii="Arial" w:hAnsi="Arial" w:cs="Arial"/>
          <w:i/>
          <w:iCs/>
        </w:rPr>
        <w:t>et al.</w:t>
      </w:r>
      <w:r w:rsidRPr="003C73D8">
        <w:rPr>
          <w:rFonts w:ascii="Arial" w:hAnsi="Arial" w:cs="Arial"/>
        </w:rPr>
        <w:t>, 2020).</w:t>
      </w:r>
    </w:p>
    <w:p w14:paraId="71D25E68" w14:textId="77777777" w:rsidR="00E319FC" w:rsidRDefault="00E319FC" w:rsidP="0020479B">
      <w:pPr>
        <w:spacing w:line="360" w:lineRule="auto"/>
        <w:jc w:val="both"/>
        <w:rPr>
          <w:rFonts w:ascii="Arial" w:hAnsi="Arial" w:cs="Arial"/>
          <w:b/>
          <w:bCs/>
        </w:rPr>
      </w:pPr>
    </w:p>
    <w:p w14:paraId="5B1BB3AF" w14:textId="77777777" w:rsidR="00EB767C" w:rsidRPr="003C73D8" w:rsidRDefault="00EB767C" w:rsidP="0020479B">
      <w:pPr>
        <w:spacing w:line="360" w:lineRule="auto"/>
        <w:jc w:val="both"/>
        <w:rPr>
          <w:rFonts w:ascii="Arial" w:hAnsi="Arial" w:cs="Arial"/>
          <w:b/>
          <w:bCs/>
        </w:rPr>
      </w:pPr>
    </w:p>
    <w:p w14:paraId="79E88F53" w14:textId="273D565B" w:rsidR="002972BB" w:rsidRDefault="002972BB" w:rsidP="00624396">
      <w:pPr>
        <w:pStyle w:val="NoSpacing"/>
        <w:numPr>
          <w:ilvl w:val="1"/>
          <w:numId w:val="1"/>
        </w:numPr>
        <w:rPr>
          <w:rFonts w:ascii="Arial" w:hAnsi="Arial" w:cs="Arial"/>
          <w:b/>
          <w:bCs/>
          <w:sz w:val="24"/>
          <w:szCs w:val="24"/>
        </w:rPr>
      </w:pPr>
      <w:bookmarkStart w:id="20" w:name="_Toc216707593"/>
      <w:r w:rsidRPr="00624396">
        <w:rPr>
          <w:rFonts w:ascii="Arial" w:hAnsi="Arial" w:cs="Arial"/>
          <w:b/>
          <w:bCs/>
          <w:sz w:val="24"/>
          <w:szCs w:val="24"/>
        </w:rPr>
        <w:t>Canad</w:t>
      </w:r>
      <w:r w:rsidR="003C73D8" w:rsidRPr="00624396">
        <w:rPr>
          <w:rFonts w:ascii="Arial" w:hAnsi="Arial" w:cs="Arial"/>
          <w:b/>
          <w:bCs/>
          <w:sz w:val="24"/>
          <w:szCs w:val="24"/>
        </w:rPr>
        <w:t xml:space="preserve">a - </w:t>
      </w:r>
      <w:r w:rsidRPr="00624396">
        <w:rPr>
          <w:rFonts w:ascii="Arial" w:hAnsi="Arial" w:cs="Arial"/>
          <w:b/>
          <w:bCs/>
          <w:sz w:val="24"/>
          <w:szCs w:val="24"/>
        </w:rPr>
        <w:t>Federal-Provincial Coordination and Strategic Capacity</w:t>
      </w:r>
      <w:bookmarkEnd w:id="20"/>
    </w:p>
    <w:p w14:paraId="4D7BF39B" w14:textId="77777777" w:rsidR="00624396" w:rsidRPr="00624396" w:rsidRDefault="00624396" w:rsidP="00624396">
      <w:pPr>
        <w:pStyle w:val="NoSpacing"/>
        <w:ind w:left="760"/>
        <w:rPr>
          <w:rFonts w:ascii="Arial" w:hAnsi="Arial" w:cs="Arial"/>
          <w:b/>
          <w:bCs/>
          <w:sz w:val="24"/>
          <w:szCs w:val="24"/>
        </w:rPr>
      </w:pPr>
    </w:p>
    <w:p w14:paraId="79D7C498" w14:textId="77777777" w:rsidR="003C73D8" w:rsidRPr="003C73D8" w:rsidRDefault="003C73D8" w:rsidP="0020479B">
      <w:pPr>
        <w:spacing w:line="360" w:lineRule="auto"/>
        <w:jc w:val="both"/>
        <w:rPr>
          <w:rFonts w:ascii="Arial" w:hAnsi="Arial" w:cs="Arial"/>
        </w:rPr>
      </w:pPr>
      <w:r w:rsidRPr="003C73D8">
        <w:rPr>
          <w:rFonts w:ascii="Arial" w:hAnsi="Arial" w:cs="Arial"/>
        </w:rPr>
        <w:t>Trudeau’s leadership navigated the pandemic without fundamentally restructuring federal–provincial health jurisdiction, as constitutional constraints rendered major institutional reform politically and legally complex (Fierlbeck, 2020; Paquet and Schertzer, 2020). Instead, the experience strengthened coordination mechanisms while exposing strategic vulnerabilities in Canada’s health security architecture.</w:t>
      </w:r>
    </w:p>
    <w:p w14:paraId="659DF49A" w14:textId="77777777" w:rsidR="003C73D8" w:rsidRPr="003C73D8" w:rsidRDefault="003C73D8" w:rsidP="0020479B">
      <w:pPr>
        <w:spacing w:line="360" w:lineRule="auto"/>
        <w:jc w:val="both"/>
        <w:rPr>
          <w:rFonts w:ascii="Arial" w:hAnsi="Arial" w:cs="Arial"/>
        </w:rPr>
      </w:pPr>
      <w:r w:rsidRPr="003C73D8">
        <w:rPr>
          <w:rFonts w:ascii="Arial" w:hAnsi="Arial" w:cs="Arial"/>
        </w:rPr>
        <w:t xml:space="preserve">In response to pandemic-revealed dependence on global vaccine supply chains, the federal government made substantial investments in domestic biomanufacturing capacity. Funding new production facilities reflected strategic leadership recognising that emergency supply resilience requires domestic capacity, even when economically inefficient in non-crisis conditions, and is likely to produce lasting gains for Canada’s pharmaceutical sector (Forman </w:t>
      </w:r>
      <w:r w:rsidRPr="003C73D8">
        <w:rPr>
          <w:rFonts w:ascii="Arial" w:hAnsi="Arial" w:cs="Arial"/>
          <w:i/>
          <w:iCs/>
        </w:rPr>
        <w:t>et al.</w:t>
      </w:r>
      <w:r w:rsidRPr="003C73D8">
        <w:rPr>
          <w:rFonts w:ascii="Arial" w:hAnsi="Arial" w:cs="Arial"/>
        </w:rPr>
        <w:t xml:space="preserve">, 2021; Béland </w:t>
      </w:r>
      <w:r w:rsidRPr="003C73D8">
        <w:rPr>
          <w:rFonts w:ascii="Arial" w:hAnsi="Arial" w:cs="Arial"/>
          <w:i/>
          <w:iCs/>
        </w:rPr>
        <w:t>et al.</w:t>
      </w:r>
      <w:r w:rsidRPr="003C73D8">
        <w:rPr>
          <w:rFonts w:ascii="Arial" w:hAnsi="Arial" w:cs="Arial"/>
        </w:rPr>
        <w:t>, 2021).</w:t>
      </w:r>
    </w:p>
    <w:p w14:paraId="77BD9BAC" w14:textId="77777777" w:rsidR="003C73D8" w:rsidRPr="003C73D8" w:rsidRDefault="003C73D8" w:rsidP="0020479B">
      <w:pPr>
        <w:spacing w:line="360" w:lineRule="auto"/>
        <w:jc w:val="both"/>
        <w:rPr>
          <w:rFonts w:ascii="Arial" w:hAnsi="Arial" w:cs="Arial"/>
        </w:rPr>
      </w:pPr>
      <w:r w:rsidRPr="003C73D8">
        <w:rPr>
          <w:rFonts w:ascii="Arial" w:hAnsi="Arial" w:cs="Arial"/>
        </w:rPr>
        <w:t>Federal–provincial–territorial health ministers’ meetings became more frequent and substantive during the pandemic, institutionalising enhanced communication protocols and information-sharing practices. While not amounting to constitutional reform, these developments represent meaningful “soft” institutional change through strengthened norms of intergovernmental collaboration (Fierlbeck, 2020; Cameron and Simeon, 2002).</w:t>
      </w:r>
    </w:p>
    <w:p w14:paraId="32F5666C" w14:textId="77777777" w:rsidR="008D7B9D" w:rsidRDefault="008D7B9D" w:rsidP="0020479B">
      <w:pPr>
        <w:spacing w:line="360" w:lineRule="auto"/>
        <w:jc w:val="both"/>
        <w:rPr>
          <w:rFonts w:ascii="Arial" w:hAnsi="Arial" w:cs="Arial"/>
          <w:b/>
          <w:bCs/>
        </w:rPr>
      </w:pPr>
    </w:p>
    <w:p w14:paraId="4EBF1DE7" w14:textId="77777777" w:rsidR="00EB767C" w:rsidRDefault="00EB767C" w:rsidP="0020479B">
      <w:pPr>
        <w:spacing w:line="360" w:lineRule="auto"/>
        <w:jc w:val="both"/>
        <w:rPr>
          <w:rFonts w:ascii="Arial" w:hAnsi="Arial" w:cs="Arial"/>
          <w:b/>
          <w:bCs/>
        </w:rPr>
      </w:pPr>
    </w:p>
    <w:p w14:paraId="172F9CA6" w14:textId="77777777" w:rsidR="00EB767C" w:rsidRDefault="00EB767C" w:rsidP="0020479B">
      <w:pPr>
        <w:spacing w:line="360" w:lineRule="auto"/>
        <w:jc w:val="both"/>
        <w:rPr>
          <w:rFonts w:ascii="Arial" w:hAnsi="Arial" w:cs="Arial"/>
          <w:b/>
          <w:bCs/>
        </w:rPr>
      </w:pPr>
    </w:p>
    <w:p w14:paraId="4E8BFB26" w14:textId="77777777" w:rsidR="00EB767C" w:rsidRPr="003C73D8" w:rsidRDefault="00EB767C" w:rsidP="0020479B">
      <w:pPr>
        <w:spacing w:line="360" w:lineRule="auto"/>
        <w:jc w:val="both"/>
        <w:rPr>
          <w:rFonts w:ascii="Arial" w:hAnsi="Arial" w:cs="Arial"/>
          <w:b/>
          <w:bCs/>
        </w:rPr>
      </w:pPr>
    </w:p>
    <w:p w14:paraId="59474212" w14:textId="27FC187D" w:rsidR="002972BB" w:rsidRDefault="002972BB" w:rsidP="00624396">
      <w:pPr>
        <w:pStyle w:val="NoSpacing"/>
        <w:numPr>
          <w:ilvl w:val="1"/>
          <w:numId w:val="1"/>
        </w:numPr>
        <w:rPr>
          <w:rFonts w:ascii="Arial" w:hAnsi="Arial" w:cs="Arial"/>
          <w:b/>
          <w:bCs/>
          <w:sz w:val="24"/>
          <w:szCs w:val="24"/>
        </w:rPr>
      </w:pPr>
      <w:bookmarkStart w:id="21" w:name="_Toc216707594"/>
      <w:r w:rsidRPr="00624396">
        <w:rPr>
          <w:rFonts w:ascii="Arial" w:hAnsi="Arial" w:cs="Arial"/>
          <w:b/>
          <w:bCs/>
          <w:sz w:val="24"/>
          <w:szCs w:val="24"/>
        </w:rPr>
        <w:t>Comparative Observations on Leadership and System Structure</w:t>
      </w:r>
      <w:bookmarkEnd w:id="21"/>
    </w:p>
    <w:p w14:paraId="7EC007E7" w14:textId="77777777" w:rsidR="00624396" w:rsidRPr="00624396" w:rsidRDefault="00624396" w:rsidP="00624396">
      <w:pPr>
        <w:pStyle w:val="NoSpacing"/>
        <w:ind w:left="760"/>
        <w:rPr>
          <w:rFonts w:ascii="Arial" w:hAnsi="Arial" w:cs="Arial"/>
          <w:b/>
          <w:bCs/>
          <w:sz w:val="24"/>
          <w:szCs w:val="24"/>
        </w:rPr>
      </w:pPr>
    </w:p>
    <w:p w14:paraId="68063A24" w14:textId="5619EB46" w:rsidR="00746C51" w:rsidRPr="00746C51" w:rsidRDefault="00746C51" w:rsidP="0020479B">
      <w:pPr>
        <w:spacing w:line="360" w:lineRule="auto"/>
        <w:jc w:val="both"/>
        <w:rPr>
          <w:rFonts w:ascii="Arial" w:hAnsi="Arial" w:cs="Arial"/>
        </w:rPr>
      </w:pPr>
      <w:r w:rsidRPr="00746C51">
        <w:rPr>
          <w:rFonts w:ascii="Arial" w:hAnsi="Arial" w:cs="Arial"/>
        </w:rPr>
        <w:t>Leadership most strongly influenced health system structures when leaders identified strategic priorities requiring permanent capacity and secured resources for long-term institutional investment. While many crisis measures</w:t>
      </w:r>
      <w:r>
        <w:rPr>
          <w:rFonts w:ascii="Arial" w:hAnsi="Arial" w:cs="Arial"/>
        </w:rPr>
        <w:t xml:space="preserve">, </w:t>
      </w:r>
      <w:r w:rsidRPr="00746C51">
        <w:rPr>
          <w:rFonts w:ascii="Arial" w:hAnsi="Arial" w:cs="Arial"/>
        </w:rPr>
        <w:t>such as Spain’s state of alarm or South Korea’s emergency surveillance powers</w:t>
      </w:r>
      <w:r>
        <w:rPr>
          <w:rFonts w:ascii="Arial" w:hAnsi="Arial" w:cs="Arial"/>
        </w:rPr>
        <w:t xml:space="preserve">, </w:t>
      </w:r>
      <w:r w:rsidRPr="00746C51">
        <w:rPr>
          <w:rFonts w:ascii="Arial" w:hAnsi="Arial" w:cs="Arial"/>
        </w:rPr>
        <w:t xml:space="preserve">were formally temporary, infrastructure investments, institutional reforms and coordination mechanisms established during the pandemic are likely to persist beyond the crisis period (Greer </w:t>
      </w:r>
      <w:r w:rsidRPr="00746C51">
        <w:rPr>
          <w:rFonts w:ascii="Arial" w:hAnsi="Arial" w:cs="Arial"/>
          <w:i/>
          <w:iCs/>
        </w:rPr>
        <w:t>et al.</w:t>
      </w:r>
      <w:r w:rsidRPr="00746C51">
        <w:rPr>
          <w:rFonts w:ascii="Arial" w:hAnsi="Arial" w:cs="Arial"/>
        </w:rPr>
        <w:t xml:space="preserve">, 2020; Legido-Quigley </w:t>
      </w:r>
      <w:r w:rsidRPr="00746C51">
        <w:rPr>
          <w:rFonts w:ascii="Arial" w:hAnsi="Arial" w:cs="Arial"/>
          <w:i/>
          <w:iCs/>
        </w:rPr>
        <w:t>et al.</w:t>
      </w:r>
      <w:r w:rsidRPr="00746C51">
        <w:rPr>
          <w:rFonts w:ascii="Arial" w:hAnsi="Arial" w:cs="Arial"/>
        </w:rPr>
        <w:t>, 2020).</w:t>
      </w:r>
    </w:p>
    <w:p w14:paraId="51F174E2" w14:textId="77777777" w:rsidR="00746C51" w:rsidRPr="00746C51" w:rsidRDefault="00746C51" w:rsidP="0020479B">
      <w:pPr>
        <w:spacing w:line="360" w:lineRule="auto"/>
        <w:jc w:val="both"/>
        <w:rPr>
          <w:rFonts w:ascii="Arial" w:hAnsi="Arial" w:cs="Arial"/>
        </w:rPr>
      </w:pPr>
      <w:r w:rsidRPr="00746C51">
        <w:rPr>
          <w:rFonts w:ascii="Arial" w:hAnsi="Arial" w:cs="Arial"/>
        </w:rPr>
        <w:t xml:space="preserve">Effective leaders recognised that crises create windows of opportunity for structural reform that are difficult to achieve under normal political conditions. Heightened public attention, expanded fiscal capacity and increased political tolerance for intervention during emergencies enable leaders to advance reforms addressing pre-existing institutional weaknesses (Kingdon, 1995; Boin </w:t>
      </w:r>
      <w:r w:rsidRPr="00746C51">
        <w:rPr>
          <w:rFonts w:ascii="Arial" w:hAnsi="Arial" w:cs="Arial"/>
          <w:i/>
          <w:iCs/>
        </w:rPr>
        <w:t>et al.</w:t>
      </w:r>
      <w:r w:rsidRPr="00746C51">
        <w:rPr>
          <w:rFonts w:ascii="Arial" w:hAnsi="Arial" w:cs="Arial"/>
        </w:rPr>
        <w:t xml:space="preserve">, 2016). Chung’s elevation of the KDCA, Trudeau’s investments in domestic biomanufacturing, and Illa’s strengthening of central–regional coordination frameworks illustrate strategic use of crisis conditions to pursue long-term system capacity building (Kim and Lee, 2021; Forman </w:t>
      </w:r>
      <w:r w:rsidRPr="00746C51">
        <w:rPr>
          <w:rFonts w:ascii="Arial" w:hAnsi="Arial" w:cs="Arial"/>
          <w:i/>
          <w:iCs/>
        </w:rPr>
        <w:t>et al.</w:t>
      </w:r>
      <w:r w:rsidRPr="00746C51">
        <w:rPr>
          <w:rFonts w:ascii="Arial" w:hAnsi="Arial" w:cs="Arial"/>
        </w:rPr>
        <w:t xml:space="preserve">, 2021; Greer </w:t>
      </w:r>
      <w:r w:rsidRPr="00746C51">
        <w:rPr>
          <w:rFonts w:ascii="Arial" w:hAnsi="Arial" w:cs="Arial"/>
          <w:i/>
          <w:iCs/>
        </w:rPr>
        <w:t>et al.</w:t>
      </w:r>
      <w:r w:rsidRPr="00746C51">
        <w:rPr>
          <w:rFonts w:ascii="Arial" w:hAnsi="Arial" w:cs="Arial"/>
        </w:rPr>
        <w:t>, 2021).</w:t>
      </w:r>
    </w:p>
    <w:p w14:paraId="371DDAF8" w14:textId="7F9B889D" w:rsidR="00746C51" w:rsidRPr="00746C51" w:rsidRDefault="00746C51" w:rsidP="0020479B">
      <w:pPr>
        <w:spacing w:line="360" w:lineRule="auto"/>
        <w:jc w:val="both"/>
        <w:rPr>
          <w:rFonts w:ascii="Arial" w:hAnsi="Arial" w:cs="Arial"/>
        </w:rPr>
      </w:pPr>
      <w:r w:rsidRPr="00746C51">
        <w:rPr>
          <w:rFonts w:ascii="Arial" w:hAnsi="Arial" w:cs="Arial"/>
        </w:rPr>
        <w:t xml:space="preserve">These structural changes generated tensions. Expanded central authority, enhanced surveillance capacities and strengthened emergency powers raise concerns regarding proportionality, accountability and the appropriate limits of state authority (Fierlbeck, 2020; Moon, 2020). Post-pandemic debates in all three countries centre on whether governance arrangements should revert to pre-crisis norms or institutionalise selected emergency measures, with leadership choices in this phase likely to shape both health system structures and government–citizen relationships in the long term (Boin </w:t>
      </w:r>
      <w:r w:rsidRPr="00746C51">
        <w:rPr>
          <w:rFonts w:ascii="Arial" w:hAnsi="Arial" w:cs="Arial"/>
          <w:i/>
          <w:iCs/>
        </w:rPr>
        <w:t>et al.</w:t>
      </w:r>
      <w:r w:rsidRPr="00746C51">
        <w:rPr>
          <w:rFonts w:ascii="Arial" w:hAnsi="Arial" w:cs="Arial"/>
        </w:rPr>
        <w:t xml:space="preserve">, 2016; Greer </w:t>
      </w:r>
      <w:r w:rsidRPr="00746C51">
        <w:rPr>
          <w:rFonts w:ascii="Arial" w:hAnsi="Arial" w:cs="Arial"/>
          <w:i/>
          <w:iCs/>
        </w:rPr>
        <w:t>et al.</w:t>
      </w:r>
      <w:r w:rsidRPr="00746C51">
        <w:rPr>
          <w:rFonts w:ascii="Arial" w:hAnsi="Arial" w:cs="Arial"/>
        </w:rPr>
        <w:t>, 2021).</w:t>
      </w:r>
    </w:p>
    <w:p w14:paraId="2EB804C0" w14:textId="77777777" w:rsidR="002972BB" w:rsidRDefault="002972BB" w:rsidP="0020479B">
      <w:pPr>
        <w:spacing w:line="360" w:lineRule="auto"/>
        <w:jc w:val="both"/>
        <w:rPr>
          <w:rFonts w:ascii="Arial" w:hAnsi="Arial" w:cs="Arial"/>
          <w:b/>
          <w:bCs/>
          <w:sz w:val="28"/>
          <w:szCs w:val="28"/>
        </w:rPr>
      </w:pPr>
    </w:p>
    <w:p w14:paraId="0A61E289" w14:textId="77777777" w:rsidR="00D152E0" w:rsidRDefault="00D152E0" w:rsidP="0020479B">
      <w:pPr>
        <w:spacing w:line="360" w:lineRule="auto"/>
        <w:jc w:val="both"/>
        <w:rPr>
          <w:rFonts w:ascii="Arial" w:hAnsi="Arial" w:cs="Arial"/>
          <w:b/>
          <w:bCs/>
          <w:sz w:val="28"/>
          <w:szCs w:val="28"/>
        </w:rPr>
      </w:pPr>
    </w:p>
    <w:p w14:paraId="6B631D4B" w14:textId="77777777" w:rsidR="00D152E0" w:rsidRDefault="00D152E0" w:rsidP="0020479B">
      <w:pPr>
        <w:spacing w:line="360" w:lineRule="auto"/>
        <w:jc w:val="both"/>
        <w:rPr>
          <w:rFonts w:ascii="Arial" w:hAnsi="Arial" w:cs="Arial"/>
          <w:b/>
          <w:bCs/>
          <w:sz w:val="28"/>
          <w:szCs w:val="28"/>
        </w:rPr>
      </w:pPr>
    </w:p>
    <w:p w14:paraId="288EC5A2" w14:textId="77777777" w:rsidR="00D152E0" w:rsidRDefault="00D152E0" w:rsidP="0020479B">
      <w:pPr>
        <w:spacing w:line="360" w:lineRule="auto"/>
        <w:jc w:val="both"/>
        <w:rPr>
          <w:rFonts w:ascii="Arial" w:hAnsi="Arial" w:cs="Arial"/>
          <w:b/>
          <w:bCs/>
          <w:sz w:val="28"/>
          <w:szCs w:val="28"/>
        </w:rPr>
      </w:pPr>
    </w:p>
    <w:p w14:paraId="30B1F5BB" w14:textId="77777777" w:rsidR="00D152E0" w:rsidRDefault="00D152E0" w:rsidP="0020479B">
      <w:pPr>
        <w:spacing w:line="360" w:lineRule="auto"/>
        <w:jc w:val="both"/>
        <w:rPr>
          <w:rFonts w:ascii="Arial" w:hAnsi="Arial" w:cs="Arial"/>
          <w:b/>
          <w:bCs/>
          <w:sz w:val="28"/>
          <w:szCs w:val="28"/>
        </w:rPr>
      </w:pPr>
    </w:p>
    <w:p w14:paraId="6FC3DF9D" w14:textId="77777777" w:rsidR="00D152E0" w:rsidRDefault="00D152E0" w:rsidP="0020479B">
      <w:pPr>
        <w:spacing w:line="360" w:lineRule="auto"/>
        <w:jc w:val="both"/>
        <w:rPr>
          <w:rFonts w:ascii="Arial" w:hAnsi="Arial" w:cs="Arial"/>
          <w:b/>
          <w:bCs/>
          <w:sz w:val="28"/>
          <w:szCs w:val="28"/>
        </w:rPr>
      </w:pPr>
    </w:p>
    <w:p w14:paraId="1C73EA4B" w14:textId="77777777" w:rsidR="00D152E0" w:rsidRDefault="00D152E0" w:rsidP="0020479B">
      <w:pPr>
        <w:spacing w:line="360" w:lineRule="auto"/>
        <w:jc w:val="both"/>
        <w:rPr>
          <w:rFonts w:ascii="Arial" w:hAnsi="Arial" w:cs="Arial"/>
          <w:b/>
          <w:bCs/>
          <w:sz w:val="28"/>
          <w:szCs w:val="28"/>
        </w:rPr>
      </w:pPr>
    </w:p>
    <w:p w14:paraId="020B8BB3" w14:textId="77777777" w:rsidR="00D152E0" w:rsidRDefault="00D152E0" w:rsidP="0020479B">
      <w:pPr>
        <w:spacing w:line="360" w:lineRule="auto"/>
        <w:jc w:val="both"/>
        <w:rPr>
          <w:rFonts w:ascii="Arial" w:hAnsi="Arial" w:cs="Arial"/>
          <w:b/>
          <w:bCs/>
          <w:sz w:val="28"/>
          <w:szCs w:val="28"/>
        </w:rPr>
      </w:pPr>
    </w:p>
    <w:p w14:paraId="45E3515F" w14:textId="77777777" w:rsidR="00D152E0" w:rsidRDefault="00D152E0" w:rsidP="0020479B">
      <w:pPr>
        <w:spacing w:line="360" w:lineRule="auto"/>
        <w:jc w:val="both"/>
        <w:rPr>
          <w:rFonts w:ascii="Arial" w:hAnsi="Arial" w:cs="Arial"/>
          <w:b/>
          <w:bCs/>
          <w:sz w:val="28"/>
          <w:szCs w:val="28"/>
        </w:rPr>
      </w:pPr>
    </w:p>
    <w:p w14:paraId="1D556284" w14:textId="77777777" w:rsidR="00EB767C" w:rsidRDefault="00EB767C" w:rsidP="0020479B">
      <w:pPr>
        <w:spacing w:line="360" w:lineRule="auto"/>
        <w:jc w:val="both"/>
        <w:rPr>
          <w:rFonts w:ascii="Arial" w:hAnsi="Arial" w:cs="Arial"/>
          <w:b/>
          <w:bCs/>
          <w:sz w:val="28"/>
          <w:szCs w:val="28"/>
        </w:rPr>
      </w:pPr>
    </w:p>
    <w:p w14:paraId="649B0367" w14:textId="2320C427" w:rsidR="002972BB" w:rsidRDefault="002972BB" w:rsidP="00624396">
      <w:pPr>
        <w:pStyle w:val="NoSpacing"/>
        <w:numPr>
          <w:ilvl w:val="0"/>
          <w:numId w:val="1"/>
        </w:numPr>
        <w:rPr>
          <w:rFonts w:ascii="Arial" w:hAnsi="Arial" w:cs="Arial"/>
          <w:b/>
          <w:bCs/>
          <w:sz w:val="28"/>
          <w:szCs w:val="28"/>
        </w:rPr>
      </w:pPr>
      <w:bookmarkStart w:id="22" w:name="_Toc216707595"/>
      <w:r w:rsidRPr="00624396">
        <w:rPr>
          <w:rFonts w:ascii="Arial" w:hAnsi="Arial" w:cs="Arial"/>
          <w:b/>
          <w:bCs/>
          <w:sz w:val="28"/>
          <w:szCs w:val="28"/>
        </w:rPr>
        <w:t>C</w:t>
      </w:r>
      <w:r w:rsidR="00715B02" w:rsidRPr="00624396">
        <w:rPr>
          <w:rFonts w:ascii="Arial" w:hAnsi="Arial" w:cs="Arial"/>
          <w:b/>
          <w:bCs/>
          <w:sz w:val="28"/>
          <w:szCs w:val="28"/>
        </w:rPr>
        <w:t>onclusion</w:t>
      </w:r>
      <w:bookmarkEnd w:id="22"/>
    </w:p>
    <w:p w14:paraId="40449BFB" w14:textId="77777777" w:rsidR="00624396" w:rsidRPr="00624396" w:rsidRDefault="00624396" w:rsidP="00624396">
      <w:pPr>
        <w:pStyle w:val="NoSpacing"/>
        <w:ind w:left="720"/>
        <w:rPr>
          <w:rFonts w:ascii="Arial" w:hAnsi="Arial" w:cs="Arial"/>
          <w:b/>
          <w:bCs/>
          <w:sz w:val="28"/>
          <w:szCs w:val="28"/>
        </w:rPr>
      </w:pPr>
    </w:p>
    <w:p w14:paraId="080C6D6A" w14:textId="68D738B9" w:rsidR="00FC1566" w:rsidRDefault="00746C51" w:rsidP="0020479B">
      <w:pPr>
        <w:spacing w:line="360" w:lineRule="auto"/>
        <w:jc w:val="both"/>
        <w:rPr>
          <w:rFonts w:ascii="Arial" w:hAnsi="Arial" w:cs="Arial"/>
        </w:rPr>
      </w:pPr>
      <w:r w:rsidRPr="00746C51">
        <w:rPr>
          <w:rFonts w:ascii="Arial" w:hAnsi="Arial" w:cs="Arial"/>
        </w:rPr>
        <w:t>This critical analysis reveals that effective pandemic leadership requires navigating competing demands while adapting to institutional contexts, cultural values, and evolving circumstances. Salvador Illa's evolution from technical to transformational leadership demonstrated adaptability but costly initial delays. Chung Sye-</w:t>
      </w:r>
      <w:r w:rsidRPr="00746C51">
        <w:rPr>
          <w:rFonts w:ascii="Arial" w:hAnsi="Arial" w:cs="Arial"/>
        </w:rPr>
        <w:t>Kyun’s</w:t>
      </w:r>
      <w:r w:rsidRPr="00746C51">
        <w:rPr>
          <w:rFonts w:ascii="Arial" w:hAnsi="Arial" w:cs="Arial"/>
        </w:rPr>
        <w:t xml:space="preserve"> servant leadership achieved remarkable outcomes while preserving civil liberties, though requiring privacy trade-offs. Justin Trudeau's collaborative approach maintained federal unity despite constitutional constraints limiting direct authority. Leadership effectiveness proved contextually contingent; no single style guaranteed success. Rather, alignment between leadership approach, institutional structure, and circumstances determined outcomes. Preparing for future crises requires developing leaders' adaptive capacities and strengthening institutional frameworks enabling effectiveness across varied styles.</w:t>
      </w:r>
    </w:p>
    <w:p w14:paraId="33A907A4" w14:textId="77777777" w:rsidR="005B10E0" w:rsidRDefault="005B10E0" w:rsidP="0020479B">
      <w:pPr>
        <w:spacing w:line="360" w:lineRule="auto"/>
        <w:jc w:val="both"/>
        <w:rPr>
          <w:rFonts w:ascii="Arial" w:hAnsi="Arial" w:cs="Arial"/>
        </w:rPr>
      </w:pPr>
    </w:p>
    <w:p w14:paraId="169FEB3F" w14:textId="77777777" w:rsidR="005B10E0" w:rsidRDefault="005B10E0" w:rsidP="0020479B">
      <w:pPr>
        <w:spacing w:line="360" w:lineRule="auto"/>
        <w:jc w:val="both"/>
        <w:rPr>
          <w:rFonts w:ascii="Arial" w:hAnsi="Arial" w:cs="Arial"/>
        </w:rPr>
      </w:pPr>
    </w:p>
    <w:p w14:paraId="6777B6D5" w14:textId="77777777" w:rsidR="005B10E0" w:rsidRDefault="005B10E0" w:rsidP="0020479B">
      <w:pPr>
        <w:spacing w:line="360" w:lineRule="auto"/>
        <w:jc w:val="both"/>
        <w:rPr>
          <w:rFonts w:ascii="Arial" w:hAnsi="Arial" w:cs="Arial"/>
        </w:rPr>
      </w:pPr>
    </w:p>
    <w:p w14:paraId="0848E924" w14:textId="77777777" w:rsidR="005B10E0" w:rsidRDefault="005B10E0" w:rsidP="0020479B">
      <w:pPr>
        <w:spacing w:line="360" w:lineRule="auto"/>
        <w:jc w:val="both"/>
        <w:rPr>
          <w:rFonts w:ascii="Arial" w:hAnsi="Arial" w:cs="Arial"/>
        </w:rPr>
      </w:pPr>
    </w:p>
    <w:p w14:paraId="4B2FD1C7" w14:textId="77777777" w:rsidR="005B10E0" w:rsidRDefault="005B10E0" w:rsidP="0020479B">
      <w:pPr>
        <w:spacing w:line="360" w:lineRule="auto"/>
        <w:jc w:val="both"/>
        <w:rPr>
          <w:rFonts w:ascii="Arial" w:hAnsi="Arial" w:cs="Arial"/>
        </w:rPr>
      </w:pPr>
    </w:p>
    <w:p w14:paraId="134606C9" w14:textId="77777777" w:rsidR="005B10E0" w:rsidRDefault="005B10E0" w:rsidP="0020479B">
      <w:pPr>
        <w:spacing w:line="360" w:lineRule="auto"/>
        <w:jc w:val="both"/>
        <w:rPr>
          <w:rFonts w:ascii="Arial" w:hAnsi="Arial" w:cs="Arial"/>
        </w:rPr>
      </w:pPr>
    </w:p>
    <w:p w14:paraId="25C0FD1A" w14:textId="77777777" w:rsidR="005B10E0" w:rsidRDefault="005B10E0" w:rsidP="0020479B">
      <w:pPr>
        <w:spacing w:line="360" w:lineRule="auto"/>
        <w:jc w:val="both"/>
        <w:rPr>
          <w:rFonts w:ascii="Arial" w:hAnsi="Arial" w:cs="Arial"/>
        </w:rPr>
      </w:pPr>
    </w:p>
    <w:p w14:paraId="49E60E99" w14:textId="77777777" w:rsidR="005B10E0" w:rsidRDefault="005B10E0" w:rsidP="0020479B">
      <w:pPr>
        <w:spacing w:line="360" w:lineRule="auto"/>
        <w:jc w:val="both"/>
        <w:rPr>
          <w:rFonts w:ascii="Arial" w:hAnsi="Arial" w:cs="Arial"/>
        </w:rPr>
      </w:pPr>
    </w:p>
    <w:p w14:paraId="1486A1F7" w14:textId="77777777" w:rsidR="005B10E0" w:rsidRDefault="005B10E0" w:rsidP="0020479B">
      <w:pPr>
        <w:spacing w:line="360" w:lineRule="auto"/>
        <w:jc w:val="both"/>
        <w:rPr>
          <w:rFonts w:ascii="Arial" w:hAnsi="Arial" w:cs="Arial"/>
        </w:rPr>
      </w:pPr>
    </w:p>
    <w:p w14:paraId="7EB1A8FE" w14:textId="77777777" w:rsidR="005B10E0" w:rsidRDefault="005B10E0" w:rsidP="0020479B">
      <w:pPr>
        <w:spacing w:line="360" w:lineRule="auto"/>
        <w:jc w:val="both"/>
        <w:rPr>
          <w:rFonts w:ascii="Arial" w:hAnsi="Arial" w:cs="Arial"/>
        </w:rPr>
      </w:pPr>
    </w:p>
    <w:p w14:paraId="5ED21FA0" w14:textId="77777777" w:rsidR="005B10E0" w:rsidRDefault="005B10E0" w:rsidP="0020479B">
      <w:pPr>
        <w:spacing w:line="360" w:lineRule="auto"/>
        <w:jc w:val="both"/>
        <w:rPr>
          <w:rFonts w:ascii="Arial" w:hAnsi="Arial" w:cs="Arial"/>
        </w:rPr>
      </w:pPr>
    </w:p>
    <w:p w14:paraId="153270C7" w14:textId="5925C07D" w:rsidR="00EB767C" w:rsidRDefault="005B10E0" w:rsidP="00624396">
      <w:pPr>
        <w:pStyle w:val="NoSpacing"/>
        <w:numPr>
          <w:ilvl w:val="0"/>
          <w:numId w:val="1"/>
        </w:numPr>
        <w:rPr>
          <w:rFonts w:ascii="Arial" w:hAnsi="Arial" w:cs="Arial"/>
          <w:b/>
          <w:bCs/>
          <w:sz w:val="28"/>
          <w:szCs w:val="28"/>
        </w:rPr>
      </w:pPr>
      <w:bookmarkStart w:id="23" w:name="_Toc216707596"/>
      <w:r w:rsidRPr="00624396">
        <w:rPr>
          <w:rFonts w:ascii="Arial" w:hAnsi="Arial" w:cs="Arial"/>
          <w:b/>
          <w:bCs/>
          <w:sz w:val="28"/>
          <w:szCs w:val="28"/>
        </w:rPr>
        <w:t>References</w:t>
      </w:r>
      <w:bookmarkEnd w:id="23"/>
    </w:p>
    <w:p w14:paraId="4CA10ABD" w14:textId="77777777" w:rsidR="00624396" w:rsidRPr="00624396" w:rsidRDefault="00624396" w:rsidP="00624396">
      <w:pPr>
        <w:pStyle w:val="NoSpacing"/>
        <w:ind w:left="360"/>
        <w:rPr>
          <w:rFonts w:ascii="Arial" w:hAnsi="Arial" w:cs="Arial"/>
          <w:b/>
          <w:bCs/>
          <w:sz w:val="28"/>
          <w:szCs w:val="28"/>
        </w:rPr>
      </w:pPr>
    </w:p>
    <w:p w14:paraId="264B3927" w14:textId="77777777" w:rsidR="00EB767C" w:rsidRPr="00EB767C" w:rsidRDefault="00EB767C" w:rsidP="00EB767C">
      <w:pPr>
        <w:spacing w:line="360" w:lineRule="auto"/>
        <w:jc w:val="both"/>
        <w:rPr>
          <w:rFonts w:ascii="Arial" w:hAnsi="Arial" w:cs="Arial"/>
        </w:rPr>
      </w:pPr>
      <w:r w:rsidRPr="00EB767C">
        <w:rPr>
          <w:rFonts w:ascii="Arial" w:hAnsi="Arial" w:cs="Arial"/>
        </w:rPr>
        <w:t>Allin, S., Fitzpatrick, T., Marchildon, G.P. and Quesnel</w:t>
      </w:r>
      <w:r w:rsidRPr="00EB767C">
        <w:rPr>
          <w:rFonts w:ascii="Arial" w:hAnsi="Arial" w:cs="Arial"/>
        </w:rPr>
        <w:noBreakHyphen/>
        <w:t>Vallée, A., 2021. The federal government and Canada’s COVID</w:t>
      </w:r>
      <w:r w:rsidRPr="00EB767C">
        <w:rPr>
          <w:rFonts w:ascii="Arial" w:hAnsi="Arial" w:cs="Arial"/>
        </w:rPr>
        <w:noBreakHyphen/>
        <w:t xml:space="preserve">19 responses: from ‘we’re ready’ to ‘fires are burning’. </w:t>
      </w:r>
      <w:r w:rsidRPr="00EB767C">
        <w:rPr>
          <w:rFonts w:ascii="Arial" w:hAnsi="Arial" w:cs="Arial"/>
          <w:i/>
          <w:iCs/>
        </w:rPr>
        <w:t>Health Economics, Policy and Law</w:t>
      </w:r>
      <w:r w:rsidRPr="00EB767C">
        <w:rPr>
          <w:rFonts w:ascii="Arial" w:hAnsi="Arial" w:cs="Arial"/>
        </w:rPr>
        <w:t>, 17(S1), pp.76–94.</w:t>
      </w:r>
    </w:p>
    <w:p w14:paraId="2EDC425E"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Atkinson, M., 2021. Public policy and crisis leadership in Canada: Lessons from COVID-19. </w:t>
      </w:r>
      <w:r w:rsidRPr="00EB767C">
        <w:rPr>
          <w:rFonts w:ascii="Arial" w:hAnsi="Arial" w:cs="Arial"/>
          <w:i/>
          <w:iCs/>
        </w:rPr>
        <w:t>Canadian Public Policy</w:t>
      </w:r>
      <w:r w:rsidRPr="00EB767C">
        <w:rPr>
          <w:rFonts w:ascii="Arial" w:hAnsi="Arial" w:cs="Arial"/>
        </w:rPr>
        <w:t>, 47(2), pp.151–164.</w:t>
      </w:r>
    </w:p>
    <w:p w14:paraId="52EAE8A3"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Banting, K. and Corbett, S., 2002. Health policy and federalism: An introduction. In: K. Banting and S. Corbett, eds. </w:t>
      </w:r>
      <w:r w:rsidRPr="00EB767C">
        <w:rPr>
          <w:rFonts w:ascii="Arial" w:hAnsi="Arial" w:cs="Arial"/>
          <w:i/>
          <w:iCs/>
        </w:rPr>
        <w:t>Health policy and federalism: A comparative perspective on multi-level governance</w:t>
      </w:r>
      <w:r w:rsidRPr="00EB767C">
        <w:rPr>
          <w:rFonts w:ascii="Arial" w:hAnsi="Arial" w:cs="Arial"/>
        </w:rPr>
        <w:t>. Montreal: McGill-Queen's University Press, pp.1–38.</w:t>
      </w:r>
    </w:p>
    <w:p w14:paraId="18EBA2EA"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Bass, B.M. and Riggio, R.E., 2006. </w:t>
      </w:r>
      <w:r w:rsidRPr="00EB767C">
        <w:rPr>
          <w:rFonts w:ascii="Arial" w:hAnsi="Arial" w:cs="Arial"/>
          <w:i/>
          <w:iCs/>
        </w:rPr>
        <w:t>Transformational leadership</w:t>
      </w:r>
      <w:r w:rsidRPr="00EB767C">
        <w:rPr>
          <w:rFonts w:ascii="Arial" w:hAnsi="Arial" w:cs="Arial"/>
        </w:rPr>
        <w:t>. 2nd ed. Psychology Press.</w:t>
      </w:r>
    </w:p>
    <w:p w14:paraId="22D59B7D"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Béland, D. and Waddan, A., 2021. COVID-19 and Canadian social policy: Adaptive governance and policy learning. </w:t>
      </w:r>
      <w:r w:rsidRPr="00EB767C">
        <w:rPr>
          <w:rFonts w:ascii="Arial" w:hAnsi="Arial" w:cs="Arial"/>
          <w:i/>
          <w:iCs/>
        </w:rPr>
        <w:t>Policy &amp; Society</w:t>
      </w:r>
      <w:r w:rsidRPr="00EB767C">
        <w:rPr>
          <w:rFonts w:ascii="Arial" w:hAnsi="Arial" w:cs="Arial"/>
        </w:rPr>
        <w:t>, 40(3), pp.400–415.</w:t>
      </w:r>
    </w:p>
    <w:p w14:paraId="77BAD1E4"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Béland, D., Cantillon, B., Hick, R. and Rocco, P., 2021. Social policy responses to COVID-19 in Canada, the UK and the USA. </w:t>
      </w:r>
      <w:r w:rsidRPr="00EB767C">
        <w:rPr>
          <w:rFonts w:ascii="Arial" w:hAnsi="Arial" w:cs="Arial"/>
          <w:i/>
          <w:iCs/>
        </w:rPr>
        <w:t>Policy &amp; Society</w:t>
      </w:r>
      <w:r w:rsidRPr="00EB767C">
        <w:rPr>
          <w:rFonts w:ascii="Arial" w:hAnsi="Arial" w:cs="Arial"/>
        </w:rPr>
        <w:t>, 40(3), pp.320–343.</w:t>
      </w:r>
    </w:p>
    <w:p w14:paraId="5512FC9B" w14:textId="77777777" w:rsidR="00EB767C" w:rsidRPr="00EB767C" w:rsidRDefault="00EB767C" w:rsidP="00EB767C">
      <w:pPr>
        <w:spacing w:line="360" w:lineRule="auto"/>
        <w:jc w:val="both"/>
        <w:rPr>
          <w:rFonts w:ascii="Arial" w:hAnsi="Arial" w:cs="Arial"/>
        </w:rPr>
      </w:pPr>
      <w:proofErr w:type="spellStart"/>
      <w:r w:rsidRPr="00EB767C">
        <w:rPr>
          <w:rFonts w:ascii="Arial" w:hAnsi="Arial" w:cs="Arial"/>
        </w:rPr>
        <w:t>Bolleyer</w:t>
      </w:r>
      <w:proofErr w:type="spellEnd"/>
      <w:r w:rsidRPr="00EB767C">
        <w:rPr>
          <w:rFonts w:ascii="Arial" w:hAnsi="Arial" w:cs="Arial"/>
        </w:rPr>
        <w:t xml:space="preserve">, N. and </w:t>
      </w:r>
      <w:proofErr w:type="spellStart"/>
      <w:r w:rsidRPr="00EB767C">
        <w:rPr>
          <w:rFonts w:ascii="Arial" w:hAnsi="Arial" w:cs="Arial"/>
        </w:rPr>
        <w:t>Bytzek</w:t>
      </w:r>
      <w:proofErr w:type="spellEnd"/>
      <w:r w:rsidRPr="00EB767C">
        <w:rPr>
          <w:rFonts w:ascii="Arial" w:hAnsi="Arial" w:cs="Arial"/>
        </w:rPr>
        <w:t xml:space="preserve">, E., 2009. Government congruence and intergovernmental relations in federal systems. </w:t>
      </w:r>
      <w:r w:rsidRPr="00EB767C">
        <w:rPr>
          <w:rFonts w:ascii="Arial" w:hAnsi="Arial" w:cs="Arial"/>
          <w:i/>
          <w:iCs/>
        </w:rPr>
        <w:t>Regional &amp; Federal Studies</w:t>
      </w:r>
      <w:r w:rsidRPr="00EB767C">
        <w:rPr>
          <w:rFonts w:ascii="Arial" w:hAnsi="Arial" w:cs="Arial"/>
        </w:rPr>
        <w:t xml:space="preserve">, 19(3), pp.371–397. </w:t>
      </w:r>
      <w:proofErr w:type="spellStart"/>
      <w:r w:rsidRPr="00EB767C">
        <w:rPr>
          <w:rFonts w:ascii="Arial" w:hAnsi="Arial" w:cs="Arial"/>
        </w:rPr>
        <w:t>doi</w:t>
      </w:r>
      <w:proofErr w:type="spellEnd"/>
      <w:r w:rsidRPr="00EB767C">
        <w:rPr>
          <w:rFonts w:ascii="Arial" w:hAnsi="Arial" w:cs="Arial"/>
        </w:rPr>
        <w:t>: 10.1080/13597560902957492.</w:t>
      </w:r>
    </w:p>
    <w:p w14:paraId="5471ABFC"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Boin, A., Stern, E. and Sundelius, B., 2016. </w:t>
      </w:r>
      <w:r w:rsidRPr="00EB767C">
        <w:rPr>
          <w:rFonts w:ascii="Arial" w:hAnsi="Arial" w:cs="Arial"/>
          <w:i/>
          <w:iCs/>
        </w:rPr>
        <w:t>The politics of crisis management: Public leadership under pressure</w:t>
      </w:r>
      <w:r w:rsidRPr="00EB767C">
        <w:rPr>
          <w:rFonts w:ascii="Arial" w:hAnsi="Arial" w:cs="Arial"/>
        </w:rPr>
        <w:t>. 2nd ed. Cambridge: Cambridge University Press.</w:t>
      </w:r>
    </w:p>
    <w:p w14:paraId="27DFCF0B"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Cameron, D. and Simeon, R., 2002. Intergovernmental relations in Canada: The emergence of collaborative federalism. </w:t>
      </w:r>
      <w:r w:rsidRPr="00EB767C">
        <w:rPr>
          <w:rFonts w:ascii="Arial" w:hAnsi="Arial" w:cs="Arial"/>
          <w:i/>
          <w:iCs/>
        </w:rPr>
        <w:t>Canadian Public Administration</w:t>
      </w:r>
      <w:r w:rsidRPr="00EB767C">
        <w:rPr>
          <w:rFonts w:ascii="Arial" w:hAnsi="Arial" w:cs="Arial"/>
        </w:rPr>
        <w:t>, 45(1), pp.21–44.</w:t>
      </w:r>
    </w:p>
    <w:p w14:paraId="5016B36F"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Choi, J.Y., Kim, J.S. and Kim, J.H., 2020. Flattening the curve on COVID-19: South Korea's measures in tackling initial outbreak of coronavirus. </w:t>
      </w:r>
      <w:r w:rsidRPr="00EB767C">
        <w:rPr>
          <w:rFonts w:ascii="Arial" w:hAnsi="Arial" w:cs="Arial"/>
          <w:i/>
          <w:iCs/>
        </w:rPr>
        <w:t>American Journal of Epidemiology</w:t>
      </w:r>
      <w:r w:rsidRPr="00EB767C">
        <w:rPr>
          <w:rFonts w:ascii="Arial" w:hAnsi="Arial" w:cs="Arial"/>
        </w:rPr>
        <w:t>, 189(7), pp.496–499.</w:t>
      </w:r>
    </w:p>
    <w:p w14:paraId="11EE8C62" w14:textId="77777777" w:rsidR="00EB767C" w:rsidRPr="00EB767C" w:rsidRDefault="00EB767C" w:rsidP="00EB767C">
      <w:pPr>
        <w:spacing w:line="360" w:lineRule="auto"/>
        <w:jc w:val="both"/>
        <w:rPr>
          <w:rFonts w:ascii="Arial" w:hAnsi="Arial" w:cs="Arial"/>
        </w:rPr>
      </w:pPr>
      <w:r w:rsidRPr="00EB767C">
        <w:rPr>
          <w:rFonts w:ascii="Arial" w:hAnsi="Arial" w:cs="Arial"/>
        </w:rPr>
        <w:t>COVID</w:t>
      </w:r>
      <w:r w:rsidRPr="00EB767C">
        <w:rPr>
          <w:rFonts w:ascii="Arial" w:hAnsi="Arial" w:cs="Arial"/>
        </w:rPr>
        <w:noBreakHyphen/>
        <w:t xml:space="preserve">19 Policy Response Analysis: A Canadian Perspective, 2024. </w:t>
      </w:r>
      <w:r w:rsidRPr="00EB767C">
        <w:rPr>
          <w:rFonts w:ascii="Arial" w:hAnsi="Arial" w:cs="Arial"/>
          <w:i/>
          <w:iCs/>
        </w:rPr>
        <w:t>International Journal of Environmental Research and Public Health</w:t>
      </w:r>
      <w:r w:rsidRPr="00EB767C">
        <w:rPr>
          <w:rFonts w:ascii="Arial" w:hAnsi="Arial" w:cs="Arial"/>
        </w:rPr>
        <w:t>.</w:t>
      </w:r>
    </w:p>
    <w:p w14:paraId="078C4407"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Crosby, B.C. and Bryson, J.M., 2010. Integrative leadership and the creation and maintenance of cross-sector collaborations. </w:t>
      </w:r>
      <w:r w:rsidRPr="00EB767C">
        <w:rPr>
          <w:rFonts w:ascii="Arial" w:hAnsi="Arial" w:cs="Arial"/>
          <w:i/>
          <w:iCs/>
        </w:rPr>
        <w:t>The Leadership Quarterly</w:t>
      </w:r>
      <w:r w:rsidRPr="00EB767C">
        <w:rPr>
          <w:rFonts w:ascii="Arial" w:hAnsi="Arial" w:cs="Arial"/>
        </w:rPr>
        <w:t>, 21(2), pp.211–230.</w:t>
      </w:r>
    </w:p>
    <w:p w14:paraId="2B1A6B67" w14:textId="77777777" w:rsidR="00EB767C" w:rsidRPr="00EB767C" w:rsidRDefault="00EB767C" w:rsidP="00EB767C">
      <w:pPr>
        <w:spacing w:line="360" w:lineRule="auto"/>
        <w:jc w:val="both"/>
        <w:rPr>
          <w:rFonts w:ascii="Arial" w:hAnsi="Arial" w:cs="Arial"/>
        </w:rPr>
      </w:pPr>
      <w:r w:rsidRPr="00EB767C">
        <w:rPr>
          <w:rFonts w:ascii="Arial" w:hAnsi="Arial" w:cs="Arial"/>
        </w:rPr>
        <w:lastRenderedPageBreak/>
        <w:t xml:space="preserve">Fiedler, F.E., 1964. A contingency model of leadership effectiveness. </w:t>
      </w:r>
      <w:r w:rsidRPr="00EB767C">
        <w:rPr>
          <w:rFonts w:ascii="Arial" w:hAnsi="Arial" w:cs="Arial"/>
          <w:i/>
          <w:iCs/>
        </w:rPr>
        <w:t>Advances in Experimental Social Psychology</w:t>
      </w:r>
      <w:r w:rsidRPr="00EB767C">
        <w:rPr>
          <w:rFonts w:ascii="Arial" w:hAnsi="Arial" w:cs="Arial"/>
        </w:rPr>
        <w:t>, 1, pp.149–190.</w:t>
      </w:r>
    </w:p>
    <w:p w14:paraId="2F97245D"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Fierlbeck, K., 2020. Federalism and COVID-19: How decentralization both constrained and enabled Canada's response. </w:t>
      </w:r>
      <w:r w:rsidRPr="00EB767C">
        <w:rPr>
          <w:rFonts w:ascii="Arial" w:hAnsi="Arial" w:cs="Arial"/>
          <w:i/>
          <w:iCs/>
        </w:rPr>
        <w:t>Canadian Journal of Political Science</w:t>
      </w:r>
      <w:r w:rsidRPr="00EB767C">
        <w:rPr>
          <w:rFonts w:ascii="Arial" w:hAnsi="Arial" w:cs="Arial"/>
        </w:rPr>
        <w:t>, 53(2), pp.371–377.</w:t>
      </w:r>
    </w:p>
    <w:p w14:paraId="545AC45F"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Forman, R., Shah, S., Jeurissen, P., Jit, M. and </w:t>
      </w:r>
      <w:proofErr w:type="spellStart"/>
      <w:r w:rsidRPr="00EB767C">
        <w:rPr>
          <w:rFonts w:ascii="Arial" w:hAnsi="Arial" w:cs="Arial"/>
        </w:rPr>
        <w:t>Mossialos</w:t>
      </w:r>
      <w:proofErr w:type="spellEnd"/>
      <w:r w:rsidRPr="00EB767C">
        <w:rPr>
          <w:rFonts w:ascii="Arial" w:hAnsi="Arial" w:cs="Arial"/>
        </w:rPr>
        <w:t xml:space="preserve">, E., 2021. COVID-19 vaccine challenges: What have we learned so far and what remains to be done? </w:t>
      </w:r>
      <w:r w:rsidRPr="00EB767C">
        <w:rPr>
          <w:rFonts w:ascii="Arial" w:hAnsi="Arial" w:cs="Arial"/>
          <w:i/>
          <w:iCs/>
        </w:rPr>
        <w:t>Health Policy</w:t>
      </w:r>
      <w:r w:rsidRPr="00EB767C">
        <w:rPr>
          <w:rFonts w:ascii="Arial" w:hAnsi="Arial" w:cs="Arial"/>
        </w:rPr>
        <w:t>, 125(5), pp.553–567.</w:t>
      </w:r>
    </w:p>
    <w:p w14:paraId="392C6061"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Government of Canada, 2021. </w:t>
      </w:r>
      <w:r w:rsidRPr="00EB767C">
        <w:rPr>
          <w:rFonts w:ascii="Arial" w:hAnsi="Arial" w:cs="Arial"/>
          <w:i/>
          <w:iCs/>
        </w:rPr>
        <w:t>Canada Emergency Response Benefit (CERB): Overview and impact</w:t>
      </w:r>
      <w:r w:rsidRPr="00EB767C">
        <w:rPr>
          <w:rFonts w:ascii="Arial" w:hAnsi="Arial" w:cs="Arial"/>
        </w:rPr>
        <w:t>. Ottawa: Government of Canada.</w:t>
      </w:r>
    </w:p>
    <w:p w14:paraId="767A4A58"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Greenleaf, R.K., 1970. </w:t>
      </w:r>
      <w:r w:rsidRPr="00EB767C">
        <w:rPr>
          <w:rFonts w:ascii="Arial" w:hAnsi="Arial" w:cs="Arial"/>
          <w:i/>
          <w:iCs/>
        </w:rPr>
        <w:t>The servant as leader</w:t>
      </w:r>
      <w:r w:rsidRPr="00EB767C">
        <w:rPr>
          <w:rFonts w:ascii="Arial" w:hAnsi="Arial" w:cs="Arial"/>
        </w:rPr>
        <w:t xml:space="preserve">. Robert K. Greenleaf </w:t>
      </w:r>
      <w:proofErr w:type="spellStart"/>
      <w:r w:rsidRPr="00EB767C">
        <w:rPr>
          <w:rFonts w:ascii="Arial" w:hAnsi="Arial" w:cs="Arial"/>
        </w:rPr>
        <w:t>Center</w:t>
      </w:r>
      <w:proofErr w:type="spellEnd"/>
      <w:r w:rsidRPr="00EB767C">
        <w:rPr>
          <w:rFonts w:ascii="Arial" w:hAnsi="Arial" w:cs="Arial"/>
        </w:rPr>
        <w:t>.</w:t>
      </w:r>
    </w:p>
    <w:p w14:paraId="4C82FB64"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Greer, S.L., King, E.J., da Fonseca, E.M. and Peralta-Santos, A., 2020. The comparative politics of COVID-19: The need to understand government responses. </w:t>
      </w:r>
      <w:r w:rsidRPr="00EB767C">
        <w:rPr>
          <w:rFonts w:ascii="Arial" w:hAnsi="Arial" w:cs="Arial"/>
          <w:i/>
          <w:iCs/>
        </w:rPr>
        <w:t>Global Public Health</w:t>
      </w:r>
      <w:r w:rsidRPr="00EB767C">
        <w:rPr>
          <w:rFonts w:ascii="Arial" w:hAnsi="Arial" w:cs="Arial"/>
        </w:rPr>
        <w:t xml:space="preserve">, 15(9), pp.1413–1416. </w:t>
      </w:r>
      <w:proofErr w:type="spellStart"/>
      <w:r w:rsidRPr="00EB767C">
        <w:rPr>
          <w:rFonts w:ascii="Arial" w:hAnsi="Arial" w:cs="Arial"/>
        </w:rPr>
        <w:t>doi</w:t>
      </w:r>
      <w:proofErr w:type="spellEnd"/>
      <w:r w:rsidRPr="00EB767C">
        <w:rPr>
          <w:rFonts w:ascii="Arial" w:hAnsi="Arial" w:cs="Arial"/>
        </w:rPr>
        <w:t>: 10.1080/17441692.2020.1783340.</w:t>
      </w:r>
    </w:p>
    <w:p w14:paraId="57F31B0C"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Heifetz, R.A., 1994. </w:t>
      </w:r>
      <w:r w:rsidRPr="00EB767C">
        <w:rPr>
          <w:rFonts w:ascii="Arial" w:hAnsi="Arial" w:cs="Arial"/>
          <w:i/>
          <w:iCs/>
        </w:rPr>
        <w:t>Leadership without easy answers</w:t>
      </w:r>
      <w:r w:rsidRPr="00EB767C">
        <w:rPr>
          <w:rFonts w:ascii="Arial" w:hAnsi="Arial" w:cs="Arial"/>
        </w:rPr>
        <w:t>. Harvard University Press.</w:t>
      </w:r>
    </w:p>
    <w:p w14:paraId="24616E88"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Influence of public health organization on response to the COVID-19 pandemic in four Canadian provinces, 2025. </w:t>
      </w:r>
      <w:r w:rsidRPr="00EB767C">
        <w:rPr>
          <w:rFonts w:ascii="Arial" w:hAnsi="Arial" w:cs="Arial"/>
          <w:i/>
          <w:iCs/>
        </w:rPr>
        <w:t>Health Policy OPEN</w:t>
      </w:r>
      <w:r w:rsidRPr="00EB767C">
        <w:rPr>
          <w:rFonts w:ascii="Arial" w:hAnsi="Arial" w:cs="Arial"/>
        </w:rPr>
        <w:t>.</w:t>
      </w:r>
    </w:p>
    <w:p w14:paraId="48DA22B5"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Kim, S. and Lee, J., 2021. South Korea's fast response to coronavirus disease: Implications on public policy and public management theory. </w:t>
      </w:r>
      <w:r w:rsidRPr="00EB767C">
        <w:rPr>
          <w:rFonts w:ascii="Arial" w:hAnsi="Arial" w:cs="Arial"/>
          <w:i/>
          <w:iCs/>
        </w:rPr>
        <w:t>Public Management Review</w:t>
      </w:r>
      <w:r w:rsidRPr="00EB767C">
        <w:rPr>
          <w:rFonts w:ascii="Arial" w:hAnsi="Arial" w:cs="Arial"/>
        </w:rPr>
        <w:t>, 23(12), pp.1736–1747.</w:t>
      </w:r>
    </w:p>
    <w:p w14:paraId="737268A5"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Laforest, R. and Phillips, S., 2021. Pandemic federalism in Canada: An "odd couple" in a time of crisis. </w:t>
      </w:r>
      <w:r w:rsidRPr="00EB767C">
        <w:rPr>
          <w:rFonts w:ascii="Arial" w:hAnsi="Arial" w:cs="Arial"/>
          <w:i/>
          <w:iCs/>
        </w:rPr>
        <w:t>Publius: The Journal of Federalism</w:t>
      </w:r>
      <w:r w:rsidRPr="00EB767C">
        <w:rPr>
          <w:rFonts w:ascii="Arial" w:hAnsi="Arial" w:cs="Arial"/>
        </w:rPr>
        <w:t xml:space="preserve">, 51(3), pp.464–487. </w:t>
      </w:r>
      <w:proofErr w:type="spellStart"/>
      <w:r w:rsidRPr="00EB767C">
        <w:rPr>
          <w:rFonts w:ascii="Arial" w:hAnsi="Arial" w:cs="Arial"/>
        </w:rPr>
        <w:t>doi</w:t>
      </w:r>
      <w:proofErr w:type="spellEnd"/>
      <w:r w:rsidRPr="00EB767C">
        <w:rPr>
          <w:rFonts w:ascii="Arial" w:hAnsi="Arial" w:cs="Arial"/>
        </w:rPr>
        <w:t>: 10.1093/</w:t>
      </w:r>
      <w:proofErr w:type="spellStart"/>
      <w:r w:rsidRPr="00EB767C">
        <w:rPr>
          <w:rFonts w:ascii="Arial" w:hAnsi="Arial" w:cs="Arial"/>
        </w:rPr>
        <w:t>publius</w:t>
      </w:r>
      <w:proofErr w:type="spellEnd"/>
      <w:r w:rsidRPr="00EB767C">
        <w:rPr>
          <w:rFonts w:ascii="Arial" w:hAnsi="Arial" w:cs="Arial"/>
        </w:rPr>
        <w:t>/pjab014.</w:t>
      </w:r>
    </w:p>
    <w:p w14:paraId="07257B8E"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Lazarus, J.V., </w:t>
      </w:r>
      <w:proofErr w:type="spellStart"/>
      <w:r w:rsidRPr="00EB767C">
        <w:rPr>
          <w:rFonts w:ascii="Arial" w:hAnsi="Arial" w:cs="Arial"/>
        </w:rPr>
        <w:t>Ratzan</w:t>
      </w:r>
      <w:proofErr w:type="spellEnd"/>
      <w:r w:rsidRPr="00EB767C">
        <w:rPr>
          <w:rFonts w:ascii="Arial" w:hAnsi="Arial" w:cs="Arial"/>
        </w:rPr>
        <w:t xml:space="preserve">, S.C., </w:t>
      </w:r>
      <w:proofErr w:type="spellStart"/>
      <w:r w:rsidRPr="00EB767C">
        <w:rPr>
          <w:rFonts w:ascii="Arial" w:hAnsi="Arial" w:cs="Arial"/>
        </w:rPr>
        <w:t>Palayew</w:t>
      </w:r>
      <w:proofErr w:type="spellEnd"/>
      <w:r w:rsidRPr="00EB767C">
        <w:rPr>
          <w:rFonts w:ascii="Arial" w:hAnsi="Arial" w:cs="Arial"/>
        </w:rPr>
        <w:t>, A., Gostin, L.O., Larson, H.J., Rabin, K., Kimball, S. and El-</w:t>
      </w:r>
      <w:proofErr w:type="spellStart"/>
      <w:r w:rsidRPr="00EB767C">
        <w:rPr>
          <w:rFonts w:ascii="Arial" w:hAnsi="Arial" w:cs="Arial"/>
        </w:rPr>
        <w:t>Mohandes</w:t>
      </w:r>
      <w:proofErr w:type="spellEnd"/>
      <w:r w:rsidRPr="00EB767C">
        <w:rPr>
          <w:rFonts w:ascii="Arial" w:hAnsi="Arial" w:cs="Arial"/>
        </w:rPr>
        <w:t xml:space="preserve">, A., 2021. A global survey of potential acceptance of a COVID-19 vaccine. </w:t>
      </w:r>
      <w:r w:rsidRPr="00EB767C">
        <w:rPr>
          <w:rFonts w:ascii="Arial" w:hAnsi="Arial" w:cs="Arial"/>
          <w:i/>
          <w:iCs/>
        </w:rPr>
        <w:t>Nature Medicine</w:t>
      </w:r>
      <w:r w:rsidRPr="00EB767C">
        <w:rPr>
          <w:rFonts w:ascii="Arial" w:hAnsi="Arial" w:cs="Arial"/>
        </w:rPr>
        <w:t>, 27(2), pp.225–228.</w:t>
      </w:r>
    </w:p>
    <w:p w14:paraId="4401A292"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Legido-Quigley, H., Asgari, N., Teo, Y.Y., Leung, G.M., </w:t>
      </w:r>
      <w:proofErr w:type="spellStart"/>
      <w:r w:rsidRPr="00EB767C">
        <w:rPr>
          <w:rFonts w:ascii="Arial" w:hAnsi="Arial" w:cs="Arial"/>
        </w:rPr>
        <w:t>Oshitani</w:t>
      </w:r>
      <w:proofErr w:type="spellEnd"/>
      <w:r w:rsidRPr="00EB767C">
        <w:rPr>
          <w:rFonts w:ascii="Arial" w:hAnsi="Arial" w:cs="Arial"/>
        </w:rPr>
        <w:t xml:space="preserve">, H., Fukuda, K., Cook, A.R. and Hsu, L.Y., 2020. Are high-performing health systems resilient against the COVID-19 epidemic? </w:t>
      </w:r>
      <w:r w:rsidRPr="00EB767C">
        <w:rPr>
          <w:rFonts w:ascii="Arial" w:hAnsi="Arial" w:cs="Arial"/>
          <w:i/>
          <w:iCs/>
        </w:rPr>
        <w:t>The Lancet</w:t>
      </w:r>
      <w:r w:rsidRPr="00EB767C">
        <w:rPr>
          <w:rFonts w:ascii="Arial" w:hAnsi="Arial" w:cs="Arial"/>
        </w:rPr>
        <w:t>, 395(10227), pp.848–850.</w:t>
      </w:r>
    </w:p>
    <w:p w14:paraId="0DC6866C"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Macdonald, N. and Steenbeek, A., 2021. The pursuit of vaccine equity during the COVID-19 pandemic: Lessons from Indigenous communities in Canada. </w:t>
      </w:r>
      <w:r w:rsidRPr="00EB767C">
        <w:rPr>
          <w:rFonts w:ascii="Arial" w:hAnsi="Arial" w:cs="Arial"/>
          <w:i/>
          <w:iCs/>
        </w:rPr>
        <w:t>Vaccine</w:t>
      </w:r>
      <w:r w:rsidRPr="00EB767C">
        <w:rPr>
          <w:rFonts w:ascii="Arial" w:hAnsi="Arial" w:cs="Arial"/>
        </w:rPr>
        <w:t xml:space="preserve">, 39(52), pp.7520–7524. </w:t>
      </w:r>
      <w:proofErr w:type="spellStart"/>
      <w:r w:rsidRPr="00EB767C">
        <w:rPr>
          <w:rFonts w:ascii="Arial" w:hAnsi="Arial" w:cs="Arial"/>
        </w:rPr>
        <w:t>doi</w:t>
      </w:r>
      <w:proofErr w:type="spellEnd"/>
      <w:r w:rsidRPr="00EB767C">
        <w:rPr>
          <w:rFonts w:ascii="Arial" w:hAnsi="Arial" w:cs="Arial"/>
        </w:rPr>
        <w:t>: 10.1016/j.vaccine.2021.11.013.</w:t>
      </w:r>
    </w:p>
    <w:p w14:paraId="141F865F" w14:textId="77777777" w:rsidR="00EB767C" w:rsidRPr="00EB767C" w:rsidRDefault="00EB767C" w:rsidP="00EB767C">
      <w:pPr>
        <w:spacing w:line="360" w:lineRule="auto"/>
        <w:jc w:val="both"/>
        <w:rPr>
          <w:rFonts w:ascii="Arial" w:hAnsi="Arial" w:cs="Arial"/>
        </w:rPr>
      </w:pPr>
      <w:r w:rsidRPr="00EB767C">
        <w:rPr>
          <w:rFonts w:ascii="Arial" w:hAnsi="Arial" w:cs="Arial"/>
        </w:rPr>
        <w:lastRenderedPageBreak/>
        <w:t xml:space="preserve">Marchildon, G.P., 2013. Canada: Health system review. </w:t>
      </w:r>
      <w:r w:rsidRPr="00EB767C">
        <w:rPr>
          <w:rFonts w:ascii="Arial" w:hAnsi="Arial" w:cs="Arial"/>
          <w:i/>
          <w:iCs/>
        </w:rPr>
        <w:t>Health Systems in Transition</w:t>
      </w:r>
      <w:r w:rsidRPr="00EB767C">
        <w:rPr>
          <w:rFonts w:ascii="Arial" w:hAnsi="Arial" w:cs="Arial"/>
        </w:rPr>
        <w:t>, 15(1). Copenhagen: WHO Regional Office for Europe.</w:t>
      </w:r>
    </w:p>
    <w:p w14:paraId="1872B9A4" w14:textId="77777777" w:rsidR="00EB767C" w:rsidRPr="00EB767C" w:rsidRDefault="00EB767C" w:rsidP="00EB767C">
      <w:pPr>
        <w:spacing w:line="360" w:lineRule="auto"/>
        <w:jc w:val="both"/>
        <w:rPr>
          <w:rFonts w:ascii="Arial" w:hAnsi="Arial" w:cs="Arial"/>
        </w:rPr>
      </w:pPr>
      <w:proofErr w:type="spellStart"/>
      <w:r w:rsidRPr="00EB767C">
        <w:rPr>
          <w:rFonts w:ascii="Arial" w:hAnsi="Arial" w:cs="Arial"/>
        </w:rPr>
        <w:t>Migone</w:t>
      </w:r>
      <w:proofErr w:type="spellEnd"/>
      <w:r w:rsidRPr="00EB767C">
        <w:rPr>
          <w:rFonts w:ascii="Arial" w:hAnsi="Arial" w:cs="Arial"/>
        </w:rPr>
        <w:t>, A.R., 2020. Trust, but customize: federalism’s impact on the Canadian COVID</w:t>
      </w:r>
      <w:r w:rsidRPr="00EB767C">
        <w:rPr>
          <w:rFonts w:ascii="Arial" w:hAnsi="Arial" w:cs="Arial"/>
        </w:rPr>
        <w:noBreakHyphen/>
        <w:t xml:space="preserve">19 response. </w:t>
      </w:r>
      <w:r w:rsidRPr="00EB767C">
        <w:rPr>
          <w:rFonts w:ascii="Arial" w:hAnsi="Arial" w:cs="Arial"/>
          <w:i/>
          <w:iCs/>
        </w:rPr>
        <w:t>Policy and Society</w:t>
      </w:r>
      <w:r w:rsidRPr="00EB767C">
        <w:rPr>
          <w:rFonts w:ascii="Arial" w:hAnsi="Arial" w:cs="Arial"/>
        </w:rPr>
        <w:t>, 39(3), pp.382–402.</w:t>
      </w:r>
    </w:p>
    <w:p w14:paraId="044874DD"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Moon, M.J., 2020. Fighting COVID-19 with agility, transparency, and participation: Korea’s management strategy. </w:t>
      </w:r>
      <w:r w:rsidRPr="00EB767C">
        <w:rPr>
          <w:rFonts w:ascii="Arial" w:hAnsi="Arial" w:cs="Arial"/>
          <w:i/>
          <w:iCs/>
        </w:rPr>
        <w:t>Public Administration Review</w:t>
      </w:r>
      <w:r w:rsidRPr="00EB767C">
        <w:rPr>
          <w:rFonts w:ascii="Arial" w:hAnsi="Arial" w:cs="Arial"/>
        </w:rPr>
        <w:t>, 80(5), pp.655–660.</w:t>
      </w:r>
    </w:p>
    <w:p w14:paraId="6AB8032C" w14:textId="77777777" w:rsidR="00EB767C" w:rsidRPr="00EB767C" w:rsidRDefault="00EB767C" w:rsidP="00EB767C">
      <w:pPr>
        <w:spacing w:line="360" w:lineRule="auto"/>
        <w:jc w:val="both"/>
        <w:rPr>
          <w:rFonts w:ascii="Arial" w:hAnsi="Arial" w:cs="Arial"/>
        </w:rPr>
      </w:pPr>
      <w:r w:rsidRPr="00EB767C">
        <w:rPr>
          <w:rFonts w:ascii="Arial" w:hAnsi="Arial" w:cs="Arial"/>
        </w:rPr>
        <w:t>Mobilization of science advice by the Canadian federal government to support the COVID</w:t>
      </w:r>
      <w:r w:rsidRPr="00EB767C">
        <w:rPr>
          <w:rFonts w:ascii="Arial" w:hAnsi="Arial" w:cs="Arial"/>
        </w:rPr>
        <w:noBreakHyphen/>
        <w:t xml:space="preserve">19 pandemic response, 2023. </w:t>
      </w:r>
      <w:r w:rsidRPr="00EB767C">
        <w:rPr>
          <w:rFonts w:ascii="Arial" w:hAnsi="Arial" w:cs="Arial"/>
          <w:i/>
          <w:iCs/>
        </w:rPr>
        <w:t>Humanities and Social Sciences Communications</w:t>
      </w:r>
      <w:r w:rsidRPr="00EB767C">
        <w:rPr>
          <w:rFonts w:ascii="Arial" w:hAnsi="Arial" w:cs="Arial"/>
        </w:rPr>
        <w:t>.</w:t>
      </w:r>
    </w:p>
    <w:p w14:paraId="305E945D"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Northouse, P.G., 2019. </w:t>
      </w:r>
      <w:r w:rsidRPr="00EB767C">
        <w:rPr>
          <w:rFonts w:ascii="Arial" w:hAnsi="Arial" w:cs="Arial"/>
          <w:i/>
          <w:iCs/>
        </w:rPr>
        <w:t>Leadership: Theory and practice</w:t>
      </w:r>
      <w:r w:rsidRPr="00EB767C">
        <w:rPr>
          <w:rFonts w:ascii="Arial" w:hAnsi="Arial" w:cs="Arial"/>
        </w:rPr>
        <w:t>. 8th ed. Thousand Oaks, CA: SAGE Publications.</w:t>
      </w:r>
    </w:p>
    <w:p w14:paraId="376E8469"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Paquet, G. and Schertzer, R., 2020. COVID-19: Governance and the policy response in Canada. </w:t>
      </w:r>
      <w:r w:rsidRPr="00EB767C">
        <w:rPr>
          <w:rFonts w:ascii="Arial" w:hAnsi="Arial" w:cs="Arial"/>
          <w:i/>
          <w:iCs/>
        </w:rPr>
        <w:t>Canadian Public Policy</w:t>
      </w:r>
      <w:r w:rsidRPr="00EB767C">
        <w:rPr>
          <w:rFonts w:ascii="Arial" w:hAnsi="Arial" w:cs="Arial"/>
        </w:rPr>
        <w:t>, 46(S2), pp.S89–S100.</w:t>
      </w:r>
    </w:p>
    <w:p w14:paraId="25DA74B5"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Park, Y.J., Choe, Y.J., Park, O., Park, S.Y., Kim, Y.M., Kim, J., Kweon, S., Woo, Y., </w:t>
      </w:r>
      <w:proofErr w:type="spellStart"/>
      <w:r w:rsidRPr="00EB767C">
        <w:rPr>
          <w:rFonts w:ascii="Arial" w:hAnsi="Arial" w:cs="Arial"/>
        </w:rPr>
        <w:t>Gwack</w:t>
      </w:r>
      <w:proofErr w:type="spellEnd"/>
      <w:r w:rsidRPr="00EB767C">
        <w:rPr>
          <w:rFonts w:ascii="Arial" w:hAnsi="Arial" w:cs="Arial"/>
        </w:rPr>
        <w:t xml:space="preserve">, J., Kim, S.S. and Lee, J., 2021. Contact tracing during coronavirus disease outbreak, South Korea, 2020. </w:t>
      </w:r>
      <w:r w:rsidRPr="00EB767C">
        <w:rPr>
          <w:rFonts w:ascii="Arial" w:hAnsi="Arial" w:cs="Arial"/>
          <w:i/>
          <w:iCs/>
        </w:rPr>
        <w:t>Emerging Infectious Diseases</w:t>
      </w:r>
      <w:r w:rsidRPr="00EB767C">
        <w:rPr>
          <w:rFonts w:ascii="Arial" w:hAnsi="Arial" w:cs="Arial"/>
        </w:rPr>
        <w:t>, 27(10), pp.2793–2800.</w:t>
      </w:r>
    </w:p>
    <w:p w14:paraId="48BBFEF2"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Public Health Agency of Canada, 2023. </w:t>
      </w:r>
      <w:r w:rsidRPr="00EB767C">
        <w:rPr>
          <w:rFonts w:ascii="Arial" w:hAnsi="Arial" w:cs="Arial"/>
          <w:i/>
          <w:iCs/>
        </w:rPr>
        <w:t>Public Health Agency of Canada’s COVID</w:t>
      </w:r>
      <w:r w:rsidRPr="00EB767C">
        <w:rPr>
          <w:rFonts w:ascii="Arial" w:hAnsi="Arial" w:cs="Arial"/>
          <w:i/>
          <w:iCs/>
        </w:rPr>
        <w:noBreakHyphen/>
        <w:t>19 response: Lessons learned</w:t>
      </w:r>
      <w:r w:rsidRPr="00EB767C">
        <w:rPr>
          <w:rFonts w:ascii="Arial" w:hAnsi="Arial" w:cs="Arial"/>
        </w:rPr>
        <w:t>. Ottawa: Government of Canada.</w:t>
      </w:r>
    </w:p>
    <w:p w14:paraId="6F3076C8"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Simeon, R. and Cameron, D., 2020. Intergovernmental collaboration during the COVID-19 pandemic. </w:t>
      </w:r>
      <w:r w:rsidRPr="00EB767C">
        <w:rPr>
          <w:rFonts w:ascii="Arial" w:hAnsi="Arial" w:cs="Arial"/>
          <w:i/>
          <w:iCs/>
        </w:rPr>
        <w:t>Canadian Public Administration</w:t>
      </w:r>
      <w:r w:rsidRPr="00EB767C">
        <w:rPr>
          <w:rFonts w:ascii="Arial" w:hAnsi="Arial" w:cs="Arial"/>
        </w:rPr>
        <w:t>, 63(3), pp.395–412.</w:t>
      </w:r>
    </w:p>
    <w:p w14:paraId="3149D3F0"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Taylor, S., 2021. Communication strategies in Canadian COVID-19 management. </w:t>
      </w:r>
      <w:r w:rsidRPr="00EB767C">
        <w:rPr>
          <w:rFonts w:ascii="Arial" w:hAnsi="Arial" w:cs="Arial"/>
          <w:i/>
          <w:iCs/>
        </w:rPr>
        <w:t>Journal of Risk Research</w:t>
      </w:r>
      <w:r w:rsidRPr="00EB767C">
        <w:rPr>
          <w:rFonts w:ascii="Arial" w:hAnsi="Arial" w:cs="Arial"/>
        </w:rPr>
        <w:t>, 24(7–8), pp.1013–1028.</w:t>
      </w:r>
    </w:p>
    <w:p w14:paraId="78546CA2"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Vogel, L., 2021. Canada secures more COVID-19 vaccine doses per capita than any other country. </w:t>
      </w:r>
      <w:r w:rsidRPr="00EB767C">
        <w:rPr>
          <w:rFonts w:ascii="Arial" w:hAnsi="Arial" w:cs="Arial"/>
          <w:i/>
          <w:iCs/>
        </w:rPr>
        <w:t>Canadian Medical Association Journal</w:t>
      </w:r>
      <w:r w:rsidRPr="00EB767C">
        <w:rPr>
          <w:rFonts w:ascii="Arial" w:hAnsi="Arial" w:cs="Arial"/>
        </w:rPr>
        <w:t xml:space="preserve">, 193(3), pp.E126. </w:t>
      </w:r>
      <w:proofErr w:type="spellStart"/>
      <w:r w:rsidRPr="00EB767C">
        <w:rPr>
          <w:rFonts w:ascii="Arial" w:hAnsi="Arial" w:cs="Arial"/>
        </w:rPr>
        <w:t>doi</w:t>
      </w:r>
      <w:proofErr w:type="spellEnd"/>
      <w:r w:rsidRPr="00EB767C">
        <w:rPr>
          <w:rFonts w:ascii="Arial" w:hAnsi="Arial" w:cs="Arial"/>
        </w:rPr>
        <w:t>: 10.1503/cmaj.1095915.</w:t>
      </w:r>
    </w:p>
    <w:p w14:paraId="59D889DF" w14:textId="77777777" w:rsidR="00EB767C" w:rsidRPr="00EB767C" w:rsidRDefault="00EB767C" w:rsidP="00EB767C">
      <w:pPr>
        <w:spacing w:line="360" w:lineRule="auto"/>
        <w:jc w:val="both"/>
        <w:rPr>
          <w:rFonts w:ascii="Arial" w:hAnsi="Arial" w:cs="Arial"/>
        </w:rPr>
      </w:pPr>
      <w:r w:rsidRPr="00EB767C">
        <w:rPr>
          <w:rFonts w:ascii="Arial" w:hAnsi="Arial" w:cs="Arial"/>
        </w:rPr>
        <w:t xml:space="preserve">You, J., 2020. Lessons from South Korea’s COVID-19 policy response. </w:t>
      </w:r>
      <w:r w:rsidRPr="00EB767C">
        <w:rPr>
          <w:rFonts w:ascii="Arial" w:hAnsi="Arial" w:cs="Arial"/>
          <w:i/>
          <w:iCs/>
        </w:rPr>
        <w:t>American Review of Public Administration</w:t>
      </w:r>
      <w:r w:rsidRPr="00EB767C">
        <w:rPr>
          <w:rFonts w:ascii="Arial" w:hAnsi="Arial" w:cs="Arial"/>
        </w:rPr>
        <w:t>, 50(6–7), pp.801–808.</w:t>
      </w:r>
    </w:p>
    <w:p w14:paraId="48619BDA" w14:textId="77777777" w:rsidR="00EB767C" w:rsidRPr="00EB767C" w:rsidRDefault="00EB767C" w:rsidP="0020479B">
      <w:pPr>
        <w:spacing w:line="360" w:lineRule="auto"/>
        <w:jc w:val="both"/>
        <w:rPr>
          <w:rFonts w:ascii="Arial" w:hAnsi="Arial" w:cs="Arial"/>
          <w:b/>
          <w:bCs/>
        </w:rPr>
      </w:pPr>
    </w:p>
    <w:p w14:paraId="5D7C27F2" w14:textId="77777777" w:rsidR="005B10E0" w:rsidRPr="00EB767C" w:rsidRDefault="005B10E0" w:rsidP="0020479B">
      <w:pPr>
        <w:spacing w:line="360" w:lineRule="auto"/>
        <w:jc w:val="both"/>
        <w:rPr>
          <w:rFonts w:ascii="Arial" w:hAnsi="Arial" w:cs="Arial"/>
        </w:rPr>
      </w:pPr>
    </w:p>
    <w:sectPr w:rsidR="005B10E0" w:rsidRPr="00EB767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F6A8B7" w14:textId="77777777" w:rsidR="00BA0818" w:rsidRDefault="00BA0818" w:rsidP="007303FE">
      <w:pPr>
        <w:spacing w:after="0" w:line="240" w:lineRule="auto"/>
      </w:pPr>
      <w:r>
        <w:separator/>
      </w:r>
    </w:p>
  </w:endnote>
  <w:endnote w:type="continuationSeparator" w:id="0">
    <w:p w14:paraId="53C4186D" w14:textId="77777777" w:rsidR="00BA0818" w:rsidRDefault="00BA0818" w:rsidP="00730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6516966"/>
      <w:docPartObj>
        <w:docPartGallery w:val="Page Numbers (Bottom of Page)"/>
        <w:docPartUnique/>
      </w:docPartObj>
    </w:sdtPr>
    <w:sdtContent>
      <w:p w14:paraId="3EE08A98" w14:textId="5BAD4144" w:rsidR="00180CD7" w:rsidRDefault="00180CD7">
        <w:pPr>
          <w:pStyle w:val="Footer"/>
          <w:jc w:val="right"/>
        </w:pPr>
        <w:r>
          <w:fldChar w:fldCharType="begin"/>
        </w:r>
        <w:r>
          <w:instrText>PAGE   \* MERGEFORMAT</w:instrText>
        </w:r>
        <w:r>
          <w:fldChar w:fldCharType="separate"/>
        </w:r>
        <w:r>
          <w:t>2</w:t>
        </w:r>
        <w:r>
          <w:fldChar w:fldCharType="end"/>
        </w:r>
      </w:p>
    </w:sdtContent>
  </w:sdt>
  <w:p w14:paraId="449C0180" w14:textId="77777777" w:rsidR="00180CD7" w:rsidRDefault="00180C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D78D09" w14:textId="77777777" w:rsidR="00BA0818" w:rsidRDefault="00BA0818" w:rsidP="007303FE">
      <w:pPr>
        <w:spacing w:after="0" w:line="240" w:lineRule="auto"/>
      </w:pPr>
      <w:r>
        <w:separator/>
      </w:r>
    </w:p>
  </w:footnote>
  <w:footnote w:type="continuationSeparator" w:id="0">
    <w:p w14:paraId="3964B3E4" w14:textId="77777777" w:rsidR="00BA0818" w:rsidRDefault="00BA0818" w:rsidP="007303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A47646"/>
    <w:multiLevelType w:val="multilevel"/>
    <w:tmpl w:val="980ED41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267150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2BB"/>
    <w:rsid w:val="00041B94"/>
    <w:rsid w:val="000459AD"/>
    <w:rsid w:val="00066022"/>
    <w:rsid w:val="000913FF"/>
    <w:rsid w:val="00112F64"/>
    <w:rsid w:val="0016294E"/>
    <w:rsid w:val="00180CD7"/>
    <w:rsid w:val="001866E4"/>
    <w:rsid w:val="0020479B"/>
    <w:rsid w:val="002869EB"/>
    <w:rsid w:val="002972BB"/>
    <w:rsid w:val="00304386"/>
    <w:rsid w:val="00313E95"/>
    <w:rsid w:val="00327AD7"/>
    <w:rsid w:val="003A66B2"/>
    <w:rsid w:val="003B4F1A"/>
    <w:rsid w:val="003C73D8"/>
    <w:rsid w:val="003D0A33"/>
    <w:rsid w:val="005B10E0"/>
    <w:rsid w:val="005B3278"/>
    <w:rsid w:val="005C0198"/>
    <w:rsid w:val="005D4D0E"/>
    <w:rsid w:val="00624396"/>
    <w:rsid w:val="007124B2"/>
    <w:rsid w:val="00715B02"/>
    <w:rsid w:val="007303FE"/>
    <w:rsid w:val="00746C51"/>
    <w:rsid w:val="00764A4C"/>
    <w:rsid w:val="007750F2"/>
    <w:rsid w:val="00783B87"/>
    <w:rsid w:val="00795426"/>
    <w:rsid w:val="007A3386"/>
    <w:rsid w:val="007D498E"/>
    <w:rsid w:val="007E5D7E"/>
    <w:rsid w:val="0080267E"/>
    <w:rsid w:val="00892281"/>
    <w:rsid w:val="008D7B9D"/>
    <w:rsid w:val="00987417"/>
    <w:rsid w:val="009C511A"/>
    <w:rsid w:val="009F756D"/>
    <w:rsid w:val="00B436BF"/>
    <w:rsid w:val="00B617FC"/>
    <w:rsid w:val="00BA0818"/>
    <w:rsid w:val="00C27D07"/>
    <w:rsid w:val="00C33C2E"/>
    <w:rsid w:val="00C7543F"/>
    <w:rsid w:val="00CB6112"/>
    <w:rsid w:val="00CB734B"/>
    <w:rsid w:val="00CC4F6E"/>
    <w:rsid w:val="00CC7F83"/>
    <w:rsid w:val="00CD13BC"/>
    <w:rsid w:val="00CE3789"/>
    <w:rsid w:val="00CF0ECD"/>
    <w:rsid w:val="00D152E0"/>
    <w:rsid w:val="00D153AA"/>
    <w:rsid w:val="00D27230"/>
    <w:rsid w:val="00D45506"/>
    <w:rsid w:val="00D458C1"/>
    <w:rsid w:val="00D97BC8"/>
    <w:rsid w:val="00DE3FED"/>
    <w:rsid w:val="00E319FC"/>
    <w:rsid w:val="00E6256F"/>
    <w:rsid w:val="00EB767C"/>
    <w:rsid w:val="00EC5D7D"/>
    <w:rsid w:val="00F63654"/>
    <w:rsid w:val="00FC1566"/>
    <w:rsid w:val="00FE1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DE627"/>
  <w15:chartTrackingRefBased/>
  <w15:docId w15:val="{6008B4CE-075F-4630-9DBC-DA5BE3BE0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2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2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2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2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2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2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2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2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2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2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2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2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2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2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2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2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2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2BB"/>
    <w:rPr>
      <w:rFonts w:eastAsiaTheme="majorEastAsia" w:cstheme="majorBidi"/>
      <w:color w:val="272727" w:themeColor="text1" w:themeTint="D8"/>
    </w:rPr>
  </w:style>
  <w:style w:type="paragraph" w:styleId="Title">
    <w:name w:val="Title"/>
    <w:basedOn w:val="Normal"/>
    <w:next w:val="Normal"/>
    <w:link w:val="TitleChar"/>
    <w:uiPriority w:val="10"/>
    <w:qFormat/>
    <w:rsid w:val="002972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2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2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2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2BB"/>
    <w:pPr>
      <w:spacing w:before="160"/>
      <w:jc w:val="center"/>
    </w:pPr>
    <w:rPr>
      <w:i/>
      <w:iCs/>
      <w:color w:val="404040" w:themeColor="text1" w:themeTint="BF"/>
    </w:rPr>
  </w:style>
  <w:style w:type="character" w:customStyle="1" w:styleId="QuoteChar">
    <w:name w:val="Quote Char"/>
    <w:basedOn w:val="DefaultParagraphFont"/>
    <w:link w:val="Quote"/>
    <w:uiPriority w:val="29"/>
    <w:rsid w:val="002972BB"/>
    <w:rPr>
      <w:i/>
      <w:iCs/>
      <w:color w:val="404040" w:themeColor="text1" w:themeTint="BF"/>
    </w:rPr>
  </w:style>
  <w:style w:type="paragraph" w:styleId="ListParagraph">
    <w:name w:val="List Paragraph"/>
    <w:basedOn w:val="Normal"/>
    <w:uiPriority w:val="34"/>
    <w:qFormat/>
    <w:rsid w:val="002972BB"/>
    <w:pPr>
      <w:ind w:left="720"/>
      <w:contextualSpacing/>
    </w:pPr>
  </w:style>
  <w:style w:type="character" w:styleId="IntenseEmphasis">
    <w:name w:val="Intense Emphasis"/>
    <w:basedOn w:val="DefaultParagraphFont"/>
    <w:uiPriority w:val="21"/>
    <w:qFormat/>
    <w:rsid w:val="002972BB"/>
    <w:rPr>
      <w:i/>
      <w:iCs/>
      <w:color w:val="0F4761" w:themeColor="accent1" w:themeShade="BF"/>
    </w:rPr>
  </w:style>
  <w:style w:type="paragraph" w:styleId="IntenseQuote">
    <w:name w:val="Intense Quote"/>
    <w:basedOn w:val="Normal"/>
    <w:next w:val="Normal"/>
    <w:link w:val="IntenseQuoteChar"/>
    <w:uiPriority w:val="30"/>
    <w:qFormat/>
    <w:rsid w:val="002972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2BB"/>
    <w:rPr>
      <w:i/>
      <w:iCs/>
      <w:color w:val="0F4761" w:themeColor="accent1" w:themeShade="BF"/>
    </w:rPr>
  </w:style>
  <w:style w:type="character" w:styleId="IntenseReference">
    <w:name w:val="Intense Reference"/>
    <w:basedOn w:val="DefaultParagraphFont"/>
    <w:uiPriority w:val="32"/>
    <w:qFormat/>
    <w:rsid w:val="002972BB"/>
    <w:rPr>
      <w:b/>
      <w:bCs/>
      <w:smallCaps/>
      <w:color w:val="0F4761" w:themeColor="accent1" w:themeShade="BF"/>
      <w:spacing w:val="5"/>
    </w:rPr>
  </w:style>
  <w:style w:type="paragraph" w:styleId="Header">
    <w:name w:val="header"/>
    <w:basedOn w:val="Normal"/>
    <w:link w:val="HeaderChar"/>
    <w:uiPriority w:val="99"/>
    <w:unhideWhenUsed/>
    <w:rsid w:val="007303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3FE"/>
  </w:style>
  <w:style w:type="paragraph" w:styleId="Footer">
    <w:name w:val="footer"/>
    <w:basedOn w:val="Normal"/>
    <w:link w:val="FooterChar"/>
    <w:uiPriority w:val="99"/>
    <w:unhideWhenUsed/>
    <w:rsid w:val="007303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3FE"/>
  </w:style>
  <w:style w:type="paragraph" w:styleId="TOCHeading">
    <w:name w:val="TOC Heading"/>
    <w:basedOn w:val="Heading1"/>
    <w:next w:val="Normal"/>
    <w:uiPriority w:val="39"/>
    <w:unhideWhenUsed/>
    <w:qFormat/>
    <w:rsid w:val="00180CD7"/>
    <w:pPr>
      <w:spacing w:before="240" w:after="0"/>
      <w:outlineLvl w:val="9"/>
    </w:pPr>
    <w:rPr>
      <w:sz w:val="32"/>
      <w:szCs w:val="32"/>
      <w:lang w:eastAsia="en-GB"/>
    </w:rPr>
  </w:style>
  <w:style w:type="paragraph" w:styleId="TOC1">
    <w:name w:val="toc 1"/>
    <w:basedOn w:val="Normal"/>
    <w:next w:val="Normal"/>
    <w:autoRedefine/>
    <w:uiPriority w:val="39"/>
    <w:unhideWhenUsed/>
    <w:rsid w:val="00180CD7"/>
    <w:pPr>
      <w:spacing w:after="100"/>
    </w:pPr>
  </w:style>
  <w:style w:type="character" w:styleId="Hyperlink">
    <w:name w:val="Hyperlink"/>
    <w:basedOn w:val="DefaultParagraphFont"/>
    <w:uiPriority w:val="99"/>
    <w:unhideWhenUsed/>
    <w:rsid w:val="00180CD7"/>
    <w:rPr>
      <w:color w:val="467886" w:themeColor="hyperlink"/>
      <w:u w:val="single"/>
    </w:rPr>
  </w:style>
  <w:style w:type="paragraph" w:styleId="NoSpacing">
    <w:name w:val="No Spacing"/>
    <w:uiPriority w:val="1"/>
    <w:qFormat/>
    <w:rsid w:val="00180CD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BB173-A502-4843-83DD-C6EF10B8C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7059</Words>
  <Characters>40733</Characters>
  <Application>Microsoft Office Word</Application>
  <DocSecurity>0</DocSecurity>
  <Lines>626</Lines>
  <Paragraphs>348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 Nikolova (2111481)</dc:creator>
  <cp:keywords/>
  <dc:description/>
  <cp:lastModifiedBy>Nevyana Nikolova (2111481)</cp:lastModifiedBy>
  <cp:revision>2</cp:revision>
  <dcterms:created xsi:type="dcterms:W3CDTF">2025-12-15T16:29:00Z</dcterms:created>
  <dcterms:modified xsi:type="dcterms:W3CDTF">2025-12-15T16:29:00Z</dcterms:modified>
</cp:coreProperties>
</file>