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2AF01" w14:textId="7B697995" w:rsidR="00C17C87" w:rsidRDefault="00000000" w:rsidP="00C17C87">
      <w:pPr>
        <w:rPr>
          <w:rStyle w:val="markedcontent"/>
          <w:rFonts w:cstheme="minorHAnsi"/>
          <w:b/>
          <w:sz w:val="28"/>
          <w:szCs w:val="28"/>
          <w:u w:val="single"/>
          <w:shd w:val="clear" w:color="auto" w:fill="FFFFFF"/>
        </w:rPr>
      </w:pPr>
      <w:r>
        <w:rPr>
          <w:rFonts w:cstheme="minorHAnsi"/>
          <w:b/>
          <w:sz w:val="28"/>
          <w:szCs w:val="28"/>
          <w:u w:val="single"/>
        </w:rPr>
        <w:t>Commentary on the</w:t>
      </w:r>
      <w:r w:rsidR="0068414F" w:rsidRPr="0068414F">
        <w:rPr>
          <w:rFonts w:cstheme="minorHAnsi"/>
          <w:b/>
          <w:sz w:val="28"/>
          <w:szCs w:val="28"/>
          <w:u w:val="single"/>
        </w:rPr>
        <w:t xml:space="preserve"> </w:t>
      </w:r>
      <w:r w:rsidR="0068414F" w:rsidRPr="0068414F">
        <w:rPr>
          <w:rStyle w:val="markedcontent"/>
          <w:rFonts w:cstheme="minorHAnsi"/>
          <w:b/>
          <w:sz w:val="28"/>
          <w:szCs w:val="28"/>
          <w:u w:val="single"/>
          <w:shd w:val="clear" w:color="auto" w:fill="FFFFFF"/>
        </w:rPr>
        <w:t>Homeric Hymn to Demeter 90-117</w:t>
      </w:r>
    </w:p>
    <w:p w14:paraId="186A4F07" w14:textId="77777777" w:rsidR="00F070C8" w:rsidRPr="0068414F" w:rsidRDefault="00F070C8" w:rsidP="00C17C87">
      <w:pPr>
        <w:rPr>
          <w:rFonts w:cstheme="minorHAnsi"/>
          <w:b/>
          <w:sz w:val="28"/>
          <w:szCs w:val="28"/>
          <w:u w:val="single"/>
        </w:rPr>
      </w:pPr>
    </w:p>
    <w:p w14:paraId="7AE06AE3" w14:textId="10F3F5BD" w:rsidR="00C17C87" w:rsidRPr="008E7C0C" w:rsidRDefault="00000000" w:rsidP="00C17C87">
      <w:pPr>
        <w:rPr>
          <w:sz w:val="24"/>
          <w:szCs w:val="24"/>
        </w:rPr>
      </w:pPr>
      <w:r w:rsidRPr="008E7C0C">
        <w:rPr>
          <w:sz w:val="24"/>
          <w:szCs w:val="24"/>
        </w:rPr>
        <w:t>The passage is taken from The Homeric Hymn to Demeter, the longest of its genre and widely regarded as the earliest narration of the Demeter myth, originating between 650-550 BCE</w:t>
      </w:r>
      <w:r w:rsidR="008E7C0C">
        <w:rPr>
          <w:sz w:val="24"/>
          <w:szCs w:val="24"/>
        </w:rPr>
        <w:t>.</w:t>
      </w:r>
      <w:r>
        <w:rPr>
          <w:rStyle w:val="FootnoteReference"/>
          <w:sz w:val="24"/>
          <w:szCs w:val="24"/>
        </w:rPr>
        <w:footnoteReference w:id="1"/>
      </w:r>
      <w:r w:rsidRPr="008E7C0C">
        <w:rPr>
          <w:sz w:val="24"/>
          <w:szCs w:val="24"/>
        </w:rPr>
        <w:t xml:space="preserve">  Debate about precise dating has been circulatory and detailed, with the best solution being a variable between terminus post quem and terminus a quo.  Exhibiting the Homeric "dactylic hexameter verse," it was probably "composed for recitation at feasts, poetic contests, and seasonally recurring festivals</w:t>
      </w:r>
      <w:r w:rsidR="008E7C0C">
        <w:rPr>
          <w:sz w:val="24"/>
          <w:szCs w:val="24"/>
        </w:rPr>
        <w:t>.</w:t>
      </w:r>
      <w:r w:rsidRPr="008E7C0C">
        <w:rPr>
          <w:sz w:val="24"/>
          <w:szCs w:val="24"/>
        </w:rPr>
        <w:t>”</w:t>
      </w:r>
      <w:r>
        <w:rPr>
          <w:rStyle w:val="FootnoteReference"/>
          <w:sz w:val="24"/>
          <w:szCs w:val="24"/>
        </w:rPr>
        <w:footnoteReference w:id="2"/>
      </w:r>
      <w:r w:rsidRPr="008E7C0C">
        <w:rPr>
          <w:sz w:val="24"/>
          <w:szCs w:val="24"/>
        </w:rPr>
        <w:t xml:space="preserve"> It was the cornerstone of the Eleusinian Mysteries, which according to Rich, "constituted the foundation of Greek life for two thousand years</w:t>
      </w:r>
      <w:r w:rsidR="00751076">
        <w:rPr>
          <w:sz w:val="24"/>
          <w:szCs w:val="24"/>
        </w:rPr>
        <w:t>.</w:t>
      </w:r>
      <w:r w:rsidRPr="008E7C0C">
        <w:rPr>
          <w:sz w:val="24"/>
          <w:szCs w:val="24"/>
        </w:rPr>
        <w:t>”</w:t>
      </w:r>
      <w:r>
        <w:rPr>
          <w:rStyle w:val="FootnoteReference"/>
          <w:sz w:val="24"/>
          <w:szCs w:val="24"/>
        </w:rPr>
        <w:footnoteReference w:id="3"/>
      </w:r>
      <w:r w:rsidRPr="008E7C0C">
        <w:rPr>
          <w:sz w:val="24"/>
          <w:szCs w:val="24"/>
        </w:rPr>
        <w:t xml:space="preserve">  This seems surprising since they were likely merely the prologue to “epic recitation</w:t>
      </w:r>
      <w:r w:rsidR="00751076">
        <w:rPr>
          <w:sz w:val="24"/>
          <w:szCs w:val="24"/>
        </w:rPr>
        <w:t>.”</w:t>
      </w:r>
      <w:r>
        <w:rPr>
          <w:rStyle w:val="FootnoteReference"/>
          <w:sz w:val="24"/>
          <w:szCs w:val="24"/>
        </w:rPr>
        <w:footnoteReference w:id="4"/>
      </w:r>
    </w:p>
    <w:p w14:paraId="0E718925" w14:textId="120588B5" w:rsidR="00C17C87" w:rsidRPr="008E7C0C" w:rsidRDefault="00000000" w:rsidP="00C17C87">
      <w:pPr>
        <w:rPr>
          <w:b/>
          <w:sz w:val="24"/>
          <w:szCs w:val="24"/>
        </w:rPr>
      </w:pPr>
      <w:r w:rsidRPr="00751076">
        <w:rPr>
          <w:bCs/>
          <w:sz w:val="24"/>
          <w:szCs w:val="24"/>
        </w:rPr>
        <w:t>Scholars have divided the Hymn</w:t>
      </w:r>
      <w:r w:rsidRPr="008E7C0C">
        <w:rPr>
          <w:sz w:val="24"/>
          <w:szCs w:val="24"/>
        </w:rPr>
        <w:t xml:space="preserve"> into various sections.  The number of these varies</w:t>
      </w:r>
      <w:r w:rsidRPr="0024481C">
        <w:rPr>
          <w:sz w:val="24"/>
          <w:szCs w:val="24"/>
        </w:rPr>
        <w:t>.  Clay says that Hymn falls into three  "the abduction and its revelation to Demeter; the sojourn of the Goddess at Eleusis; and the aftermath, including her subsequent withdrawal and the return of Persephone, which leads to the final reconciliation</w:t>
      </w:r>
      <w:r w:rsidR="00B21B98" w:rsidRPr="0024481C">
        <w:rPr>
          <w:sz w:val="24"/>
          <w:szCs w:val="24"/>
        </w:rPr>
        <w:t>.</w:t>
      </w:r>
      <w:r w:rsidRPr="0024481C">
        <w:rPr>
          <w:sz w:val="24"/>
          <w:szCs w:val="24"/>
        </w:rPr>
        <w:t>”</w:t>
      </w:r>
      <w:r>
        <w:rPr>
          <w:rStyle w:val="FootnoteReference"/>
          <w:sz w:val="24"/>
          <w:szCs w:val="24"/>
        </w:rPr>
        <w:footnoteReference w:id="5"/>
      </w:r>
      <w:r w:rsidR="00B21B98" w:rsidRPr="0024481C">
        <w:rPr>
          <w:sz w:val="24"/>
          <w:szCs w:val="24"/>
        </w:rPr>
        <w:t xml:space="preserve">  </w:t>
      </w:r>
      <w:r w:rsidRPr="0024481C">
        <w:rPr>
          <w:sz w:val="24"/>
          <w:szCs w:val="24"/>
        </w:rPr>
        <w:t>Aldernik extends that to</w:t>
      </w:r>
      <w:r w:rsidRPr="008E7C0C">
        <w:rPr>
          <w:sz w:val="24"/>
          <w:szCs w:val="24"/>
        </w:rPr>
        <w:t xml:space="preserve"> four sections; The Rape of Persephone, The distress of Demeter, Demeter at Eleusis and finally, Demeter in her temple and the concession of Zeus</w:t>
      </w:r>
      <w:r w:rsidR="00751076">
        <w:rPr>
          <w:sz w:val="24"/>
          <w:szCs w:val="24"/>
        </w:rPr>
        <w:t>.</w:t>
      </w:r>
      <w:r>
        <w:rPr>
          <w:rStyle w:val="FootnoteReference"/>
          <w:sz w:val="24"/>
          <w:szCs w:val="24"/>
        </w:rPr>
        <w:footnoteReference w:id="6"/>
      </w:r>
      <w:r w:rsidRPr="008E7C0C">
        <w:rPr>
          <w:sz w:val="24"/>
          <w:szCs w:val="24"/>
        </w:rPr>
        <w:t xml:space="preserve"> </w:t>
      </w:r>
      <w:r w:rsidR="00751076">
        <w:rPr>
          <w:sz w:val="24"/>
          <w:szCs w:val="24"/>
        </w:rPr>
        <w:t xml:space="preserve"> </w:t>
      </w:r>
      <w:r w:rsidRPr="008E7C0C">
        <w:rPr>
          <w:sz w:val="24"/>
          <w:szCs w:val="24"/>
        </w:rPr>
        <w:t>Irrespective of these differing delineations, Line 90 is significant for two reasons.  Firstly, it represents a cosmological shift to the mortal sphere, which forms the bulk of the poem.  Secondly, it is a departure from other versions involving a controversial interpretation of merit.  Richardson was convinced that " Demeter's wanderings on Earth and visit to Eleusis have no special purpose</w:t>
      </w:r>
      <w:r w:rsidR="00B21B98">
        <w:rPr>
          <w:sz w:val="24"/>
          <w:szCs w:val="24"/>
        </w:rPr>
        <w:t>.</w:t>
      </w:r>
      <w:r w:rsidRPr="008E7C0C">
        <w:rPr>
          <w:sz w:val="24"/>
          <w:szCs w:val="24"/>
        </w:rPr>
        <w:t>”</w:t>
      </w:r>
      <w:r w:rsidR="00B21B98">
        <w:rPr>
          <w:sz w:val="24"/>
          <w:szCs w:val="24"/>
        </w:rPr>
        <w:t xml:space="preserve"> </w:t>
      </w:r>
      <w:r>
        <w:rPr>
          <w:rStyle w:val="FootnoteReference"/>
          <w:sz w:val="24"/>
          <w:szCs w:val="24"/>
        </w:rPr>
        <w:footnoteReference w:id="7"/>
      </w:r>
      <w:r w:rsidRPr="008E7C0C">
        <w:rPr>
          <w:sz w:val="24"/>
          <w:szCs w:val="24"/>
        </w:rPr>
        <w:t xml:space="preserve">  Clay agreed that “For all their inherent interest and even charm, two hundred lines-almost half the poem-seem unrelated to the main story</w:t>
      </w:r>
      <w:r w:rsidR="00B21B98">
        <w:rPr>
          <w:sz w:val="24"/>
          <w:szCs w:val="24"/>
        </w:rPr>
        <w:t>.</w:t>
      </w:r>
      <w:r w:rsidRPr="008E7C0C">
        <w:rPr>
          <w:sz w:val="24"/>
          <w:szCs w:val="24"/>
        </w:rPr>
        <w:t xml:space="preserve">” </w:t>
      </w:r>
      <w:r>
        <w:rPr>
          <w:rStyle w:val="FootnoteReference"/>
          <w:sz w:val="24"/>
          <w:szCs w:val="24"/>
        </w:rPr>
        <w:footnoteReference w:id="8"/>
      </w:r>
      <w:r w:rsidR="00B21B98">
        <w:rPr>
          <w:sz w:val="24"/>
          <w:szCs w:val="24"/>
        </w:rPr>
        <w:t xml:space="preserve"> </w:t>
      </w:r>
      <w:r w:rsidRPr="008E7C0C">
        <w:rPr>
          <w:sz w:val="24"/>
          <w:szCs w:val="24"/>
        </w:rPr>
        <w:t xml:space="preserve"> In the </w:t>
      </w:r>
      <w:r w:rsidRPr="008E7C0C">
        <w:rPr>
          <w:i/>
          <w:sz w:val="24"/>
          <w:szCs w:val="24"/>
        </w:rPr>
        <w:t>Hymn</w:t>
      </w:r>
      <w:r w:rsidRPr="008E7C0C">
        <w:rPr>
          <w:sz w:val="24"/>
          <w:szCs w:val="24"/>
        </w:rPr>
        <w:t>, Demeter knows the perpetrator of the crime, Κρονίωνι (91), because Helios has already told her</w:t>
      </w:r>
      <w:r w:rsidR="00B21B98">
        <w:rPr>
          <w:sz w:val="24"/>
          <w:szCs w:val="24"/>
        </w:rPr>
        <w:t xml:space="preserve"> </w:t>
      </w:r>
      <w:r w:rsidRPr="008E7C0C">
        <w:rPr>
          <w:sz w:val="24"/>
          <w:szCs w:val="24"/>
        </w:rPr>
        <w:t xml:space="preserve">(75-80). </w:t>
      </w:r>
      <w:r w:rsidR="00B21B98">
        <w:rPr>
          <w:sz w:val="24"/>
          <w:szCs w:val="24"/>
        </w:rPr>
        <w:t xml:space="preserve"> </w:t>
      </w:r>
      <w:r w:rsidRPr="008E7C0C">
        <w:rPr>
          <w:sz w:val="24"/>
          <w:szCs w:val="24"/>
        </w:rPr>
        <w:t>In other versions, the stay in Eleusis is more relevant because Demeter comes to Eleusis during her search and is told of Persephone's location by locals.  She rewards them with the gift of agriculture</w:t>
      </w:r>
      <w:r w:rsidR="00B21B98">
        <w:rPr>
          <w:sz w:val="24"/>
          <w:szCs w:val="24"/>
        </w:rPr>
        <w:t>.</w:t>
      </w:r>
      <w:r>
        <w:rPr>
          <w:rStyle w:val="FootnoteReference"/>
          <w:sz w:val="24"/>
          <w:szCs w:val="24"/>
        </w:rPr>
        <w:footnoteReference w:id="9"/>
      </w:r>
      <w:r w:rsidRPr="008E7C0C">
        <w:rPr>
          <w:sz w:val="24"/>
          <w:szCs w:val="24"/>
        </w:rPr>
        <w:t xml:space="preserve">  In the Hymn, agriculture has already been established </w:t>
      </w:r>
      <w:r w:rsidRPr="001C0EF2">
        <w:rPr>
          <w:sz w:val="24"/>
          <w:szCs w:val="24"/>
        </w:rPr>
        <w:t>“with all their fertile holdings</w:t>
      </w:r>
      <w:r w:rsidR="007C2045" w:rsidRPr="001C0EF2">
        <w:rPr>
          <w:sz w:val="24"/>
          <w:szCs w:val="24"/>
        </w:rPr>
        <w:t>.</w:t>
      </w:r>
      <w:r w:rsidRPr="001C0EF2">
        <w:rPr>
          <w:sz w:val="24"/>
          <w:szCs w:val="24"/>
        </w:rPr>
        <w:t>”</w:t>
      </w:r>
      <w:r>
        <w:rPr>
          <w:rStyle w:val="FootnoteReference"/>
          <w:sz w:val="24"/>
          <w:szCs w:val="24"/>
        </w:rPr>
        <w:footnoteReference w:id="10"/>
      </w:r>
      <w:r w:rsidRPr="001C0EF2">
        <w:rPr>
          <w:sz w:val="24"/>
          <w:szCs w:val="24"/>
        </w:rPr>
        <w:t xml:space="preserve"> </w:t>
      </w:r>
      <w:r w:rsidR="007C2045">
        <w:rPr>
          <w:sz w:val="24"/>
          <w:szCs w:val="24"/>
        </w:rPr>
        <w:t xml:space="preserve"> </w:t>
      </w:r>
      <w:r w:rsidRPr="008E7C0C">
        <w:rPr>
          <w:sz w:val="24"/>
          <w:szCs w:val="24"/>
        </w:rPr>
        <w:t xml:space="preserve">Clay is correct to conclude that the Eleusinian episode is a deliberate addition </w:t>
      </w:r>
      <w:r w:rsidRPr="008E7C0C">
        <w:rPr>
          <w:sz w:val="24"/>
          <w:szCs w:val="24"/>
        </w:rPr>
        <w:lastRenderedPageBreak/>
        <w:t>and that the motive for this is to link the myth to the working premise of the Mysteries and the theogonic tradition in which they sit</w:t>
      </w:r>
      <w:r w:rsidR="006C00CC">
        <w:rPr>
          <w:sz w:val="24"/>
          <w:szCs w:val="24"/>
        </w:rPr>
        <w:t xml:space="preserve">. </w:t>
      </w:r>
      <w:r>
        <w:rPr>
          <w:rStyle w:val="FootnoteReference"/>
          <w:sz w:val="24"/>
          <w:szCs w:val="24"/>
        </w:rPr>
        <w:footnoteReference w:id="11"/>
      </w:r>
      <w:r w:rsidRPr="008E7C0C">
        <w:rPr>
          <w:sz w:val="24"/>
          <w:szCs w:val="24"/>
        </w:rPr>
        <w:t xml:space="preserve"> </w:t>
      </w:r>
    </w:p>
    <w:p w14:paraId="34A6FB87" w14:textId="19BAF4DC" w:rsidR="00C17C87" w:rsidRPr="008E7C0C" w:rsidRDefault="00000000" w:rsidP="00C17C87">
      <w:pPr>
        <w:rPr>
          <w:sz w:val="24"/>
          <w:szCs w:val="24"/>
          <w:highlight w:val="yellow"/>
        </w:rPr>
      </w:pPr>
      <w:r w:rsidRPr="008E7C0C">
        <w:rPr>
          <w:sz w:val="24"/>
          <w:szCs w:val="24"/>
        </w:rPr>
        <w:t xml:space="preserve">What is the narrated </w:t>
      </w:r>
      <w:r w:rsidRPr="006C00CC">
        <w:rPr>
          <w:bCs/>
          <w:sz w:val="24"/>
          <w:szCs w:val="24"/>
        </w:rPr>
        <w:t>impetus for Demeter</w:t>
      </w:r>
      <w:r w:rsidRPr="008E7C0C">
        <w:rPr>
          <w:sz w:val="24"/>
          <w:szCs w:val="24"/>
        </w:rPr>
        <w:t xml:space="preserve"> to descend into the mortal world?  The common theme of wandering the earth to test human generosity is not the motive here, even though the narrator remind</w:t>
      </w:r>
      <w:r w:rsidR="006C00CC">
        <w:rPr>
          <w:sz w:val="24"/>
          <w:szCs w:val="24"/>
        </w:rPr>
        <w:t>s</w:t>
      </w:r>
      <w:r w:rsidRPr="008E7C0C">
        <w:rPr>
          <w:sz w:val="24"/>
          <w:szCs w:val="24"/>
        </w:rPr>
        <w:t xml:space="preserve"> the audience of this practice</w:t>
      </w:r>
      <w:r w:rsidRPr="001C0EF2">
        <w:rPr>
          <w:sz w:val="24"/>
          <w:szCs w:val="24"/>
        </w:rPr>
        <w:t>, “Gods are hard for mortals to see</w:t>
      </w:r>
      <w:r w:rsidR="008D5FF1" w:rsidRPr="001C0EF2">
        <w:rPr>
          <w:sz w:val="24"/>
          <w:szCs w:val="24"/>
        </w:rPr>
        <w:t>.</w:t>
      </w:r>
      <w:r w:rsidRPr="001C0EF2">
        <w:rPr>
          <w:sz w:val="24"/>
          <w:szCs w:val="24"/>
        </w:rPr>
        <w:t>”</w:t>
      </w:r>
      <w:r>
        <w:rPr>
          <w:rStyle w:val="FootnoteReference"/>
          <w:sz w:val="24"/>
          <w:szCs w:val="24"/>
        </w:rPr>
        <w:footnoteReference w:id="12"/>
      </w:r>
      <w:r w:rsidRPr="001C0EF2">
        <w:rPr>
          <w:sz w:val="24"/>
          <w:szCs w:val="24"/>
        </w:rPr>
        <w:t xml:space="preserve"> </w:t>
      </w:r>
      <w:r w:rsidRPr="008E7C0C">
        <w:rPr>
          <w:sz w:val="24"/>
          <w:szCs w:val="24"/>
        </w:rPr>
        <w:t xml:space="preserve"> </w:t>
      </w:r>
      <w:r w:rsidR="008D5FF1">
        <w:rPr>
          <w:sz w:val="24"/>
          <w:szCs w:val="24"/>
        </w:rPr>
        <w:t xml:space="preserve"> </w:t>
      </w:r>
      <w:r w:rsidRPr="008E7C0C">
        <w:rPr>
          <w:sz w:val="24"/>
          <w:szCs w:val="24"/>
        </w:rPr>
        <w:t xml:space="preserve">Demeter herself has utilised this subterfuge before. </w:t>
      </w:r>
      <w:r w:rsidR="006C00CC">
        <w:rPr>
          <w:sz w:val="24"/>
          <w:szCs w:val="24"/>
        </w:rPr>
        <w:t xml:space="preserve"> </w:t>
      </w:r>
      <w:r w:rsidRPr="008E7C0C">
        <w:rPr>
          <w:sz w:val="24"/>
          <w:szCs w:val="24"/>
        </w:rPr>
        <w:t>An Argive legend tells of the punishment of a mortal for rejecting her during such a test</w:t>
      </w:r>
      <w:r w:rsidR="008D5FF1">
        <w:rPr>
          <w:sz w:val="24"/>
          <w:szCs w:val="24"/>
        </w:rPr>
        <w:t xml:space="preserve">. </w:t>
      </w:r>
      <w:r>
        <w:rPr>
          <w:rStyle w:val="FootnoteReference"/>
          <w:sz w:val="24"/>
          <w:szCs w:val="24"/>
        </w:rPr>
        <w:footnoteReference w:id="13"/>
      </w:r>
      <w:r w:rsidRPr="008E7C0C">
        <w:rPr>
          <w:sz w:val="24"/>
          <w:szCs w:val="24"/>
        </w:rPr>
        <w:t xml:space="preserve">  Instead, we are told that she is propelled by grief and hatred of Hades, the abductor.  It appears axiomatic that grief is justified but may also be seen as a transgression of normal laws.</w:t>
      </w:r>
      <w:r>
        <w:rPr>
          <w:rStyle w:val="FootnoteReference"/>
          <w:sz w:val="24"/>
          <w:szCs w:val="24"/>
        </w:rPr>
        <w:footnoteReference w:id="14"/>
      </w:r>
      <w:r w:rsidRPr="008E7C0C">
        <w:rPr>
          <w:sz w:val="24"/>
          <w:szCs w:val="24"/>
        </w:rPr>
        <w:t xml:space="preserve">  Perhaps this anger is exacerbated by frustration because Persephone’s marriage has been arranged by two </w:t>
      </w:r>
      <w:r w:rsidRPr="0024481C">
        <w:rPr>
          <w:sz w:val="24"/>
          <w:szCs w:val="24"/>
        </w:rPr>
        <w:t>gods whose powers and status are superior to her</w:t>
      </w:r>
      <w:r w:rsidR="008D5FF1" w:rsidRPr="0024481C">
        <w:rPr>
          <w:sz w:val="24"/>
          <w:szCs w:val="24"/>
        </w:rPr>
        <w:t>s.</w:t>
      </w:r>
      <w:r>
        <w:rPr>
          <w:rStyle w:val="FootnoteReference"/>
          <w:sz w:val="24"/>
          <w:szCs w:val="24"/>
        </w:rPr>
        <w:footnoteReference w:id="15"/>
      </w:r>
      <w:r w:rsidRPr="0024481C">
        <w:rPr>
          <w:sz w:val="24"/>
          <w:szCs w:val="24"/>
        </w:rPr>
        <w:t xml:space="preserve">  </w:t>
      </w:r>
      <w:r w:rsidRPr="008E7C0C">
        <w:rPr>
          <w:sz w:val="24"/>
          <w:szCs w:val="24"/>
        </w:rPr>
        <w:t>Indeed, there is a sense of irony and over-dramatisation in that the Goddess of fertility disguises herself as her own antithesis, a post-menopausal old woman.  Foley hints at further irony.  One of the four daughters of Keleos is the “lovely Demo” Δηµώ τ ̓ ἐρόεσσα (109), which she claims is another form of  Demeter.</w:t>
      </w:r>
      <w:r>
        <w:rPr>
          <w:rStyle w:val="FootnoteReference"/>
          <w:sz w:val="24"/>
          <w:szCs w:val="24"/>
        </w:rPr>
        <w:footnoteReference w:id="16"/>
      </w:r>
      <w:r w:rsidRPr="008E7C0C">
        <w:rPr>
          <w:sz w:val="24"/>
          <w:szCs w:val="24"/>
        </w:rPr>
        <w:t xml:space="preserve">  Richardson is also convinced that Demo is a hypocoristic form for Demeter appearing, for example, in Line 47.</w:t>
      </w:r>
      <w:r>
        <w:rPr>
          <w:rStyle w:val="FootnoteReference"/>
          <w:sz w:val="24"/>
          <w:szCs w:val="24"/>
        </w:rPr>
        <w:footnoteReference w:id="17"/>
      </w:r>
      <w:r w:rsidRPr="008E7C0C">
        <w:rPr>
          <w:sz w:val="24"/>
          <w:szCs w:val="24"/>
        </w:rPr>
        <w:t xml:space="preserve"> However, Line 47 has the alternative as Deo, Δηώ </w:t>
      </w:r>
      <w:r>
        <w:rPr>
          <w:rStyle w:val="FootnoteReference"/>
          <w:sz w:val="24"/>
          <w:szCs w:val="24"/>
        </w:rPr>
        <w:footnoteReference w:id="18"/>
      </w:r>
      <w:r w:rsidR="006A3D2F">
        <w:rPr>
          <w:sz w:val="24"/>
          <w:szCs w:val="24"/>
        </w:rPr>
        <w:t xml:space="preserve"> </w:t>
      </w:r>
      <w:r w:rsidRPr="008E7C0C">
        <w:rPr>
          <w:sz w:val="24"/>
          <w:szCs w:val="24"/>
        </w:rPr>
        <w:t>which is confirmed by other sources</w:t>
      </w:r>
      <w:r w:rsidR="006A3D2F">
        <w:rPr>
          <w:sz w:val="24"/>
          <w:szCs w:val="24"/>
        </w:rPr>
        <w:t>.</w:t>
      </w:r>
    </w:p>
    <w:p w14:paraId="050C2E88" w14:textId="0EEC5DA4" w:rsidR="00C17C87" w:rsidRPr="008E7C0C" w:rsidRDefault="00000000" w:rsidP="00DA7036">
      <w:pPr>
        <w:rPr>
          <w:b/>
          <w:sz w:val="24"/>
          <w:szCs w:val="24"/>
          <w:u w:val="single"/>
        </w:rPr>
      </w:pPr>
      <w:r w:rsidRPr="008E7C0C">
        <w:rPr>
          <w:b/>
          <w:sz w:val="24"/>
          <w:szCs w:val="24"/>
        </w:rPr>
        <w:t xml:space="preserve"> </w:t>
      </w:r>
      <w:r w:rsidRPr="008E7C0C">
        <w:rPr>
          <w:sz w:val="24"/>
          <w:szCs w:val="24"/>
        </w:rPr>
        <w:t>Whilst the Hymn avoids one ‘</w:t>
      </w:r>
      <w:r w:rsidRPr="006A3D2F">
        <w:rPr>
          <w:bCs/>
          <w:sz w:val="24"/>
          <w:szCs w:val="24"/>
        </w:rPr>
        <w:t>story pattern’</w:t>
      </w:r>
      <w:r w:rsidRPr="008E7C0C">
        <w:rPr>
          <w:sz w:val="24"/>
          <w:szCs w:val="24"/>
        </w:rPr>
        <w:t>, it adheres to other</w:t>
      </w:r>
      <w:r w:rsidR="006A3D2F">
        <w:rPr>
          <w:sz w:val="24"/>
          <w:szCs w:val="24"/>
        </w:rPr>
        <w:t>s.</w:t>
      </w:r>
      <w:r w:rsidR="006A3D2F">
        <w:rPr>
          <w:bCs/>
          <w:sz w:val="24"/>
          <w:szCs w:val="24"/>
        </w:rPr>
        <w:t xml:space="preserve">  </w:t>
      </w:r>
      <w:r w:rsidRPr="008E7C0C">
        <w:rPr>
          <w:sz w:val="24"/>
          <w:szCs w:val="24"/>
        </w:rPr>
        <w:t>Hendriksma points out that the</w:t>
      </w:r>
      <w:r w:rsidRPr="008E7C0C">
        <w:rPr>
          <w:b/>
          <w:sz w:val="24"/>
          <w:szCs w:val="24"/>
          <w:u w:val="single"/>
        </w:rPr>
        <w:t xml:space="preserve"> </w:t>
      </w:r>
      <w:r w:rsidRPr="008E7C0C">
        <w:rPr>
          <w:sz w:val="24"/>
          <w:szCs w:val="24"/>
        </w:rPr>
        <w:t xml:space="preserve">descent of Demeter and her subsequent withdrawal are ‘story patterns’ with parallels throughout Greek literature. </w:t>
      </w:r>
      <w:r w:rsidR="006A3D2F">
        <w:rPr>
          <w:sz w:val="24"/>
          <w:szCs w:val="24"/>
        </w:rPr>
        <w:t xml:space="preserve"> </w:t>
      </w:r>
      <w:r w:rsidRPr="008E7C0C">
        <w:rPr>
          <w:sz w:val="24"/>
          <w:szCs w:val="24"/>
        </w:rPr>
        <w:t>Achilles’ refusal to fight after Briseis has been taken as the same ‘story pattern’ as Demeter’s withdrawal from Olympus.</w:t>
      </w:r>
      <w:r>
        <w:rPr>
          <w:rStyle w:val="FootnoteReference"/>
          <w:sz w:val="24"/>
          <w:szCs w:val="24"/>
        </w:rPr>
        <w:footnoteReference w:id="19"/>
      </w:r>
      <w:r w:rsidRPr="008E7C0C">
        <w:rPr>
          <w:sz w:val="24"/>
          <w:szCs w:val="24"/>
        </w:rPr>
        <w:t xml:space="preserve">  Similar patterns also exist outside Ancient Greece, such as the Sumerian myth of Inanna's descent into the underworld, a much older version of the same theme.</w:t>
      </w:r>
      <w:r>
        <w:rPr>
          <w:rStyle w:val="FootnoteReference"/>
          <w:sz w:val="24"/>
          <w:szCs w:val="24"/>
        </w:rPr>
        <w:footnoteReference w:id="20"/>
      </w:r>
      <w:r w:rsidRPr="008E7C0C">
        <w:rPr>
          <w:sz w:val="24"/>
          <w:szCs w:val="24"/>
        </w:rPr>
        <w:t xml:space="preserve">  </w:t>
      </w:r>
    </w:p>
    <w:p w14:paraId="3F61CBA2" w14:textId="582116F5" w:rsidR="00C17C87" w:rsidRPr="008E7C0C" w:rsidRDefault="00000000" w:rsidP="00C17C87">
      <w:pPr>
        <w:rPr>
          <w:sz w:val="24"/>
          <w:szCs w:val="24"/>
          <w:u w:val="single"/>
        </w:rPr>
      </w:pPr>
      <w:r w:rsidRPr="008E7C0C">
        <w:rPr>
          <w:sz w:val="24"/>
          <w:szCs w:val="24"/>
        </w:rPr>
        <w:t xml:space="preserve">The passage is full </w:t>
      </w:r>
      <w:r w:rsidRPr="006A3D2F">
        <w:rPr>
          <w:bCs/>
          <w:sz w:val="24"/>
          <w:szCs w:val="24"/>
        </w:rPr>
        <w:t>of nuances</w:t>
      </w:r>
      <w:r w:rsidRPr="008E7C0C">
        <w:rPr>
          <w:sz w:val="24"/>
          <w:szCs w:val="24"/>
        </w:rPr>
        <w:t xml:space="preserve"> that reinforce the range of translation possible</w:t>
      </w:r>
      <w:r w:rsidRPr="008E7C0C">
        <w:rPr>
          <w:b/>
          <w:sz w:val="24"/>
          <w:szCs w:val="24"/>
        </w:rPr>
        <w:t xml:space="preserve">. </w:t>
      </w:r>
      <w:r w:rsidRPr="00E35927">
        <w:rPr>
          <w:bCs/>
          <w:sz w:val="24"/>
          <w:szCs w:val="24"/>
        </w:rPr>
        <w:t xml:space="preserve"> Κύντερον</w:t>
      </w:r>
      <w:r w:rsidRPr="008E7C0C">
        <w:rPr>
          <w:b/>
          <w:sz w:val="24"/>
          <w:szCs w:val="24"/>
        </w:rPr>
        <w:t xml:space="preserve"> </w:t>
      </w:r>
      <w:r w:rsidRPr="008E7C0C">
        <w:rPr>
          <w:sz w:val="24"/>
          <w:szCs w:val="24"/>
        </w:rPr>
        <w:t>(91) is used to describe Demeter's grief as 'more dog-like'.  However, according to Richardson, Homeric usage  may imply "of things that are shameful."</w:t>
      </w:r>
      <w:r>
        <w:rPr>
          <w:rStyle w:val="FootnoteReference"/>
          <w:sz w:val="24"/>
          <w:szCs w:val="24"/>
        </w:rPr>
        <w:footnoteReference w:id="21"/>
      </w:r>
      <w:r w:rsidRPr="008E7C0C">
        <w:rPr>
          <w:sz w:val="24"/>
          <w:szCs w:val="24"/>
        </w:rPr>
        <w:t xml:space="preserve"> or In the Odyssey, go further as a "term of censure of women</w:t>
      </w:r>
      <w:r w:rsidR="00E35927">
        <w:rPr>
          <w:sz w:val="24"/>
          <w:szCs w:val="24"/>
        </w:rPr>
        <w:t>.</w:t>
      </w:r>
      <w:r w:rsidRPr="008E7C0C">
        <w:rPr>
          <w:sz w:val="24"/>
          <w:szCs w:val="24"/>
        </w:rPr>
        <w:t>”</w:t>
      </w:r>
      <w:r>
        <w:rPr>
          <w:rStyle w:val="FootnoteReference"/>
          <w:sz w:val="24"/>
          <w:szCs w:val="24"/>
        </w:rPr>
        <w:footnoteReference w:id="22"/>
      </w:r>
      <w:r w:rsidRPr="008E7C0C">
        <w:rPr>
          <w:sz w:val="24"/>
          <w:szCs w:val="24"/>
        </w:rPr>
        <w:t xml:space="preserve">  In this respect, the audience might have the impression that whilst wronged, Demeter's withdrawal was a transgression of normal laws.</w:t>
      </w:r>
      <w:r>
        <w:rPr>
          <w:rStyle w:val="FootnoteReference"/>
          <w:sz w:val="24"/>
          <w:szCs w:val="24"/>
        </w:rPr>
        <w:footnoteReference w:id="23"/>
      </w:r>
      <w:r w:rsidR="00E35927">
        <w:rPr>
          <w:sz w:val="24"/>
          <w:szCs w:val="24"/>
        </w:rPr>
        <w:t xml:space="preserve"> </w:t>
      </w:r>
      <w:r w:rsidRPr="008E7C0C">
        <w:rPr>
          <w:sz w:val="24"/>
          <w:szCs w:val="24"/>
        </w:rPr>
        <w:t xml:space="preserve"> Conversely, the meaning may be less misogynistic, such as its use in line 305 to describe the famine </w:t>
      </w:r>
      <w:r w:rsidRPr="008E7C0C">
        <w:rPr>
          <w:sz w:val="24"/>
          <w:szCs w:val="24"/>
        </w:rPr>
        <w:lastRenderedPageBreak/>
        <w:t xml:space="preserve">inflicted upon the earth by </w:t>
      </w:r>
      <w:r w:rsidRPr="00E35927">
        <w:rPr>
          <w:sz w:val="24"/>
          <w:szCs w:val="24"/>
        </w:rPr>
        <w:t xml:space="preserve">Demeter. </w:t>
      </w:r>
      <w:r w:rsidRPr="00E35927">
        <w:rPr>
          <w:bCs/>
          <w:sz w:val="24"/>
          <w:szCs w:val="24"/>
        </w:rPr>
        <w:t xml:space="preserve"> βαθυζώνων τε γυναικῶν</w:t>
      </w:r>
      <w:r w:rsidRPr="008E7C0C">
        <w:rPr>
          <w:b/>
          <w:sz w:val="24"/>
          <w:szCs w:val="24"/>
        </w:rPr>
        <w:t xml:space="preserve"> </w:t>
      </w:r>
      <w:r w:rsidRPr="008E7C0C">
        <w:rPr>
          <w:sz w:val="24"/>
          <w:szCs w:val="24"/>
        </w:rPr>
        <w:t xml:space="preserve"> is used adjectively to describe mortal women.</w:t>
      </w:r>
      <w:r w:rsidR="00E35927">
        <w:rPr>
          <w:sz w:val="24"/>
          <w:szCs w:val="24"/>
        </w:rPr>
        <w:t xml:space="preserve"> </w:t>
      </w:r>
      <w:r w:rsidRPr="008E7C0C">
        <w:rPr>
          <w:sz w:val="24"/>
          <w:szCs w:val="24"/>
        </w:rPr>
        <w:t xml:space="preserve"> </w:t>
      </w:r>
      <w:r w:rsidR="00E35927">
        <w:rPr>
          <w:sz w:val="24"/>
          <w:szCs w:val="24"/>
        </w:rPr>
        <w:t>“</w:t>
      </w:r>
      <w:r w:rsidRPr="008E7C0C">
        <w:rPr>
          <w:sz w:val="24"/>
          <w:szCs w:val="24"/>
        </w:rPr>
        <w:t>Girdles low-slung" is an interesting description to employ and, as Richardson points out, often reserved for women of captured cities.</w:t>
      </w:r>
      <w:r>
        <w:rPr>
          <w:rStyle w:val="FootnoteReference"/>
          <w:sz w:val="24"/>
          <w:szCs w:val="24"/>
        </w:rPr>
        <w:footnoteReference w:id="24"/>
      </w:r>
      <w:r w:rsidRPr="008E7C0C">
        <w:rPr>
          <w:sz w:val="24"/>
          <w:szCs w:val="24"/>
        </w:rPr>
        <w:t xml:space="preserve">  This may be an innocent description given that it is used again for Metaneira</w:t>
      </w:r>
      <w:r w:rsidR="00E35927">
        <w:rPr>
          <w:sz w:val="24"/>
          <w:szCs w:val="24"/>
        </w:rPr>
        <w:t xml:space="preserve"> </w:t>
      </w:r>
      <w:r w:rsidRPr="008E7C0C">
        <w:rPr>
          <w:sz w:val="24"/>
          <w:szCs w:val="24"/>
        </w:rPr>
        <w:t>(161) and Persephone</w:t>
      </w:r>
      <w:r w:rsidR="00E35927">
        <w:rPr>
          <w:sz w:val="24"/>
          <w:szCs w:val="24"/>
        </w:rPr>
        <w:t xml:space="preserve">. </w:t>
      </w:r>
      <w:r w:rsidRPr="008E7C0C">
        <w:rPr>
          <w:sz w:val="24"/>
          <w:szCs w:val="24"/>
        </w:rPr>
        <w:t xml:space="preserve"> (201)</w:t>
      </w:r>
      <w:r>
        <w:rPr>
          <w:rStyle w:val="FootnoteReference"/>
          <w:sz w:val="24"/>
          <w:szCs w:val="24"/>
        </w:rPr>
        <w:footnoteReference w:id="25"/>
      </w:r>
      <w:r w:rsidR="00E35927">
        <w:rPr>
          <w:sz w:val="24"/>
          <w:szCs w:val="24"/>
        </w:rPr>
        <w:t xml:space="preserve"> </w:t>
      </w:r>
      <w:r w:rsidRPr="008E7C0C">
        <w:rPr>
          <w:sz w:val="24"/>
          <w:szCs w:val="24"/>
        </w:rPr>
        <w:t xml:space="preserve"> Clearly, there were nuances all too familiar to a contemporary audience but lost to modern translators.</w:t>
      </w:r>
    </w:p>
    <w:p w14:paraId="25CDD07B" w14:textId="69FC5495" w:rsidR="00C17C87" w:rsidRPr="008E7C0C" w:rsidRDefault="00000000" w:rsidP="00C17C87">
      <w:pPr>
        <w:rPr>
          <w:sz w:val="24"/>
          <w:szCs w:val="24"/>
        </w:rPr>
      </w:pPr>
      <w:r w:rsidRPr="008E7C0C">
        <w:rPr>
          <w:b/>
          <w:sz w:val="24"/>
          <w:szCs w:val="24"/>
        </w:rPr>
        <w:t xml:space="preserve"> </w:t>
      </w:r>
      <w:r w:rsidRPr="008E7C0C">
        <w:rPr>
          <w:sz w:val="24"/>
          <w:szCs w:val="24"/>
        </w:rPr>
        <w:t xml:space="preserve">Much discussion revolves around the insight into Greek society provided by line 114.  Kallithoe, in the only direct speech element of this passage, questions Demeter about her venturing away from the protection of the "polis" (114). </w:t>
      </w:r>
      <w:r w:rsidR="002306C2">
        <w:rPr>
          <w:sz w:val="24"/>
          <w:szCs w:val="24"/>
        </w:rPr>
        <w:t xml:space="preserve"> </w:t>
      </w:r>
      <w:r w:rsidRPr="008E7C0C">
        <w:rPr>
          <w:sz w:val="24"/>
          <w:szCs w:val="24"/>
        </w:rPr>
        <w:t>This seems to run counter to the perceived behavioural pattern at the time, characterised by Hyperides’ statement; “A woman who travels outside her house should be old enough so that people ask whose mother she is, not whose wife she is</w:t>
      </w:r>
      <w:r w:rsidR="008C0B7E">
        <w:rPr>
          <w:sz w:val="24"/>
          <w:szCs w:val="24"/>
        </w:rPr>
        <w:t>.”</w:t>
      </w:r>
      <w:r>
        <w:rPr>
          <w:rStyle w:val="FootnoteReference"/>
          <w:sz w:val="24"/>
          <w:szCs w:val="24"/>
        </w:rPr>
        <w:footnoteReference w:id="26"/>
      </w:r>
      <w:r w:rsidR="008C0B7E">
        <w:rPr>
          <w:sz w:val="24"/>
          <w:szCs w:val="24"/>
        </w:rPr>
        <w:t xml:space="preserve">  </w:t>
      </w:r>
      <w:r w:rsidRPr="008E7C0C">
        <w:rPr>
          <w:sz w:val="24"/>
          <w:szCs w:val="24"/>
        </w:rPr>
        <w:t xml:space="preserve">The implication is that post-menopausal women were of little use and thus had freedom of movement.  Why then, is Kallithoe so surprised at Demeter being far from the </w:t>
      </w:r>
      <w:r w:rsidRPr="008E7C0C">
        <w:rPr>
          <w:i/>
          <w:sz w:val="24"/>
          <w:szCs w:val="24"/>
        </w:rPr>
        <w:t xml:space="preserve">polis?  </w:t>
      </w:r>
      <w:r w:rsidRPr="008E7C0C">
        <w:rPr>
          <w:sz w:val="24"/>
          <w:szCs w:val="24"/>
        </w:rPr>
        <w:t>Pratt is at pains to seize on this dichotomy and spends some time debunking the works of Bremner and Garland, who maintained that older women had freedom of movement simply because their value to society had ceased</w:t>
      </w:r>
      <w:r w:rsidR="008C0B7E">
        <w:rPr>
          <w:sz w:val="24"/>
          <w:szCs w:val="24"/>
        </w:rPr>
        <w:t>.</w:t>
      </w:r>
      <w:r>
        <w:rPr>
          <w:rStyle w:val="FootnoteReference"/>
          <w:sz w:val="24"/>
          <w:szCs w:val="24"/>
        </w:rPr>
        <w:footnoteReference w:id="27"/>
      </w:r>
      <w:r w:rsidR="008C0B7E">
        <w:rPr>
          <w:sz w:val="24"/>
          <w:szCs w:val="24"/>
        </w:rPr>
        <w:t xml:space="preserve"> </w:t>
      </w:r>
      <w:r w:rsidRPr="008E7C0C">
        <w:rPr>
          <w:sz w:val="24"/>
          <w:szCs w:val="24"/>
        </w:rPr>
        <w:t xml:space="preserve"> Kallithoe treats Demeter’s  unescorted travel outside the city in her guise as an old woman </w:t>
      </w:r>
      <w:r w:rsidR="0024481C">
        <w:rPr>
          <w:sz w:val="24"/>
          <w:szCs w:val="24"/>
        </w:rPr>
        <w:t xml:space="preserve">(113-117) </w:t>
      </w:r>
      <w:r w:rsidRPr="008E7C0C">
        <w:rPr>
          <w:sz w:val="24"/>
          <w:szCs w:val="24"/>
        </w:rPr>
        <w:t>as “peculiar and requiring explanation</w:t>
      </w:r>
      <w:r w:rsidR="008C0B7E">
        <w:rPr>
          <w:sz w:val="24"/>
          <w:szCs w:val="24"/>
        </w:rPr>
        <w:t>.</w:t>
      </w:r>
      <w:r w:rsidRPr="008E7C0C">
        <w:rPr>
          <w:sz w:val="24"/>
          <w:szCs w:val="24"/>
        </w:rPr>
        <w:t>”</w:t>
      </w:r>
      <w:r>
        <w:rPr>
          <w:rStyle w:val="FootnoteReference"/>
          <w:sz w:val="24"/>
          <w:szCs w:val="24"/>
        </w:rPr>
        <w:footnoteReference w:id="28"/>
      </w:r>
      <w:r w:rsidRPr="008E7C0C">
        <w:rPr>
          <w:sz w:val="24"/>
          <w:szCs w:val="24"/>
        </w:rPr>
        <w:t xml:space="preserve">  </w:t>
      </w:r>
      <w:r w:rsidRPr="00DA7036">
        <w:rPr>
          <w:sz w:val="24"/>
          <w:szCs w:val="24"/>
        </w:rPr>
        <w:t>“Thus although the evidence is complex and not as unequivocal as one would ideally like, I suggest that in its presentation of Dosos movements as undesirable and atypical, the Hymn presents an ideology of feminine movement that may conform more closely to social reality than Hyperides’ oft cited remark</w:t>
      </w:r>
      <w:r w:rsidR="0024481C" w:rsidRPr="00DA7036">
        <w:rPr>
          <w:sz w:val="24"/>
          <w:szCs w:val="24"/>
        </w:rPr>
        <w:t>.</w:t>
      </w:r>
      <w:r w:rsidRPr="00DA7036">
        <w:rPr>
          <w:sz w:val="24"/>
          <w:szCs w:val="24"/>
        </w:rPr>
        <w:t xml:space="preserve">” </w:t>
      </w:r>
      <w:r>
        <w:rPr>
          <w:rStyle w:val="FootnoteReference"/>
          <w:sz w:val="24"/>
          <w:szCs w:val="24"/>
        </w:rPr>
        <w:footnoteReference w:id="29"/>
      </w:r>
    </w:p>
    <w:p w14:paraId="63C3D539" w14:textId="0BE81A11" w:rsidR="00C17C87" w:rsidRDefault="00000000" w:rsidP="00C17C87">
      <w:pPr>
        <w:rPr>
          <w:sz w:val="24"/>
          <w:szCs w:val="24"/>
        </w:rPr>
      </w:pPr>
      <w:r w:rsidRPr="008E7C0C">
        <w:rPr>
          <w:sz w:val="24"/>
          <w:szCs w:val="24"/>
        </w:rPr>
        <w:t>On the one hand, the passage represents a component in the recognised and formulaic sequence of offence, withdrawal and recovery.  However, it also signals a departure from that formula by involving and linking the third cosmological dimension, the mortal world, with those of Olympus and Hades and places female characters at the centre of that relationship rather than at the periphery.</w:t>
      </w:r>
    </w:p>
    <w:p w14:paraId="190B1C20" w14:textId="14B94769" w:rsidR="002306C2" w:rsidRPr="002306C2" w:rsidRDefault="00000000" w:rsidP="00C17C87">
      <w:pPr>
        <w:rPr>
          <w:i/>
          <w:iCs/>
          <w:sz w:val="24"/>
          <w:szCs w:val="24"/>
        </w:rPr>
      </w:pPr>
      <w:r w:rsidRPr="002306C2">
        <w:rPr>
          <w:i/>
          <w:iCs/>
          <w:sz w:val="24"/>
          <w:szCs w:val="24"/>
        </w:rPr>
        <w:t>(</w:t>
      </w:r>
      <w:r w:rsidR="00276586">
        <w:rPr>
          <w:i/>
          <w:iCs/>
          <w:sz w:val="24"/>
          <w:szCs w:val="24"/>
        </w:rPr>
        <w:t xml:space="preserve">1099 </w:t>
      </w:r>
      <w:r w:rsidRPr="002306C2">
        <w:rPr>
          <w:i/>
          <w:iCs/>
          <w:sz w:val="24"/>
          <w:szCs w:val="24"/>
        </w:rPr>
        <w:t>Word</w:t>
      </w:r>
      <w:r>
        <w:rPr>
          <w:i/>
          <w:iCs/>
          <w:sz w:val="24"/>
          <w:szCs w:val="24"/>
        </w:rPr>
        <w:t xml:space="preserve"> count,</w:t>
      </w:r>
      <w:r w:rsidRPr="002306C2">
        <w:rPr>
          <w:i/>
          <w:iCs/>
          <w:sz w:val="24"/>
          <w:szCs w:val="24"/>
        </w:rPr>
        <w:t xml:space="preserve"> excluding titles and citations)</w:t>
      </w:r>
    </w:p>
    <w:p w14:paraId="7E430644" w14:textId="77777777" w:rsidR="002306C2" w:rsidRDefault="002306C2" w:rsidP="00C17C87">
      <w:pPr>
        <w:rPr>
          <w:b/>
          <w:sz w:val="24"/>
          <w:szCs w:val="24"/>
          <w:u w:val="single"/>
        </w:rPr>
      </w:pPr>
    </w:p>
    <w:p w14:paraId="330945A0" w14:textId="6D1E2367" w:rsidR="00E35927" w:rsidRDefault="00000000" w:rsidP="0072679F">
      <w:pPr>
        <w:rPr>
          <w:b/>
          <w:sz w:val="24"/>
          <w:szCs w:val="24"/>
          <w:u w:val="single"/>
        </w:rPr>
      </w:pPr>
      <w:r>
        <w:rPr>
          <w:b/>
          <w:sz w:val="24"/>
          <w:szCs w:val="24"/>
          <w:u w:val="single"/>
        </w:rPr>
        <w:br w:type="page"/>
      </w:r>
    </w:p>
    <w:p w14:paraId="6AD7E40A" w14:textId="640443B0" w:rsidR="00C17C87" w:rsidRDefault="00000000" w:rsidP="00261614">
      <w:pPr>
        <w:spacing w:after="0"/>
        <w:rPr>
          <w:b/>
          <w:sz w:val="24"/>
          <w:szCs w:val="24"/>
          <w:u w:val="single"/>
        </w:rPr>
      </w:pPr>
      <w:r>
        <w:rPr>
          <w:b/>
          <w:sz w:val="24"/>
          <w:szCs w:val="24"/>
          <w:u w:val="single"/>
        </w:rPr>
        <w:lastRenderedPageBreak/>
        <w:t>Bibliography</w:t>
      </w:r>
    </w:p>
    <w:p w14:paraId="12A5A7DC" w14:textId="78254C21" w:rsidR="00222C69" w:rsidRDefault="00222C69" w:rsidP="00261614">
      <w:pPr>
        <w:spacing w:after="0"/>
        <w:rPr>
          <w:b/>
          <w:sz w:val="24"/>
          <w:szCs w:val="24"/>
          <w:u w:val="single"/>
        </w:rPr>
      </w:pPr>
    </w:p>
    <w:p w14:paraId="49E68A72" w14:textId="37159D92" w:rsidR="00222C69" w:rsidRPr="00222C69" w:rsidRDefault="00000000" w:rsidP="00222C69">
      <w:pPr>
        <w:spacing w:after="0" w:line="240" w:lineRule="auto"/>
        <w:rPr>
          <w:sz w:val="24"/>
          <w:szCs w:val="24"/>
        </w:rPr>
      </w:pPr>
      <w:r w:rsidRPr="00222C69">
        <w:rPr>
          <w:rFonts w:cstheme="minorHAnsi"/>
          <w:color w:val="000000"/>
          <w:sz w:val="24"/>
          <w:szCs w:val="24"/>
        </w:rPr>
        <w:t xml:space="preserve">Anonymous. </w:t>
      </w:r>
      <w:r w:rsidRPr="00222C69">
        <w:rPr>
          <w:rFonts w:cstheme="minorHAnsi"/>
          <w:i/>
          <w:iCs/>
          <w:color w:val="000000"/>
          <w:sz w:val="24"/>
          <w:szCs w:val="24"/>
        </w:rPr>
        <w:t xml:space="preserve"> The Homeric Hymns and Homerica.  </w:t>
      </w:r>
      <w:r w:rsidRPr="00222C69">
        <w:rPr>
          <w:rFonts w:cstheme="minorHAnsi"/>
          <w:color w:val="000000"/>
          <w:sz w:val="24"/>
          <w:szCs w:val="24"/>
        </w:rPr>
        <w:t xml:space="preserve">Translated by Hugh G. Evelyn-White. </w:t>
      </w:r>
      <w:r w:rsidR="00B6184B">
        <w:rPr>
          <w:rFonts w:cstheme="minorHAnsi"/>
          <w:color w:val="000000"/>
          <w:sz w:val="24"/>
          <w:szCs w:val="24"/>
        </w:rPr>
        <w:t xml:space="preserve">(1914).  </w:t>
      </w:r>
      <w:r w:rsidRPr="00222C69">
        <w:rPr>
          <w:rFonts w:cstheme="minorHAnsi"/>
          <w:color w:val="000000"/>
          <w:sz w:val="24"/>
          <w:szCs w:val="24"/>
        </w:rPr>
        <w:t xml:space="preserve">Harvard University Press; London, William Heinemann Ltd. Available at: </w:t>
      </w:r>
      <w:hyperlink r:id="rId6" w:history="1">
        <w:r w:rsidRPr="00222C69">
          <w:rPr>
            <w:rStyle w:val="Hyperlink"/>
            <w:sz w:val="24"/>
            <w:szCs w:val="24"/>
          </w:rPr>
          <w:t>https://www.perseus.tufts.edu/hopper/text?doc=Perseus%3atext%3a1999.01.0137%3ahymn%3d2</w:t>
        </w:r>
      </w:hyperlink>
      <w:r w:rsidRPr="00222C69">
        <w:rPr>
          <w:sz w:val="24"/>
          <w:szCs w:val="24"/>
        </w:rPr>
        <w:t>.  (Accessed 23 Sep</w:t>
      </w:r>
      <w:r w:rsidR="00276586">
        <w:rPr>
          <w:sz w:val="24"/>
          <w:szCs w:val="24"/>
        </w:rPr>
        <w:t>.</w:t>
      </w:r>
      <w:r w:rsidRPr="00222C69">
        <w:rPr>
          <w:sz w:val="24"/>
          <w:szCs w:val="24"/>
        </w:rPr>
        <w:t xml:space="preserve"> 2022).</w:t>
      </w:r>
    </w:p>
    <w:p w14:paraId="6509B55C" w14:textId="407F6490" w:rsidR="00222C69" w:rsidRDefault="00222C69" w:rsidP="00222C69">
      <w:pPr>
        <w:spacing w:after="0" w:line="240" w:lineRule="auto"/>
      </w:pPr>
    </w:p>
    <w:p w14:paraId="5CF6640A" w14:textId="49DA0A69" w:rsidR="00222C69" w:rsidRDefault="00000000" w:rsidP="00222C69">
      <w:pPr>
        <w:spacing w:after="0" w:line="240" w:lineRule="auto"/>
        <w:rPr>
          <w:sz w:val="24"/>
          <w:szCs w:val="24"/>
        </w:rPr>
      </w:pPr>
      <w:r>
        <w:rPr>
          <w:sz w:val="24"/>
          <w:szCs w:val="24"/>
          <w:shd w:val="clear" w:color="auto" w:fill="FFFFFF"/>
        </w:rPr>
        <w:t xml:space="preserve">Anonymous.  </w:t>
      </w:r>
      <w:r w:rsidRPr="008903CD">
        <w:rPr>
          <w:i/>
          <w:iCs/>
          <w:sz w:val="24"/>
          <w:szCs w:val="24"/>
          <w:shd w:val="clear" w:color="auto" w:fill="FFFFFF"/>
        </w:rPr>
        <w:t>Homeric Hymn to Demeter</w:t>
      </w:r>
      <w:r>
        <w:rPr>
          <w:sz w:val="24"/>
          <w:szCs w:val="24"/>
          <w:shd w:val="clear" w:color="auto" w:fill="FFFFFF"/>
        </w:rPr>
        <w:t xml:space="preserve">. </w:t>
      </w:r>
      <w:r w:rsidRPr="002306C2">
        <w:rPr>
          <w:sz w:val="24"/>
          <w:szCs w:val="24"/>
          <w:shd w:val="clear" w:color="auto" w:fill="FFFFFF"/>
        </w:rPr>
        <w:t xml:space="preserve"> </w:t>
      </w:r>
      <w:r>
        <w:rPr>
          <w:sz w:val="24"/>
          <w:szCs w:val="24"/>
          <w:shd w:val="clear" w:color="auto" w:fill="FFFFFF"/>
        </w:rPr>
        <w:t>T</w:t>
      </w:r>
      <w:r w:rsidRPr="002306C2">
        <w:rPr>
          <w:sz w:val="24"/>
          <w:szCs w:val="24"/>
          <w:shd w:val="clear" w:color="auto" w:fill="FFFFFF"/>
        </w:rPr>
        <w:t>ransla</w:t>
      </w:r>
      <w:r>
        <w:rPr>
          <w:sz w:val="24"/>
          <w:szCs w:val="24"/>
          <w:shd w:val="clear" w:color="auto" w:fill="FFFFFF"/>
        </w:rPr>
        <w:t>ted by</w:t>
      </w:r>
      <w:r w:rsidRPr="002306C2">
        <w:rPr>
          <w:sz w:val="24"/>
          <w:szCs w:val="24"/>
          <w:shd w:val="clear" w:color="auto" w:fill="FFFFFF"/>
        </w:rPr>
        <w:t xml:space="preserve"> Nagy</w:t>
      </w:r>
      <w:r>
        <w:rPr>
          <w:sz w:val="24"/>
          <w:szCs w:val="24"/>
          <w:shd w:val="clear" w:color="auto" w:fill="FFFFFF"/>
        </w:rPr>
        <w:t xml:space="preserve">, G.  </w:t>
      </w:r>
      <w:r w:rsidR="00B6184B">
        <w:rPr>
          <w:sz w:val="24"/>
          <w:szCs w:val="24"/>
          <w:shd w:val="clear" w:color="auto" w:fill="FFFFFF"/>
        </w:rPr>
        <w:t xml:space="preserve">(2018). </w:t>
      </w:r>
      <w:r>
        <w:rPr>
          <w:sz w:val="24"/>
          <w:szCs w:val="24"/>
          <w:shd w:val="clear" w:color="auto" w:fill="FFFFFF"/>
        </w:rPr>
        <w:t xml:space="preserve"> Available at:</w:t>
      </w:r>
      <w:r w:rsidRPr="002306C2">
        <w:rPr>
          <w:sz w:val="24"/>
          <w:szCs w:val="24"/>
        </w:rPr>
        <w:t xml:space="preserve"> </w:t>
      </w:r>
      <w:hyperlink r:id="rId7" w:history="1">
        <w:r>
          <w:rPr>
            <w:rStyle w:val="Hyperlink"/>
            <w:sz w:val="24"/>
            <w:szCs w:val="24"/>
          </w:rPr>
          <w:t>https://chs.harvard.edu/primary-source/homeric-hymn-to-demeter-sb/</w:t>
        </w:r>
      </w:hyperlink>
      <w:r>
        <w:rPr>
          <w:sz w:val="24"/>
          <w:szCs w:val="24"/>
        </w:rPr>
        <w:t>.  (Accessed 20 Sep. 2022).</w:t>
      </w:r>
    </w:p>
    <w:p w14:paraId="35D50E0C" w14:textId="77777777" w:rsidR="00E43257" w:rsidRPr="008E7C0C" w:rsidRDefault="00E43257" w:rsidP="00261614">
      <w:pPr>
        <w:spacing w:after="0"/>
        <w:rPr>
          <w:b/>
          <w:sz w:val="24"/>
          <w:szCs w:val="24"/>
          <w:u w:val="single"/>
        </w:rPr>
      </w:pPr>
    </w:p>
    <w:p w14:paraId="679852B4" w14:textId="2F16F2CA" w:rsidR="00261614" w:rsidRDefault="00000000" w:rsidP="002E6407">
      <w:pPr>
        <w:spacing w:after="0" w:line="240" w:lineRule="auto"/>
        <w:rPr>
          <w:rFonts w:eastAsia="Times New Roman" w:cstheme="minorHAnsi"/>
          <w:sz w:val="24"/>
          <w:szCs w:val="24"/>
          <w:lang w:eastAsia="en-GB"/>
        </w:rPr>
      </w:pPr>
      <w:r w:rsidRPr="00261614">
        <w:rPr>
          <w:rFonts w:eastAsia="Times New Roman" w:cstheme="minorHAnsi"/>
          <w:sz w:val="24"/>
          <w:szCs w:val="24"/>
          <w:lang w:eastAsia="en-GB"/>
        </w:rPr>
        <w:t>Alderink, L</w:t>
      </w:r>
      <w:r>
        <w:rPr>
          <w:rFonts w:eastAsia="Times New Roman" w:cstheme="minorHAnsi"/>
          <w:sz w:val="24"/>
          <w:szCs w:val="24"/>
          <w:lang w:eastAsia="en-GB"/>
        </w:rPr>
        <w:t>.</w:t>
      </w:r>
      <w:r w:rsidRPr="00261614">
        <w:rPr>
          <w:rFonts w:eastAsia="Times New Roman" w:cstheme="minorHAnsi"/>
          <w:sz w:val="24"/>
          <w:szCs w:val="24"/>
          <w:lang w:eastAsia="en-GB"/>
        </w:rPr>
        <w:t xml:space="preserve"> J. </w:t>
      </w:r>
      <w:r>
        <w:rPr>
          <w:rFonts w:eastAsia="Times New Roman" w:cstheme="minorHAnsi"/>
          <w:sz w:val="24"/>
          <w:szCs w:val="24"/>
          <w:lang w:eastAsia="en-GB"/>
        </w:rPr>
        <w:t xml:space="preserve">(1982).  </w:t>
      </w:r>
      <w:r w:rsidRPr="00261614">
        <w:rPr>
          <w:rFonts w:eastAsia="Times New Roman" w:cstheme="minorHAnsi"/>
          <w:sz w:val="24"/>
          <w:szCs w:val="24"/>
          <w:lang w:eastAsia="en-GB"/>
        </w:rPr>
        <w:t xml:space="preserve">Mythical and Cosmological Structure in the Homeric Hymn to Demeter.” </w:t>
      </w:r>
      <w:r w:rsidRPr="00261614">
        <w:rPr>
          <w:rFonts w:eastAsia="Times New Roman" w:cstheme="minorHAnsi"/>
          <w:i/>
          <w:iCs/>
          <w:sz w:val="24"/>
          <w:szCs w:val="24"/>
          <w:lang w:eastAsia="en-GB"/>
        </w:rPr>
        <w:t>Numen</w:t>
      </w:r>
      <w:r w:rsidRPr="00261614">
        <w:rPr>
          <w:rFonts w:eastAsia="Times New Roman" w:cstheme="minorHAnsi"/>
          <w:sz w:val="24"/>
          <w:szCs w:val="24"/>
          <w:lang w:eastAsia="en-GB"/>
        </w:rPr>
        <w:t xml:space="preserve">, vol. 29, no. 1, 1982, pp. 1–16. </w:t>
      </w:r>
      <w:r>
        <w:rPr>
          <w:rFonts w:eastAsia="Times New Roman" w:cstheme="minorHAnsi"/>
          <w:sz w:val="24"/>
          <w:szCs w:val="24"/>
          <w:lang w:eastAsia="en-GB"/>
        </w:rPr>
        <w:t xml:space="preserve">Available at: </w:t>
      </w:r>
      <w:r w:rsidRPr="00261614">
        <w:rPr>
          <w:rFonts w:eastAsia="Times New Roman" w:cstheme="minorHAnsi"/>
          <w:i/>
          <w:iCs/>
          <w:sz w:val="24"/>
          <w:szCs w:val="24"/>
          <w:lang w:eastAsia="en-GB"/>
        </w:rPr>
        <w:t>JSTOR</w:t>
      </w:r>
      <w:r w:rsidRPr="00261614">
        <w:rPr>
          <w:rFonts w:eastAsia="Times New Roman" w:cstheme="minorHAnsi"/>
          <w:sz w:val="24"/>
          <w:szCs w:val="24"/>
          <w:lang w:eastAsia="en-GB"/>
        </w:rPr>
        <w:t xml:space="preserve">, https://doi.org/10.2307/3269929. </w:t>
      </w:r>
      <w:r>
        <w:rPr>
          <w:rFonts w:eastAsia="Times New Roman" w:cstheme="minorHAnsi"/>
          <w:sz w:val="24"/>
          <w:szCs w:val="24"/>
          <w:lang w:eastAsia="en-GB"/>
        </w:rPr>
        <w:t>(</w:t>
      </w:r>
      <w:r w:rsidRPr="00261614">
        <w:rPr>
          <w:rFonts w:eastAsia="Times New Roman" w:cstheme="minorHAnsi"/>
          <w:sz w:val="24"/>
          <w:szCs w:val="24"/>
          <w:lang w:eastAsia="en-GB"/>
        </w:rPr>
        <w:t>Accessed 2</w:t>
      </w:r>
      <w:r w:rsidR="00E43257">
        <w:rPr>
          <w:rFonts w:eastAsia="Times New Roman" w:cstheme="minorHAnsi"/>
          <w:sz w:val="24"/>
          <w:szCs w:val="24"/>
          <w:lang w:eastAsia="en-GB"/>
        </w:rPr>
        <w:t>4</w:t>
      </w:r>
      <w:r w:rsidRPr="00261614">
        <w:rPr>
          <w:rFonts w:eastAsia="Times New Roman" w:cstheme="minorHAnsi"/>
          <w:sz w:val="24"/>
          <w:szCs w:val="24"/>
          <w:lang w:eastAsia="en-GB"/>
        </w:rPr>
        <w:t xml:space="preserve"> Sep. 2022</w:t>
      </w:r>
      <w:r>
        <w:rPr>
          <w:rFonts w:eastAsia="Times New Roman" w:cstheme="minorHAnsi"/>
          <w:sz w:val="24"/>
          <w:szCs w:val="24"/>
          <w:lang w:eastAsia="en-GB"/>
        </w:rPr>
        <w:t>)</w:t>
      </w:r>
      <w:r w:rsidRPr="00261614">
        <w:rPr>
          <w:rFonts w:eastAsia="Times New Roman" w:cstheme="minorHAnsi"/>
          <w:sz w:val="24"/>
          <w:szCs w:val="24"/>
          <w:lang w:eastAsia="en-GB"/>
        </w:rPr>
        <w:t>.</w:t>
      </w:r>
    </w:p>
    <w:p w14:paraId="1E6CF54B" w14:textId="550B03C7" w:rsidR="00E43257" w:rsidRDefault="00E43257" w:rsidP="002E6407">
      <w:pPr>
        <w:spacing w:after="0" w:line="240" w:lineRule="auto"/>
        <w:rPr>
          <w:rFonts w:eastAsia="Times New Roman" w:cstheme="minorHAnsi"/>
          <w:sz w:val="24"/>
          <w:szCs w:val="24"/>
          <w:lang w:eastAsia="en-GB"/>
        </w:rPr>
      </w:pPr>
    </w:p>
    <w:p w14:paraId="229CD8B7" w14:textId="0F07759A" w:rsidR="00E43257" w:rsidRPr="00261614" w:rsidRDefault="00000000" w:rsidP="002E6407">
      <w:pPr>
        <w:spacing w:after="0" w:line="240" w:lineRule="auto"/>
        <w:rPr>
          <w:rFonts w:cstheme="minorHAnsi"/>
          <w:color w:val="000000"/>
          <w:sz w:val="24"/>
          <w:szCs w:val="24"/>
        </w:rPr>
      </w:pPr>
      <w:r w:rsidRPr="00276586">
        <w:rPr>
          <w:rFonts w:cstheme="minorHAnsi"/>
          <w:color w:val="000000"/>
          <w:sz w:val="24"/>
          <w:szCs w:val="24"/>
        </w:rPr>
        <w:t xml:space="preserve">Allen, T. W. &amp; E. E. Sikes, E. E. (1904). </w:t>
      </w:r>
      <w:r w:rsidRPr="00FB1DC1">
        <w:rPr>
          <w:rFonts w:cstheme="minorHAnsi"/>
          <w:i/>
          <w:iCs/>
          <w:color w:val="000000"/>
          <w:sz w:val="24"/>
          <w:szCs w:val="24"/>
        </w:rPr>
        <w:t>The Homeric Hymns</w:t>
      </w:r>
      <w:r>
        <w:rPr>
          <w:rFonts w:cstheme="minorHAnsi"/>
          <w:i/>
          <w:iCs/>
          <w:color w:val="000000"/>
          <w:sz w:val="24"/>
          <w:szCs w:val="24"/>
        </w:rPr>
        <w:t xml:space="preserve">. </w:t>
      </w:r>
      <w:r w:rsidRPr="00EB6B89">
        <w:rPr>
          <w:rFonts w:cstheme="minorHAnsi"/>
          <w:color w:val="000000"/>
          <w:sz w:val="24"/>
          <w:szCs w:val="24"/>
        </w:rPr>
        <w:t xml:space="preserve"> Macmillan</w:t>
      </w:r>
      <w:r>
        <w:rPr>
          <w:rFonts w:cstheme="minorHAnsi"/>
          <w:color w:val="000000"/>
          <w:sz w:val="24"/>
          <w:szCs w:val="24"/>
        </w:rPr>
        <w:t>, London, New York.</w:t>
      </w:r>
    </w:p>
    <w:p w14:paraId="777D5D5E" w14:textId="2744B829" w:rsidR="00C17C87" w:rsidRDefault="00C17C87" w:rsidP="002E6407">
      <w:pPr>
        <w:spacing w:after="0" w:line="240" w:lineRule="auto"/>
        <w:rPr>
          <w:sz w:val="24"/>
          <w:szCs w:val="24"/>
        </w:rPr>
      </w:pPr>
    </w:p>
    <w:p w14:paraId="4B575545" w14:textId="140E15A9" w:rsidR="00E43257" w:rsidRPr="00E43257" w:rsidRDefault="00000000" w:rsidP="002E6407">
      <w:pPr>
        <w:spacing w:after="0" w:line="240" w:lineRule="auto"/>
        <w:rPr>
          <w:rFonts w:ascii="Times New Roman" w:eastAsia="Times New Roman" w:hAnsi="Times New Roman" w:cs="Times New Roman"/>
          <w:sz w:val="24"/>
          <w:szCs w:val="24"/>
          <w:lang w:eastAsia="en-GB"/>
        </w:rPr>
      </w:pPr>
      <w:r w:rsidRPr="00E43257">
        <w:rPr>
          <w:rFonts w:eastAsia="Times New Roman" w:cstheme="minorHAnsi"/>
          <w:sz w:val="24"/>
          <w:szCs w:val="24"/>
          <w:lang w:eastAsia="en-GB"/>
        </w:rPr>
        <w:t xml:space="preserve">Beck, D. </w:t>
      </w:r>
      <w:r>
        <w:rPr>
          <w:rFonts w:eastAsia="Times New Roman" w:cstheme="minorHAnsi"/>
          <w:sz w:val="24"/>
          <w:szCs w:val="24"/>
          <w:lang w:eastAsia="en-GB"/>
        </w:rPr>
        <w:t xml:space="preserve">(1974).  </w:t>
      </w:r>
      <w:r w:rsidRPr="00E43257">
        <w:rPr>
          <w:rFonts w:eastAsia="Times New Roman" w:cstheme="minorHAnsi"/>
          <w:sz w:val="24"/>
          <w:szCs w:val="24"/>
          <w:lang w:eastAsia="en-GB"/>
        </w:rPr>
        <w:t xml:space="preserve">Direct and Indirect Speech in the Homeric ‘Hymn to Demeter.’” </w:t>
      </w:r>
      <w:r w:rsidRPr="00E43257">
        <w:rPr>
          <w:rFonts w:eastAsia="Times New Roman" w:cstheme="minorHAnsi"/>
          <w:i/>
          <w:iCs/>
          <w:sz w:val="24"/>
          <w:szCs w:val="24"/>
          <w:lang w:eastAsia="en-GB"/>
        </w:rPr>
        <w:t>Transactions of the American Philological Association</w:t>
      </w:r>
      <w:r w:rsidRPr="00E43257">
        <w:rPr>
          <w:rFonts w:eastAsia="Times New Roman" w:cstheme="minorHAnsi"/>
          <w:sz w:val="24"/>
          <w:szCs w:val="24"/>
          <w:lang w:eastAsia="en-GB"/>
        </w:rPr>
        <w:t xml:space="preserve">, vol. 131, 2001, pp. 53–74. </w:t>
      </w:r>
      <w:r>
        <w:rPr>
          <w:rFonts w:eastAsia="Times New Roman" w:cstheme="minorHAnsi"/>
          <w:sz w:val="24"/>
          <w:szCs w:val="24"/>
          <w:lang w:eastAsia="en-GB"/>
        </w:rPr>
        <w:t xml:space="preserve"> Available at:</w:t>
      </w:r>
      <w:r w:rsidRPr="00E43257">
        <w:rPr>
          <w:rFonts w:eastAsia="Times New Roman" w:cstheme="minorHAnsi"/>
          <w:sz w:val="24"/>
          <w:szCs w:val="24"/>
          <w:lang w:eastAsia="en-GB"/>
        </w:rPr>
        <w:t xml:space="preserve"> http://www.jstor.org/stable/20140963.  </w:t>
      </w:r>
      <w:r>
        <w:rPr>
          <w:rFonts w:eastAsia="Times New Roman" w:cstheme="minorHAnsi"/>
          <w:sz w:val="24"/>
          <w:szCs w:val="24"/>
          <w:lang w:eastAsia="en-GB"/>
        </w:rPr>
        <w:t>(</w:t>
      </w:r>
      <w:r w:rsidRPr="00E43257">
        <w:rPr>
          <w:rFonts w:eastAsia="Times New Roman" w:cstheme="minorHAnsi"/>
          <w:sz w:val="24"/>
          <w:szCs w:val="24"/>
          <w:lang w:eastAsia="en-GB"/>
        </w:rPr>
        <w:t>Accessed 2</w:t>
      </w:r>
      <w:r>
        <w:rPr>
          <w:rFonts w:eastAsia="Times New Roman" w:cstheme="minorHAnsi"/>
          <w:sz w:val="24"/>
          <w:szCs w:val="24"/>
          <w:lang w:eastAsia="en-GB"/>
        </w:rPr>
        <w:t>5</w:t>
      </w:r>
      <w:r w:rsidRPr="00E43257">
        <w:rPr>
          <w:rFonts w:eastAsia="Times New Roman" w:cstheme="minorHAnsi"/>
          <w:sz w:val="24"/>
          <w:szCs w:val="24"/>
          <w:lang w:eastAsia="en-GB"/>
        </w:rPr>
        <w:t xml:space="preserve"> Sep. 2022</w:t>
      </w:r>
      <w:r>
        <w:rPr>
          <w:rFonts w:eastAsia="Times New Roman" w:cstheme="minorHAnsi"/>
          <w:sz w:val="24"/>
          <w:szCs w:val="24"/>
          <w:lang w:eastAsia="en-GB"/>
        </w:rPr>
        <w:t>)</w:t>
      </w:r>
      <w:r w:rsidRPr="00E43257">
        <w:rPr>
          <w:rFonts w:ascii="Times New Roman" w:eastAsia="Times New Roman" w:hAnsi="Times New Roman" w:cs="Times New Roman"/>
          <w:sz w:val="24"/>
          <w:szCs w:val="24"/>
          <w:lang w:eastAsia="en-GB"/>
        </w:rPr>
        <w:t>.</w:t>
      </w:r>
    </w:p>
    <w:p w14:paraId="270CA04B" w14:textId="77777777" w:rsidR="00E43257" w:rsidRDefault="00E43257" w:rsidP="002E6407">
      <w:pPr>
        <w:spacing w:after="0" w:line="240" w:lineRule="auto"/>
        <w:rPr>
          <w:sz w:val="24"/>
          <w:szCs w:val="24"/>
        </w:rPr>
      </w:pPr>
    </w:p>
    <w:p w14:paraId="3A779B03" w14:textId="76CEA41D" w:rsidR="00C17C87" w:rsidRDefault="00000000" w:rsidP="002E6407">
      <w:pPr>
        <w:spacing w:after="0" w:line="240" w:lineRule="auto"/>
        <w:rPr>
          <w:sz w:val="24"/>
          <w:szCs w:val="24"/>
        </w:rPr>
      </w:pPr>
      <w:r w:rsidRPr="00F0505B">
        <w:rPr>
          <w:sz w:val="24"/>
          <w:szCs w:val="24"/>
        </w:rPr>
        <w:t xml:space="preserve">Clay, J. </w:t>
      </w:r>
      <w:r>
        <w:rPr>
          <w:sz w:val="24"/>
          <w:szCs w:val="24"/>
        </w:rPr>
        <w:t xml:space="preserve">(1982). </w:t>
      </w:r>
      <w:r w:rsidRPr="00CF3A70">
        <w:rPr>
          <w:i/>
          <w:iCs/>
          <w:sz w:val="24"/>
          <w:szCs w:val="24"/>
        </w:rPr>
        <w:t xml:space="preserve"> The Politics of Olympus.  Form and Meaning in the Major Homeric Hymns</w:t>
      </w:r>
      <w:r w:rsidR="00CF3A70">
        <w:rPr>
          <w:sz w:val="24"/>
          <w:szCs w:val="24"/>
        </w:rPr>
        <w:t xml:space="preserve">.  </w:t>
      </w:r>
      <w:r w:rsidRPr="00F0505B">
        <w:rPr>
          <w:sz w:val="24"/>
          <w:szCs w:val="24"/>
        </w:rPr>
        <w:t>Princeton</w:t>
      </w:r>
      <w:r>
        <w:rPr>
          <w:sz w:val="24"/>
          <w:szCs w:val="24"/>
        </w:rPr>
        <w:t xml:space="preserve">. </w:t>
      </w:r>
    </w:p>
    <w:p w14:paraId="707ADEB9" w14:textId="34BF5884" w:rsidR="002D346E" w:rsidRDefault="002D346E" w:rsidP="002E6407">
      <w:pPr>
        <w:spacing w:after="0" w:line="240" w:lineRule="auto"/>
        <w:rPr>
          <w:sz w:val="24"/>
          <w:szCs w:val="24"/>
        </w:rPr>
      </w:pPr>
    </w:p>
    <w:p w14:paraId="2BB39CCA" w14:textId="0C99F890" w:rsidR="002D346E" w:rsidRDefault="00000000" w:rsidP="002D346E">
      <w:pPr>
        <w:spacing w:after="0" w:line="240" w:lineRule="auto"/>
        <w:rPr>
          <w:rFonts w:cstheme="minorHAnsi"/>
          <w:sz w:val="24"/>
          <w:szCs w:val="24"/>
        </w:rPr>
      </w:pPr>
      <w:r w:rsidRPr="00EB6B89">
        <w:rPr>
          <w:rFonts w:cstheme="minorHAnsi"/>
          <w:sz w:val="24"/>
          <w:szCs w:val="24"/>
        </w:rPr>
        <w:t xml:space="preserve">Foley, H. (1994).  </w:t>
      </w:r>
      <w:r w:rsidRPr="00EB6B89">
        <w:rPr>
          <w:rFonts w:cstheme="minorHAnsi"/>
          <w:i/>
          <w:iCs/>
          <w:sz w:val="24"/>
          <w:szCs w:val="24"/>
        </w:rPr>
        <w:t>The Homeric Hymn to Demeter: translation, commentary and interpretative essays.</w:t>
      </w:r>
      <w:r w:rsidRPr="00EB6B89">
        <w:rPr>
          <w:rFonts w:cstheme="minorHAnsi"/>
          <w:sz w:val="24"/>
          <w:szCs w:val="24"/>
        </w:rPr>
        <w:t xml:space="preserve">  Princeton</w:t>
      </w:r>
    </w:p>
    <w:p w14:paraId="09E1602B" w14:textId="2632F969" w:rsidR="00EB2719" w:rsidRDefault="00EB2719" w:rsidP="002D346E">
      <w:pPr>
        <w:spacing w:after="0" w:line="240" w:lineRule="auto"/>
        <w:rPr>
          <w:rFonts w:cstheme="minorHAnsi"/>
          <w:sz w:val="24"/>
          <w:szCs w:val="24"/>
        </w:rPr>
      </w:pPr>
    </w:p>
    <w:p w14:paraId="6A46160C" w14:textId="1513FF29" w:rsidR="002D346E" w:rsidRDefault="00EB2719" w:rsidP="00EB2719">
      <w:pPr>
        <w:spacing w:after="0" w:line="240" w:lineRule="auto"/>
        <w:rPr>
          <w:rFonts w:cstheme="minorHAnsi"/>
          <w:sz w:val="24"/>
          <w:szCs w:val="24"/>
        </w:rPr>
      </w:pPr>
      <w:proofErr w:type="spellStart"/>
      <w:r>
        <w:rPr>
          <w:rFonts w:cstheme="minorHAnsi"/>
          <w:sz w:val="24"/>
          <w:szCs w:val="24"/>
        </w:rPr>
        <w:t>Hyperides</w:t>
      </w:r>
      <w:proofErr w:type="spellEnd"/>
      <w:r>
        <w:rPr>
          <w:rFonts w:cstheme="minorHAnsi"/>
          <w:sz w:val="24"/>
          <w:szCs w:val="24"/>
        </w:rPr>
        <w:t xml:space="preserve">.  </w:t>
      </w:r>
      <w:r w:rsidRPr="00EB2719">
        <w:rPr>
          <w:rFonts w:cstheme="minorHAnsi"/>
          <w:i/>
          <w:iCs/>
          <w:sz w:val="24"/>
          <w:szCs w:val="24"/>
        </w:rPr>
        <w:t>Fragments, D: Fragments of Uncertain Origin</w:t>
      </w:r>
      <w:r>
        <w:rPr>
          <w:rFonts w:cstheme="minorHAnsi"/>
          <w:sz w:val="24"/>
          <w:szCs w:val="24"/>
        </w:rPr>
        <w:t xml:space="preserve">.  Available at: </w:t>
      </w:r>
      <w:hyperlink r:id="rId8" w:history="1">
        <w:r>
          <w:rPr>
            <w:color w:val="0000FF"/>
            <w:u w:val="single"/>
          </w:rPr>
          <w:t>https://www-loebclassics-com.ezproxy.uwtsd.ac.uk/view/hyperides-fragments/1954/pb_LCL395.601.xml?result=1&amp;rskey=hRAPCY</w:t>
        </w:r>
      </w:hyperlink>
      <w:r>
        <w:t>.  (Accessed 24 Sep. 2022).</w:t>
      </w:r>
    </w:p>
    <w:p w14:paraId="6E357A9C" w14:textId="77777777" w:rsidR="00EB2719" w:rsidRPr="00EB2719" w:rsidRDefault="00EB2719" w:rsidP="00EB2719">
      <w:pPr>
        <w:spacing w:after="0" w:line="240" w:lineRule="auto"/>
        <w:rPr>
          <w:rFonts w:cstheme="minorHAnsi"/>
          <w:sz w:val="24"/>
          <w:szCs w:val="24"/>
        </w:rPr>
      </w:pPr>
    </w:p>
    <w:p w14:paraId="7A0E0141" w14:textId="66A7A3D0" w:rsidR="002D346E" w:rsidRPr="002D346E" w:rsidRDefault="00000000" w:rsidP="002D346E">
      <w:pPr>
        <w:spacing w:after="0" w:line="240" w:lineRule="auto"/>
        <w:rPr>
          <w:rFonts w:cstheme="minorHAnsi"/>
          <w:sz w:val="24"/>
          <w:szCs w:val="24"/>
        </w:rPr>
      </w:pPr>
      <w:proofErr w:type="spellStart"/>
      <w:r w:rsidRPr="00EB6B89">
        <w:rPr>
          <w:rFonts w:cstheme="minorHAnsi"/>
          <w:sz w:val="24"/>
          <w:szCs w:val="24"/>
        </w:rPr>
        <w:t>Moreford</w:t>
      </w:r>
      <w:proofErr w:type="spellEnd"/>
      <w:r w:rsidRPr="00EB6B89">
        <w:rPr>
          <w:rFonts w:cstheme="minorHAnsi"/>
          <w:sz w:val="24"/>
          <w:szCs w:val="24"/>
        </w:rPr>
        <w:t>, M. Lenardon, R. &amp; Sahm, M.  ()  Classical Mythology.  (9</w:t>
      </w:r>
      <w:r w:rsidRPr="00EB6B89">
        <w:rPr>
          <w:rFonts w:cstheme="minorHAnsi"/>
          <w:sz w:val="24"/>
          <w:szCs w:val="24"/>
          <w:vertAlign w:val="superscript"/>
        </w:rPr>
        <w:t>th</w:t>
      </w:r>
      <w:r w:rsidRPr="00EB6B89">
        <w:rPr>
          <w:rFonts w:cstheme="minorHAnsi"/>
          <w:sz w:val="24"/>
          <w:szCs w:val="24"/>
        </w:rPr>
        <w:t xml:space="preserve"> Ed).  Oxford University Press</w:t>
      </w:r>
      <w:r>
        <w:rPr>
          <w:rFonts w:cstheme="minorHAnsi"/>
          <w:sz w:val="24"/>
          <w:szCs w:val="24"/>
        </w:rPr>
        <w:t xml:space="preserve">.  Available at: </w:t>
      </w:r>
      <w:hyperlink r:id="rId9" w:history="1">
        <w:r w:rsidR="001306C2">
          <w:rPr>
            <w:rStyle w:val="Hyperlink"/>
            <w:rFonts w:cstheme="minorHAnsi"/>
            <w:sz w:val="24"/>
            <w:szCs w:val="24"/>
          </w:rPr>
          <w:t>https://global.oup.com/us/companion.websites/9780195397703/student/materials/chapter14/commentary/</w:t>
        </w:r>
      </w:hyperlink>
      <w:r w:rsidRPr="00EB6B89">
        <w:rPr>
          <w:rFonts w:cstheme="minorHAnsi"/>
          <w:sz w:val="24"/>
          <w:szCs w:val="24"/>
        </w:rPr>
        <w:t xml:space="preserve">  </w:t>
      </w:r>
      <w:r>
        <w:rPr>
          <w:rFonts w:cstheme="minorHAnsi"/>
          <w:sz w:val="24"/>
          <w:szCs w:val="24"/>
        </w:rPr>
        <w:t xml:space="preserve">(Accessed </w:t>
      </w:r>
      <w:r w:rsidRPr="00EB6B89">
        <w:rPr>
          <w:rFonts w:cstheme="minorHAnsi"/>
          <w:sz w:val="24"/>
          <w:szCs w:val="24"/>
        </w:rPr>
        <w:t>2</w:t>
      </w:r>
      <w:r>
        <w:rPr>
          <w:rFonts w:cstheme="minorHAnsi"/>
          <w:sz w:val="24"/>
          <w:szCs w:val="24"/>
        </w:rPr>
        <w:t>2</w:t>
      </w:r>
      <w:r>
        <w:rPr>
          <w:rFonts w:cstheme="minorHAnsi"/>
          <w:sz w:val="24"/>
          <w:szCs w:val="24"/>
          <w:vertAlign w:val="superscript"/>
        </w:rPr>
        <w:t xml:space="preserve"> </w:t>
      </w:r>
      <w:r w:rsidRPr="00EB6B89">
        <w:rPr>
          <w:rFonts w:cstheme="minorHAnsi"/>
          <w:sz w:val="24"/>
          <w:szCs w:val="24"/>
        </w:rPr>
        <w:t>Sep</w:t>
      </w:r>
      <w:r>
        <w:rPr>
          <w:rFonts w:cstheme="minorHAnsi"/>
          <w:sz w:val="24"/>
          <w:szCs w:val="24"/>
        </w:rPr>
        <w:t>.</w:t>
      </w:r>
      <w:r w:rsidRPr="00EB6B89">
        <w:rPr>
          <w:rFonts w:cstheme="minorHAnsi"/>
          <w:sz w:val="24"/>
          <w:szCs w:val="24"/>
        </w:rPr>
        <w:t xml:space="preserve"> 2022</w:t>
      </w:r>
      <w:r>
        <w:rPr>
          <w:rFonts w:cstheme="minorHAnsi"/>
          <w:sz w:val="24"/>
          <w:szCs w:val="24"/>
        </w:rPr>
        <w:t>).</w:t>
      </w:r>
    </w:p>
    <w:p w14:paraId="1E31DD93" w14:textId="77777777" w:rsidR="002D346E" w:rsidRDefault="002D346E" w:rsidP="002E6407">
      <w:pPr>
        <w:spacing w:after="0" w:line="240" w:lineRule="auto"/>
        <w:rPr>
          <w:sz w:val="24"/>
          <w:szCs w:val="24"/>
        </w:rPr>
      </w:pPr>
    </w:p>
    <w:p w14:paraId="3B3DC5EA" w14:textId="761A05C0" w:rsidR="002D346E" w:rsidRPr="002D346E" w:rsidRDefault="00000000" w:rsidP="002D346E">
      <w:pPr>
        <w:spacing w:after="0" w:line="240" w:lineRule="auto"/>
        <w:rPr>
          <w:rFonts w:cstheme="minorHAnsi"/>
          <w:color w:val="000000"/>
          <w:sz w:val="24"/>
          <w:szCs w:val="24"/>
          <w:shd w:val="clear" w:color="auto" w:fill="FFFFFF"/>
        </w:rPr>
      </w:pPr>
      <w:r w:rsidRPr="00EB6B89">
        <w:rPr>
          <w:rFonts w:cstheme="minorHAnsi"/>
          <w:color w:val="000000"/>
          <w:sz w:val="24"/>
          <w:szCs w:val="24"/>
          <w:shd w:val="clear" w:color="auto" w:fill="FFFFFF"/>
        </w:rPr>
        <w:t xml:space="preserve">Mylonas, G E. </w:t>
      </w:r>
      <w:r>
        <w:rPr>
          <w:rFonts w:cstheme="minorHAnsi"/>
          <w:color w:val="000000"/>
          <w:sz w:val="24"/>
          <w:szCs w:val="24"/>
          <w:shd w:val="clear" w:color="auto" w:fill="FFFFFF"/>
        </w:rPr>
        <w:t xml:space="preserve">(1961).  </w:t>
      </w:r>
      <w:r w:rsidRPr="007D7E4E">
        <w:rPr>
          <w:rFonts w:cstheme="minorHAnsi"/>
          <w:i/>
          <w:iCs/>
          <w:color w:val="000000"/>
          <w:sz w:val="24"/>
          <w:szCs w:val="24"/>
          <w:shd w:val="clear" w:color="auto" w:fill="FFFFFF"/>
        </w:rPr>
        <w:t>Eleusis and the Eleusinian Mysteries</w:t>
      </w:r>
      <w:r w:rsidRPr="00EB6B89">
        <w:rPr>
          <w:rFonts w:cstheme="minorHAnsi"/>
          <w:color w:val="000000"/>
          <w:sz w:val="24"/>
          <w:szCs w:val="24"/>
          <w:shd w:val="clear" w:color="auto" w:fill="FFFFFF"/>
        </w:rPr>
        <w:t>.  Princeton: Princeton University Press</w:t>
      </w:r>
      <w:r>
        <w:rPr>
          <w:rFonts w:cstheme="minorHAnsi"/>
          <w:color w:val="000000"/>
          <w:sz w:val="24"/>
          <w:szCs w:val="24"/>
          <w:shd w:val="clear" w:color="auto" w:fill="FFFFFF"/>
        </w:rPr>
        <w:t>.</w:t>
      </w:r>
    </w:p>
    <w:p w14:paraId="1812EFCE" w14:textId="29867F63" w:rsidR="002D346E" w:rsidRDefault="002D346E" w:rsidP="002E6407">
      <w:pPr>
        <w:spacing w:after="0" w:line="240" w:lineRule="auto"/>
        <w:rPr>
          <w:sz w:val="24"/>
          <w:szCs w:val="24"/>
        </w:rPr>
      </w:pPr>
    </w:p>
    <w:p w14:paraId="74AB3056" w14:textId="76157462" w:rsidR="009F6F4F" w:rsidRPr="00276586" w:rsidRDefault="00000000" w:rsidP="005F3662">
      <w:pPr>
        <w:spacing w:after="0" w:line="240" w:lineRule="auto"/>
        <w:rPr>
          <w:rFonts w:eastAsia="Times New Roman" w:cstheme="minorHAnsi"/>
          <w:sz w:val="24"/>
          <w:szCs w:val="24"/>
          <w:lang w:eastAsia="en-GB"/>
        </w:rPr>
      </w:pPr>
      <w:r w:rsidRPr="00E43257">
        <w:rPr>
          <w:rFonts w:eastAsia="Times New Roman" w:cstheme="minorHAnsi"/>
          <w:sz w:val="24"/>
          <w:szCs w:val="24"/>
          <w:lang w:eastAsia="en-GB"/>
        </w:rPr>
        <w:t xml:space="preserve">Nickel, R. </w:t>
      </w:r>
      <w:r>
        <w:rPr>
          <w:rFonts w:eastAsia="Times New Roman" w:cstheme="minorHAnsi"/>
          <w:sz w:val="24"/>
          <w:szCs w:val="24"/>
          <w:lang w:eastAsia="en-GB"/>
        </w:rPr>
        <w:t xml:space="preserve"> (2003).  </w:t>
      </w:r>
      <w:r w:rsidRPr="00E43257">
        <w:rPr>
          <w:rFonts w:eastAsia="Times New Roman" w:cstheme="minorHAnsi"/>
          <w:sz w:val="24"/>
          <w:szCs w:val="24"/>
          <w:lang w:eastAsia="en-GB"/>
        </w:rPr>
        <w:t xml:space="preserve">The Wrath of Demeter: Story Pattern in the ‘Hymn to Demeter.’” </w:t>
      </w:r>
      <w:r w:rsidRPr="00E43257">
        <w:rPr>
          <w:rFonts w:eastAsia="Times New Roman" w:cstheme="minorHAnsi"/>
          <w:i/>
          <w:iCs/>
          <w:sz w:val="24"/>
          <w:szCs w:val="24"/>
          <w:lang w:val="it-IT" w:eastAsia="en-GB"/>
        </w:rPr>
        <w:t>Quaderni Urbinati Di Cultura Classica</w:t>
      </w:r>
      <w:r w:rsidRPr="00E43257">
        <w:rPr>
          <w:rFonts w:eastAsia="Times New Roman" w:cstheme="minorHAnsi"/>
          <w:sz w:val="24"/>
          <w:szCs w:val="24"/>
          <w:lang w:val="it-IT" w:eastAsia="en-GB"/>
        </w:rPr>
        <w:t xml:space="preserve">, vol. 73, no. 1, 2003, pp. 59–82. </w:t>
      </w:r>
      <w:r w:rsidR="002E6407">
        <w:rPr>
          <w:rFonts w:eastAsia="Times New Roman" w:cstheme="minorHAnsi"/>
          <w:sz w:val="24"/>
          <w:szCs w:val="24"/>
          <w:lang w:val="it-IT" w:eastAsia="en-GB"/>
        </w:rPr>
        <w:t xml:space="preserve"> Available at: </w:t>
      </w:r>
      <w:r w:rsidRPr="00E43257">
        <w:rPr>
          <w:rFonts w:eastAsia="Times New Roman" w:cstheme="minorHAnsi"/>
          <w:i/>
          <w:iCs/>
          <w:sz w:val="24"/>
          <w:szCs w:val="24"/>
          <w:lang w:val="it-IT" w:eastAsia="en-GB"/>
        </w:rPr>
        <w:t>JSTOR</w:t>
      </w:r>
      <w:r w:rsidRPr="00E43257">
        <w:rPr>
          <w:rFonts w:eastAsia="Times New Roman" w:cstheme="minorHAnsi"/>
          <w:sz w:val="24"/>
          <w:szCs w:val="24"/>
          <w:lang w:val="it-IT" w:eastAsia="en-GB"/>
        </w:rPr>
        <w:t xml:space="preserve">, https://doi.org/10.2307/20546756. </w:t>
      </w:r>
      <w:r w:rsidR="002E6407">
        <w:rPr>
          <w:rFonts w:eastAsia="Times New Roman" w:cstheme="minorHAnsi"/>
          <w:sz w:val="24"/>
          <w:szCs w:val="24"/>
          <w:lang w:val="it-IT" w:eastAsia="en-GB"/>
        </w:rPr>
        <w:t xml:space="preserve"> </w:t>
      </w:r>
      <w:r w:rsidR="002E6407" w:rsidRPr="00276586">
        <w:rPr>
          <w:rFonts w:eastAsia="Times New Roman" w:cstheme="minorHAnsi"/>
          <w:sz w:val="24"/>
          <w:szCs w:val="24"/>
          <w:lang w:eastAsia="en-GB"/>
        </w:rPr>
        <w:t>(</w:t>
      </w:r>
      <w:r w:rsidRPr="00276586">
        <w:rPr>
          <w:rFonts w:eastAsia="Times New Roman" w:cstheme="minorHAnsi"/>
          <w:sz w:val="24"/>
          <w:szCs w:val="24"/>
          <w:lang w:eastAsia="en-GB"/>
        </w:rPr>
        <w:t>Accessed 2</w:t>
      </w:r>
      <w:r w:rsidR="002E6407" w:rsidRPr="00276586">
        <w:rPr>
          <w:rFonts w:eastAsia="Times New Roman" w:cstheme="minorHAnsi"/>
          <w:sz w:val="24"/>
          <w:szCs w:val="24"/>
          <w:lang w:eastAsia="en-GB"/>
        </w:rPr>
        <w:t>3</w:t>
      </w:r>
      <w:r w:rsidRPr="00276586">
        <w:rPr>
          <w:rFonts w:eastAsia="Times New Roman" w:cstheme="minorHAnsi"/>
          <w:sz w:val="24"/>
          <w:szCs w:val="24"/>
          <w:lang w:eastAsia="en-GB"/>
        </w:rPr>
        <w:t xml:space="preserve"> Sep. 2022</w:t>
      </w:r>
      <w:r w:rsidR="002E6407" w:rsidRPr="00276586">
        <w:rPr>
          <w:rFonts w:eastAsia="Times New Roman" w:cstheme="minorHAnsi"/>
          <w:sz w:val="24"/>
          <w:szCs w:val="24"/>
          <w:lang w:eastAsia="en-GB"/>
        </w:rPr>
        <w:t>)</w:t>
      </w:r>
      <w:r w:rsidRPr="00276586">
        <w:rPr>
          <w:rFonts w:eastAsia="Times New Roman" w:cstheme="minorHAnsi"/>
          <w:sz w:val="24"/>
          <w:szCs w:val="24"/>
          <w:lang w:eastAsia="en-GB"/>
        </w:rPr>
        <w:t>.</w:t>
      </w:r>
    </w:p>
    <w:p w14:paraId="301ED082" w14:textId="77777777" w:rsidR="005F3662" w:rsidRPr="00276586" w:rsidRDefault="005F3662" w:rsidP="005F3662">
      <w:pPr>
        <w:spacing w:after="0" w:line="240" w:lineRule="auto"/>
        <w:rPr>
          <w:rFonts w:eastAsia="Times New Roman" w:cstheme="minorHAnsi"/>
          <w:sz w:val="24"/>
          <w:szCs w:val="24"/>
          <w:lang w:eastAsia="en-GB"/>
        </w:rPr>
      </w:pPr>
    </w:p>
    <w:p w14:paraId="609D1B4B" w14:textId="123F6A9D" w:rsidR="009F6F4F" w:rsidRPr="005F3662" w:rsidRDefault="00000000" w:rsidP="005F3662">
      <w:pPr>
        <w:spacing w:line="240" w:lineRule="auto"/>
        <w:rPr>
          <w:sz w:val="24"/>
          <w:szCs w:val="24"/>
        </w:rPr>
      </w:pPr>
      <w:r w:rsidRPr="009F6F4F">
        <w:rPr>
          <w:sz w:val="24"/>
          <w:szCs w:val="24"/>
        </w:rPr>
        <w:t>Pausanias</w:t>
      </w:r>
      <w:r w:rsidR="005F3662">
        <w:rPr>
          <w:sz w:val="24"/>
          <w:szCs w:val="24"/>
        </w:rPr>
        <w:t>.</w:t>
      </w:r>
      <w:r w:rsidRPr="009F6F4F">
        <w:rPr>
          <w:sz w:val="24"/>
          <w:szCs w:val="24"/>
        </w:rPr>
        <w:t> </w:t>
      </w:r>
      <w:r w:rsidRPr="005F3662">
        <w:rPr>
          <w:i/>
          <w:iCs/>
          <w:sz w:val="24"/>
          <w:szCs w:val="24"/>
        </w:rPr>
        <w:t xml:space="preserve"> Description of Greece</w:t>
      </w:r>
      <w:r w:rsidR="005F3662">
        <w:rPr>
          <w:i/>
          <w:iCs/>
          <w:sz w:val="24"/>
          <w:szCs w:val="24"/>
        </w:rPr>
        <w:t>.</w:t>
      </w:r>
      <w:r w:rsidR="005F3662">
        <w:rPr>
          <w:sz w:val="24"/>
          <w:szCs w:val="24"/>
        </w:rPr>
        <w:t xml:space="preserve">  2:35.  T</w:t>
      </w:r>
      <w:r w:rsidR="005F3662" w:rsidRPr="005F3662">
        <w:rPr>
          <w:rFonts w:cstheme="minorHAnsi"/>
          <w:color w:val="000000"/>
          <w:sz w:val="24"/>
          <w:szCs w:val="24"/>
        </w:rPr>
        <w:t>ranslat</w:t>
      </w:r>
      <w:r w:rsidR="005F3662">
        <w:rPr>
          <w:rFonts w:cstheme="minorHAnsi"/>
          <w:color w:val="000000"/>
          <w:sz w:val="24"/>
          <w:szCs w:val="24"/>
        </w:rPr>
        <w:t>ed</w:t>
      </w:r>
      <w:r w:rsidR="005F3662" w:rsidRPr="005F3662">
        <w:rPr>
          <w:rFonts w:cstheme="minorHAnsi"/>
          <w:color w:val="000000"/>
          <w:sz w:val="24"/>
          <w:szCs w:val="24"/>
        </w:rPr>
        <w:t xml:space="preserve"> by</w:t>
      </w:r>
      <w:r w:rsidR="005F3662">
        <w:rPr>
          <w:rFonts w:cstheme="minorHAnsi"/>
          <w:color w:val="000000"/>
          <w:sz w:val="24"/>
          <w:szCs w:val="24"/>
        </w:rPr>
        <w:t xml:space="preserve"> </w:t>
      </w:r>
      <w:r w:rsidR="005F3662" w:rsidRPr="005F3662">
        <w:rPr>
          <w:rFonts w:cstheme="minorHAnsi"/>
          <w:color w:val="000000"/>
          <w:sz w:val="24"/>
          <w:szCs w:val="24"/>
        </w:rPr>
        <w:t xml:space="preserve">Jones, </w:t>
      </w:r>
      <w:r w:rsidR="005F3662">
        <w:rPr>
          <w:rFonts w:cstheme="minorHAnsi"/>
          <w:color w:val="000000"/>
          <w:sz w:val="24"/>
          <w:szCs w:val="24"/>
        </w:rPr>
        <w:t>W.H.S. &amp;</w:t>
      </w:r>
      <w:r w:rsidR="005F3662" w:rsidRPr="005F3662">
        <w:rPr>
          <w:rFonts w:cstheme="minorHAnsi"/>
          <w:color w:val="000000"/>
          <w:sz w:val="24"/>
          <w:szCs w:val="24"/>
        </w:rPr>
        <w:t xml:space="preserve"> Ormerod, </w:t>
      </w:r>
      <w:r w:rsidR="005F3662">
        <w:rPr>
          <w:rFonts w:cstheme="minorHAnsi"/>
          <w:color w:val="000000"/>
          <w:sz w:val="24"/>
          <w:szCs w:val="24"/>
        </w:rPr>
        <w:t xml:space="preserve">H.A. (1918). </w:t>
      </w:r>
      <w:r w:rsidR="005F3662" w:rsidRPr="005F3662">
        <w:rPr>
          <w:rFonts w:cstheme="minorHAnsi"/>
          <w:color w:val="000000"/>
          <w:sz w:val="24"/>
          <w:szCs w:val="24"/>
        </w:rPr>
        <w:t xml:space="preserve"> Harvard University Press; London, William Heinemann Ltd. </w:t>
      </w:r>
      <w:r w:rsidR="005F3662" w:rsidRPr="005F3662">
        <w:rPr>
          <w:rFonts w:cstheme="minorHAnsi"/>
          <w:sz w:val="24"/>
          <w:szCs w:val="24"/>
        </w:rPr>
        <w:t>Available at:</w:t>
      </w:r>
      <w:r w:rsidR="005F3662" w:rsidRPr="005F3662">
        <w:t xml:space="preserve"> </w:t>
      </w:r>
      <w:hyperlink r:id="rId10" w:history="1">
        <w:r w:rsidR="005F3662">
          <w:rPr>
            <w:rStyle w:val="Hyperlink"/>
          </w:rPr>
          <w:t>https://www.perseus.tufts.edu/hopper/text?doc=Paus.%202.35</w:t>
        </w:r>
      </w:hyperlink>
      <w:r w:rsidR="005F3662">
        <w:t>.  (Accessed 25 Sep. 2022)</w:t>
      </w:r>
      <w:r w:rsidR="005F3662">
        <w:rPr>
          <w:sz w:val="24"/>
          <w:szCs w:val="24"/>
        </w:rPr>
        <w:t xml:space="preserve"> </w:t>
      </w:r>
    </w:p>
    <w:p w14:paraId="7AB10908" w14:textId="74B48465" w:rsidR="00261614" w:rsidRPr="005F3662" w:rsidRDefault="00261614" w:rsidP="009F6F4F">
      <w:pPr>
        <w:rPr>
          <w:sz w:val="24"/>
          <w:szCs w:val="24"/>
        </w:rPr>
      </w:pPr>
    </w:p>
    <w:p w14:paraId="09533055" w14:textId="6FC10EC4" w:rsidR="00261614" w:rsidRPr="00261614" w:rsidRDefault="00000000" w:rsidP="002E6407">
      <w:pPr>
        <w:spacing w:after="0" w:line="240" w:lineRule="auto"/>
        <w:rPr>
          <w:rFonts w:eastAsia="Times New Roman" w:cstheme="minorHAnsi"/>
          <w:sz w:val="24"/>
          <w:szCs w:val="24"/>
          <w:lang w:eastAsia="en-GB"/>
        </w:rPr>
      </w:pPr>
      <w:r w:rsidRPr="00261614">
        <w:rPr>
          <w:rFonts w:eastAsia="Times New Roman" w:cstheme="minorHAnsi"/>
          <w:sz w:val="24"/>
          <w:szCs w:val="24"/>
          <w:lang w:eastAsia="en-GB"/>
        </w:rPr>
        <w:t>Pratt, L.</w:t>
      </w:r>
      <w:r>
        <w:rPr>
          <w:rFonts w:eastAsia="Times New Roman" w:cstheme="minorHAnsi"/>
          <w:sz w:val="24"/>
          <w:szCs w:val="24"/>
          <w:lang w:eastAsia="en-GB"/>
        </w:rPr>
        <w:t xml:space="preserve"> (1974). </w:t>
      </w:r>
      <w:r w:rsidRPr="00261614">
        <w:rPr>
          <w:rFonts w:eastAsia="Times New Roman" w:cstheme="minorHAnsi"/>
          <w:sz w:val="24"/>
          <w:szCs w:val="24"/>
          <w:lang w:eastAsia="en-GB"/>
        </w:rPr>
        <w:t xml:space="preserve"> “The Old Women of Ancient Greece and the Homeric Hymn to Demeter.” </w:t>
      </w:r>
      <w:r w:rsidRPr="00261614">
        <w:rPr>
          <w:rFonts w:eastAsia="Times New Roman" w:cstheme="minorHAnsi"/>
          <w:i/>
          <w:iCs/>
          <w:sz w:val="24"/>
          <w:szCs w:val="24"/>
          <w:lang w:eastAsia="en-GB"/>
        </w:rPr>
        <w:t>Transactions of the American Philological Association</w:t>
      </w:r>
      <w:r w:rsidRPr="00261614">
        <w:rPr>
          <w:rFonts w:eastAsia="Times New Roman" w:cstheme="minorHAnsi"/>
          <w:sz w:val="24"/>
          <w:szCs w:val="24"/>
          <w:lang w:eastAsia="en-GB"/>
        </w:rPr>
        <w:t xml:space="preserve">, vol. 130, 2000, pp. 41–65. </w:t>
      </w:r>
      <w:r>
        <w:rPr>
          <w:rFonts w:eastAsia="Times New Roman" w:cstheme="minorHAnsi"/>
          <w:sz w:val="24"/>
          <w:szCs w:val="24"/>
          <w:lang w:eastAsia="en-GB"/>
        </w:rPr>
        <w:t xml:space="preserve"> Available at: </w:t>
      </w:r>
      <w:r w:rsidRPr="00261614">
        <w:rPr>
          <w:rFonts w:eastAsia="Times New Roman" w:cstheme="minorHAnsi"/>
          <w:sz w:val="24"/>
          <w:szCs w:val="24"/>
          <w:lang w:eastAsia="en-GB"/>
        </w:rPr>
        <w:t xml:space="preserve">http://www.jstor.org/stable/284305. </w:t>
      </w:r>
      <w:r w:rsidR="00E43257">
        <w:rPr>
          <w:rFonts w:eastAsia="Times New Roman" w:cstheme="minorHAnsi"/>
          <w:sz w:val="24"/>
          <w:szCs w:val="24"/>
          <w:lang w:eastAsia="en-GB"/>
        </w:rPr>
        <w:t xml:space="preserve"> (</w:t>
      </w:r>
      <w:r w:rsidRPr="00261614">
        <w:rPr>
          <w:rFonts w:eastAsia="Times New Roman" w:cstheme="minorHAnsi"/>
          <w:sz w:val="24"/>
          <w:szCs w:val="24"/>
          <w:lang w:eastAsia="en-GB"/>
        </w:rPr>
        <w:t>Accessed 2</w:t>
      </w:r>
      <w:r w:rsidR="00E43257">
        <w:rPr>
          <w:rFonts w:eastAsia="Times New Roman" w:cstheme="minorHAnsi"/>
          <w:sz w:val="24"/>
          <w:szCs w:val="24"/>
          <w:lang w:eastAsia="en-GB"/>
        </w:rPr>
        <w:t>4</w:t>
      </w:r>
      <w:r w:rsidRPr="00261614">
        <w:rPr>
          <w:rFonts w:eastAsia="Times New Roman" w:cstheme="minorHAnsi"/>
          <w:sz w:val="24"/>
          <w:szCs w:val="24"/>
          <w:lang w:eastAsia="en-GB"/>
        </w:rPr>
        <w:t xml:space="preserve"> Sep. 2022</w:t>
      </w:r>
      <w:r w:rsidR="00E43257">
        <w:rPr>
          <w:rFonts w:eastAsia="Times New Roman" w:cstheme="minorHAnsi"/>
          <w:sz w:val="24"/>
          <w:szCs w:val="24"/>
          <w:lang w:eastAsia="en-GB"/>
        </w:rPr>
        <w:t>)</w:t>
      </w:r>
      <w:r w:rsidRPr="00261614">
        <w:rPr>
          <w:rFonts w:eastAsia="Times New Roman" w:cstheme="minorHAnsi"/>
          <w:sz w:val="24"/>
          <w:szCs w:val="24"/>
          <w:lang w:eastAsia="en-GB"/>
        </w:rPr>
        <w:t>.</w:t>
      </w:r>
    </w:p>
    <w:p w14:paraId="4C4806B5" w14:textId="77777777" w:rsidR="00261614" w:rsidRPr="00261614" w:rsidRDefault="00261614" w:rsidP="002E6407">
      <w:pPr>
        <w:spacing w:after="0" w:line="240" w:lineRule="auto"/>
        <w:rPr>
          <w:rFonts w:cstheme="minorHAnsi"/>
          <w:sz w:val="24"/>
          <w:szCs w:val="24"/>
        </w:rPr>
      </w:pPr>
    </w:p>
    <w:p w14:paraId="4664569E" w14:textId="3842A1E4" w:rsidR="002E6407" w:rsidRPr="002E6407" w:rsidRDefault="00000000" w:rsidP="002E6407">
      <w:pPr>
        <w:spacing w:after="0" w:line="240" w:lineRule="auto"/>
        <w:rPr>
          <w:rFonts w:eastAsia="Times New Roman" w:cstheme="minorHAnsi"/>
          <w:sz w:val="24"/>
          <w:szCs w:val="24"/>
          <w:lang w:eastAsia="en-GB"/>
        </w:rPr>
      </w:pPr>
      <w:r w:rsidRPr="002E6407">
        <w:rPr>
          <w:rFonts w:eastAsia="Times New Roman" w:cstheme="minorHAnsi"/>
          <w:sz w:val="24"/>
          <w:szCs w:val="24"/>
          <w:lang w:eastAsia="en-GB"/>
        </w:rPr>
        <w:t xml:space="preserve">Parker, R. </w:t>
      </w:r>
      <w:r>
        <w:rPr>
          <w:rFonts w:eastAsia="Times New Roman" w:cstheme="minorHAnsi"/>
          <w:sz w:val="24"/>
          <w:szCs w:val="24"/>
          <w:lang w:eastAsia="en-GB"/>
        </w:rPr>
        <w:t xml:space="preserve"> (1991).  </w:t>
      </w:r>
      <w:r w:rsidRPr="002E6407">
        <w:rPr>
          <w:rFonts w:eastAsia="Times New Roman" w:cstheme="minorHAnsi"/>
          <w:sz w:val="24"/>
          <w:szCs w:val="24"/>
          <w:lang w:eastAsia="en-GB"/>
        </w:rPr>
        <w:t xml:space="preserve">The ‘Hymn to Demeter’ and the ‘Homeric Hymns. </w:t>
      </w:r>
      <w:r w:rsidRPr="002E6407">
        <w:rPr>
          <w:rFonts w:eastAsia="Times New Roman" w:cstheme="minorHAnsi"/>
          <w:i/>
          <w:iCs/>
          <w:sz w:val="24"/>
          <w:szCs w:val="24"/>
          <w:lang w:eastAsia="en-GB"/>
        </w:rPr>
        <w:t xml:space="preserve"> Greece &amp; Rome</w:t>
      </w:r>
      <w:r w:rsidRPr="002E6407">
        <w:rPr>
          <w:rFonts w:eastAsia="Times New Roman" w:cstheme="minorHAnsi"/>
          <w:sz w:val="24"/>
          <w:szCs w:val="24"/>
          <w:lang w:eastAsia="en-GB"/>
        </w:rPr>
        <w:t xml:space="preserve">, vol. 38, no. 1, pp. 1–17.  </w:t>
      </w:r>
      <w:r>
        <w:rPr>
          <w:rFonts w:eastAsia="Times New Roman" w:cstheme="minorHAnsi"/>
          <w:sz w:val="24"/>
          <w:szCs w:val="24"/>
          <w:lang w:eastAsia="en-GB"/>
        </w:rPr>
        <w:t xml:space="preserve">Available at: </w:t>
      </w:r>
      <w:r w:rsidRPr="002E6407">
        <w:rPr>
          <w:rFonts w:eastAsia="Times New Roman" w:cstheme="minorHAnsi"/>
          <w:sz w:val="24"/>
          <w:szCs w:val="24"/>
          <w:lang w:eastAsia="en-GB"/>
        </w:rPr>
        <w:t xml:space="preserve">http://www.jstor.org/stable/643104.  </w:t>
      </w:r>
      <w:r>
        <w:rPr>
          <w:rFonts w:eastAsia="Times New Roman" w:cstheme="minorHAnsi"/>
          <w:sz w:val="24"/>
          <w:szCs w:val="24"/>
          <w:lang w:eastAsia="en-GB"/>
        </w:rPr>
        <w:t>(</w:t>
      </w:r>
      <w:r w:rsidRPr="002E6407">
        <w:rPr>
          <w:rFonts w:eastAsia="Times New Roman" w:cstheme="minorHAnsi"/>
          <w:sz w:val="24"/>
          <w:szCs w:val="24"/>
          <w:lang w:eastAsia="en-GB"/>
        </w:rPr>
        <w:t>Accessed 2</w:t>
      </w:r>
      <w:r>
        <w:rPr>
          <w:rFonts w:eastAsia="Times New Roman" w:cstheme="minorHAnsi"/>
          <w:sz w:val="24"/>
          <w:szCs w:val="24"/>
          <w:lang w:eastAsia="en-GB"/>
        </w:rPr>
        <w:t>3</w:t>
      </w:r>
      <w:r w:rsidRPr="002E6407">
        <w:rPr>
          <w:rFonts w:eastAsia="Times New Roman" w:cstheme="minorHAnsi"/>
          <w:sz w:val="24"/>
          <w:szCs w:val="24"/>
          <w:lang w:eastAsia="en-GB"/>
        </w:rPr>
        <w:t xml:space="preserve"> Sep. 2022</w:t>
      </w:r>
      <w:r>
        <w:rPr>
          <w:rFonts w:eastAsia="Times New Roman" w:cstheme="minorHAnsi"/>
          <w:sz w:val="24"/>
          <w:szCs w:val="24"/>
          <w:lang w:eastAsia="en-GB"/>
        </w:rPr>
        <w:t>)</w:t>
      </w:r>
      <w:r w:rsidRPr="002E6407">
        <w:rPr>
          <w:rFonts w:eastAsia="Times New Roman" w:cstheme="minorHAnsi"/>
          <w:sz w:val="24"/>
          <w:szCs w:val="24"/>
          <w:lang w:eastAsia="en-GB"/>
        </w:rPr>
        <w:t>.</w:t>
      </w:r>
    </w:p>
    <w:p w14:paraId="09072C53" w14:textId="77777777" w:rsidR="00E43257" w:rsidRPr="008E7C0C" w:rsidRDefault="00E43257" w:rsidP="002E6407">
      <w:pPr>
        <w:spacing w:after="0" w:line="240" w:lineRule="auto"/>
        <w:rPr>
          <w:sz w:val="24"/>
          <w:szCs w:val="24"/>
        </w:rPr>
      </w:pPr>
    </w:p>
    <w:p w14:paraId="7A76598D" w14:textId="22F5499C" w:rsidR="002D346E" w:rsidRDefault="00000000" w:rsidP="00136947">
      <w:pPr>
        <w:spacing w:after="0" w:line="240" w:lineRule="auto"/>
      </w:pPr>
      <w:r>
        <w:rPr>
          <w:sz w:val="24"/>
          <w:szCs w:val="24"/>
        </w:rPr>
        <w:t>Hendriksma, J. (2017).</w:t>
      </w:r>
      <w:r w:rsidR="00C17C87" w:rsidRPr="008E7C0C">
        <w:rPr>
          <w:sz w:val="24"/>
          <w:szCs w:val="24"/>
        </w:rPr>
        <w:t xml:space="preserve">  </w:t>
      </w:r>
      <w:r w:rsidR="00C17C87" w:rsidRPr="00136947">
        <w:rPr>
          <w:i/>
          <w:iCs/>
          <w:sz w:val="24"/>
          <w:szCs w:val="24"/>
        </w:rPr>
        <w:t>A Woman’s Withdrawal</w:t>
      </w:r>
      <w:r w:rsidRPr="00136947">
        <w:rPr>
          <w:i/>
          <w:iCs/>
          <w:sz w:val="24"/>
          <w:szCs w:val="24"/>
        </w:rPr>
        <w:t xml:space="preserve">: </w:t>
      </w:r>
      <w:r w:rsidR="00C17C87" w:rsidRPr="00136947">
        <w:rPr>
          <w:i/>
          <w:iCs/>
          <w:sz w:val="24"/>
          <w:szCs w:val="24"/>
        </w:rPr>
        <w:t xml:space="preserve"> A Gendered analysis of D</w:t>
      </w:r>
      <w:r w:rsidRPr="00136947">
        <w:rPr>
          <w:i/>
          <w:iCs/>
          <w:sz w:val="24"/>
          <w:szCs w:val="24"/>
        </w:rPr>
        <w:t>emeter</w:t>
      </w:r>
      <w:r w:rsidR="00C17C87" w:rsidRPr="00136947">
        <w:rPr>
          <w:i/>
          <w:iCs/>
          <w:sz w:val="24"/>
          <w:szCs w:val="24"/>
        </w:rPr>
        <w:t>’s Withdrawal In the Homeric Hymn</w:t>
      </w:r>
      <w:r>
        <w:rPr>
          <w:sz w:val="24"/>
          <w:szCs w:val="24"/>
        </w:rPr>
        <w:t xml:space="preserve">. Available at: </w:t>
      </w:r>
      <w:hyperlink r:id="rId11" w:history="1">
        <w:r w:rsidRPr="00F25E6F">
          <w:rPr>
            <w:rStyle w:val="Hyperlink"/>
          </w:rPr>
          <w:t>https://studenttheses.uu.nl/handle/20.500.12932/27414</w:t>
        </w:r>
      </w:hyperlink>
      <w:r>
        <w:t xml:space="preserve"> (Accessed </w:t>
      </w:r>
      <w:r w:rsidR="00557393">
        <w:t>25 Sep</w:t>
      </w:r>
      <w:r w:rsidR="00276586">
        <w:t>.</w:t>
      </w:r>
      <w:r w:rsidR="00557393">
        <w:t xml:space="preserve"> 2022).</w:t>
      </w:r>
    </w:p>
    <w:p w14:paraId="0B00D681" w14:textId="77777777" w:rsidR="00557393" w:rsidRPr="00EB6B89" w:rsidRDefault="00557393" w:rsidP="00136947">
      <w:pPr>
        <w:spacing w:after="0" w:line="240" w:lineRule="auto"/>
        <w:rPr>
          <w:rFonts w:cstheme="minorHAnsi"/>
          <w:sz w:val="24"/>
          <w:szCs w:val="24"/>
        </w:rPr>
      </w:pPr>
    </w:p>
    <w:p w14:paraId="28D65CFD" w14:textId="7340BEDE" w:rsidR="002D346E" w:rsidRDefault="00000000" w:rsidP="008903CD">
      <w:pPr>
        <w:spacing w:after="0" w:line="240" w:lineRule="auto"/>
        <w:rPr>
          <w:sz w:val="24"/>
          <w:szCs w:val="24"/>
        </w:rPr>
      </w:pPr>
      <w:r w:rsidRPr="008E7C0C">
        <w:rPr>
          <w:sz w:val="24"/>
          <w:szCs w:val="24"/>
        </w:rPr>
        <w:t>Rich, A</w:t>
      </w:r>
      <w:r w:rsidR="00B958A1">
        <w:rPr>
          <w:sz w:val="24"/>
          <w:szCs w:val="24"/>
        </w:rPr>
        <w:t xml:space="preserve">.  (1976).  </w:t>
      </w:r>
      <w:r w:rsidRPr="008903CD">
        <w:rPr>
          <w:i/>
          <w:iCs/>
          <w:sz w:val="24"/>
          <w:szCs w:val="24"/>
        </w:rPr>
        <w:t>Of Woman Born</w:t>
      </w:r>
      <w:r w:rsidR="00B958A1" w:rsidRPr="008903CD">
        <w:rPr>
          <w:i/>
          <w:iCs/>
          <w:sz w:val="24"/>
          <w:szCs w:val="24"/>
        </w:rPr>
        <w:t>: Motherhood as Experience and Institution</w:t>
      </w:r>
      <w:r w:rsidR="00B958A1">
        <w:rPr>
          <w:sz w:val="24"/>
          <w:szCs w:val="24"/>
        </w:rPr>
        <w:t xml:space="preserve">. </w:t>
      </w:r>
      <w:r w:rsidRPr="008E7C0C">
        <w:rPr>
          <w:sz w:val="24"/>
          <w:szCs w:val="24"/>
        </w:rPr>
        <w:t xml:space="preserve"> </w:t>
      </w:r>
      <w:r w:rsidR="00B958A1">
        <w:rPr>
          <w:sz w:val="24"/>
          <w:szCs w:val="24"/>
        </w:rPr>
        <w:t>Norton, New York</w:t>
      </w:r>
    </w:p>
    <w:p w14:paraId="4A7D695F" w14:textId="77777777" w:rsidR="00CF3A70" w:rsidRPr="00EB6B89" w:rsidRDefault="00CF3A70" w:rsidP="002E6407">
      <w:pPr>
        <w:spacing w:after="0" w:line="240" w:lineRule="auto"/>
        <w:rPr>
          <w:rFonts w:cstheme="minorHAnsi"/>
          <w:sz w:val="24"/>
          <w:szCs w:val="24"/>
        </w:rPr>
      </w:pPr>
    </w:p>
    <w:p w14:paraId="48404C96" w14:textId="31AB7EB9" w:rsidR="00CF3A70" w:rsidRDefault="00000000" w:rsidP="002E6407">
      <w:pPr>
        <w:spacing w:after="0" w:line="240" w:lineRule="auto"/>
        <w:rPr>
          <w:rFonts w:cstheme="minorHAnsi"/>
          <w:sz w:val="24"/>
          <w:szCs w:val="24"/>
        </w:rPr>
      </w:pPr>
      <w:r w:rsidRPr="00EB6B89">
        <w:rPr>
          <w:rFonts w:cstheme="minorHAnsi"/>
          <w:sz w:val="24"/>
          <w:szCs w:val="24"/>
        </w:rPr>
        <w:t xml:space="preserve">Richardson, N. (1974). </w:t>
      </w:r>
      <w:r w:rsidRPr="00EB6B89">
        <w:rPr>
          <w:rFonts w:cstheme="minorHAnsi"/>
          <w:i/>
          <w:iCs/>
          <w:sz w:val="24"/>
          <w:szCs w:val="24"/>
        </w:rPr>
        <w:t xml:space="preserve"> The Homeric Hymn to Demeter</w:t>
      </w:r>
      <w:r w:rsidRPr="00EB6B89">
        <w:rPr>
          <w:rFonts w:cstheme="minorHAnsi"/>
          <w:sz w:val="24"/>
          <w:szCs w:val="24"/>
        </w:rPr>
        <w:t>.  Claredon Press, Oxford.</w:t>
      </w:r>
    </w:p>
    <w:sectPr w:rsidR="00CF3A70" w:rsidSect="000D37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0AC3E" w14:textId="77777777" w:rsidR="00741A4E" w:rsidRDefault="00741A4E">
      <w:pPr>
        <w:spacing w:after="0" w:line="240" w:lineRule="auto"/>
      </w:pPr>
      <w:r>
        <w:separator/>
      </w:r>
    </w:p>
  </w:endnote>
  <w:endnote w:type="continuationSeparator" w:id="0">
    <w:p w14:paraId="1F2F662C" w14:textId="77777777" w:rsidR="00741A4E" w:rsidRDefault="00741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07367" w14:textId="77777777" w:rsidR="00741A4E" w:rsidRDefault="00741A4E" w:rsidP="008E7C0C">
      <w:pPr>
        <w:spacing w:after="0" w:line="240" w:lineRule="auto"/>
      </w:pPr>
      <w:r>
        <w:separator/>
      </w:r>
    </w:p>
  </w:footnote>
  <w:footnote w:type="continuationSeparator" w:id="0">
    <w:p w14:paraId="3075BA79" w14:textId="77777777" w:rsidR="00741A4E" w:rsidRDefault="00741A4E" w:rsidP="008E7C0C">
      <w:pPr>
        <w:spacing w:after="0" w:line="240" w:lineRule="auto"/>
      </w:pPr>
      <w:r>
        <w:continuationSeparator/>
      </w:r>
    </w:p>
  </w:footnote>
  <w:footnote w:id="1">
    <w:p w14:paraId="69D2212B" w14:textId="4B54F980" w:rsidR="008E7C0C" w:rsidRDefault="00000000">
      <w:pPr>
        <w:pStyle w:val="FootnoteText"/>
      </w:pPr>
      <w:r>
        <w:rPr>
          <w:rStyle w:val="FootnoteReference"/>
        </w:rPr>
        <w:footnoteRef/>
      </w:r>
      <w:r>
        <w:t xml:space="preserve"> Foley, </w:t>
      </w:r>
      <w:r w:rsidR="00F0505B">
        <w:t xml:space="preserve">1994, </w:t>
      </w:r>
      <w:r w:rsidR="009F6F4F">
        <w:t>p</w:t>
      </w:r>
      <w:r>
        <w:t>. 29</w:t>
      </w:r>
      <w:r w:rsidR="00751076">
        <w:t>.</w:t>
      </w:r>
    </w:p>
  </w:footnote>
  <w:footnote w:id="2">
    <w:p w14:paraId="3C3437ED" w14:textId="680A0AB9" w:rsidR="008E7C0C" w:rsidRDefault="00000000">
      <w:pPr>
        <w:pStyle w:val="FootnoteText"/>
      </w:pPr>
      <w:r>
        <w:rPr>
          <w:rStyle w:val="FootnoteReference"/>
        </w:rPr>
        <w:footnoteRef/>
      </w:r>
      <w:r>
        <w:t xml:space="preserve"> Foley, </w:t>
      </w:r>
      <w:r w:rsidR="00F0505B">
        <w:t xml:space="preserve">1994, </w:t>
      </w:r>
      <w:r w:rsidR="009F6F4F">
        <w:t>p</w:t>
      </w:r>
      <w:r>
        <w:t>. 28-9</w:t>
      </w:r>
      <w:r w:rsidR="00751076">
        <w:t>.</w:t>
      </w:r>
    </w:p>
  </w:footnote>
  <w:footnote w:id="3">
    <w:p w14:paraId="75B4718F" w14:textId="0E8E5746" w:rsidR="00751076" w:rsidRDefault="00000000">
      <w:pPr>
        <w:pStyle w:val="FootnoteText"/>
      </w:pPr>
      <w:r>
        <w:rPr>
          <w:rStyle w:val="FootnoteReference"/>
        </w:rPr>
        <w:footnoteRef/>
      </w:r>
      <w:r>
        <w:t xml:space="preserve"> Rich, 1976, </w:t>
      </w:r>
      <w:r w:rsidR="009F6F4F">
        <w:t>p</w:t>
      </w:r>
      <w:r>
        <w:t>. 237-240.</w:t>
      </w:r>
    </w:p>
  </w:footnote>
  <w:footnote w:id="4">
    <w:p w14:paraId="655C0296" w14:textId="0735D216" w:rsidR="00751076" w:rsidRDefault="00000000">
      <w:pPr>
        <w:pStyle w:val="FootnoteText"/>
      </w:pPr>
      <w:r>
        <w:rPr>
          <w:rStyle w:val="FootnoteReference"/>
        </w:rPr>
        <w:footnoteRef/>
      </w:r>
      <w:r>
        <w:t xml:space="preserve"> Richardson, 1974, </w:t>
      </w:r>
      <w:r w:rsidR="009F6F4F">
        <w:t>p</w:t>
      </w:r>
      <w:r>
        <w:t>. 3.</w:t>
      </w:r>
    </w:p>
  </w:footnote>
  <w:footnote w:id="5">
    <w:p w14:paraId="78B02057" w14:textId="50925B07" w:rsidR="00B21B98" w:rsidRPr="009F6F4F" w:rsidRDefault="00000000">
      <w:pPr>
        <w:pStyle w:val="FootnoteText"/>
      </w:pPr>
      <w:r>
        <w:rPr>
          <w:rStyle w:val="FootnoteReference"/>
        </w:rPr>
        <w:footnoteRef/>
      </w:r>
      <w:r w:rsidRPr="009F6F4F">
        <w:t xml:space="preserve"> </w:t>
      </w:r>
      <w:r w:rsidR="00F0505B" w:rsidRPr="0024481C">
        <w:t xml:space="preserve">Clay, 1982, </w:t>
      </w:r>
      <w:r w:rsidR="009F6F4F" w:rsidRPr="0024481C">
        <w:t>p</w:t>
      </w:r>
      <w:r w:rsidR="009F6F4F">
        <w:t>.</w:t>
      </w:r>
      <w:r w:rsidR="0024481C">
        <w:t xml:space="preserve"> 207</w:t>
      </w:r>
    </w:p>
  </w:footnote>
  <w:footnote w:id="6">
    <w:p w14:paraId="689E01DC" w14:textId="53D87100" w:rsidR="00751076" w:rsidRPr="009F6F4F" w:rsidRDefault="00000000">
      <w:pPr>
        <w:pStyle w:val="FootnoteText"/>
      </w:pPr>
      <w:r>
        <w:rPr>
          <w:rStyle w:val="FootnoteReference"/>
        </w:rPr>
        <w:footnoteRef/>
      </w:r>
      <w:r w:rsidRPr="009F6F4F">
        <w:t xml:space="preserve"> Aldernik, 1982, </w:t>
      </w:r>
      <w:r w:rsidR="009F6F4F" w:rsidRPr="009F6F4F">
        <w:t>p</w:t>
      </w:r>
      <w:r w:rsidRPr="009F6F4F">
        <w:t>. 1-2.</w:t>
      </w:r>
    </w:p>
  </w:footnote>
  <w:footnote w:id="7">
    <w:p w14:paraId="63DD7EA3" w14:textId="47238F80" w:rsidR="00B21B98" w:rsidRPr="009F6F4F" w:rsidRDefault="00000000">
      <w:pPr>
        <w:pStyle w:val="FootnoteText"/>
      </w:pPr>
      <w:r>
        <w:rPr>
          <w:rStyle w:val="FootnoteReference"/>
        </w:rPr>
        <w:footnoteRef/>
      </w:r>
      <w:r w:rsidRPr="009F6F4F">
        <w:t xml:space="preserve"> Richardson, 1974, </w:t>
      </w:r>
      <w:r w:rsidR="009F6F4F" w:rsidRPr="009F6F4F">
        <w:t>p</w:t>
      </w:r>
      <w:r w:rsidRPr="009F6F4F">
        <w:t>. 81.</w:t>
      </w:r>
    </w:p>
  </w:footnote>
  <w:footnote w:id="8">
    <w:p w14:paraId="74CE75EB" w14:textId="0411C2C8" w:rsidR="00B21B98" w:rsidRDefault="00000000">
      <w:pPr>
        <w:pStyle w:val="FootnoteText"/>
      </w:pPr>
      <w:r>
        <w:rPr>
          <w:rStyle w:val="FootnoteReference"/>
        </w:rPr>
        <w:footnoteRef/>
      </w:r>
      <w:r>
        <w:t xml:space="preserve"> Clay, </w:t>
      </w:r>
      <w:r w:rsidR="00F0505B">
        <w:t xml:space="preserve">1982, </w:t>
      </w:r>
      <w:r w:rsidR="009F6F4F">
        <w:t>p</w:t>
      </w:r>
      <w:r>
        <w:t>. 223.</w:t>
      </w:r>
    </w:p>
  </w:footnote>
  <w:footnote w:id="9">
    <w:p w14:paraId="4FA765C7" w14:textId="59E1480F" w:rsidR="00B21B98" w:rsidRDefault="00000000">
      <w:pPr>
        <w:pStyle w:val="FootnoteText"/>
      </w:pPr>
      <w:r>
        <w:rPr>
          <w:rStyle w:val="FootnoteReference"/>
        </w:rPr>
        <w:footnoteRef/>
      </w:r>
      <w:r>
        <w:t xml:space="preserve"> Clay, </w:t>
      </w:r>
      <w:r w:rsidR="00F0505B">
        <w:t xml:space="preserve">1982, </w:t>
      </w:r>
      <w:r w:rsidR="009F6F4F">
        <w:t>p</w:t>
      </w:r>
      <w:r>
        <w:t>.224.</w:t>
      </w:r>
    </w:p>
  </w:footnote>
  <w:footnote w:id="10">
    <w:p w14:paraId="5AA23420" w14:textId="6B6A0629" w:rsidR="007C2045" w:rsidRDefault="00000000">
      <w:pPr>
        <w:pStyle w:val="FootnoteText"/>
      </w:pPr>
      <w:r>
        <w:rPr>
          <w:rStyle w:val="FootnoteReference"/>
        </w:rPr>
        <w:footnoteRef/>
      </w:r>
      <w:r>
        <w:t xml:space="preserve"> Nagy, n.  93.</w:t>
      </w:r>
    </w:p>
  </w:footnote>
  <w:footnote w:id="11">
    <w:p w14:paraId="570A370D" w14:textId="4B19B11F" w:rsidR="006C00CC" w:rsidRDefault="00000000">
      <w:pPr>
        <w:pStyle w:val="FootnoteText"/>
      </w:pPr>
      <w:r>
        <w:rPr>
          <w:rStyle w:val="FootnoteReference"/>
        </w:rPr>
        <w:footnoteRef/>
      </w:r>
      <w:r>
        <w:t xml:space="preserve"> Clay, </w:t>
      </w:r>
      <w:r w:rsidR="00F0505B">
        <w:t xml:space="preserve">1982, </w:t>
      </w:r>
      <w:r w:rsidR="009F6F4F">
        <w:t>p</w:t>
      </w:r>
      <w:r>
        <w:t>. 224.</w:t>
      </w:r>
    </w:p>
  </w:footnote>
  <w:footnote w:id="12">
    <w:p w14:paraId="16235229" w14:textId="2350BC6D" w:rsidR="007C2045" w:rsidRDefault="00000000">
      <w:pPr>
        <w:pStyle w:val="FootnoteText"/>
      </w:pPr>
      <w:r>
        <w:rPr>
          <w:rStyle w:val="FootnoteReference"/>
        </w:rPr>
        <w:footnoteRef/>
      </w:r>
      <w:r>
        <w:t xml:space="preserve"> Nagy, n, 111.</w:t>
      </w:r>
    </w:p>
  </w:footnote>
  <w:footnote w:id="13">
    <w:p w14:paraId="71555DF5" w14:textId="2ED62B9B" w:rsidR="008D5FF1" w:rsidRPr="00276586" w:rsidRDefault="00000000">
      <w:pPr>
        <w:pStyle w:val="FootnoteText"/>
        <w:rPr>
          <w:lang w:val="nb-NO"/>
        </w:rPr>
      </w:pPr>
      <w:r w:rsidRPr="005F3662">
        <w:rPr>
          <w:rStyle w:val="FootnoteReference"/>
        </w:rPr>
        <w:footnoteRef/>
      </w:r>
      <w:r w:rsidRPr="00276586">
        <w:rPr>
          <w:lang w:val="nb-NO"/>
        </w:rPr>
        <w:t xml:space="preserve"> Paus</w:t>
      </w:r>
      <w:r w:rsidR="0068414F" w:rsidRPr="00276586">
        <w:rPr>
          <w:lang w:val="nb-NO"/>
        </w:rPr>
        <w:t>.</w:t>
      </w:r>
      <w:r w:rsidRPr="00276586">
        <w:rPr>
          <w:lang w:val="nb-NO"/>
        </w:rPr>
        <w:t xml:space="preserve">  2</w:t>
      </w:r>
      <w:r w:rsidR="0068414F" w:rsidRPr="00276586">
        <w:rPr>
          <w:lang w:val="nb-NO"/>
        </w:rPr>
        <w:t>.</w:t>
      </w:r>
      <w:r w:rsidRPr="00276586">
        <w:rPr>
          <w:lang w:val="nb-NO"/>
        </w:rPr>
        <w:t>3</w:t>
      </w:r>
      <w:r w:rsidR="0068414F" w:rsidRPr="00276586">
        <w:rPr>
          <w:lang w:val="nb-NO"/>
        </w:rPr>
        <w:t>5:</w:t>
      </w:r>
      <w:r w:rsidRPr="00276586">
        <w:rPr>
          <w:lang w:val="nb-NO"/>
        </w:rPr>
        <w:t>3.</w:t>
      </w:r>
    </w:p>
  </w:footnote>
  <w:footnote w:id="14">
    <w:p w14:paraId="3562FFDC" w14:textId="63B570D5" w:rsidR="008D5FF1" w:rsidRPr="001D3881" w:rsidRDefault="00000000">
      <w:pPr>
        <w:pStyle w:val="FootnoteText"/>
        <w:rPr>
          <w:lang w:val="nb-NO"/>
        </w:rPr>
      </w:pPr>
      <w:r>
        <w:rPr>
          <w:rStyle w:val="FootnoteReference"/>
        </w:rPr>
        <w:footnoteRef/>
      </w:r>
      <w:r w:rsidRPr="001D3881">
        <w:rPr>
          <w:lang w:val="nb-NO"/>
        </w:rPr>
        <w:t xml:space="preserve"> </w:t>
      </w:r>
      <w:proofErr w:type="spellStart"/>
      <w:r w:rsidRPr="001D3881">
        <w:rPr>
          <w:lang w:val="nb-NO"/>
        </w:rPr>
        <w:t>Hendriksma</w:t>
      </w:r>
      <w:proofErr w:type="spellEnd"/>
      <w:r w:rsidRPr="001D3881">
        <w:rPr>
          <w:lang w:val="nb-NO"/>
        </w:rPr>
        <w:t>,</w:t>
      </w:r>
      <w:r w:rsidR="001306C2" w:rsidRPr="001D3881">
        <w:rPr>
          <w:lang w:val="nb-NO"/>
        </w:rPr>
        <w:t xml:space="preserve"> </w:t>
      </w:r>
      <w:r w:rsidR="006A3D2F" w:rsidRPr="001D3881">
        <w:rPr>
          <w:lang w:val="nb-NO"/>
        </w:rPr>
        <w:t>2017,</w:t>
      </w:r>
      <w:r w:rsidRPr="001D3881">
        <w:rPr>
          <w:lang w:val="nb-NO"/>
        </w:rPr>
        <w:t xml:space="preserve"> </w:t>
      </w:r>
      <w:r w:rsidR="009F6F4F">
        <w:rPr>
          <w:lang w:val="nb-NO"/>
        </w:rPr>
        <w:t>p</w:t>
      </w:r>
      <w:r w:rsidRPr="001D3881">
        <w:rPr>
          <w:lang w:val="nb-NO"/>
        </w:rPr>
        <w:t>. 12.</w:t>
      </w:r>
    </w:p>
  </w:footnote>
  <w:footnote w:id="15">
    <w:p w14:paraId="3543FA9F" w14:textId="6F061CA1" w:rsidR="00AA1CA0" w:rsidRPr="001D3881" w:rsidRDefault="00000000">
      <w:pPr>
        <w:pStyle w:val="FootnoteText"/>
        <w:rPr>
          <w:lang w:val="nb-NO"/>
        </w:rPr>
      </w:pPr>
      <w:r>
        <w:rPr>
          <w:rStyle w:val="FootnoteReference"/>
        </w:rPr>
        <w:footnoteRef/>
      </w:r>
      <w:r w:rsidRPr="001D3881">
        <w:rPr>
          <w:lang w:val="nb-NO"/>
        </w:rPr>
        <w:t xml:space="preserve"> Nickel, </w:t>
      </w:r>
      <w:r w:rsidR="001D3881" w:rsidRPr="001D3881">
        <w:rPr>
          <w:lang w:val="nb-NO"/>
        </w:rPr>
        <w:t xml:space="preserve">2003, </w:t>
      </w:r>
      <w:r w:rsidR="009F6F4F">
        <w:rPr>
          <w:lang w:val="nb-NO"/>
        </w:rPr>
        <w:t>p</w:t>
      </w:r>
      <w:r w:rsidRPr="001D3881">
        <w:rPr>
          <w:lang w:val="nb-NO"/>
        </w:rPr>
        <w:t>. 70.</w:t>
      </w:r>
    </w:p>
  </w:footnote>
  <w:footnote w:id="16">
    <w:p w14:paraId="54A329E8" w14:textId="0D492F23" w:rsidR="00AA1CA0" w:rsidRPr="001D3881" w:rsidRDefault="00000000">
      <w:pPr>
        <w:pStyle w:val="FootnoteText"/>
        <w:rPr>
          <w:lang w:val="nb-NO"/>
        </w:rPr>
      </w:pPr>
      <w:r>
        <w:rPr>
          <w:rStyle w:val="FootnoteReference"/>
        </w:rPr>
        <w:footnoteRef/>
      </w:r>
      <w:r w:rsidRPr="001D3881">
        <w:rPr>
          <w:lang w:val="nb-NO"/>
        </w:rPr>
        <w:t xml:space="preserve"> Foley, 1994, </w:t>
      </w:r>
      <w:r w:rsidR="009F6F4F">
        <w:rPr>
          <w:lang w:val="nb-NO"/>
        </w:rPr>
        <w:t>p</w:t>
      </w:r>
      <w:r w:rsidRPr="001D3881">
        <w:rPr>
          <w:lang w:val="nb-NO"/>
        </w:rPr>
        <w:t>. 41.</w:t>
      </w:r>
    </w:p>
  </w:footnote>
  <w:footnote w:id="17">
    <w:p w14:paraId="205EB729" w14:textId="222F54A8" w:rsidR="00AA1CA0" w:rsidRPr="009F6F4F" w:rsidRDefault="00000000">
      <w:pPr>
        <w:pStyle w:val="FootnoteText"/>
        <w:rPr>
          <w:lang w:val="nb-NO"/>
        </w:rPr>
      </w:pPr>
      <w:r>
        <w:rPr>
          <w:rStyle w:val="FootnoteReference"/>
        </w:rPr>
        <w:footnoteRef/>
      </w:r>
      <w:r w:rsidRPr="009F6F4F">
        <w:rPr>
          <w:lang w:val="nb-NO"/>
        </w:rPr>
        <w:t xml:space="preserve"> Richardson, </w:t>
      </w:r>
      <w:r w:rsidR="006A3D2F" w:rsidRPr="009F6F4F">
        <w:rPr>
          <w:lang w:val="nb-NO"/>
        </w:rPr>
        <w:t xml:space="preserve">1974, </w:t>
      </w:r>
      <w:r w:rsidR="009F6F4F" w:rsidRPr="009F6F4F">
        <w:rPr>
          <w:lang w:val="nb-NO"/>
        </w:rPr>
        <w:t>p</w:t>
      </w:r>
      <w:r w:rsidR="006A3D2F" w:rsidRPr="009F6F4F">
        <w:rPr>
          <w:lang w:val="nb-NO"/>
        </w:rPr>
        <w:t>. 185.</w:t>
      </w:r>
    </w:p>
  </w:footnote>
  <w:footnote w:id="18">
    <w:p w14:paraId="3AECA0DA" w14:textId="0C32B6AF" w:rsidR="006A3D2F" w:rsidRPr="009F6F4F" w:rsidRDefault="00000000">
      <w:pPr>
        <w:pStyle w:val="FootnoteText"/>
        <w:rPr>
          <w:lang w:val="nb-NO"/>
        </w:rPr>
      </w:pPr>
      <w:r>
        <w:rPr>
          <w:rStyle w:val="FootnoteReference"/>
        </w:rPr>
        <w:footnoteRef/>
      </w:r>
      <w:r w:rsidRPr="009F6F4F">
        <w:rPr>
          <w:lang w:val="nb-NO"/>
        </w:rPr>
        <w:t xml:space="preserve"> Richardson, 1974, </w:t>
      </w:r>
      <w:r w:rsidR="009F6F4F" w:rsidRPr="009F6F4F">
        <w:rPr>
          <w:lang w:val="nb-NO"/>
        </w:rPr>
        <w:t>p</w:t>
      </w:r>
      <w:r w:rsidRPr="009F6F4F">
        <w:rPr>
          <w:lang w:val="nb-NO"/>
        </w:rPr>
        <w:t>. 167.</w:t>
      </w:r>
    </w:p>
  </w:footnote>
  <w:footnote w:id="19">
    <w:p w14:paraId="35C89933" w14:textId="10728229" w:rsidR="006A3D2F" w:rsidRPr="009F6F4F" w:rsidRDefault="00000000">
      <w:pPr>
        <w:pStyle w:val="FootnoteText"/>
        <w:rPr>
          <w:lang w:val="nb-NO"/>
        </w:rPr>
      </w:pPr>
      <w:r>
        <w:rPr>
          <w:rStyle w:val="FootnoteReference"/>
        </w:rPr>
        <w:footnoteRef/>
      </w:r>
      <w:r w:rsidRPr="009F6F4F">
        <w:rPr>
          <w:lang w:val="nb-NO"/>
        </w:rPr>
        <w:t xml:space="preserve"> Hendriksma, 2017, </w:t>
      </w:r>
      <w:r w:rsidR="009F6F4F" w:rsidRPr="009F6F4F">
        <w:rPr>
          <w:lang w:val="nb-NO"/>
        </w:rPr>
        <w:t>p</w:t>
      </w:r>
      <w:r w:rsidRPr="009F6F4F">
        <w:rPr>
          <w:lang w:val="nb-NO"/>
        </w:rPr>
        <w:t>. 5.</w:t>
      </w:r>
    </w:p>
  </w:footnote>
  <w:footnote w:id="20">
    <w:p w14:paraId="08882940" w14:textId="31161EF7" w:rsidR="006A3D2F" w:rsidRPr="009F6F4F" w:rsidRDefault="00000000">
      <w:pPr>
        <w:pStyle w:val="FootnoteText"/>
        <w:rPr>
          <w:lang w:val="nb-NO"/>
        </w:rPr>
      </w:pPr>
      <w:r>
        <w:rPr>
          <w:rStyle w:val="FootnoteReference"/>
        </w:rPr>
        <w:footnoteRef/>
      </w:r>
      <w:r w:rsidRPr="009F6F4F">
        <w:rPr>
          <w:lang w:val="nb-NO"/>
        </w:rPr>
        <w:t xml:space="preserve"> Hendriksma, 2017, </w:t>
      </w:r>
      <w:r w:rsidR="009F6F4F" w:rsidRPr="009F6F4F">
        <w:rPr>
          <w:lang w:val="nb-NO"/>
        </w:rPr>
        <w:t>p</w:t>
      </w:r>
      <w:r w:rsidRPr="009F6F4F">
        <w:rPr>
          <w:lang w:val="nb-NO"/>
        </w:rPr>
        <w:t>. 7.</w:t>
      </w:r>
    </w:p>
  </w:footnote>
  <w:footnote w:id="21">
    <w:p w14:paraId="0CB4C551" w14:textId="23CDE6FF" w:rsidR="00E35927" w:rsidRPr="009F6F4F" w:rsidRDefault="00000000">
      <w:pPr>
        <w:pStyle w:val="FootnoteText"/>
        <w:rPr>
          <w:lang w:val="nb-NO"/>
        </w:rPr>
      </w:pPr>
      <w:r>
        <w:rPr>
          <w:rStyle w:val="FootnoteReference"/>
        </w:rPr>
        <w:footnoteRef/>
      </w:r>
      <w:r w:rsidRPr="009F6F4F">
        <w:rPr>
          <w:lang w:val="nb-NO"/>
        </w:rPr>
        <w:t xml:space="preserve"> Richardson, 1974, </w:t>
      </w:r>
      <w:r w:rsidR="009F6F4F" w:rsidRPr="009F6F4F">
        <w:rPr>
          <w:lang w:val="nb-NO"/>
        </w:rPr>
        <w:t>p</w:t>
      </w:r>
      <w:r w:rsidRPr="009F6F4F">
        <w:rPr>
          <w:lang w:val="nb-NO"/>
        </w:rPr>
        <w:t>. 176.</w:t>
      </w:r>
    </w:p>
  </w:footnote>
  <w:footnote w:id="22">
    <w:p w14:paraId="2B72969B" w14:textId="1E65B835" w:rsidR="00E35927" w:rsidRPr="009F6F4F" w:rsidRDefault="00000000">
      <w:pPr>
        <w:pStyle w:val="FootnoteText"/>
        <w:rPr>
          <w:lang w:val="nb-NO"/>
        </w:rPr>
      </w:pPr>
      <w:r>
        <w:rPr>
          <w:rStyle w:val="FootnoteReference"/>
        </w:rPr>
        <w:footnoteRef/>
      </w:r>
      <w:r w:rsidRPr="009F6F4F">
        <w:rPr>
          <w:lang w:val="nb-NO"/>
        </w:rPr>
        <w:t xml:space="preserve"> Richardson, 1974, </w:t>
      </w:r>
      <w:r w:rsidR="009F6F4F" w:rsidRPr="009F6F4F">
        <w:rPr>
          <w:lang w:val="nb-NO"/>
        </w:rPr>
        <w:t>p.</w:t>
      </w:r>
      <w:r w:rsidRPr="009F6F4F">
        <w:rPr>
          <w:lang w:val="nb-NO"/>
        </w:rPr>
        <w:t xml:space="preserve"> 176.</w:t>
      </w:r>
    </w:p>
  </w:footnote>
  <w:footnote w:id="23">
    <w:p w14:paraId="7E3D52AA" w14:textId="33DB64D9" w:rsidR="00E35927" w:rsidRPr="009F6F4F" w:rsidRDefault="00000000">
      <w:pPr>
        <w:pStyle w:val="FootnoteText"/>
        <w:rPr>
          <w:lang w:val="nb-NO"/>
        </w:rPr>
      </w:pPr>
      <w:r>
        <w:rPr>
          <w:rStyle w:val="FootnoteReference"/>
        </w:rPr>
        <w:footnoteRef/>
      </w:r>
      <w:r w:rsidRPr="009F6F4F">
        <w:rPr>
          <w:lang w:val="nb-NO"/>
        </w:rPr>
        <w:t xml:space="preserve"> Hendriksma, 2017, </w:t>
      </w:r>
      <w:r w:rsidR="009F6F4F" w:rsidRPr="009F6F4F">
        <w:rPr>
          <w:lang w:val="nb-NO"/>
        </w:rPr>
        <w:t>p.</w:t>
      </w:r>
      <w:r w:rsidRPr="009F6F4F">
        <w:rPr>
          <w:lang w:val="nb-NO"/>
        </w:rPr>
        <w:t xml:space="preserve">. 12. </w:t>
      </w:r>
    </w:p>
  </w:footnote>
  <w:footnote w:id="24">
    <w:p w14:paraId="1D4DD8C4" w14:textId="4429D140" w:rsidR="00E35927" w:rsidRPr="009F6F4F" w:rsidRDefault="00000000">
      <w:pPr>
        <w:pStyle w:val="FootnoteText"/>
        <w:rPr>
          <w:lang w:val="nb-NO"/>
        </w:rPr>
      </w:pPr>
      <w:r>
        <w:rPr>
          <w:rStyle w:val="FootnoteReference"/>
        </w:rPr>
        <w:footnoteRef/>
      </w:r>
      <w:r w:rsidRPr="009F6F4F">
        <w:rPr>
          <w:lang w:val="nb-NO"/>
        </w:rPr>
        <w:t xml:space="preserve"> Richardson, </w:t>
      </w:r>
      <w:r w:rsidR="001D3881" w:rsidRPr="009F6F4F">
        <w:rPr>
          <w:lang w:val="nb-NO"/>
        </w:rPr>
        <w:t xml:space="preserve">1974, </w:t>
      </w:r>
      <w:r w:rsidR="009F6F4F" w:rsidRPr="009F6F4F">
        <w:rPr>
          <w:lang w:val="nb-NO"/>
        </w:rPr>
        <w:t>p</w:t>
      </w:r>
      <w:r w:rsidRPr="009F6F4F">
        <w:rPr>
          <w:lang w:val="nb-NO"/>
        </w:rPr>
        <w:t xml:space="preserve">. 177. </w:t>
      </w:r>
    </w:p>
  </w:footnote>
  <w:footnote w:id="25">
    <w:p w14:paraId="6B742F56" w14:textId="191F958A" w:rsidR="00E35927" w:rsidRPr="009F6F4F" w:rsidRDefault="00000000">
      <w:pPr>
        <w:pStyle w:val="FootnoteText"/>
        <w:rPr>
          <w:lang w:val="nb-NO"/>
        </w:rPr>
      </w:pPr>
      <w:r>
        <w:rPr>
          <w:rStyle w:val="FootnoteReference"/>
        </w:rPr>
        <w:footnoteRef/>
      </w:r>
      <w:r w:rsidRPr="009F6F4F">
        <w:rPr>
          <w:lang w:val="nb-NO"/>
        </w:rPr>
        <w:t xml:space="preserve"> Richardson,</w:t>
      </w:r>
      <w:r w:rsidR="001D3881" w:rsidRPr="009F6F4F">
        <w:rPr>
          <w:lang w:val="nb-NO"/>
        </w:rPr>
        <w:t xml:space="preserve">1974, </w:t>
      </w:r>
      <w:r w:rsidRPr="009F6F4F">
        <w:rPr>
          <w:lang w:val="nb-NO"/>
        </w:rPr>
        <w:t xml:space="preserve"> </w:t>
      </w:r>
      <w:r w:rsidR="009F6F4F" w:rsidRPr="009F6F4F">
        <w:rPr>
          <w:lang w:val="nb-NO"/>
        </w:rPr>
        <w:t>p</w:t>
      </w:r>
      <w:r w:rsidRPr="009F6F4F">
        <w:rPr>
          <w:lang w:val="nb-NO"/>
        </w:rPr>
        <w:t>. 177.</w:t>
      </w:r>
    </w:p>
  </w:footnote>
  <w:footnote w:id="26">
    <w:p w14:paraId="4BB15B71" w14:textId="4FF88883" w:rsidR="008C0B7E" w:rsidRPr="00276586" w:rsidRDefault="00000000">
      <w:pPr>
        <w:pStyle w:val="FootnoteText"/>
        <w:rPr>
          <w:lang w:val="nb-NO"/>
        </w:rPr>
      </w:pPr>
      <w:r w:rsidRPr="00EB2719">
        <w:rPr>
          <w:rStyle w:val="FootnoteReference"/>
        </w:rPr>
        <w:footnoteRef/>
      </w:r>
      <w:r w:rsidRPr="00EB2719">
        <w:rPr>
          <w:lang w:val="nb-NO"/>
        </w:rPr>
        <w:t xml:space="preserve"> </w:t>
      </w:r>
      <w:proofErr w:type="spellStart"/>
      <w:r w:rsidRPr="00EB2719">
        <w:rPr>
          <w:lang w:val="nb-NO"/>
        </w:rPr>
        <w:t>Hyp</w:t>
      </w:r>
      <w:proofErr w:type="spellEnd"/>
      <w:r w:rsidR="00EB2719">
        <w:rPr>
          <w:lang w:val="nb-NO"/>
        </w:rPr>
        <w:t>.</w:t>
      </w:r>
      <w:r w:rsidRPr="00EB2719">
        <w:rPr>
          <w:lang w:val="nb-NO"/>
        </w:rPr>
        <w:t xml:space="preserve"> Fr</w:t>
      </w:r>
      <w:r w:rsidR="00EB2719">
        <w:rPr>
          <w:lang w:val="nb-NO"/>
        </w:rPr>
        <w:t>.</w:t>
      </w:r>
      <w:r w:rsidRPr="00EB2719">
        <w:rPr>
          <w:lang w:val="nb-NO"/>
        </w:rPr>
        <w:t xml:space="preserve"> 2</w:t>
      </w:r>
      <w:r w:rsidR="00D95595" w:rsidRPr="00EB2719">
        <w:rPr>
          <w:lang w:val="nb-NO"/>
        </w:rPr>
        <w:t>04</w:t>
      </w:r>
      <w:r w:rsidR="00EB2719">
        <w:rPr>
          <w:lang w:val="nb-NO"/>
        </w:rPr>
        <w:t>.</w:t>
      </w:r>
    </w:p>
  </w:footnote>
  <w:footnote w:id="27">
    <w:p w14:paraId="7AF2E4CB" w14:textId="239F2801" w:rsidR="008C0B7E" w:rsidRPr="00276586" w:rsidRDefault="00000000" w:rsidP="008C0B7E">
      <w:pPr>
        <w:pStyle w:val="FootnoteText"/>
        <w:rPr>
          <w:lang w:val="nb-NO"/>
        </w:rPr>
      </w:pPr>
      <w:r>
        <w:rPr>
          <w:rStyle w:val="FootnoteReference"/>
        </w:rPr>
        <w:footnoteRef/>
      </w:r>
      <w:r w:rsidRPr="00276586">
        <w:rPr>
          <w:lang w:val="nb-NO"/>
        </w:rPr>
        <w:t xml:space="preserve"> Pratt, </w:t>
      </w:r>
      <w:r w:rsidR="001D3881" w:rsidRPr="00276586">
        <w:rPr>
          <w:lang w:val="nb-NO"/>
        </w:rPr>
        <w:t xml:space="preserve">1974, </w:t>
      </w:r>
      <w:r w:rsidR="009F6F4F" w:rsidRPr="00276586">
        <w:rPr>
          <w:lang w:val="nb-NO"/>
        </w:rPr>
        <w:t>p</w:t>
      </w:r>
      <w:r w:rsidRPr="00276586">
        <w:rPr>
          <w:lang w:val="nb-NO"/>
        </w:rPr>
        <w:t>. 42.</w:t>
      </w:r>
    </w:p>
  </w:footnote>
  <w:footnote w:id="28">
    <w:p w14:paraId="1A26557E" w14:textId="2C2C917F" w:rsidR="008C0B7E" w:rsidRPr="00276586" w:rsidRDefault="00000000">
      <w:pPr>
        <w:pStyle w:val="FootnoteText"/>
        <w:rPr>
          <w:lang w:val="nb-NO"/>
        </w:rPr>
      </w:pPr>
      <w:r>
        <w:rPr>
          <w:rStyle w:val="FootnoteReference"/>
        </w:rPr>
        <w:footnoteRef/>
      </w:r>
      <w:r w:rsidRPr="00276586">
        <w:rPr>
          <w:lang w:val="nb-NO"/>
        </w:rPr>
        <w:t xml:space="preserve"> Pratt,</w:t>
      </w:r>
      <w:r w:rsidR="001D3881" w:rsidRPr="00276586">
        <w:rPr>
          <w:lang w:val="nb-NO"/>
        </w:rPr>
        <w:t xml:space="preserve"> 1974,</w:t>
      </w:r>
      <w:r w:rsidRPr="00276586">
        <w:rPr>
          <w:lang w:val="nb-NO"/>
        </w:rPr>
        <w:t xml:space="preserve"> </w:t>
      </w:r>
      <w:r w:rsidR="009F6F4F" w:rsidRPr="00276586">
        <w:rPr>
          <w:lang w:val="nb-NO"/>
        </w:rPr>
        <w:t>p</w:t>
      </w:r>
      <w:r w:rsidRPr="00276586">
        <w:rPr>
          <w:lang w:val="nb-NO"/>
        </w:rPr>
        <w:t>. 43.</w:t>
      </w:r>
    </w:p>
  </w:footnote>
  <w:footnote w:id="29">
    <w:p w14:paraId="07AB3AA7" w14:textId="71BBC4A4" w:rsidR="00DA7036" w:rsidRDefault="00000000">
      <w:pPr>
        <w:pStyle w:val="FootnoteText"/>
      </w:pPr>
      <w:r>
        <w:rPr>
          <w:rStyle w:val="FootnoteReference"/>
        </w:rPr>
        <w:footnoteRef/>
      </w:r>
      <w:r>
        <w:t xml:space="preserve"> Pratt, 1974, p. 54.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87"/>
    <w:rsid w:val="000D3758"/>
    <w:rsid w:val="001306C2"/>
    <w:rsid w:val="00136947"/>
    <w:rsid w:val="001C0EF2"/>
    <w:rsid w:val="001D3881"/>
    <w:rsid w:val="00222C69"/>
    <w:rsid w:val="002306C2"/>
    <w:rsid w:val="0024481C"/>
    <w:rsid w:val="00261614"/>
    <w:rsid w:val="00276586"/>
    <w:rsid w:val="002D346E"/>
    <w:rsid w:val="002E6407"/>
    <w:rsid w:val="002F34DD"/>
    <w:rsid w:val="002F645F"/>
    <w:rsid w:val="00557393"/>
    <w:rsid w:val="005F3662"/>
    <w:rsid w:val="0068414F"/>
    <w:rsid w:val="006A3D2F"/>
    <w:rsid w:val="006C00CC"/>
    <w:rsid w:val="0072679F"/>
    <w:rsid w:val="00741A4E"/>
    <w:rsid w:val="00751076"/>
    <w:rsid w:val="007C2045"/>
    <w:rsid w:val="007D7E4E"/>
    <w:rsid w:val="008903CD"/>
    <w:rsid w:val="008C0B7E"/>
    <w:rsid w:val="008D5FF1"/>
    <w:rsid w:val="008E7C0C"/>
    <w:rsid w:val="009A0E2B"/>
    <w:rsid w:val="009F6F4F"/>
    <w:rsid w:val="00A734AB"/>
    <w:rsid w:val="00AA1CA0"/>
    <w:rsid w:val="00B21B98"/>
    <w:rsid w:val="00B6184B"/>
    <w:rsid w:val="00B958A1"/>
    <w:rsid w:val="00C163D5"/>
    <w:rsid w:val="00C17C87"/>
    <w:rsid w:val="00C5029C"/>
    <w:rsid w:val="00CF3A70"/>
    <w:rsid w:val="00D95595"/>
    <w:rsid w:val="00DA7036"/>
    <w:rsid w:val="00DF4D38"/>
    <w:rsid w:val="00E35927"/>
    <w:rsid w:val="00E43257"/>
    <w:rsid w:val="00EB2719"/>
    <w:rsid w:val="00EB6B89"/>
    <w:rsid w:val="00F0505B"/>
    <w:rsid w:val="00F070C8"/>
    <w:rsid w:val="00F25E6F"/>
    <w:rsid w:val="00FB1D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C45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7C87"/>
  </w:style>
  <w:style w:type="paragraph" w:styleId="Heading1">
    <w:name w:val="heading 1"/>
    <w:basedOn w:val="Normal"/>
    <w:next w:val="Normal"/>
    <w:link w:val="Heading1Char"/>
    <w:uiPriority w:val="9"/>
    <w:qFormat/>
    <w:rsid w:val="009F6F4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13694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E7C0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E7C0C"/>
    <w:rPr>
      <w:sz w:val="20"/>
      <w:szCs w:val="20"/>
    </w:rPr>
  </w:style>
  <w:style w:type="character" w:styleId="FootnoteReference">
    <w:name w:val="footnote reference"/>
    <w:basedOn w:val="DefaultParagraphFont"/>
    <w:uiPriority w:val="99"/>
    <w:semiHidden/>
    <w:unhideWhenUsed/>
    <w:rsid w:val="008E7C0C"/>
    <w:rPr>
      <w:vertAlign w:val="superscript"/>
    </w:rPr>
  </w:style>
  <w:style w:type="character" w:styleId="Hyperlink">
    <w:name w:val="Hyperlink"/>
    <w:basedOn w:val="DefaultParagraphFont"/>
    <w:uiPriority w:val="99"/>
    <w:unhideWhenUsed/>
    <w:rsid w:val="002306C2"/>
    <w:rPr>
      <w:color w:val="0000FF"/>
      <w:u w:val="single"/>
    </w:rPr>
  </w:style>
  <w:style w:type="character" w:customStyle="1" w:styleId="UnresolvedMention1">
    <w:name w:val="Unresolved Mention1"/>
    <w:basedOn w:val="DefaultParagraphFont"/>
    <w:uiPriority w:val="99"/>
    <w:semiHidden/>
    <w:unhideWhenUsed/>
    <w:rsid w:val="00261614"/>
    <w:rPr>
      <w:color w:val="605E5C"/>
      <w:shd w:val="clear" w:color="auto" w:fill="E1DFDD"/>
    </w:rPr>
  </w:style>
  <w:style w:type="character" w:styleId="FollowedHyperlink">
    <w:name w:val="FollowedHyperlink"/>
    <w:basedOn w:val="DefaultParagraphFont"/>
    <w:uiPriority w:val="99"/>
    <w:semiHidden/>
    <w:unhideWhenUsed/>
    <w:rsid w:val="001306C2"/>
    <w:rPr>
      <w:color w:val="800080" w:themeColor="followedHyperlink"/>
      <w:u w:val="single"/>
    </w:rPr>
  </w:style>
  <w:style w:type="character" w:customStyle="1" w:styleId="Heading2Char">
    <w:name w:val="Heading 2 Char"/>
    <w:basedOn w:val="DefaultParagraphFont"/>
    <w:link w:val="Heading2"/>
    <w:uiPriority w:val="9"/>
    <w:rsid w:val="00136947"/>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C163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3D5"/>
  </w:style>
  <w:style w:type="paragraph" w:styleId="Footer">
    <w:name w:val="footer"/>
    <w:basedOn w:val="Normal"/>
    <w:link w:val="FooterChar"/>
    <w:uiPriority w:val="99"/>
    <w:unhideWhenUsed/>
    <w:rsid w:val="00C163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3D5"/>
  </w:style>
  <w:style w:type="character" w:customStyle="1" w:styleId="Heading1Char">
    <w:name w:val="Heading 1 Char"/>
    <w:basedOn w:val="DefaultParagraphFont"/>
    <w:link w:val="Heading1"/>
    <w:uiPriority w:val="9"/>
    <w:rsid w:val="009F6F4F"/>
    <w:rPr>
      <w:rFonts w:asciiTheme="majorHAnsi" w:eastAsiaTheme="majorEastAsia" w:hAnsiTheme="majorHAnsi" w:cstheme="majorBidi"/>
      <w:color w:val="365F91" w:themeColor="accent1" w:themeShade="BF"/>
      <w:sz w:val="32"/>
      <w:szCs w:val="32"/>
    </w:rPr>
  </w:style>
  <w:style w:type="character" w:customStyle="1" w:styleId="Title1">
    <w:name w:val="Title1"/>
    <w:basedOn w:val="DefaultParagraphFont"/>
    <w:rsid w:val="009F6F4F"/>
  </w:style>
  <w:style w:type="character" w:customStyle="1" w:styleId="markedcontent">
    <w:name w:val="markedcontent"/>
    <w:basedOn w:val="DefaultParagraphFont"/>
    <w:rsid w:val="00684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oebclassics-com.ezproxy.uwtsd.ac.uk/view/hyperides-fragments/1954/pb_LCL395.601.xml?result=1&amp;rskey=hRAPCY"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chs.harvard.edu/primary-source/homeric-hymn-to-demeter-sb/"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erseus.tufts.edu/hopper/text?doc=Perseus%3atext%3a1999.01.0137%3ahymn%3d2" TargetMode="External"/><Relationship Id="rId11" Type="http://schemas.openxmlformats.org/officeDocument/2006/relationships/hyperlink" Target="https://studenttheses.uu.nl/handle/20.500.12932/27414" TargetMode="External"/><Relationship Id="rId5" Type="http://schemas.openxmlformats.org/officeDocument/2006/relationships/endnotes" Target="endnotes.xml"/><Relationship Id="rId10" Type="http://schemas.openxmlformats.org/officeDocument/2006/relationships/hyperlink" Target="https://www.perseus.tufts.edu/hopper/text?doc=Paus.%202.35" TargetMode="External"/><Relationship Id="rId4" Type="http://schemas.openxmlformats.org/officeDocument/2006/relationships/footnotes" Target="footnotes.xml"/><Relationship Id="rId9" Type="http://schemas.openxmlformats.org/officeDocument/2006/relationships/hyperlink" Target="https://global.oup.com/us/companion.websites/9780195397703/student/materials/chapter14/comment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1595</Words>
  <Characters>9096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2022-09-26T10:03:00Z</dcterms:created>
  <dcterms:modified xsi:type="dcterms:W3CDTF">2022-09-26T10:55:00Z</dcterms:modified>
</cp:coreProperties>
</file>