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A4C64" w14:textId="77777777" w:rsidR="00F951A1" w:rsidRDefault="00F951A1" w:rsidP="00F951A1">
      <w:pPr>
        <w:spacing w:line="360" w:lineRule="auto"/>
        <w:jc w:val="center"/>
        <w:rPr>
          <w:rFonts w:ascii="Arial" w:hAnsi="Arial" w:cs="Arial"/>
        </w:rPr>
      </w:pPr>
    </w:p>
    <w:p w14:paraId="2116B25B" w14:textId="77777777" w:rsidR="00F951A1" w:rsidRDefault="00F951A1" w:rsidP="00F951A1">
      <w:pPr>
        <w:spacing w:line="360" w:lineRule="auto"/>
        <w:jc w:val="center"/>
        <w:rPr>
          <w:rFonts w:ascii="Arial" w:hAnsi="Arial" w:cs="Arial"/>
        </w:rPr>
      </w:pPr>
    </w:p>
    <w:p w14:paraId="68B7C229" w14:textId="77777777" w:rsidR="00F951A1" w:rsidRDefault="00F951A1" w:rsidP="00F951A1">
      <w:pPr>
        <w:spacing w:line="360" w:lineRule="auto"/>
        <w:jc w:val="center"/>
        <w:rPr>
          <w:rFonts w:ascii="Arial" w:hAnsi="Arial" w:cs="Arial"/>
        </w:rPr>
      </w:pPr>
    </w:p>
    <w:p w14:paraId="670A6A83" w14:textId="77777777" w:rsidR="00F951A1" w:rsidRDefault="00F951A1" w:rsidP="00F951A1">
      <w:pPr>
        <w:spacing w:line="360" w:lineRule="auto"/>
        <w:jc w:val="center"/>
        <w:rPr>
          <w:rFonts w:ascii="Arial" w:hAnsi="Arial" w:cs="Arial"/>
        </w:rPr>
      </w:pPr>
    </w:p>
    <w:p w14:paraId="7AC57B24" w14:textId="77777777" w:rsidR="00F951A1" w:rsidRDefault="00F951A1" w:rsidP="00F951A1">
      <w:pPr>
        <w:spacing w:line="360" w:lineRule="auto"/>
        <w:jc w:val="center"/>
        <w:rPr>
          <w:rFonts w:ascii="Arial" w:hAnsi="Arial" w:cs="Arial"/>
        </w:rPr>
      </w:pPr>
    </w:p>
    <w:p w14:paraId="1F2E3C19" w14:textId="77777777" w:rsidR="00F951A1" w:rsidRDefault="00F951A1" w:rsidP="00F951A1">
      <w:pPr>
        <w:spacing w:line="360" w:lineRule="auto"/>
        <w:jc w:val="center"/>
        <w:rPr>
          <w:rFonts w:ascii="Arial" w:hAnsi="Arial" w:cs="Arial"/>
        </w:rPr>
      </w:pPr>
    </w:p>
    <w:p w14:paraId="4601FEB2" w14:textId="77777777" w:rsidR="00F951A1" w:rsidRDefault="00F951A1" w:rsidP="00F951A1">
      <w:pPr>
        <w:spacing w:line="360" w:lineRule="auto"/>
        <w:jc w:val="center"/>
        <w:rPr>
          <w:rFonts w:ascii="Arial" w:hAnsi="Arial" w:cs="Arial"/>
        </w:rPr>
      </w:pPr>
    </w:p>
    <w:p w14:paraId="4679796D" w14:textId="77777777" w:rsidR="00F951A1" w:rsidRDefault="00F951A1" w:rsidP="00F951A1">
      <w:pPr>
        <w:spacing w:line="360" w:lineRule="auto"/>
        <w:rPr>
          <w:rFonts w:ascii="Arial" w:hAnsi="Arial" w:cs="Arial"/>
          <w:b/>
          <w:bCs/>
          <w:sz w:val="40"/>
          <w:szCs w:val="40"/>
        </w:rPr>
      </w:pPr>
    </w:p>
    <w:p w14:paraId="09F12D37" w14:textId="14698E3C" w:rsidR="00F951A1" w:rsidRPr="00F951A1" w:rsidRDefault="00F951A1" w:rsidP="00F951A1">
      <w:pPr>
        <w:spacing w:line="360" w:lineRule="auto"/>
        <w:rPr>
          <w:rFonts w:ascii="Arial" w:hAnsi="Arial" w:cs="Arial"/>
          <w:b/>
          <w:bCs/>
          <w:sz w:val="40"/>
          <w:szCs w:val="40"/>
        </w:rPr>
      </w:pPr>
      <w:r w:rsidRPr="00F951A1">
        <w:rPr>
          <w:rFonts w:ascii="Arial" w:hAnsi="Arial" w:cs="Arial"/>
          <w:b/>
          <w:bCs/>
          <w:sz w:val="40"/>
          <w:szCs w:val="40"/>
        </w:rPr>
        <w:t>Student Name: Casiana Adriana Danci</w:t>
      </w:r>
    </w:p>
    <w:p w14:paraId="76E2CE0A" w14:textId="2702A7C4" w:rsidR="00F951A1" w:rsidRPr="00F951A1" w:rsidRDefault="00F951A1" w:rsidP="00F951A1">
      <w:pPr>
        <w:spacing w:line="360" w:lineRule="auto"/>
        <w:rPr>
          <w:rFonts w:ascii="Arial" w:hAnsi="Arial" w:cs="Arial"/>
          <w:b/>
          <w:bCs/>
          <w:sz w:val="40"/>
          <w:szCs w:val="40"/>
        </w:rPr>
      </w:pPr>
      <w:r w:rsidRPr="00F951A1">
        <w:rPr>
          <w:rFonts w:ascii="Arial" w:hAnsi="Arial" w:cs="Arial"/>
          <w:b/>
          <w:bCs/>
          <w:sz w:val="40"/>
          <w:szCs w:val="40"/>
        </w:rPr>
        <w:t>Student ID: 2225536</w:t>
      </w:r>
      <w:r w:rsidRPr="00F951A1">
        <w:rPr>
          <w:rFonts w:ascii="Arial" w:hAnsi="Arial" w:cs="Arial"/>
          <w:b/>
          <w:bCs/>
          <w:sz w:val="40"/>
          <w:szCs w:val="40"/>
        </w:rPr>
        <w:br/>
        <w:t>Programme: BA Business Management</w:t>
      </w:r>
    </w:p>
    <w:p w14:paraId="1766C589" w14:textId="2BEAC759" w:rsidR="00F951A1" w:rsidRPr="00F951A1" w:rsidRDefault="00F951A1" w:rsidP="00F951A1">
      <w:pPr>
        <w:spacing w:line="360" w:lineRule="auto"/>
        <w:rPr>
          <w:rFonts w:ascii="Arial" w:hAnsi="Arial" w:cs="Arial"/>
          <w:b/>
          <w:bCs/>
          <w:sz w:val="40"/>
          <w:szCs w:val="40"/>
        </w:rPr>
      </w:pPr>
      <w:r w:rsidRPr="00F951A1">
        <w:rPr>
          <w:rFonts w:ascii="Arial" w:hAnsi="Arial" w:cs="Arial"/>
          <w:b/>
          <w:bCs/>
          <w:sz w:val="40"/>
          <w:szCs w:val="40"/>
        </w:rPr>
        <w:t>Module: International Financial Management</w:t>
      </w:r>
    </w:p>
    <w:p w14:paraId="551B549B" w14:textId="5028EFF3" w:rsidR="00F951A1" w:rsidRPr="00F951A1" w:rsidRDefault="00F951A1" w:rsidP="00F951A1">
      <w:pPr>
        <w:spacing w:line="360" w:lineRule="auto"/>
        <w:rPr>
          <w:rFonts w:ascii="Arial" w:hAnsi="Arial" w:cs="Arial"/>
          <w:b/>
          <w:bCs/>
          <w:sz w:val="40"/>
          <w:szCs w:val="40"/>
        </w:rPr>
      </w:pPr>
      <w:r w:rsidRPr="00F951A1">
        <w:rPr>
          <w:rFonts w:ascii="Arial" w:hAnsi="Arial" w:cs="Arial"/>
          <w:b/>
          <w:bCs/>
          <w:sz w:val="40"/>
          <w:szCs w:val="40"/>
        </w:rPr>
        <w:t>Module code: LCBB6002</w:t>
      </w:r>
    </w:p>
    <w:p w14:paraId="44F093B8" w14:textId="3232CADF" w:rsidR="00F951A1" w:rsidRPr="00F951A1" w:rsidRDefault="00F951A1" w:rsidP="00F951A1">
      <w:pPr>
        <w:spacing w:line="360" w:lineRule="auto"/>
        <w:rPr>
          <w:rFonts w:ascii="Arial" w:hAnsi="Arial" w:cs="Arial"/>
          <w:b/>
          <w:bCs/>
          <w:sz w:val="40"/>
          <w:szCs w:val="40"/>
        </w:rPr>
      </w:pPr>
      <w:r w:rsidRPr="00F951A1">
        <w:rPr>
          <w:rFonts w:ascii="Arial" w:hAnsi="Arial" w:cs="Arial"/>
          <w:b/>
          <w:bCs/>
          <w:sz w:val="40"/>
          <w:szCs w:val="40"/>
        </w:rPr>
        <w:t>Module Lecturer: Dr Mudassar Hasan</w:t>
      </w:r>
      <w:r w:rsidRPr="00F951A1">
        <w:rPr>
          <w:rFonts w:ascii="Arial" w:hAnsi="Arial" w:cs="Arial"/>
          <w:b/>
          <w:bCs/>
          <w:sz w:val="40"/>
          <w:szCs w:val="40"/>
        </w:rPr>
        <w:br/>
      </w:r>
    </w:p>
    <w:p w14:paraId="17A9B73D" w14:textId="77777777" w:rsidR="00F951A1" w:rsidRDefault="00F951A1" w:rsidP="00E052E0">
      <w:pPr>
        <w:spacing w:line="360" w:lineRule="auto"/>
        <w:rPr>
          <w:rFonts w:ascii="Arial" w:hAnsi="Arial" w:cs="Arial"/>
        </w:rPr>
      </w:pPr>
    </w:p>
    <w:p w14:paraId="71B978AD" w14:textId="4A66C000" w:rsidR="00F951A1" w:rsidRDefault="00F951A1">
      <w:pPr>
        <w:rPr>
          <w:rFonts w:ascii="Arial" w:hAnsi="Arial" w:cs="Arial"/>
        </w:rPr>
      </w:pPr>
      <w:r>
        <w:rPr>
          <w:rFonts w:ascii="Arial" w:hAnsi="Arial" w:cs="Arial"/>
        </w:rPr>
        <w:br w:type="page"/>
      </w:r>
    </w:p>
    <w:p w14:paraId="270429BF" w14:textId="0436CADB" w:rsidR="00F951A1" w:rsidRDefault="00F951A1" w:rsidP="00F951A1">
      <w:pPr>
        <w:spacing w:line="360" w:lineRule="auto"/>
        <w:jc w:val="center"/>
        <w:rPr>
          <w:rFonts w:ascii="Arial" w:hAnsi="Arial" w:cs="Arial"/>
          <w:b/>
          <w:bCs/>
          <w:sz w:val="40"/>
          <w:szCs w:val="40"/>
        </w:rPr>
      </w:pPr>
      <w:r>
        <w:rPr>
          <w:rFonts w:ascii="Arial" w:hAnsi="Arial" w:cs="Arial"/>
          <w:b/>
          <w:bCs/>
          <w:sz w:val="40"/>
          <w:szCs w:val="40"/>
        </w:rPr>
        <w:lastRenderedPageBreak/>
        <w:br/>
      </w:r>
      <w:r>
        <w:rPr>
          <w:rFonts w:ascii="Arial" w:hAnsi="Arial" w:cs="Arial"/>
          <w:b/>
          <w:bCs/>
          <w:sz w:val="40"/>
          <w:szCs w:val="40"/>
        </w:rPr>
        <w:br/>
      </w:r>
    </w:p>
    <w:sdt>
      <w:sdtPr>
        <w:id w:val="-54891253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5C256BB" w14:textId="7C7D57F8" w:rsidR="00F951A1" w:rsidRDefault="00F951A1">
          <w:pPr>
            <w:pStyle w:val="TOCHeading"/>
          </w:pPr>
          <w:r>
            <w:t>Table of Contents</w:t>
          </w:r>
        </w:p>
        <w:p w14:paraId="3F41F6E5" w14:textId="7BD37DC8" w:rsidR="00F951A1" w:rsidRDefault="00F951A1">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191155010" w:history="1">
            <w:r w:rsidRPr="00744767">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_Toc191155010 \h </w:instrText>
            </w:r>
            <w:r>
              <w:rPr>
                <w:noProof/>
                <w:webHidden/>
              </w:rPr>
            </w:r>
            <w:r>
              <w:rPr>
                <w:noProof/>
                <w:webHidden/>
              </w:rPr>
              <w:fldChar w:fldCharType="separate"/>
            </w:r>
            <w:r>
              <w:rPr>
                <w:noProof/>
                <w:webHidden/>
              </w:rPr>
              <w:t>2</w:t>
            </w:r>
            <w:r>
              <w:rPr>
                <w:noProof/>
                <w:webHidden/>
              </w:rPr>
              <w:fldChar w:fldCharType="end"/>
            </w:r>
          </w:hyperlink>
        </w:p>
        <w:p w14:paraId="60A99671" w14:textId="30165491" w:rsidR="00F951A1" w:rsidRDefault="00F951A1">
          <w:pPr>
            <w:pStyle w:val="TOC1"/>
            <w:tabs>
              <w:tab w:val="right" w:leader="dot" w:pos="10456"/>
            </w:tabs>
            <w:rPr>
              <w:rFonts w:eastAsiaTheme="minorEastAsia"/>
              <w:noProof/>
              <w:sz w:val="24"/>
              <w:szCs w:val="24"/>
              <w:lang w:eastAsia="en-GB"/>
            </w:rPr>
          </w:pPr>
          <w:hyperlink w:anchor="_Toc191155011" w:history="1">
            <w:r w:rsidRPr="00744767">
              <w:rPr>
                <w:rStyle w:val="Hyperlink"/>
                <w:noProof/>
              </w:rPr>
              <w:t>Introduction</w:t>
            </w:r>
            <w:r>
              <w:rPr>
                <w:noProof/>
                <w:webHidden/>
              </w:rPr>
              <w:tab/>
            </w:r>
            <w:r>
              <w:rPr>
                <w:noProof/>
                <w:webHidden/>
              </w:rPr>
              <w:fldChar w:fldCharType="begin"/>
            </w:r>
            <w:r>
              <w:rPr>
                <w:noProof/>
                <w:webHidden/>
              </w:rPr>
              <w:instrText xml:space="preserve"> PAGEREF _Toc191155011 \h </w:instrText>
            </w:r>
            <w:r>
              <w:rPr>
                <w:noProof/>
                <w:webHidden/>
              </w:rPr>
            </w:r>
            <w:r>
              <w:rPr>
                <w:noProof/>
                <w:webHidden/>
              </w:rPr>
              <w:fldChar w:fldCharType="separate"/>
            </w:r>
            <w:r>
              <w:rPr>
                <w:noProof/>
                <w:webHidden/>
              </w:rPr>
              <w:t>3</w:t>
            </w:r>
            <w:r>
              <w:rPr>
                <w:noProof/>
                <w:webHidden/>
              </w:rPr>
              <w:fldChar w:fldCharType="end"/>
            </w:r>
          </w:hyperlink>
        </w:p>
        <w:p w14:paraId="64FD526D" w14:textId="465B32A1" w:rsidR="00F951A1" w:rsidRDefault="00F951A1">
          <w:pPr>
            <w:pStyle w:val="TOC1"/>
            <w:tabs>
              <w:tab w:val="right" w:leader="dot" w:pos="10456"/>
            </w:tabs>
            <w:rPr>
              <w:rFonts w:eastAsiaTheme="minorEastAsia"/>
              <w:noProof/>
              <w:sz w:val="24"/>
              <w:szCs w:val="24"/>
              <w:lang w:eastAsia="en-GB"/>
            </w:rPr>
          </w:pPr>
          <w:hyperlink w:anchor="_Toc191155012" w:history="1">
            <w:r w:rsidRPr="00744767">
              <w:rPr>
                <w:rStyle w:val="Hyperlink"/>
                <w:noProof/>
              </w:rPr>
              <w:t>1. Corporate Governance and Agency Theory</w:t>
            </w:r>
            <w:r>
              <w:rPr>
                <w:noProof/>
                <w:webHidden/>
              </w:rPr>
              <w:tab/>
            </w:r>
            <w:r>
              <w:rPr>
                <w:noProof/>
                <w:webHidden/>
              </w:rPr>
              <w:fldChar w:fldCharType="begin"/>
            </w:r>
            <w:r>
              <w:rPr>
                <w:noProof/>
                <w:webHidden/>
              </w:rPr>
              <w:instrText xml:space="preserve"> PAGEREF _Toc191155012 \h </w:instrText>
            </w:r>
            <w:r>
              <w:rPr>
                <w:noProof/>
                <w:webHidden/>
              </w:rPr>
            </w:r>
            <w:r>
              <w:rPr>
                <w:noProof/>
                <w:webHidden/>
              </w:rPr>
              <w:fldChar w:fldCharType="separate"/>
            </w:r>
            <w:r>
              <w:rPr>
                <w:noProof/>
                <w:webHidden/>
              </w:rPr>
              <w:t>3</w:t>
            </w:r>
            <w:r>
              <w:rPr>
                <w:noProof/>
                <w:webHidden/>
              </w:rPr>
              <w:fldChar w:fldCharType="end"/>
            </w:r>
          </w:hyperlink>
        </w:p>
        <w:p w14:paraId="65501695" w14:textId="033B764B" w:rsidR="00F951A1" w:rsidRDefault="00F951A1">
          <w:pPr>
            <w:pStyle w:val="TOC1"/>
            <w:tabs>
              <w:tab w:val="right" w:leader="dot" w:pos="10456"/>
            </w:tabs>
            <w:rPr>
              <w:rFonts w:eastAsiaTheme="minorEastAsia"/>
              <w:noProof/>
              <w:sz w:val="24"/>
              <w:szCs w:val="24"/>
              <w:lang w:eastAsia="en-GB"/>
            </w:rPr>
          </w:pPr>
          <w:hyperlink w:anchor="_Toc191155013" w:history="1">
            <w:r w:rsidRPr="00744767">
              <w:rPr>
                <w:rStyle w:val="Hyperlink"/>
                <w:noProof/>
              </w:rPr>
              <w:t>2. Retaining Control with 30% Shareholding</w:t>
            </w:r>
            <w:r>
              <w:rPr>
                <w:noProof/>
                <w:webHidden/>
              </w:rPr>
              <w:tab/>
            </w:r>
            <w:r>
              <w:rPr>
                <w:noProof/>
                <w:webHidden/>
              </w:rPr>
              <w:fldChar w:fldCharType="begin"/>
            </w:r>
            <w:r>
              <w:rPr>
                <w:noProof/>
                <w:webHidden/>
              </w:rPr>
              <w:instrText xml:space="preserve"> PAGEREF _Toc191155013 \h </w:instrText>
            </w:r>
            <w:r>
              <w:rPr>
                <w:noProof/>
                <w:webHidden/>
              </w:rPr>
            </w:r>
            <w:r>
              <w:rPr>
                <w:noProof/>
                <w:webHidden/>
              </w:rPr>
              <w:fldChar w:fldCharType="separate"/>
            </w:r>
            <w:r>
              <w:rPr>
                <w:noProof/>
                <w:webHidden/>
              </w:rPr>
              <w:t>4</w:t>
            </w:r>
            <w:r>
              <w:rPr>
                <w:noProof/>
                <w:webHidden/>
              </w:rPr>
              <w:fldChar w:fldCharType="end"/>
            </w:r>
          </w:hyperlink>
        </w:p>
        <w:p w14:paraId="4C7F3D0D" w14:textId="39F2D86D" w:rsidR="00F951A1" w:rsidRDefault="00F951A1">
          <w:pPr>
            <w:pStyle w:val="TOC2"/>
            <w:tabs>
              <w:tab w:val="right" w:leader="dot" w:pos="10456"/>
            </w:tabs>
            <w:rPr>
              <w:rFonts w:eastAsiaTheme="minorEastAsia"/>
              <w:noProof/>
              <w:sz w:val="24"/>
              <w:szCs w:val="24"/>
              <w:lang w:eastAsia="en-GB"/>
            </w:rPr>
          </w:pPr>
          <w:hyperlink w:anchor="_Toc191155014" w:history="1">
            <w:r w:rsidRPr="00744767">
              <w:rPr>
                <w:rStyle w:val="Hyperlink"/>
                <w:noProof/>
              </w:rPr>
              <w:t>b) Strategies to Retain Control</w:t>
            </w:r>
            <w:r>
              <w:rPr>
                <w:noProof/>
                <w:webHidden/>
              </w:rPr>
              <w:tab/>
            </w:r>
            <w:r>
              <w:rPr>
                <w:noProof/>
                <w:webHidden/>
              </w:rPr>
              <w:fldChar w:fldCharType="begin"/>
            </w:r>
            <w:r>
              <w:rPr>
                <w:noProof/>
                <w:webHidden/>
              </w:rPr>
              <w:instrText xml:space="preserve"> PAGEREF _Toc191155014 \h </w:instrText>
            </w:r>
            <w:r>
              <w:rPr>
                <w:noProof/>
                <w:webHidden/>
              </w:rPr>
            </w:r>
            <w:r>
              <w:rPr>
                <w:noProof/>
                <w:webHidden/>
              </w:rPr>
              <w:fldChar w:fldCharType="separate"/>
            </w:r>
            <w:r>
              <w:rPr>
                <w:noProof/>
                <w:webHidden/>
              </w:rPr>
              <w:t>4</w:t>
            </w:r>
            <w:r>
              <w:rPr>
                <w:noProof/>
                <w:webHidden/>
              </w:rPr>
              <w:fldChar w:fldCharType="end"/>
            </w:r>
          </w:hyperlink>
        </w:p>
        <w:p w14:paraId="4855FD47" w14:textId="7F214D60" w:rsidR="00F951A1" w:rsidRDefault="00F951A1">
          <w:pPr>
            <w:pStyle w:val="TOC1"/>
            <w:tabs>
              <w:tab w:val="right" w:leader="dot" w:pos="10456"/>
            </w:tabs>
            <w:rPr>
              <w:rFonts w:eastAsiaTheme="minorEastAsia"/>
              <w:noProof/>
              <w:sz w:val="24"/>
              <w:szCs w:val="24"/>
              <w:lang w:eastAsia="en-GB"/>
            </w:rPr>
          </w:pPr>
          <w:hyperlink w:anchor="_Toc191155015" w:history="1">
            <w:r w:rsidRPr="00744767">
              <w:rPr>
                <w:rStyle w:val="Hyperlink"/>
                <w:noProof/>
              </w:rPr>
              <w:t>3. Remuneration of Directors</w:t>
            </w:r>
            <w:r>
              <w:rPr>
                <w:noProof/>
                <w:webHidden/>
              </w:rPr>
              <w:tab/>
            </w:r>
            <w:r>
              <w:rPr>
                <w:noProof/>
                <w:webHidden/>
              </w:rPr>
              <w:fldChar w:fldCharType="begin"/>
            </w:r>
            <w:r>
              <w:rPr>
                <w:noProof/>
                <w:webHidden/>
              </w:rPr>
              <w:instrText xml:space="preserve"> PAGEREF _Toc191155015 \h </w:instrText>
            </w:r>
            <w:r>
              <w:rPr>
                <w:noProof/>
                <w:webHidden/>
              </w:rPr>
            </w:r>
            <w:r>
              <w:rPr>
                <w:noProof/>
                <w:webHidden/>
              </w:rPr>
              <w:fldChar w:fldCharType="separate"/>
            </w:r>
            <w:r>
              <w:rPr>
                <w:noProof/>
                <w:webHidden/>
              </w:rPr>
              <w:t>5</w:t>
            </w:r>
            <w:r>
              <w:rPr>
                <w:noProof/>
                <w:webHidden/>
              </w:rPr>
              <w:fldChar w:fldCharType="end"/>
            </w:r>
          </w:hyperlink>
        </w:p>
        <w:p w14:paraId="25E279AA" w14:textId="1948B758" w:rsidR="00F951A1" w:rsidRDefault="00F951A1">
          <w:pPr>
            <w:pStyle w:val="TOC1"/>
            <w:tabs>
              <w:tab w:val="right" w:leader="dot" w:pos="10456"/>
            </w:tabs>
            <w:rPr>
              <w:rFonts w:eastAsiaTheme="minorEastAsia"/>
              <w:noProof/>
              <w:sz w:val="24"/>
              <w:szCs w:val="24"/>
              <w:lang w:eastAsia="en-GB"/>
            </w:rPr>
          </w:pPr>
          <w:hyperlink w:anchor="_Toc191155016" w:history="1">
            <w:r w:rsidRPr="00744767">
              <w:rPr>
                <w:rStyle w:val="Hyperlink"/>
                <w:noProof/>
              </w:rPr>
              <w:t>4. Institutional Considerations: Listing in Shanghai vs. the Netherlands</w:t>
            </w:r>
            <w:r>
              <w:rPr>
                <w:noProof/>
                <w:webHidden/>
              </w:rPr>
              <w:tab/>
            </w:r>
            <w:r>
              <w:rPr>
                <w:noProof/>
                <w:webHidden/>
              </w:rPr>
              <w:fldChar w:fldCharType="begin"/>
            </w:r>
            <w:r>
              <w:rPr>
                <w:noProof/>
                <w:webHidden/>
              </w:rPr>
              <w:instrText xml:space="preserve"> PAGEREF _Toc191155016 \h </w:instrText>
            </w:r>
            <w:r>
              <w:rPr>
                <w:noProof/>
                <w:webHidden/>
              </w:rPr>
            </w:r>
            <w:r>
              <w:rPr>
                <w:noProof/>
                <w:webHidden/>
              </w:rPr>
              <w:fldChar w:fldCharType="separate"/>
            </w:r>
            <w:r>
              <w:rPr>
                <w:noProof/>
                <w:webHidden/>
              </w:rPr>
              <w:t>5</w:t>
            </w:r>
            <w:r>
              <w:rPr>
                <w:noProof/>
                <w:webHidden/>
              </w:rPr>
              <w:fldChar w:fldCharType="end"/>
            </w:r>
          </w:hyperlink>
        </w:p>
        <w:p w14:paraId="7C6245AC" w14:textId="7D160F2C" w:rsidR="00F951A1" w:rsidRDefault="00F951A1">
          <w:pPr>
            <w:pStyle w:val="TOC1"/>
            <w:tabs>
              <w:tab w:val="right" w:leader="dot" w:pos="10456"/>
            </w:tabs>
            <w:rPr>
              <w:rFonts w:eastAsiaTheme="minorEastAsia"/>
              <w:noProof/>
              <w:sz w:val="24"/>
              <w:szCs w:val="24"/>
              <w:lang w:eastAsia="en-GB"/>
            </w:rPr>
          </w:pPr>
          <w:hyperlink w:anchor="_Toc191155017" w:history="1">
            <w:r w:rsidRPr="00744767">
              <w:rPr>
                <w:rStyle w:val="Hyperlink"/>
                <w:noProof/>
                <w:lang w:eastAsia="en-GB"/>
              </w:rPr>
              <w:t>Conclusion</w:t>
            </w:r>
            <w:r>
              <w:rPr>
                <w:noProof/>
                <w:webHidden/>
              </w:rPr>
              <w:tab/>
            </w:r>
            <w:r>
              <w:rPr>
                <w:noProof/>
                <w:webHidden/>
              </w:rPr>
              <w:fldChar w:fldCharType="begin"/>
            </w:r>
            <w:r>
              <w:rPr>
                <w:noProof/>
                <w:webHidden/>
              </w:rPr>
              <w:instrText xml:space="preserve"> PAGEREF _Toc191155017 \h </w:instrText>
            </w:r>
            <w:r>
              <w:rPr>
                <w:noProof/>
                <w:webHidden/>
              </w:rPr>
            </w:r>
            <w:r>
              <w:rPr>
                <w:noProof/>
                <w:webHidden/>
              </w:rPr>
              <w:fldChar w:fldCharType="separate"/>
            </w:r>
            <w:r>
              <w:rPr>
                <w:noProof/>
                <w:webHidden/>
              </w:rPr>
              <w:t>7</w:t>
            </w:r>
            <w:r>
              <w:rPr>
                <w:noProof/>
                <w:webHidden/>
              </w:rPr>
              <w:fldChar w:fldCharType="end"/>
            </w:r>
          </w:hyperlink>
        </w:p>
        <w:p w14:paraId="6117CC4C" w14:textId="31470429" w:rsidR="00F951A1" w:rsidRDefault="00F951A1">
          <w:pPr>
            <w:pStyle w:val="TOC1"/>
            <w:tabs>
              <w:tab w:val="right" w:leader="dot" w:pos="10456"/>
            </w:tabs>
            <w:rPr>
              <w:rFonts w:eastAsiaTheme="minorEastAsia"/>
              <w:noProof/>
              <w:sz w:val="24"/>
              <w:szCs w:val="24"/>
              <w:lang w:eastAsia="en-GB"/>
            </w:rPr>
          </w:pPr>
          <w:hyperlink w:anchor="_Toc191155018" w:history="1">
            <w:r w:rsidRPr="00744767">
              <w:rPr>
                <w:rStyle w:val="Hyperlink"/>
                <w:noProof/>
              </w:rPr>
              <w:t>Recommendations</w:t>
            </w:r>
            <w:r>
              <w:rPr>
                <w:noProof/>
                <w:webHidden/>
              </w:rPr>
              <w:tab/>
            </w:r>
            <w:r>
              <w:rPr>
                <w:noProof/>
                <w:webHidden/>
              </w:rPr>
              <w:fldChar w:fldCharType="begin"/>
            </w:r>
            <w:r>
              <w:rPr>
                <w:noProof/>
                <w:webHidden/>
              </w:rPr>
              <w:instrText xml:space="preserve"> PAGEREF _Toc191155018 \h </w:instrText>
            </w:r>
            <w:r>
              <w:rPr>
                <w:noProof/>
                <w:webHidden/>
              </w:rPr>
            </w:r>
            <w:r>
              <w:rPr>
                <w:noProof/>
                <w:webHidden/>
              </w:rPr>
              <w:fldChar w:fldCharType="separate"/>
            </w:r>
            <w:r>
              <w:rPr>
                <w:noProof/>
                <w:webHidden/>
              </w:rPr>
              <w:t>8</w:t>
            </w:r>
            <w:r>
              <w:rPr>
                <w:noProof/>
                <w:webHidden/>
              </w:rPr>
              <w:fldChar w:fldCharType="end"/>
            </w:r>
          </w:hyperlink>
        </w:p>
        <w:p w14:paraId="69056057" w14:textId="062113C3" w:rsidR="00F951A1" w:rsidRDefault="00F951A1">
          <w:pPr>
            <w:pStyle w:val="TOC1"/>
            <w:tabs>
              <w:tab w:val="right" w:leader="dot" w:pos="10456"/>
            </w:tabs>
            <w:rPr>
              <w:rFonts w:eastAsiaTheme="minorEastAsia"/>
              <w:noProof/>
              <w:sz w:val="24"/>
              <w:szCs w:val="24"/>
              <w:lang w:eastAsia="en-GB"/>
            </w:rPr>
          </w:pPr>
          <w:hyperlink w:anchor="_Toc191155019" w:history="1">
            <w:r w:rsidRPr="00744767">
              <w:rPr>
                <w:rStyle w:val="Hyperlink"/>
                <w:noProof/>
              </w:rPr>
              <w:t>References</w:t>
            </w:r>
            <w:r>
              <w:rPr>
                <w:noProof/>
                <w:webHidden/>
              </w:rPr>
              <w:tab/>
            </w:r>
            <w:r>
              <w:rPr>
                <w:noProof/>
                <w:webHidden/>
              </w:rPr>
              <w:fldChar w:fldCharType="begin"/>
            </w:r>
            <w:r>
              <w:rPr>
                <w:noProof/>
                <w:webHidden/>
              </w:rPr>
              <w:instrText xml:space="preserve"> PAGEREF _Toc191155019 \h </w:instrText>
            </w:r>
            <w:r>
              <w:rPr>
                <w:noProof/>
                <w:webHidden/>
              </w:rPr>
            </w:r>
            <w:r>
              <w:rPr>
                <w:noProof/>
                <w:webHidden/>
              </w:rPr>
              <w:fldChar w:fldCharType="separate"/>
            </w:r>
            <w:r>
              <w:rPr>
                <w:noProof/>
                <w:webHidden/>
              </w:rPr>
              <w:t>9</w:t>
            </w:r>
            <w:r>
              <w:rPr>
                <w:noProof/>
                <w:webHidden/>
              </w:rPr>
              <w:fldChar w:fldCharType="end"/>
            </w:r>
          </w:hyperlink>
        </w:p>
        <w:p w14:paraId="6B8635AC" w14:textId="0E4DD68E" w:rsidR="00F951A1" w:rsidRDefault="00F951A1">
          <w:r>
            <w:rPr>
              <w:b/>
              <w:bCs/>
            </w:rPr>
            <w:fldChar w:fldCharType="end"/>
          </w:r>
        </w:p>
      </w:sdtContent>
    </w:sdt>
    <w:p w14:paraId="44A1A444" w14:textId="7FE2487F" w:rsidR="00F951A1" w:rsidRDefault="00F951A1" w:rsidP="00F951A1">
      <w:pPr>
        <w:spacing w:line="360" w:lineRule="auto"/>
        <w:jc w:val="center"/>
        <w:rPr>
          <w:rFonts w:ascii="Arial" w:hAnsi="Arial" w:cs="Arial"/>
          <w:b/>
          <w:bCs/>
          <w:sz w:val="40"/>
          <w:szCs w:val="40"/>
        </w:rPr>
      </w:pPr>
    </w:p>
    <w:p w14:paraId="660F8486" w14:textId="05D12C6A" w:rsidR="00E6732C" w:rsidRPr="00F951A1" w:rsidRDefault="00F951A1" w:rsidP="00F951A1">
      <w:pPr>
        <w:spacing w:line="360" w:lineRule="auto"/>
        <w:jc w:val="center"/>
        <w:rPr>
          <w:rFonts w:ascii="Arial" w:hAnsi="Arial" w:cs="Arial"/>
          <w:b/>
          <w:bCs/>
          <w:sz w:val="40"/>
          <w:szCs w:val="40"/>
        </w:rPr>
      </w:pPr>
      <w:r>
        <w:rPr>
          <w:rFonts w:ascii="Arial" w:hAnsi="Arial" w:cs="Arial"/>
          <w:b/>
          <w:bCs/>
          <w:sz w:val="40"/>
          <w:szCs w:val="40"/>
        </w:rPr>
        <w:br/>
      </w:r>
      <w:r>
        <w:rPr>
          <w:rFonts w:ascii="Arial" w:hAnsi="Arial" w:cs="Arial"/>
          <w:b/>
          <w:bCs/>
          <w:sz w:val="40"/>
          <w:szCs w:val="40"/>
        </w:rPr>
        <w:br/>
      </w:r>
    </w:p>
    <w:p w14:paraId="578A9468" w14:textId="77777777" w:rsidR="00D82332" w:rsidRPr="00E052E0" w:rsidRDefault="00D82332" w:rsidP="00E052E0">
      <w:pPr>
        <w:spacing w:line="360" w:lineRule="auto"/>
        <w:rPr>
          <w:rFonts w:ascii="Arial" w:hAnsi="Arial" w:cs="Arial"/>
        </w:rPr>
      </w:pPr>
    </w:p>
    <w:p w14:paraId="25CB5801" w14:textId="7686D95A" w:rsidR="00D82332" w:rsidRPr="00E052E0" w:rsidRDefault="00D82332" w:rsidP="00E052E0">
      <w:pPr>
        <w:spacing w:line="360" w:lineRule="auto"/>
        <w:rPr>
          <w:rFonts w:ascii="Arial" w:hAnsi="Arial" w:cs="Arial"/>
        </w:rPr>
      </w:pPr>
    </w:p>
    <w:p w14:paraId="4BC4F5BE" w14:textId="77777777" w:rsidR="00D82332" w:rsidRPr="00E052E0" w:rsidRDefault="00D82332" w:rsidP="00E052E0">
      <w:pPr>
        <w:spacing w:line="360" w:lineRule="auto"/>
        <w:rPr>
          <w:rFonts w:ascii="Arial" w:hAnsi="Arial" w:cs="Arial"/>
        </w:rPr>
      </w:pPr>
    </w:p>
    <w:p w14:paraId="4D9FCE6C" w14:textId="77777777" w:rsidR="00D82332" w:rsidRPr="00E052E0" w:rsidRDefault="00D82332" w:rsidP="00E052E0">
      <w:pPr>
        <w:spacing w:line="360" w:lineRule="auto"/>
        <w:rPr>
          <w:rFonts w:ascii="Arial" w:hAnsi="Arial" w:cs="Arial"/>
        </w:rPr>
      </w:pPr>
    </w:p>
    <w:p w14:paraId="62EB344C" w14:textId="77777777" w:rsidR="00D82332" w:rsidRPr="00E052E0" w:rsidRDefault="00D82332" w:rsidP="00E052E0">
      <w:pPr>
        <w:spacing w:line="360" w:lineRule="auto"/>
        <w:rPr>
          <w:rFonts w:ascii="Arial" w:hAnsi="Arial" w:cs="Arial"/>
        </w:rPr>
      </w:pPr>
    </w:p>
    <w:p w14:paraId="2B57246E" w14:textId="77777777" w:rsidR="00D82332" w:rsidRPr="00E052E0" w:rsidRDefault="00D82332" w:rsidP="00E052E0">
      <w:pPr>
        <w:spacing w:line="360" w:lineRule="auto"/>
        <w:rPr>
          <w:rFonts w:ascii="Arial" w:hAnsi="Arial" w:cs="Arial"/>
        </w:rPr>
      </w:pPr>
    </w:p>
    <w:p w14:paraId="0506D677" w14:textId="77777777" w:rsidR="00D82332" w:rsidRPr="00E052E0" w:rsidRDefault="00D82332" w:rsidP="00E052E0">
      <w:pPr>
        <w:spacing w:line="360" w:lineRule="auto"/>
        <w:rPr>
          <w:rFonts w:ascii="Arial" w:hAnsi="Arial" w:cs="Arial"/>
        </w:rPr>
      </w:pPr>
    </w:p>
    <w:p w14:paraId="2430003C" w14:textId="77777777" w:rsidR="00D82332" w:rsidRPr="00E052E0" w:rsidRDefault="00D82332" w:rsidP="00E052E0">
      <w:pPr>
        <w:spacing w:line="360" w:lineRule="auto"/>
        <w:rPr>
          <w:rFonts w:ascii="Arial" w:hAnsi="Arial" w:cs="Arial"/>
        </w:rPr>
      </w:pPr>
    </w:p>
    <w:p w14:paraId="5D98F8ED" w14:textId="5162CC72" w:rsidR="00E052E0" w:rsidRPr="00F951A1" w:rsidRDefault="00E052E0" w:rsidP="00F951A1">
      <w:pPr>
        <w:pStyle w:val="Heading1"/>
        <w:rPr>
          <w:rFonts w:ascii="Arial" w:hAnsi="Arial" w:cs="Arial"/>
        </w:rPr>
      </w:pPr>
      <w:bookmarkStart w:id="0" w:name="_Toc191155010"/>
      <w:r w:rsidRPr="00F951A1">
        <w:rPr>
          <w:rFonts w:ascii="Arial" w:hAnsi="Arial" w:cs="Arial"/>
          <w:sz w:val="28"/>
          <w:szCs w:val="28"/>
        </w:rPr>
        <w:t>Executive summary</w:t>
      </w:r>
      <w:bookmarkEnd w:id="0"/>
      <w:r w:rsidRPr="00F951A1">
        <w:rPr>
          <w:rFonts w:ascii="Arial" w:hAnsi="Arial" w:cs="Arial"/>
        </w:rPr>
        <w:br/>
      </w:r>
    </w:p>
    <w:p w14:paraId="193B1DB8" w14:textId="77777777" w:rsidR="00F951A1" w:rsidRDefault="00E052E0" w:rsidP="00E052E0">
      <w:pPr>
        <w:spacing w:line="360" w:lineRule="auto"/>
        <w:rPr>
          <w:rFonts w:ascii="Arial" w:hAnsi="Arial" w:cs="Arial"/>
          <w:b/>
          <w:bCs/>
          <w:i/>
          <w:iCs/>
        </w:rPr>
      </w:pPr>
      <w:r w:rsidRPr="00E052E0">
        <w:rPr>
          <w:rFonts w:ascii="Arial" w:hAnsi="Arial" w:cs="Arial"/>
        </w:rPr>
        <w:t>This report examines the strategic and governance considerations for a family-owned company preparing to list on the Alternative Investment Market (AIM) in the UK. AIM’s flexible, principles-based regulatory framework offers lower entry barriers and greater adaptability compared to more prescriptive exchanges. However, the environment demands robust corporate governance, particularly to manage agency conflicts inherent in family-run businesses.</w:t>
      </w:r>
      <w:r w:rsidRPr="00E052E0">
        <w:rPr>
          <w:rFonts w:ascii="Arial" w:hAnsi="Arial" w:cs="Arial"/>
        </w:rPr>
        <w:br/>
      </w:r>
    </w:p>
    <w:p w14:paraId="6A77D05A" w14:textId="0013F8C4" w:rsidR="00E052E0" w:rsidRPr="00E052E0" w:rsidRDefault="00E052E0" w:rsidP="00E052E0">
      <w:pPr>
        <w:spacing w:line="360" w:lineRule="auto"/>
        <w:rPr>
          <w:rFonts w:ascii="Arial" w:hAnsi="Arial" w:cs="Arial"/>
          <w:b/>
          <w:bCs/>
          <w:i/>
          <w:iCs/>
        </w:rPr>
      </w:pPr>
      <w:r w:rsidRPr="00E052E0">
        <w:rPr>
          <w:rFonts w:ascii="Arial" w:hAnsi="Arial" w:cs="Arial"/>
          <w:b/>
          <w:bCs/>
          <w:i/>
          <w:iCs/>
        </w:rPr>
        <w:t>AIM Overview</w:t>
      </w:r>
      <w:r w:rsidRPr="00E052E0">
        <w:rPr>
          <w:rFonts w:ascii="Arial" w:hAnsi="Arial" w:cs="Arial"/>
        </w:rPr>
        <w:t>:</w:t>
      </w:r>
      <w:r w:rsidRPr="00E052E0">
        <w:rPr>
          <w:rFonts w:ascii="Arial" w:hAnsi="Arial" w:cs="Arial"/>
        </w:rPr>
        <w:br/>
      </w:r>
      <w:r w:rsidRPr="00E052E0">
        <w:rPr>
          <w:rFonts w:ascii="Arial" w:hAnsi="Arial" w:cs="Arial"/>
        </w:rPr>
        <w:t>AIM is designed for high-growth, smaller companies. Its “comply or explain” regulatory model and reliance on continuous oversight by a Nominated Adviser (Nomad) allow companies to tailor governance practices while keeping regulatory costs low</w:t>
      </w:r>
      <w:r w:rsidRPr="00E052E0">
        <w:rPr>
          <w:rFonts w:ascii="Arial" w:hAnsi="Arial" w:cs="Arial"/>
        </w:rPr>
        <w:br/>
      </w:r>
    </w:p>
    <w:p w14:paraId="715FABAB" w14:textId="7E49A625" w:rsidR="00E052E0" w:rsidRPr="00E052E0" w:rsidRDefault="00E052E0" w:rsidP="00E052E0">
      <w:pPr>
        <w:spacing w:line="360" w:lineRule="auto"/>
        <w:rPr>
          <w:rFonts w:ascii="Arial" w:hAnsi="Arial" w:cs="Arial"/>
          <w:b/>
          <w:bCs/>
          <w:i/>
          <w:iCs/>
        </w:rPr>
      </w:pPr>
      <w:r w:rsidRPr="00E052E0">
        <w:rPr>
          <w:rFonts w:ascii="Arial" w:hAnsi="Arial" w:cs="Arial"/>
          <w:b/>
          <w:bCs/>
          <w:i/>
          <w:iCs/>
        </w:rPr>
        <w:t>Corporate Governance Requirements</w:t>
      </w:r>
      <w:r w:rsidRPr="00E052E0">
        <w:rPr>
          <w:rFonts w:ascii="Arial" w:hAnsi="Arial" w:cs="Arial"/>
          <w:b/>
          <w:bCs/>
          <w:i/>
          <w:iCs/>
        </w:rPr>
        <w:t>:</w:t>
      </w:r>
    </w:p>
    <w:p w14:paraId="1B8227FF" w14:textId="77777777" w:rsidR="00E052E0" w:rsidRPr="00E052E0" w:rsidRDefault="00E052E0" w:rsidP="00E052E0">
      <w:pPr>
        <w:spacing w:line="360" w:lineRule="auto"/>
        <w:rPr>
          <w:rFonts w:ascii="Arial" w:hAnsi="Arial" w:cs="Arial"/>
          <w:b/>
          <w:bCs/>
          <w:i/>
          <w:iCs/>
        </w:rPr>
      </w:pPr>
      <w:r w:rsidRPr="00E052E0">
        <w:rPr>
          <w:rFonts w:ascii="Arial" w:hAnsi="Arial" w:cs="Arial"/>
        </w:rPr>
        <w:t>AIM-listed businesses are required to maintain transparency through frequent disclosures and publish a corporate governance statement outlining their adherence to a recognised code, usually the QCA Corporate Governance Code. In order to reduce risks, businesses must implement robust internal controls and independent board members due to the reduced regulatory burden</w:t>
      </w:r>
      <w:r w:rsidRPr="00E052E0">
        <w:rPr>
          <w:rFonts w:ascii="Arial" w:hAnsi="Arial" w:cs="Arial"/>
          <w:b/>
          <w:bCs/>
          <w:i/>
          <w:iCs/>
        </w:rPr>
        <w:t>.</w:t>
      </w:r>
      <w:r w:rsidRPr="00E052E0">
        <w:rPr>
          <w:rFonts w:ascii="Arial" w:hAnsi="Arial" w:cs="Arial"/>
          <w:b/>
          <w:bCs/>
          <w:i/>
          <w:iCs/>
        </w:rPr>
        <w:br/>
      </w:r>
    </w:p>
    <w:p w14:paraId="32BF618E" w14:textId="6B45296A" w:rsidR="00E052E0" w:rsidRPr="00E052E0" w:rsidRDefault="00E052E0" w:rsidP="00E052E0">
      <w:pPr>
        <w:spacing w:line="360" w:lineRule="auto"/>
        <w:rPr>
          <w:rFonts w:ascii="Arial" w:hAnsi="Arial" w:cs="Arial"/>
          <w:b/>
          <w:bCs/>
          <w:i/>
          <w:iCs/>
        </w:rPr>
      </w:pPr>
      <w:r w:rsidRPr="00E052E0">
        <w:rPr>
          <w:rFonts w:ascii="Arial" w:hAnsi="Arial" w:cs="Arial"/>
          <w:b/>
          <w:bCs/>
          <w:i/>
          <w:iCs/>
        </w:rPr>
        <w:t>Agency Theory Considerations</w:t>
      </w:r>
      <w:r w:rsidRPr="00E052E0">
        <w:rPr>
          <w:rFonts w:ascii="Arial" w:hAnsi="Arial" w:cs="Arial"/>
          <w:b/>
          <w:bCs/>
          <w:i/>
          <w:iCs/>
        </w:rPr>
        <w:t>:</w:t>
      </w:r>
    </w:p>
    <w:p w14:paraId="47CADFB4" w14:textId="77777777" w:rsidR="00E052E0" w:rsidRPr="00E052E0" w:rsidRDefault="00E052E0" w:rsidP="00E052E0">
      <w:pPr>
        <w:spacing w:line="360" w:lineRule="auto"/>
        <w:rPr>
          <w:rFonts w:ascii="Arial" w:hAnsi="Arial" w:cs="Arial"/>
          <w:b/>
          <w:bCs/>
          <w:i/>
          <w:iCs/>
        </w:rPr>
      </w:pPr>
      <w:r w:rsidRPr="00E052E0">
        <w:rPr>
          <w:rFonts w:ascii="Arial" w:hAnsi="Arial" w:cs="Arial"/>
        </w:rPr>
        <w:t>Conflicts of interest are common in family-run businesses where ownership and management may overlap. Efficient procedures, such performance-linked compensation and independent non-executive directors, are essential for protecting minority investor rights and coordinating managerial incentives with shareholder interests.</w:t>
      </w:r>
      <w:r w:rsidRPr="00E052E0">
        <w:rPr>
          <w:rFonts w:ascii="Arial" w:hAnsi="Arial" w:cs="Arial"/>
        </w:rPr>
        <w:br/>
      </w:r>
    </w:p>
    <w:p w14:paraId="4E33A430" w14:textId="77777777" w:rsidR="00E052E0" w:rsidRPr="00E052E0" w:rsidRDefault="00E052E0" w:rsidP="00E052E0">
      <w:pPr>
        <w:spacing w:line="360" w:lineRule="auto"/>
        <w:rPr>
          <w:rFonts w:ascii="Arial" w:hAnsi="Arial" w:cs="Arial"/>
          <w:b/>
          <w:bCs/>
          <w:i/>
          <w:iCs/>
        </w:rPr>
      </w:pPr>
      <w:r w:rsidRPr="00E052E0">
        <w:rPr>
          <w:rFonts w:ascii="Arial" w:hAnsi="Arial" w:cs="Arial"/>
          <w:b/>
          <w:bCs/>
          <w:i/>
          <w:iCs/>
        </w:rPr>
        <w:t>Retention of Control</w:t>
      </w:r>
      <w:r w:rsidRPr="00E052E0">
        <w:rPr>
          <w:rFonts w:ascii="Arial" w:hAnsi="Arial" w:cs="Arial"/>
          <w:b/>
          <w:bCs/>
          <w:i/>
          <w:iCs/>
        </w:rPr>
        <w:t>:</w:t>
      </w:r>
      <w:r w:rsidRPr="00E052E0">
        <w:rPr>
          <w:rFonts w:ascii="Arial" w:hAnsi="Arial" w:cs="Arial"/>
          <w:b/>
          <w:bCs/>
          <w:i/>
          <w:iCs/>
        </w:rPr>
        <w:br/>
      </w:r>
      <w:r w:rsidRPr="00E052E0">
        <w:rPr>
          <w:rFonts w:ascii="Arial" w:hAnsi="Arial" w:cs="Arial"/>
        </w:rPr>
        <w:t>Strategies including dual-class share structures, shareholder agreements, and controlled board composition can allow the family maintain strategic influence over development paths, dividend policy, and general corporate governance, even if there will likely be a 30% dilution to the family holding after listing.</w:t>
      </w:r>
      <w:r w:rsidRPr="00E052E0">
        <w:rPr>
          <w:rFonts w:ascii="Arial" w:hAnsi="Arial" w:cs="Arial"/>
        </w:rPr>
        <w:br/>
      </w:r>
    </w:p>
    <w:p w14:paraId="0C080411" w14:textId="77777777" w:rsidR="00F951A1" w:rsidRDefault="00F951A1" w:rsidP="00E052E0">
      <w:pPr>
        <w:spacing w:line="360" w:lineRule="auto"/>
        <w:rPr>
          <w:rFonts w:ascii="Arial" w:hAnsi="Arial" w:cs="Arial"/>
          <w:b/>
          <w:bCs/>
          <w:i/>
          <w:iCs/>
        </w:rPr>
      </w:pPr>
    </w:p>
    <w:p w14:paraId="0B7D807E" w14:textId="77777777" w:rsidR="00F951A1" w:rsidRDefault="00F951A1" w:rsidP="00E052E0">
      <w:pPr>
        <w:spacing w:line="360" w:lineRule="auto"/>
        <w:rPr>
          <w:rFonts w:ascii="Arial" w:hAnsi="Arial" w:cs="Arial"/>
          <w:b/>
          <w:bCs/>
          <w:i/>
          <w:iCs/>
        </w:rPr>
      </w:pPr>
    </w:p>
    <w:p w14:paraId="39317E49" w14:textId="2A90AE5A" w:rsidR="00E052E0" w:rsidRPr="00E052E0" w:rsidRDefault="00E052E0" w:rsidP="00E052E0">
      <w:pPr>
        <w:spacing w:line="360" w:lineRule="auto"/>
        <w:rPr>
          <w:rFonts w:ascii="Arial" w:hAnsi="Arial" w:cs="Arial"/>
        </w:rPr>
      </w:pPr>
      <w:r w:rsidRPr="00E052E0">
        <w:rPr>
          <w:rFonts w:ascii="Arial" w:hAnsi="Arial" w:cs="Arial"/>
          <w:b/>
          <w:bCs/>
          <w:i/>
          <w:iCs/>
        </w:rPr>
        <w:t>Director Remuneration</w:t>
      </w:r>
      <w:r w:rsidRPr="00E052E0">
        <w:rPr>
          <w:rFonts w:ascii="Arial" w:hAnsi="Arial" w:cs="Arial"/>
          <w:b/>
          <w:bCs/>
          <w:i/>
          <w:iCs/>
        </w:rPr>
        <w:t>:</w:t>
      </w:r>
      <w:r w:rsidRPr="00E052E0">
        <w:rPr>
          <w:rFonts w:ascii="Arial" w:hAnsi="Arial" w:cs="Arial"/>
          <w:b/>
          <w:bCs/>
          <w:i/>
          <w:iCs/>
        </w:rPr>
        <w:br/>
      </w:r>
      <w:r w:rsidRPr="00E052E0">
        <w:rPr>
          <w:rFonts w:ascii="Arial" w:hAnsi="Arial" w:cs="Arial"/>
        </w:rPr>
        <w:t>It is essential to set up equitable and open compensation procedures. To guarantee that executive compensation is in line with long-term business performance and shareholder value, it is advised to establish an independent compensation committee, implement performance-based incentive programs, and provide transparent disclosures.</w:t>
      </w:r>
    </w:p>
    <w:p w14:paraId="108B859E" w14:textId="3AC6857F" w:rsidR="00E052E0" w:rsidRPr="00E052E0" w:rsidRDefault="00E052E0" w:rsidP="00E052E0">
      <w:pPr>
        <w:spacing w:line="360" w:lineRule="auto"/>
        <w:rPr>
          <w:rFonts w:ascii="Arial" w:hAnsi="Arial" w:cs="Arial"/>
          <w:b/>
          <w:bCs/>
          <w:i/>
          <w:iCs/>
        </w:rPr>
      </w:pPr>
    </w:p>
    <w:p w14:paraId="2B2363B3" w14:textId="13B972FC" w:rsidR="00D82332" w:rsidRPr="00F951A1" w:rsidRDefault="00D82332" w:rsidP="00F951A1">
      <w:pPr>
        <w:pStyle w:val="Heading1"/>
      </w:pPr>
      <w:bookmarkStart w:id="1" w:name="_Toc191155011"/>
      <w:r w:rsidRPr="00F951A1">
        <w:t>Introduction</w:t>
      </w:r>
      <w:bookmarkEnd w:id="1"/>
    </w:p>
    <w:p w14:paraId="08C8B45A" w14:textId="77777777" w:rsidR="00E052E0" w:rsidRPr="00E052E0" w:rsidRDefault="002212DD" w:rsidP="00E052E0">
      <w:pPr>
        <w:spacing w:line="360" w:lineRule="auto"/>
        <w:rPr>
          <w:rFonts w:ascii="Arial" w:hAnsi="Arial" w:cs="Arial"/>
        </w:rPr>
      </w:pPr>
      <w:r w:rsidRPr="002212DD">
        <w:rPr>
          <w:rFonts w:ascii="Arial" w:hAnsi="Arial" w:cs="Arial"/>
        </w:rPr>
        <w:t>The Board of Directors must comprehend corporate governance and agency theory as the firm is ready to list on the Alternative Investment Market (AIM) in the UK. Making the switch from a private limited company to a public business brings with it new regulations and demands that corporate governance best practices be followed. Furthermore, managing the interaction between directors and shareholders to preserve strategic control while meeting the expectations of external investors requires a grasp of agency theory.</w:t>
      </w:r>
      <w:r w:rsidR="001D77F0" w:rsidRPr="00E052E0">
        <w:rPr>
          <w:rFonts w:ascii="Arial" w:hAnsi="Arial" w:cs="Arial"/>
        </w:rPr>
        <w:br/>
      </w:r>
    </w:p>
    <w:p w14:paraId="082A8EEC" w14:textId="06F01B0C" w:rsidR="002212DD" w:rsidRPr="00F951A1" w:rsidRDefault="00E052E0" w:rsidP="00F951A1">
      <w:pPr>
        <w:spacing w:line="360" w:lineRule="auto"/>
        <w:rPr>
          <w:rFonts w:ascii="Arial" w:eastAsiaTheme="majorEastAsia" w:hAnsi="Arial" w:cs="Arial"/>
          <w:color w:val="0F4761" w:themeColor="accent1" w:themeShade="BF"/>
          <w:sz w:val="24"/>
          <w:szCs w:val="24"/>
        </w:rPr>
      </w:pPr>
      <w:bookmarkStart w:id="2" w:name="_Toc191155012"/>
      <w:r w:rsidRPr="00F951A1">
        <w:rPr>
          <w:rStyle w:val="Heading1Char"/>
        </w:rPr>
        <w:t>1.</w:t>
      </w:r>
      <w:r w:rsidR="001D77F0" w:rsidRPr="00F951A1">
        <w:rPr>
          <w:rStyle w:val="Heading1Char"/>
        </w:rPr>
        <w:t xml:space="preserve"> Corporate Governance and Agency Theory</w:t>
      </w:r>
      <w:bookmarkEnd w:id="2"/>
      <w:r w:rsidR="001D77F0" w:rsidRPr="00F951A1">
        <w:rPr>
          <w:rStyle w:val="Heading1Char"/>
        </w:rPr>
        <w:br/>
      </w:r>
      <w:r w:rsidR="001D77F0" w:rsidRPr="00F951A1">
        <w:rPr>
          <w:rStyle w:val="Heading2Char"/>
        </w:rPr>
        <w:t>a</w:t>
      </w:r>
      <w:r w:rsidR="00F951A1" w:rsidRPr="00F951A1">
        <w:rPr>
          <w:rStyle w:val="Heading2Char"/>
        </w:rPr>
        <w:t xml:space="preserve">) </w:t>
      </w:r>
      <w:r w:rsidR="001D77F0" w:rsidRPr="00F951A1">
        <w:rPr>
          <w:rStyle w:val="Heading2Char"/>
        </w:rPr>
        <w:t>Overview and Significance</w:t>
      </w:r>
    </w:p>
    <w:p w14:paraId="61AD72E8" w14:textId="77777777" w:rsidR="00F951A1" w:rsidRDefault="001D77F0" w:rsidP="00E052E0">
      <w:pPr>
        <w:spacing w:line="360" w:lineRule="auto"/>
        <w:rPr>
          <w:rFonts w:ascii="Arial" w:hAnsi="Arial" w:cs="Arial"/>
        </w:rPr>
      </w:pPr>
      <w:r w:rsidRPr="001D77F0">
        <w:rPr>
          <w:rFonts w:ascii="Arial" w:hAnsi="Arial" w:cs="Arial"/>
        </w:rPr>
        <w:t>The rules, values, and procedures that regulate how businesses are run are collectively referred to as corporate governance. Effective corporate governance is essential for public limited firms because it increases accountability, fosters investor confidence, and guarantees that the board's choices reflect the interests of shareholders. Clear board responsibilities, open reporting procedures, effective risk management, and compliance with legal and regulatory obligations are typical components of this framework.</w:t>
      </w:r>
      <w:r w:rsidRPr="00E052E0">
        <w:rPr>
          <w:rFonts w:ascii="Arial" w:hAnsi="Arial" w:cs="Arial"/>
        </w:rPr>
        <w:br/>
      </w:r>
      <w:r w:rsidRPr="00E052E0">
        <w:rPr>
          <w:rFonts w:ascii="Arial" w:hAnsi="Arial" w:cs="Arial"/>
        </w:rPr>
        <w:t>The interaction between principals, or shareholders, and agents, or directors and managers, is the focus of agency theory. Conflicts of interest can occur in a publicly traded firm when agents pursue personal objectives that diverge from the shareholders' purpose of maximising value. These risks are lessened by efficient governance procedures (such as independent directors, performance-based rewards, and stringent disclosure requirements). Aligning the interests of all stakeholders becomes even more crucial with an AIM offering, when a sizable majority of shares will be held by external investors.</w:t>
      </w:r>
      <w:r w:rsidRPr="00E052E0">
        <w:rPr>
          <w:rFonts w:ascii="Arial" w:hAnsi="Arial" w:cs="Arial"/>
        </w:rPr>
        <w:br/>
      </w:r>
    </w:p>
    <w:p w14:paraId="156E9D1C" w14:textId="77777777" w:rsidR="00F951A1" w:rsidRDefault="00F951A1" w:rsidP="00E052E0">
      <w:pPr>
        <w:spacing w:line="360" w:lineRule="auto"/>
        <w:rPr>
          <w:rStyle w:val="Heading1Char"/>
        </w:rPr>
      </w:pPr>
    </w:p>
    <w:p w14:paraId="1220A03F" w14:textId="7184F9C3" w:rsidR="00E052E0" w:rsidRPr="00F951A1" w:rsidRDefault="001D77F0" w:rsidP="00E052E0">
      <w:pPr>
        <w:spacing w:line="360" w:lineRule="auto"/>
        <w:rPr>
          <w:rStyle w:val="Heading1Char"/>
        </w:rPr>
      </w:pPr>
      <w:bookmarkStart w:id="3" w:name="_Toc191155013"/>
      <w:r w:rsidRPr="00F951A1">
        <w:rPr>
          <w:rStyle w:val="Heading1Char"/>
        </w:rPr>
        <w:lastRenderedPageBreak/>
        <w:t>2. Retaining Control with 30% Shareholding</w:t>
      </w:r>
      <w:bookmarkEnd w:id="3"/>
    </w:p>
    <w:p w14:paraId="5A0CBD12" w14:textId="2F76EFB4" w:rsidR="00E052E0" w:rsidRPr="00E052E0" w:rsidRDefault="001D77F0" w:rsidP="00E052E0">
      <w:pPr>
        <w:spacing w:line="360" w:lineRule="auto"/>
        <w:rPr>
          <w:rFonts w:ascii="Arial" w:hAnsi="Arial" w:cs="Arial"/>
          <w:b/>
          <w:bCs/>
        </w:rPr>
      </w:pPr>
      <w:bookmarkStart w:id="4" w:name="_Toc191155014"/>
      <w:r w:rsidRPr="00F951A1">
        <w:rPr>
          <w:rStyle w:val="Heading2Char"/>
        </w:rPr>
        <w:t>b</w:t>
      </w:r>
      <w:r w:rsidR="00F951A1">
        <w:rPr>
          <w:rStyle w:val="Heading2Char"/>
        </w:rPr>
        <w:t xml:space="preserve">) </w:t>
      </w:r>
      <w:r w:rsidRPr="00F951A1">
        <w:rPr>
          <w:rStyle w:val="Heading2Char"/>
        </w:rPr>
        <w:t>Strategies to Retain Control</w:t>
      </w:r>
      <w:bookmarkEnd w:id="4"/>
      <w:r w:rsidRPr="00E052E0">
        <w:rPr>
          <w:rFonts w:ascii="Arial" w:hAnsi="Arial" w:cs="Arial"/>
          <w:b/>
          <w:bCs/>
          <w:i/>
          <w:iCs/>
        </w:rPr>
        <w:br/>
      </w:r>
      <w:r w:rsidRPr="00E052E0">
        <w:rPr>
          <w:rFonts w:ascii="Arial" w:hAnsi="Arial" w:cs="Arial"/>
        </w:rPr>
        <w:t>Given that the family's stake in the business has been diluted to 30%, it is critical to set up the business to preserve strategic control. The following actions may be taken into consideration:</w:t>
      </w:r>
      <w:r w:rsidRPr="00E052E0">
        <w:rPr>
          <w:rFonts w:ascii="Arial" w:hAnsi="Arial" w:cs="Arial"/>
        </w:rPr>
        <w:br/>
      </w:r>
      <w:r w:rsidRPr="00E052E0">
        <w:rPr>
          <w:rFonts w:ascii="Arial" w:hAnsi="Arial" w:cs="Arial"/>
        </w:rPr>
        <w:br/>
      </w:r>
      <w:r w:rsidRPr="00E052E0">
        <w:rPr>
          <w:rFonts w:ascii="Arial" w:hAnsi="Arial" w:cs="Arial"/>
          <w:b/>
          <w:bCs/>
        </w:rPr>
        <w:t>Dual-Class Share Structure</w:t>
      </w:r>
      <w:r w:rsidR="00E052E0" w:rsidRPr="00E052E0">
        <w:rPr>
          <w:rFonts w:ascii="Arial" w:hAnsi="Arial" w:cs="Arial"/>
          <w:b/>
          <w:bCs/>
        </w:rPr>
        <w:t xml:space="preserve">: </w:t>
      </w:r>
    </w:p>
    <w:p w14:paraId="44B5B9C8" w14:textId="77777777" w:rsidR="00E052E0" w:rsidRPr="00E052E0" w:rsidRDefault="00E052E0" w:rsidP="00E052E0">
      <w:pPr>
        <w:spacing w:line="360" w:lineRule="auto"/>
        <w:rPr>
          <w:rFonts w:ascii="Arial" w:hAnsi="Arial" w:cs="Arial"/>
          <w:b/>
          <w:bCs/>
        </w:rPr>
      </w:pPr>
      <w:r w:rsidRPr="00E052E0">
        <w:rPr>
          <w:rFonts w:ascii="Arial" w:hAnsi="Arial" w:cs="Arial"/>
        </w:rPr>
        <w:t>In the scenario described in the essay, the family’s shareholding would dilute to 30% after the AIM float, with external investors holding 70%. To maintain strategic control, several mechanisms may be considered</w:t>
      </w:r>
      <w:r w:rsidRPr="00E052E0">
        <w:rPr>
          <w:rFonts w:ascii="Arial" w:hAnsi="Arial" w:cs="Arial"/>
          <w:b/>
          <w:bCs/>
        </w:rPr>
        <w:t xml:space="preserve"> </w:t>
      </w:r>
      <w:r w:rsidRPr="00E052E0">
        <w:rPr>
          <w:rFonts w:ascii="Arial" w:hAnsi="Arial" w:cs="Arial"/>
        </w:rPr>
        <w:t>e</w:t>
      </w:r>
      <w:r w:rsidR="001D77F0" w:rsidRPr="00E052E0">
        <w:rPr>
          <w:rFonts w:ascii="Arial" w:hAnsi="Arial" w:cs="Arial"/>
        </w:rPr>
        <w:t>stablishing a dual-class share structure is one such strategy. Under this arrangement, the family might issue a different class of shares with regular voting rights to outside investors while holding a class of shares with superior voting rights (for instance, several votes per share). Even though the family owns a lesser portion of the total equity, this arrangement enables them to continue having influence over important choices, such as dividend policies and strategic direction.</w:t>
      </w:r>
      <w:r w:rsidR="001D77F0" w:rsidRPr="00E052E0">
        <w:rPr>
          <w:rFonts w:ascii="Arial" w:hAnsi="Arial" w:cs="Arial"/>
        </w:rPr>
        <w:br/>
      </w:r>
    </w:p>
    <w:p w14:paraId="5E998A52" w14:textId="2F485FDB" w:rsidR="00E052E0" w:rsidRPr="00E052E0" w:rsidRDefault="001D77F0" w:rsidP="00E052E0">
      <w:pPr>
        <w:spacing w:line="360" w:lineRule="auto"/>
        <w:rPr>
          <w:rFonts w:ascii="Arial" w:hAnsi="Arial" w:cs="Arial"/>
        </w:rPr>
      </w:pPr>
      <w:r w:rsidRPr="00E052E0">
        <w:rPr>
          <w:rFonts w:ascii="Arial" w:hAnsi="Arial" w:cs="Arial"/>
          <w:b/>
          <w:bCs/>
        </w:rPr>
        <w:t>Shareholder Agreements:</w:t>
      </w:r>
      <w:r w:rsidR="00E052E0" w:rsidRPr="00E052E0">
        <w:rPr>
          <w:rFonts w:ascii="Arial" w:hAnsi="Arial" w:cs="Arial"/>
          <w:b/>
          <w:bCs/>
        </w:rPr>
        <w:t xml:space="preserve"> </w:t>
      </w:r>
    </w:p>
    <w:p w14:paraId="2CE82715" w14:textId="77777777" w:rsidR="00E052E0" w:rsidRPr="00E052E0" w:rsidRDefault="001D77F0" w:rsidP="00E052E0">
      <w:pPr>
        <w:spacing w:line="360" w:lineRule="auto"/>
        <w:rPr>
          <w:rFonts w:ascii="Arial" w:hAnsi="Arial" w:cs="Arial"/>
          <w:b/>
          <w:bCs/>
        </w:rPr>
      </w:pPr>
      <w:r w:rsidRPr="001D77F0">
        <w:rPr>
          <w:rFonts w:ascii="Arial" w:hAnsi="Arial" w:cs="Arial"/>
        </w:rPr>
        <w:t>The family's strategic interests can be safeguarded by creating thorough shareholder agreements. These agreements may contain clauses governing the makeup of the board, the ability to veto significant transactions, or limitations on modifications to the share structure that do not require unanimous approval</w:t>
      </w:r>
      <w:r w:rsidRPr="001D77F0">
        <w:rPr>
          <w:rFonts w:ascii="Arial" w:hAnsi="Arial" w:cs="Arial"/>
          <w:b/>
          <w:bCs/>
        </w:rPr>
        <w:t>.</w:t>
      </w:r>
      <w:r w:rsidR="00A80C5E" w:rsidRPr="00E052E0">
        <w:rPr>
          <w:rFonts w:ascii="Arial" w:hAnsi="Arial" w:cs="Arial"/>
          <w:b/>
          <w:bCs/>
        </w:rPr>
        <w:br/>
      </w:r>
    </w:p>
    <w:p w14:paraId="73B3951A" w14:textId="77777777" w:rsidR="00F951A1" w:rsidRDefault="00A80C5E" w:rsidP="00E052E0">
      <w:pPr>
        <w:spacing w:line="360" w:lineRule="auto"/>
        <w:rPr>
          <w:rStyle w:val="Heading1Char"/>
        </w:rPr>
      </w:pPr>
      <w:r w:rsidRPr="00E052E0">
        <w:rPr>
          <w:rFonts w:ascii="Arial" w:hAnsi="Arial" w:cs="Arial"/>
          <w:b/>
          <w:bCs/>
        </w:rPr>
        <w:t>Board Control Mechanisms:</w:t>
      </w:r>
      <w:r w:rsidRPr="00E052E0">
        <w:rPr>
          <w:rFonts w:ascii="Arial" w:hAnsi="Arial" w:cs="Arial"/>
          <w:b/>
          <w:bCs/>
        </w:rPr>
        <w:br/>
      </w:r>
      <w:r w:rsidRPr="00E052E0">
        <w:rPr>
          <w:rFonts w:ascii="Arial" w:hAnsi="Arial" w:cs="Arial"/>
        </w:rPr>
        <w:t>Additionally, the family might establish a staggered board or provide certain director appointment privileges. This guarantees that the family's candidates will remain a sizable portion of the board even after outside investors join the business.</w:t>
      </w:r>
      <w:r w:rsidRPr="00E052E0">
        <w:rPr>
          <w:rFonts w:ascii="Arial" w:hAnsi="Arial" w:cs="Arial"/>
        </w:rPr>
        <w:br/>
      </w:r>
      <w:r w:rsidRPr="00E052E0">
        <w:rPr>
          <w:rFonts w:ascii="Arial" w:hAnsi="Arial" w:cs="Arial"/>
        </w:rPr>
        <w:t>The family may be able to maintain effective control over the business by putting one or more of these strategies into practice, subject to AIM regulations and regulatory permission.</w:t>
      </w:r>
      <w:r w:rsidR="00E052E0" w:rsidRPr="00E052E0">
        <w:rPr>
          <w:rFonts w:ascii="Arial" w:hAnsi="Arial" w:cs="Arial"/>
        </w:rPr>
        <w:t xml:space="preserve">  </w:t>
      </w:r>
      <w:r w:rsidR="00E052E0" w:rsidRPr="00E052E0">
        <w:rPr>
          <w:rFonts w:ascii="Arial" w:hAnsi="Arial" w:cs="Arial"/>
        </w:rPr>
        <w:t>By guaranteeing that a majority of board seats are occupied by directors who share their strategic perspective, the family can maintain control even in the absence of a dual-class system.</w:t>
      </w:r>
      <w:r w:rsidRPr="00E052E0">
        <w:rPr>
          <w:rFonts w:ascii="Arial" w:hAnsi="Arial" w:cs="Arial"/>
        </w:rPr>
        <w:br/>
      </w:r>
      <w:r w:rsidRPr="00E052E0">
        <w:rPr>
          <w:rFonts w:ascii="Arial" w:hAnsi="Arial" w:cs="Arial"/>
        </w:rPr>
        <w:br/>
      </w:r>
    </w:p>
    <w:p w14:paraId="7CEA0432" w14:textId="5DDE3441" w:rsidR="00A80C5E" w:rsidRPr="00F951A1" w:rsidRDefault="00A80C5E" w:rsidP="00E052E0">
      <w:pPr>
        <w:spacing w:line="360" w:lineRule="auto"/>
        <w:rPr>
          <w:rStyle w:val="Heading2Char"/>
        </w:rPr>
      </w:pPr>
      <w:bookmarkStart w:id="5" w:name="_Toc191155015"/>
      <w:r w:rsidRPr="00F951A1">
        <w:rPr>
          <w:rStyle w:val="Heading1Char"/>
        </w:rPr>
        <w:lastRenderedPageBreak/>
        <w:t>3. Remuneration of Directors</w:t>
      </w:r>
      <w:bookmarkEnd w:id="5"/>
      <w:r w:rsidRPr="00F951A1">
        <w:rPr>
          <w:rStyle w:val="Heading1Char"/>
        </w:rPr>
        <w:br/>
      </w:r>
      <w:r w:rsidR="00F951A1" w:rsidRPr="00F951A1">
        <w:rPr>
          <w:rStyle w:val="Heading2Char"/>
        </w:rPr>
        <w:t>c)</w:t>
      </w:r>
      <w:r w:rsidRPr="00F951A1">
        <w:rPr>
          <w:rStyle w:val="Heading2Char"/>
        </w:rPr>
        <w:t xml:space="preserve"> Fair and Transparent Compensation Structures</w:t>
      </w:r>
    </w:p>
    <w:p w14:paraId="122BBFB7" w14:textId="77777777" w:rsidR="00E052E0" w:rsidRPr="00E052E0" w:rsidRDefault="00A80C5E" w:rsidP="00E052E0">
      <w:pPr>
        <w:spacing w:line="360" w:lineRule="auto"/>
        <w:rPr>
          <w:rFonts w:ascii="Arial" w:hAnsi="Arial" w:cs="Arial"/>
        </w:rPr>
      </w:pPr>
      <w:r w:rsidRPr="00A80C5E">
        <w:rPr>
          <w:rFonts w:ascii="Arial" w:hAnsi="Arial" w:cs="Arial"/>
        </w:rPr>
        <w:t>A methodical, open, and performance-based approach should be used to decide director compensation. Important factors include</w:t>
      </w:r>
      <w:r w:rsidRPr="00E052E0">
        <w:rPr>
          <w:rFonts w:ascii="Arial" w:hAnsi="Arial" w:cs="Arial"/>
        </w:rPr>
        <w:t xml:space="preserve">: </w:t>
      </w:r>
      <w:r w:rsidRPr="00E052E0">
        <w:rPr>
          <w:rFonts w:ascii="Arial" w:hAnsi="Arial" w:cs="Arial"/>
        </w:rPr>
        <w:br/>
      </w:r>
      <w:r w:rsidRPr="00E052E0">
        <w:rPr>
          <w:rFonts w:ascii="Arial" w:hAnsi="Arial" w:cs="Arial"/>
        </w:rPr>
        <w:br/>
      </w:r>
      <w:r w:rsidRPr="00E052E0">
        <w:rPr>
          <w:rFonts w:ascii="Arial" w:hAnsi="Arial" w:cs="Arial"/>
          <w:b/>
          <w:bCs/>
        </w:rPr>
        <w:t>Establishing a Remuneration Committee:</w:t>
      </w:r>
      <w:r w:rsidRPr="00E052E0">
        <w:rPr>
          <w:rFonts w:ascii="Arial" w:hAnsi="Arial" w:cs="Arial"/>
          <w:b/>
          <w:bCs/>
          <w:i/>
          <w:iCs/>
        </w:rPr>
        <w:br/>
      </w:r>
      <w:r w:rsidRPr="00E052E0">
        <w:rPr>
          <w:rFonts w:ascii="Arial" w:hAnsi="Arial" w:cs="Arial"/>
        </w:rPr>
        <w:t>Creating a separate compensation committee with non-executive directors on it. In addition to taking the company's performance and long-term strategy into account, this committee should compare director compensation to industry norms.</w:t>
      </w:r>
      <w:r w:rsidRPr="00E052E0">
        <w:rPr>
          <w:rFonts w:ascii="Arial" w:hAnsi="Arial" w:cs="Arial"/>
        </w:rPr>
        <w:br/>
      </w:r>
      <w:r w:rsidRPr="00E052E0">
        <w:rPr>
          <w:rFonts w:ascii="Arial" w:hAnsi="Arial" w:cs="Arial"/>
        </w:rPr>
        <w:br/>
      </w:r>
      <w:r w:rsidRPr="00E052E0">
        <w:rPr>
          <w:rFonts w:ascii="Arial" w:hAnsi="Arial" w:cs="Arial"/>
          <w:b/>
          <w:bCs/>
        </w:rPr>
        <w:t>Components of Director Pay:</w:t>
      </w:r>
      <w:r w:rsidRPr="00E052E0">
        <w:rPr>
          <w:rFonts w:ascii="Arial" w:hAnsi="Arial" w:cs="Arial"/>
          <w:b/>
          <w:bCs/>
        </w:rPr>
        <w:br/>
      </w:r>
      <w:r w:rsidR="00E052E0" w:rsidRPr="00E052E0">
        <w:rPr>
          <w:rFonts w:ascii="Arial" w:hAnsi="Arial" w:cs="Arial"/>
        </w:rPr>
        <w:t>A fixed wage is usually combined with variable elements like bonuses, long-term incentive programs (such restricted shares or share options), and other perks in compensation packages. In order to connect directors' incentives with shareholders' interests, the variable remuneration should be firmly tied to well-defined performance indicators.</w:t>
      </w:r>
    </w:p>
    <w:p w14:paraId="2B99721A" w14:textId="77777777" w:rsidR="00E052E0" w:rsidRPr="00E052E0" w:rsidRDefault="00E052E0" w:rsidP="00E052E0">
      <w:pPr>
        <w:spacing w:line="360" w:lineRule="auto"/>
        <w:rPr>
          <w:rFonts w:ascii="Arial" w:hAnsi="Arial" w:cs="Arial"/>
        </w:rPr>
      </w:pPr>
      <w:r w:rsidRPr="00E052E0">
        <w:rPr>
          <w:rFonts w:ascii="Arial" w:hAnsi="Arial" w:cs="Arial"/>
          <w:b/>
          <w:bCs/>
        </w:rPr>
        <w:t>Transparency and Disclosure:</w:t>
      </w:r>
      <w:r w:rsidRPr="00E052E0">
        <w:rPr>
          <w:rFonts w:ascii="Arial" w:hAnsi="Arial" w:cs="Arial"/>
          <w:b/>
          <w:bCs/>
          <w:i/>
          <w:iCs/>
        </w:rPr>
        <w:br/>
      </w:r>
      <w:r w:rsidRPr="00E052E0">
        <w:rPr>
          <w:rFonts w:ascii="Arial" w:hAnsi="Arial" w:cs="Arial"/>
        </w:rPr>
        <w:t>AIM and pertinent corporate governance regulations must be followed, and the compensation policy must be properly reported in the annual report. In addition to ensuring that compensation is viewed as reasonable and fair, this transparency promotes trust among external shareholders.</w:t>
      </w:r>
    </w:p>
    <w:p w14:paraId="5694D299" w14:textId="3A0F96E8" w:rsidR="00E052E0" w:rsidRPr="00E052E0" w:rsidRDefault="00E052E0" w:rsidP="00E052E0">
      <w:pPr>
        <w:spacing w:line="360" w:lineRule="auto"/>
        <w:rPr>
          <w:rFonts w:ascii="Arial" w:hAnsi="Arial" w:cs="Arial"/>
          <w:b/>
          <w:bCs/>
          <w:i/>
          <w:iCs/>
        </w:rPr>
      </w:pPr>
      <w:r w:rsidRPr="00E052E0">
        <w:rPr>
          <w:rFonts w:ascii="Arial" w:hAnsi="Arial" w:cs="Arial"/>
          <w:b/>
          <w:bCs/>
        </w:rPr>
        <w:t>Regular Review:</w:t>
      </w:r>
      <w:r w:rsidRPr="00E052E0">
        <w:rPr>
          <w:rFonts w:ascii="Arial" w:hAnsi="Arial" w:cs="Arial"/>
          <w:b/>
          <w:bCs/>
          <w:i/>
          <w:iCs/>
        </w:rPr>
        <w:br/>
      </w:r>
      <w:r w:rsidRPr="00E052E0">
        <w:rPr>
          <w:rFonts w:ascii="Arial" w:hAnsi="Arial" w:cs="Arial"/>
        </w:rPr>
        <w:t>In order to adapt to shifting market conditions, business performance, and developing corporate governance best practices, the compensation policy should be reviewed on a regular basis.</w:t>
      </w:r>
      <w:r w:rsidRPr="00E052E0">
        <w:rPr>
          <w:rFonts w:ascii="Arial" w:hAnsi="Arial" w:cs="Arial"/>
          <w:b/>
          <w:bCs/>
          <w:i/>
          <w:iCs/>
        </w:rPr>
        <w:br/>
      </w:r>
    </w:p>
    <w:p w14:paraId="66D29678" w14:textId="09A97C66" w:rsidR="00A80C5E" w:rsidRPr="00F951A1" w:rsidRDefault="00E052E0" w:rsidP="00E052E0">
      <w:pPr>
        <w:spacing w:line="360" w:lineRule="auto"/>
        <w:rPr>
          <w:rStyle w:val="Heading2Char"/>
        </w:rPr>
      </w:pPr>
      <w:bookmarkStart w:id="6" w:name="_Toc191155016"/>
      <w:r w:rsidRPr="00F951A1">
        <w:rPr>
          <w:rStyle w:val="Heading1Char"/>
        </w:rPr>
        <w:t>4. Institutional Considerations: Listing in Shanghai vs. the Netherlands</w:t>
      </w:r>
      <w:bookmarkEnd w:id="6"/>
      <w:r w:rsidRPr="00F951A1">
        <w:rPr>
          <w:rStyle w:val="Heading1Char"/>
          <w:rFonts w:ascii="Arial" w:hAnsi="Arial" w:cs="Arial"/>
          <w:sz w:val="24"/>
          <w:szCs w:val="24"/>
        </w:rPr>
        <w:br/>
      </w:r>
      <w:r w:rsidRPr="00F951A1">
        <w:rPr>
          <w:rStyle w:val="Heading2Char"/>
        </w:rPr>
        <w:t>d</w:t>
      </w:r>
      <w:r w:rsidR="00F951A1" w:rsidRPr="00F951A1">
        <w:rPr>
          <w:rStyle w:val="Heading2Char"/>
        </w:rPr>
        <w:t xml:space="preserve">) </w:t>
      </w:r>
      <w:r w:rsidRPr="00F951A1">
        <w:rPr>
          <w:rStyle w:val="Heading2Char"/>
        </w:rPr>
        <w:t>Key Institutional Differences</w:t>
      </w:r>
    </w:p>
    <w:p w14:paraId="2B3BAEA5" w14:textId="77777777" w:rsidR="00E052E0" w:rsidRPr="00E052E0" w:rsidRDefault="00E052E0" w:rsidP="00E052E0">
      <w:pPr>
        <w:spacing w:line="360" w:lineRule="auto"/>
        <w:rPr>
          <w:rFonts w:ascii="Arial" w:hAnsi="Arial" w:cs="Arial"/>
          <w:b/>
          <w:bCs/>
        </w:rPr>
      </w:pPr>
      <w:r w:rsidRPr="00E052E0">
        <w:rPr>
          <w:rFonts w:ascii="Arial" w:hAnsi="Arial" w:cs="Arial"/>
        </w:rPr>
        <w:t>If the business decides to move its headquarters and list in the Netherlands or Shanghai, it needs to examine a number of institutional factors:</w:t>
      </w:r>
      <w:r w:rsidRPr="00E052E0">
        <w:rPr>
          <w:rFonts w:ascii="Arial" w:hAnsi="Arial" w:cs="Arial"/>
        </w:rPr>
        <w:br/>
      </w:r>
      <w:r w:rsidRPr="00E052E0">
        <w:rPr>
          <w:rFonts w:ascii="Arial" w:hAnsi="Arial" w:cs="Arial"/>
          <w:b/>
          <w:bCs/>
        </w:rPr>
        <w:t>Shanghai (China):</w:t>
      </w:r>
    </w:p>
    <w:p w14:paraId="14896B22" w14:textId="77777777" w:rsidR="00F951A1" w:rsidRDefault="00F951A1" w:rsidP="00E052E0">
      <w:pPr>
        <w:spacing w:line="360" w:lineRule="auto"/>
        <w:rPr>
          <w:rFonts w:ascii="Arial" w:hAnsi="Arial" w:cs="Arial"/>
          <w:b/>
          <w:bCs/>
          <w:i/>
          <w:iCs/>
        </w:rPr>
      </w:pPr>
    </w:p>
    <w:p w14:paraId="12AC4262" w14:textId="423208D3" w:rsidR="00E052E0" w:rsidRPr="00E052E0" w:rsidRDefault="00E052E0" w:rsidP="00E052E0">
      <w:pPr>
        <w:spacing w:line="360" w:lineRule="auto"/>
        <w:rPr>
          <w:rFonts w:ascii="Arial" w:hAnsi="Arial" w:cs="Arial"/>
          <w:b/>
          <w:bCs/>
        </w:rPr>
      </w:pPr>
      <w:r w:rsidRPr="00E052E0">
        <w:rPr>
          <w:rFonts w:ascii="Arial" w:hAnsi="Arial" w:cs="Arial"/>
          <w:b/>
          <w:bCs/>
          <w:i/>
          <w:iCs/>
        </w:rPr>
        <w:lastRenderedPageBreak/>
        <w:t>Regulatory Environment:</w:t>
      </w:r>
    </w:p>
    <w:p w14:paraId="17C8EE69" w14:textId="5C570D76" w:rsidR="00E052E0" w:rsidRPr="00E052E0" w:rsidRDefault="00E052E0" w:rsidP="00E052E0">
      <w:pPr>
        <w:spacing w:line="360" w:lineRule="auto"/>
        <w:rPr>
          <w:rFonts w:ascii="Arial" w:hAnsi="Arial" w:cs="Arial"/>
          <w:b/>
          <w:bCs/>
        </w:rPr>
      </w:pPr>
      <w:r w:rsidRPr="00E052E0">
        <w:rPr>
          <w:rFonts w:ascii="Arial" w:hAnsi="Arial" w:cs="Arial"/>
        </w:rPr>
        <w:t>The Chinese market is regulated by bodies such as the China Securities Regulatory Commission (CSRC). Regulatory requirements, disclosure standards, and auditing practices may differ significantly from those in the UK</w:t>
      </w:r>
      <w:r w:rsidRPr="00E052E0">
        <w:rPr>
          <w:rFonts w:ascii="Arial" w:hAnsi="Arial" w:cs="Arial"/>
        </w:rPr>
        <w:t>.</w:t>
      </w:r>
    </w:p>
    <w:p w14:paraId="501A6C24" w14:textId="2114D324" w:rsidR="00E052E0" w:rsidRPr="00E052E0" w:rsidRDefault="00E052E0" w:rsidP="00E052E0">
      <w:pPr>
        <w:spacing w:line="360" w:lineRule="auto"/>
        <w:rPr>
          <w:rFonts w:ascii="Arial" w:hAnsi="Arial" w:cs="Arial"/>
          <w:b/>
          <w:bCs/>
          <w:i/>
          <w:iCs/>
        </w:rPr>
      </w:pPr>
      <w:r w:rsidRPr="00E052E0">
        <w:rPr>
          <w:rFonts w:ascii="Arial" w:hAnsi="Arial" w:cs="Arial"/>
          <w:b/>
          <w:bCs/>
          <w:i/>
          <w:iCs/>
        </w:rPr>
        <w:t>State Influence and Market Dynamics</w:t>
      </w:r>
      <w:r w:rsidRPr="00E052E0">
        <w:rPr>
          <w:rFonts w:ascii="Arial" w:hAnsi="Arial" w:cs="Arial"/>
          <w:b/>
          <w:bCs/>
          <w:i/>
          <w:iCs/>
        </w:rPr>
        <w:t>:</w:t>
      </w:r>
    </w:p>
    <w:p w14:paraId="09419700" w14:textId="77777777" w:rsidR="00E052E0" w:rsidRPr="00E052E0" w:rsidRDefault="00E052E0" w:rsidP="00E052E0">
      <w:pPr>
        <w:spacing w:line="360" w:lineRule="auto"/>
        <w:rPr>
          <w:rFonts w:ascii="Arial" w:hAnsi="Arial" w:cs="Arial"/>
        </w:rPr>
      </w:pPr>
      <w:r w:rsidRPr="00E052E0">
        <w:rPr>
          <w:rFonts w:ascii="Arial" w:hAnsi="Arial" w:cs="Arial"/>
        </w:rPr>
        <w:t>A greater level of state intervention in business matters is possible. This may have an impact on corporate governance procedures and strategic choices.</w:t>
      </w:r>
    </w:p>
    <w:p w14:paraId="7DF5A28F" w14:textId="77777777" w:rsidR="00E052E0" w:rsidRPr="00E052E0" w:rsidRDefault="00E052E0" w:rsidP="00E052E0">
      <w:pPr>
        <w:spacing w:line="360" w:lineRule="auto"/>
        <w:rPr>
          <w:rFonts w:ascii="Arial" w:hAnsi="Arial" w:cs="Arial"/>
        </w:rPr>
      </w:pPr>
      <w:r w:rsidRPr="00E052E0">
        <w:rPr>
          <w:rFonts w:ascii="Arial" w:hAnsi="Arial" w:cs="Arial"/>
          <w:b/>
          <w:bCs/>
          <w:i/>
          <w:iCs/>
        </w:rPr>
        <w:t>Cultural and Operational Norms</w:t>
      </w:r>
      <w:r w:rsidRPr="00E052E0">
        <w:rPr>
          <w:rFonts w:ascii="Arial" w:hAnsi="Arial" w:cs="Arial"/>
          <w:b/>
          <w:bCs/>
        </w:rPr>
        <w:t>:</w:t>
      </w:r>
      <w:r w:rsidRPr="00E052E0">
        <w:rPr>
          <w:rFonts w:ascii="Arial" w:hAnsi="Arial" w:cs="Arial"/>
        </w:rPr>
        <w:t xml:space="preserve"> </w:t>
      </w:r>
    </w:p>
    <w:p w14:paraId="38456174" w14:textId="7AFAAE17" w:rsidR="00E052E0" w:rsidRPr="00E052E0" w:rsidRDefault="00E052E0" w:rsidP="00E052E0">
      <w:pPr>
        <w:spacing w:line="360" w:lineRule="auto"/>
        <w:rPr>
          <w:rFonts w:ascii="Arial" w:hAnsi="Arial" w:cs="Arial"/>
        </w:rPr>
      </w:pPr>
      <w:r w:rsidRPr="00E052E0">
        <w:rPr>
          <w:rFonts w:ascii="Arial" w:eastAsia="Times New Roman" w:hAnsi="Arial" w:cs="Arial"/>
          <w:kern w:val="0"/>
          <w:lang w:eastAsia="en-GB"/>
          <w14:ligatures w14:val="none"/>
        </w:rPr>
        <w:t>Different cultural expectations and methods to risk management and decision-making may be reflected in Chinese business operations. Governance procedures would need to be modified to satisfy local standards.</w:t>
      </w:r>
    </w:p>
    <w:p w14:paraId="16BC0E10" w14:textId="5E39F49A" w:rsidR="00E052E0" w:rsidRPr="00E052E0" w:rsidRDefault="00E052E0" w:rsidP="00E052E0">
      <w:pPr>
        <w:spacing w:line="360" w:lineRule="auto"/>
        <w:rPr>
          <w:rFonts w:ascii="Arial" w:hAnsi="Arial" w:cs="Arial"/>
          <w:b/>
          <w:bCs/>
        </w:rPr>
      </w:pPr>
      <w:r w:rsidRPr="00E052E0">
        <w:rPr>
          <w:rFonts w:ascii="Arial" w:hAnsi="Arial" w:cs="Arial"/>
          <w:b/>
          <w:bCs/>
        </w:rPr>
        <w:t>The Netherlands:</w:t>
      </w:r>
    </w:p>
    <w:p w14:paraId="4FC5359B" w14:textId="77777777" w:rsidR="00E052E0" w:rsidRPr="00E052E0" w:rsidRDefault="00E052E0" w:rsidP="00E052E0">
      <w:pPr>
        <w:spacing w:line="360" w:lineRule="auto"/>
        <w:rPr>
          <w:rFonts w:ascii="Arial" w:hAnsi="Arial" w:cs="Arial"/>
          <w:b/>
          <w:bCs/>
        </w:rPr>
      </w:pPr>
      <w:r w:rsidRPr="00E052E0">
        <w:rPr>
          <w:rFonts w:ascii="Arial" w:hAnsi="Arial" w:cs="Arial"/>
          <w:b/>
          <w:bCs/>
          <w:i/>
          <w:iCs/>
        </w:rPr>
        <w:t>EU and National Regulations:</w:t>
      </w:r>
      <w:r w:rsidRPr="00E052E0">
        <w:rPr>
          <w:rFonts w:ascii="Arial" w:hAnsi="Arial" w:cs="Arial"/>
          <w:b/>
          <w:bCs/>
        </w:rPr>
        <w:br/>
      </w:r>
      <w:r w:rsidRPr="00E052E0">
        <w:rPr>
          <w:rFonts w:ascii="Arial" w:hAnsi="Arial" w:cs="Arial"/>
        </w:rPr>
        <w:t>The Dutch regulatory framework is aligned with EU corporate governance standards. The Netherlands emphasizes transparency, accountability, and the protection of minority shareholders.</w:t>
      </w:r>
      <w:r w:rsidRPr="00E052E0">
        <w:rPr>
          <w:rFonts w:ascii="Arial" w:hAnsi="Arial" w:cs="Arial"/>
        </w:rPr>
        <w:br/>
      </w:r>
    </w:p>
    <w:p w14:paraId="53F43B58" w14:textId="359C7F1C" w:rsidR="00E052E0" w:rsidRPr="00E052E0" w:rsidRDefault="00E052E0" w:rsidP="00E052E0">
      <w:pPr>
        <w:spacing w:line="360" w:lineRule="auto"/>
        <w:rPr>
          <w:rFonts w:ascii="Arial" w:hAnsi="Arial" w:cs="Arial"/>
          <w:b/>
          <w:bCs/>
        </w:rPr>
      </w:pPr>
      <w:r w:rsidRPr="00E052E0">
        <w:rPr>
          <w:rFonts w:ascii="Arial" w:hAnsi="Arial" w:cs="Arial"/>
          <w:b/>
          <w:bCs/>
          <w:i/>
          <w:iCs/>
        </w:rPr>
        <w:t>Board Composition and Independence:</w:t>
      </w:r>
      <w:r w:rsidRPr="00E052E0">
        <w:rPr>
          <w:rFonts w:ascii="Arial" w:hAnsi="Arial" w:cs="Arial"/>
          <w:b/>
          <w:bCs/>
        </w:rPr>
        <w:br/>
      </w:r>
      <w:r w:rsidRPr="00E052E0">
        <w:rPr>
          <w:rFonts w:ascii="Arial" w:hAnsi="Arial" w:cs="Arial"/>
        </w:rPr>
        <w:t>In order to supplement the company's governance structure, Dutch corporate governance often requires independent directors to play a significant role as well as formalised board committees (such as audit, nominating, and compensation committees).</w:t>
      </w:r>
    </w:p>
    <w:p w14:paraId="6D82057C" w14:textId="77777777" w:rsidR="00E052E0" w:rsidRDefault="00E052E0" w:rsidP="00E052E0">
      <w:pPr>
        <w:spacing w:line="360" w:lineRule="auto"/>
        <w:rPr>
          <w:rFonts w:ascii="Arial" w:hAnsi="Arial" w:cs="Arial"/>
          <w:b/>
          <w:bCs/>
          <w:i/>
          <w:iCs/>
        </w:rPr>
      </w:pPr>
    </w:p>
    <w:p w14:paraId="0CE9850E" w14:textId="302A9AD1" w:rsidR="00E052E0" w:rsidRPr="00E052E0" w:rsidRDefault="00E052E0" w:rsidP="00E052E0">
      <w:pPr>
        <w:spacing w:line="360" w:lineRule="auto"/>
        <w:rPr>
          <w:rFonts w:ascii="Arial" w:hAnsi="Arial" w:cs="Arial"/>
          <w:b/>
          <w:bCs/>
          <w:i/>
          <w:iCs/>
        </w:rPr>
      </w:pPr>
      <w:r w:rsidRPr="00E052E0">
        <w:rPr>
          <w:rFonts w:ascii="Arial" w:hAnsi="Arial" w:cs="Arial"/>
          <w:b/>
          <w:bCs/>
          <w:i/>
          <w:iCs/>
        </w:rPr>
        <w:t>Stability and Predictability:</w:t>
      </w:r>
    </w:p>
    <w:p w14:paraId="4788603C" w14:textId="77777777" w:rsidR="00E052E0" w:rsidRPr="00E052E0" w:rsidRDefault="00E052E0" w:rsidP="00E052E0">
      <w:pPr>
        <w:spacing w:after="0" w:line="360" w:lineRule="auto"/>
        <w:rPr>
          <w:rFonts w:ascii="Arial" w:eastAsia="Times New Roman" w:hAnsi="Arial" w:cs="Arial"/>
          <w:b/>
          <w:bCs/>
          <w:kern w:val="0"/>
          <w:lang w:eastAsia="en-GB"/>
          <w14:ligatures w14:val="none"/>
        </w:rPr>
      </w:pPr>
      <w:r w:rsidRPr="00E052E0">
        <w:rPr>
          <w:rFonts w:ascii="Arial" w:eastAsia="Times New Roman" w:hAnsi="Arial" w:cs="Arial"/>
          <w:kern w:val="0"/>
          <w:lang w:eastAsia="en-GB"/>
          <w14:ligatures w14:val="none"/>
        </w:rPr>
        <w:t>I</w:t>
      </w:r>
      <w:r w:rsidRPr="00E052E0">
        <w:rPr>
          <w:rFonts w:ascii="Arial" w:eastAsia="Times New Roman" w:hAnsi="Arial" w:cs="Arial"/>
          <w:kern w:val="0"/>
          <w:lang w:eastAsia="en-GB"/>
          <w14:ligatures w14:val="none"/>
        </w:rPr>
        <w:t>n contrast to Shanghai's emerging market framework, the Netherlands offers a stable legal environment with established corporate procedures that may be more recognisable to foreign investors.</w:t>
      </w:r>
      <w:r w:rsidRPr="00E052E0">
        <w:rPr>
          <w:rFonts w:ascii="Arial" w:eastAsia="Times New Roman" w:hAnsi="Arial" w:cs="Arial"/>
          <w:kern w:val="0"/>
          <w:lang w:eastAsia="en-GB"/>
          <w14:ligatures w14:val="none"/>
        </w:rPr>
        <w:t xml:space="preserve"> </w:t>
      </w:r>
      <w:r w:rsidRPr="00E052E0">
        <w:rPr>
          <w:rFonts w:ascii="Arial" w:eastAsia="Times New Roman" w:hAnsi="Arial" w:cs="Arial"/>
          <w:kern w:val="0"/>
          <w:lang w:eastAsia="en-GB"/>
          <w14:ligatures w14:val="none"/>
        </w:rPr>
        <w:t>Each location presents its own advantages and challenges. The decision should factor in not only regulatory and institutional differences but also strategic considerations such as market access, investor base, and the company’s long-term growth plans.</w:t>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br/>
      </w:r>
    </w:p>
    <w:p w14:paraId="09F8A66F" w14:textId="77777777" w:rsidR="00E052E0" w:rsidRPr="00E052E0" w:rsidRDefault="00E052E0" w:rsidP="00E052E0">
      <w:pPr>
        <w:spacing w:after="0" w:line="360" w:lineRule="auto"/>
        <w:rPr>
          <w:rFonts w:ascii="Arial" w:eastAsia="Times New Roman" w:hAnsi="Arial" w:cs="Arial"/>
          <w:b/>
          <w:bCs/>
          <w:kern w:val="0"/>
          <w:lang w:eastAsia="en-GB"/>
          <w14:ligatures w14:val="none"/>
        </w:rPr>
      </w:pPr>
    </w:p>
    <w:p w14:paraId="06EEC43E" w14:textId="77777777" w:rsidR="00F951A1" w:rsidRDefault="00F951A1" w:rsidP="00E052E0">
      <w:pPr>
        <w:spacing w:after="0" w:line="360" w:lineRule="auto"/>
        <w:rPr>
          <w:rStyle w:val="Heading1Char"/>
          <w:lang w:eastAsia="en-GB"/>
        </w:rPr>
      </w:pPr>
    </w:p>
    <w:p w14:paraId="00FF1248" w14:textId="77777777" w:rsidR="00F951A1" w:rsidRDefault="00E052E0" w:rsidP="00E052E0">
      <w:pPr>
        <w:spacing w:after="0" w:line="360" w:lineRule="auto"/>
        <w:rPr>
          <w:rStyle w:val="Heading1Char"/>
        </w:rPr>
      </w:pPr>
      <w:bookmarkStart w:id="7" w:name="_Toc191155017"/>
      <w:r w:rsidRPr="00F951A1">
        <w:rPr>
          <w:rStyle w:val="Heading1Char"/>
          <w:lang w:eastAsia="en-GB"/>
        </w:rPr>
        <w:lastRenderedPageBreak/>
        <w:t>Conclusion</w:t>
      </w:r>
      <w:bookmarkEnd w:id="7"/>
      <w:r w:rsidRPr="00F951A1">
        <w:rPr>
          <w:rStyle w:val="Heading1Char"/>
          <w:lang w:eastAsia="en-GB"/>
        </w:rPr>
        <w:br/>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t>In conclusion, the business needs to do the following as it gets ready for its AIM listing:</w:t>
      </w:r>
      <w:r w:rsidRPr="00E052E0">
        <w:rPr>
          <w:rFonts w:ascii="Arial" w:eastAsia="Times New Roman" w:hAnsi="Arial" w:cs="Arial"/>
          <w:kern w:val="0"/>
          <w:lang w:eastAsia="en-GB"/>
          <w14:ligatures w14:val="none"/>
        </w:rPr>
        <w:br/>
        <w:t>Adopt strong agency theory and corporate governance procedures to guarantee accountability, openness, and harmony between shareholders and management.</w:t>
      </w:r>
      <w:r w:rsidRPr="00E052E0">
        <w:rPr>
          <w:rFonts w:ascii="Arial" w:eastAsia="Times New Roman" w:hAnsi="Arial" w:cs="Arial"/>
          <w:kern w:val="0"/>
          <w:lang w:eastAsia="en-GB"/>
          <w14:ligatures w14:val="none"/>
        </w:rPr>
        <w:br/>
        <w:t>In order to maintain strategic control in spite of a decreased family stake, take into account strategies including dual-class share structures, shareholder agreements, and customised board control mechanisms.</w:t>
      </w:r>
      <w:r w:rsidRPr="00E052E0">
        <w:rPr>
          <w:rFonts w:ascii="Arial" w:eastAsia="Times New Roman" w:hAnsi="Arial" w:cs="Arial"/>
          <w:kern w:val="0"/>
          <w:lang w:eastAsia="en-GB"/>
          <w14:ligatures w14:val="none"/>
        </w:rPr>
        <w:br/>
        <w:t>Create an independent committee and tie pay to performance to implement a transparent and equitable director compensation structure that is in line with the long-term objectives of the business.</w:t>
      </w:r>
      <w:r w:rsidRPr="00E052E0">
        <w:rPr>
          <w:rFonts w:ascii="Arial" w:eastAsia="Times New Roman" w:hAnsi="Arial" w:cs="Arial"/>
          <w:kern w:val="0"/>
          <w:lang w:eastAsia="en-GB"/>
          <w14:ligatures w14:val="none"/>
        </w:rPr>
        <w:br/>
        <w:t>Examine the legislative framework, market dynamics, and corporate governance standards that are specific to each country while comparing the institutional distinctions between Shanghai and the Netherlands.</w:t>
      </w:r>
      <w:r w:rsidRPr="00E052E0">
        <w:rPr>
          <w:rFonts w:ascii="Arial" w:eastAsia="Times New Roman" w:hAnsi="Arial" w:cs="Arial"/>
          <w:kern w:val="0"/>
          <w:lang w:eastAsia="en-GB"/>
          <w14:ligatures w14:val="none"/>
        </w:rPr>
        <w:br/>
        <w:t>By putting these suggestions into practice, the business will be better positioned for an AIM listing while maintaining the family's strategic control and guaranteeing long-term governance procedures.</w:t>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t>For a family company preparing to list on AIM, understanding both the broad strategic considerations and the detailed regulatory requirements is critical. AIM’s flexible, self-regulatory framework allows for innovative approaches to governance and control retention—such as dual-class share structures and tailored remuneration policies—that can enable the family to retain strategic oversight even with a 30% shareholding. However, with this flexibility comes a heightened need for transparency, robust internal controls, and clear communication with investors to mitigate agency conflicts and maintain investor confidence.</w:t>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br/>
      </w:r>
    </w:p>
    <w:p w14:paraId="76491DD5" w14:textId="77777777" w:rsidR="00F951A1" w:rsidRDefault="00F951A1" w:rsidP="00E052E0">
      <w:pPr>
        <w:spacing w:after="0" w:line="360" w:lineRule="auto"/>
        <w:rPr>
          <w:rStyle w:val="Heading1Char"/>
        </w:rPr>
      </w:pPr>
    </w:p>
    <w:p w14:paraId="1FA0870D" w14:textId="77777777" w:rsidR="00F951A1" w:rsidRDefault="00F951A1" w:rsidP="00E052E0">
      <w:pPr>
        <w:spacing w:after="0" w:line="360" w:lineRule="auto"/>
        <w:rPr>
          <w:rStyle w:val="Heading1Char"/>
        </w:rPr>
      </w:pPr>
    </w:p>
    <w:p w14:paraId="30C2208B" w14:textId="77777777" w:rsidR="00F951A1" w:rsidRDefault="00F951A1" w:rsidP="00E052E0">
      <w:pPr>
        <w:spacing w:after="0" w:line="360" w:lineRule="auto"/>
        <w:rPr>
          <w:rStyle w:val="Heading1Char"/>
        </w:rPr>
      </w:pPr>
    </w:p>
    <w:p w14:paraId="6BA03FAD" w14:textId="77777777" w:rsidR="00F951A1" w:rsidRDefault="00F951A1" w:rsidP="00E052E0">
      <w:pPr>
        <w:spacing w:after="0" w:line="360" w:lineRule="auto"/>
        <w:rPr>
          <w:rStyle w:val="Heading1Char"/>
        </w:rPr>
      </w:pPr>
    </w:p>
    <w:p w14:paraId="0EA720A1" w14:textId="77777777" w:rsidR="00F951A1" w:rsidRDefault="00F951A1" w:rsidP="00E052E0">
      <w:pPr>
        <w:spacing w:after="0" w:line="360" w:lineRule="auto"/>
        <w:rPr>
          <w:rStyle w:val="Heading1Char"/>
        </w:rPr>
      </w:pPr>
    </w:p>
    <w:p w14:paraId="34494A8E" w14:textId="77777777" w:rsidR="00F951A1" w:rsidRDefault="00F951A1" w:rsidP="00E052E0">
      <w:pPr>
        <w:spacing w:after="0" w:line="360" w:lineRule="auto"/>
        <w:rPr>
          <w:rStyle w:val="Heading1Char"/>
        </w:rPr>
      </w:pPr>
    </w:p>
    <w:p w14:paraId="44894AC3" w14:textId="3C9B7E4E" w:rsidR="00E052E0" w:rsidRPr="00F951A1" w:rsidRDefault="00E052E0" w:rsidP="00E052E0">
      <w:pPr>
        <w:spacing w:after="0" w:line="360" w:lineRule="auto"/>
        <w:rPr>
          <w:rStyle w:val="Heading1Char"/>
          <w:lang w:eastAsia="en-GB"/>
        </w:rPr>
      </w:pPr>
      <w:bookmarkStart w:id="8" w:name="_Toc191155018"/>
      <w:r w:rsidRPr="00F951A1">
        <w:rPr>
          <w:rStyle w:val="Heading1Char"/>
        </w:rPr>
        <w:lastRenderedPageBreak/>
        <w:t>Recommendations</w:t>
      </w:r>
      <w:bookmarkEnd w:id="8"/>
    </w:p>
    <w:p w14:paraId="0B2CCB3F" w14:textId="77777777" w:rsidR="00E052E0" w:rsidRPr="00E052E0" w:rsidRDefault="00E052E0" w:rsidP="00E052E0">
      <w:pPr>
        <w:spacing w:after="0" w:line="360" w:lineRule="auto"/>
        <w:rPr>
          <w:rFonts w:ascii="Arial" w:eastAsia="Times New Roman" w:hAnsi="Arial" w:cs="Arial"/>
          <w:kern w:val="0"/>
          <w:lang w:eastAsia="en-GB"/>
          <w14:ligatures w14:val="none"/>
        </w:rPr>
      </w:pP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t xml:space="preserve">In order to protect the family's strategic control and match management incentives with shareholder interests, the family business's plan for going public on the AIM is to take advantage of AIM's regulatory flexibility while putting strong governance measures in place. </w:t>
      </w:r>
    </w:p>
    <w:p w14:paraId="13310458" w14:textId="77777777" w:rsidR="00E052E0" w:rsidRDefault="00E052E0" w:rsidP="00E052E0">
      <w:pPr>
        <w:spacing w:after="0" w:line="360" w:lineRule="auto"/>
        <w:rPr>
          <w:rFonts w:ascii="Arial" w:eastAsia="Times New Roman" w:hAnsi="Arial" w:cs="Arial"/>
          <w:kern w:val="0"/>
          <w:lang w:eastAsia="en-GB"/>
          <w14:ligatures w14:val="none"/>
        </w:rPr>
      </w:pPr>
      <w:r w:rsidRPr="00E052E0">
        <w:rPr>
          <w:rFonts w:ascii="Arial" w:eastAsia="Times New Roman" w:hAnsi="Arial" w:cs="Arial"/>
          <w:kern w:val="0"/>
          <w:lang w:eastAsia="en-GB"/>
          <w14:ligatures w14:val="none"/>
        </w:rPr>
        <w:t>Implement a dual-class share system to grant the family enhanced voting rights. Even with a 30% equity holding, this structure ensures that the family can influence strategic decisions and maintain long-term control over the company.</w:t>
      </w:r>
    </w:p>
    <w:p w14:paraId="1BC99DFE" w14:textId="77777777" w:rsidR="00E052E0" w:rsidRDefault="00E052E0" w:rsidP="00E052E0">
      <w:pPr>
        <w:spacing w:after="0" w:line="360" w:lineRule="auto"/>
        <w:rPr>
          <w:rFonts w:ascii="Arial" w:eastAsia="Times New Roman" w:hAnsi="Arial" w:cs="Arial"/>
          <w:kern w:val="0"/>
          <w:lang w:eastAsia="en-GB"/>
          <w14:ligatures w14:val="none"/>
        </w:rPr>
      </w:pPr>
      <w:r w:rsidRPr="00E052E0">
        <w:rPr>
          <w:rFonts w:ascii="Arial" w:eastAsia="Times New Roman" w:hAnsi="Arial" w:cs="Arial"/>
          <w:kern w:val="0"/>
          <w:lang w:eastAsia="en-GB"/>
          <w14:ligatures w14:val="none"/>
        </w:rPr>
        <w:t>Developing formal shareholder agreements to protect family control. Additionally, ensure that the board is predominantly composed of directors who share the family’s vision, reinforcing the commitment to strategic direction and oversight.</w:t>
      </w:r>
    </w:p>
    <w:p w14:paraId="419812D6" w14:textId="3A33F164" w:rsidR="00E052E0" w:rsidRDefault="00E052E0" w:rsidP="00E052E0">
      <w:pPr>
        <w:spacing w:after="0" w:line="360" w:lineRule="auto"/>
        <w:rPr>
          <w:rFonts w:ascii="Arial" w:eastAsia="Times New Roman" w:hAnsi="Arial" w:cs="Arial"/>
          <w:kern w:val="0"/>
          <w:lang w:eastAsia="en-GB"/>
          <w14:ligatures w14:val="none"/>
        </w:rPr>
      </w:pPr>
      <w:r w:rsidRPr="00E052E0">
        <w:rPr>
          <w:rFonts w:ascii="Arial" w:eastAsia="Times New Roman" w:hAnsi="Arial" w:cs="Arial"/>
          <w:kern w:val="0"/>
          <w:lang w:eastAsia="en-GB"/>
          <w14:ligatures w14:val="none"/>
        </w:rPr>
        <w:t>Establish</w:t>
      </w:r>
      <w:r>
        <w:rPr>
          <w:rFonts w:ascii="Arial" w:eastAsia="Times New Roman" w:hAnsi="Arial" w:cs="Arial"/>
          <w:kern w:val="0"/>
          <w:lang w:eastAsia="en-GB"/>
          <w14:ligatures w14:val="none"/>
        </w:rPr>
        <w:t>ing</w:t>
      </w:r>
      <w:r w:rsidRPr="00E052E0">
        <w:rPr>
          <w:rFonts w:ascii="Arial" w:eastAsia="Times New Roman" w:hAnsi="Arial" w:cs="Arial"/>
          <w:kern w:val="0"/>
          <w:lang w:eastAsia="en-GB"/>
          <w14:ligatures w14:val="none"/>
        </w:rPr>
        <w:t xml:space="preserve"> an independent remuneration committee and include non-executive directors on the board. This independent oversight helps monitor management performance, reduce conflicts of interest, and reinforce transparent decision-making processes.</w:t>
      </w:r>
    </w:p>
    <w:p w14:paraId="3F83634E" w14:textId="77777777" w:rsidR="00E052E0" w:rsidRDefault="00E052E0" w:rsidP="00E052E0">
      <w:pPr>
        <w:spacing w:after="0" w:line="360" w:lineRule="auto"/>
        <w:rPr>
          <w:rFonts w:ascii="Arial" w:eastAsia="Times New Roman" w:hAnsi="Arial" w:cs="Arial"/>
          <w:kern w:val="0"/>
          <w:lang w:eastAsia="en-GB"/>
          <w14:ligatures w14:val="none"/>
        </w:rPr>
      </w:pPr>
      <w:r w:rsidRPr="00E052E0">
        <w:rPr>
          <w:rFonts w:ascii="Arial" w:eastAsia="Times New Roman" w:hAnsi="Arial" w:cs="Arial"/>
          <w:kern w:val="0"/>
          <w:lang w:eastAsia="en-GB"/>
          <w14:ligatures w14:val="none"/>
        </w:rPr>
        <w:t>Maintain</w:t>
      </w:r>
      <w:r>
        <w:rPr>
          <w:rFonts w:ascii="Arial" w:eastAsia="Times New Roman" w:hAnsi="Arial" w:cs="Arial"/>
          <w:kern w:val="0"/>
          <w:lang w:eastAsia="en-GB"/>
          <w14:ligatures w14:val="none"/>
        </w:rPr>
        <w:t>ing</w:t>
      </w:r>
      <w:r w:rsidRPr="00E052E0">
        <w:rPr>
          <w:rFonts w:ascii="Arial" w:eastAsia="Times New Roman" w:hAnsi="Arial" w:cs="Arial"/>
          <w:kern w:val="0"/>
          <w:lang w:eastAsia="en-GB"/>
          <w14:ligatures w14:val="none"/>
        </w:rPr>
        <w:t xml:space="preserve"> high transparency by clearly disclosing corporate governance practices and any deviations from the chosen governance code (such as the QCA Code). This openness builds investor confidence and demonstrates the company’s commitment to robust governance.</w:t>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t>Structure executive compensation to include a balanced mix of fixed and variable components (bonuses, share options) that are tied to long-term performance metrics. This ensures that executive pay is closely linked to the company’s success and shareholder value.</w:t>
      </w:r>
    </w:p>
    <w:p w14:paraId="3E7D2EE6" w14:textId="640C1B62" w:rsidR="00E052E0" w:rsidRPr="00E052E0" w:rsidRDefault="00E052E0" w:rsidP="00E052E0">
      <w:pPr>
        <w:spacing w:after="0" w:line="360" w:lineRule="auto"/>
        <w:rPr>
          <w:rFonts w:ascii="Arial" w:hAnsi="Arial" w:cs="Arial"/>
          <w:b/>
          <w:bCs/>
        </w:rPr>
      </w:pPr>
      <w:r w:rsidRPr="00E052E0">
        <w:rPr>
          <w:rFonts w:ascii="Arial" w:eastAsia="Times New Roman" w:hAnsi="Arial" w:cs="Arial"/>
          <w:kern w:val="0"/>
          <w:lang w:eastAsia="en-GB"/>
          <w14:ligatures w14:val="none"/>
        </w:rPr>
        <w:t>Periodically review and update the remuneration policies to remain competitive, adapt to market conditions, and ensure that they continue to balance family control with the expectations of external investors.</w:t>
      </w:r>
      <w:r w:rsidRPr="00E052E0">
        <w:rPr>
          <w:rFonts w:ascii="Arial" w:eastAsia="Times New Roman" w:hAnsi="Arial" w:cs="Arial"/>
          <w:kern w:val="0"/>
          <w:lang w:eastAsia="en-GB"/>
          <w14:ligatures w14:val="none"/>
        </w:rPr>
        <w:br/>
      </w:r>
      <w:r w:rsidRPr="00E052E0">
        <w:rPr>
          <w:rFonts w:ascii="Arial" w:eastAsia="Times New Roman" w:hAnsi="Arial" w:cs="Arial"/>
          <w:kern w:val="0"/>
          <w:lang w:eastAsia="en-GB"/>
          <w14:ligatures w14:val="none"/>
        </w:rPr>
        <w:t>Overall, this dual-pronged strategy enables the family company to capitalize on AIM’s adaptable regulatory environment while instituting governance measures that protect family control, manage agency conflicts, and foster long-term, sustainable growth.</w:t>
      </w:r>
      <w:r w:rsidRPr="00E052E0">
        <w:rPr>
          <w:rFonts w:ascii="Arial" w:eastAsia="Times New Roman" w:hAnsi="Arial" w:cs="Arial"/>
          <w:kern w:val="0"/>
          <w:lang w:eastAsia="en-GB"/>
          <w14:ligatures w14:val="none"/>
        </w:rPr>
        <w:br/>
      </w:r>
    </w:p>
    <w:p w14:paraId="6787B367" w14:textId="77777777" w:rsidR="00F951A1" w:rsidRDefault="00E052E0" w:rsidP="00E052E0">
      <w:pPr>
        <w:spacing w:line="360" w:lineRule="auto"/>
        <w:rPr>
          <w:rStyle w:val="Heading1Char"/>
        </w:rPr>
      </w:pPr>
      <w:r>
        <w:rPr>
          <w:rFonts w:ascii="Arial" w:hAnsi="Arial" w:cs="Arial"/>
          <w:b/>
          <w:bCs/>
        </w:rPr>
        <w:br/>
      </w:r>
      <w:r>
        <w:rPr>
          <w:rFonts w:ascii="Arial" w:hAnsi="Arial" w:cs="Arial"/>
          <w:b/>
          <w:bCs/>
        </w:rPr>
        <w:br/>
      </w:r>
    </w:p>
    <w:p w14:paraId="32778581" w14:textId="77777777" w:rsidR="00F951A1" w:rsidRDefault="00F951A1" w:rsidP="00E052E0">
      <w:pPr>
        <w:spacing w:line="360" w:lineRule="auto"/>
        <w:rPr>
          <w:rStyle w:val="Heading1Char"/>
        </w:rPr>
      </w:pPr>
    </w:p>
    <w:p w14:paraId="5305C176" w14:textId="77777777" w:rsidR="00F951A1" w:rsidRDefault="00F951A1" w:rsidP="00E052E0">
      <w:pPr>
        <w:spacing w:line="360" w:lineRule="auto"/>
        <w:rPr>
          <w:rStyle w:val="Heading1Char"/>
        </w:rPr>
      </w:pPr>
    </w:p>
    <w:p w14:paraId="268B7BAE" w14:textId="1EDBA99B" w:rsidR="00F951A1" w:rsidRPr="00F951A1" w:rsidRDefault="00E052E0" w:rsidP="00E052E0">
      <w:pPr>
        <w:spacing w:line="360" w:lineRule="auto"/>
        <w:rPr>
          <w:rFonts w:ascii="Arial" w:hAnsi="Arial" w:cs="Arial"/>
        </w:rPr>
      </w:pPr>
      <w:bookmarkStart w:id="9" w:name="_Toc191155019"/>
      <w:r w:rsidRPr="00F951A1">
        <w:rPr>
          <w:rStyle w:val="Heading1Char"/>
        </w:rPr>
        <w:lastRenderedPageBreak/>
        <w:t>References</w:t>
      </w:r>
      <w:bookmarkEnd w:id="9"/>
      <w:r w:rsidR="00F951A1" w:rsidRPr="00F951A1">
        <w:rPr>
          <w:rStyle w:val="Heading1Char"/>
        </w:rPr>
        <w:br/>
      </w:r>
      <w:r w:rsidR="00F951A1" w:rsidRPr="00F951A1">
        <w:rPr>
          <w:rFonts w:ascii="Arial" w:hAnsi="Arial" w:cs="Arial"/>
        </w:rPr>
        <w:t xml:space="preserve">Alternative Investment Market (2023) </w:t>
      </w:r>
      <w:r w:rsidR="00F951A1" w:rsidRPr="00F951A1">
        <w:rPr>
          <w:rFonts w:ascii="Arial" w:hAnsi="Arial" w:cs="Arial"/>
          <w:i/>
          <w:iCs/>
        </w:rPr>
        <w:t>Alternative Investment Market</w:t>
      </w:r>
      <w:r w:rsidR="00F951A1" w:rsidRPr="00F951A1">
        <w:rPr>
          <w:rFonts w:ascii="Arial" w:hAnsi="Arial" w:cs="Arial"/>
        </w:rPr>
        <w:t xml:space="preserve">. Wikipedia. </w:t>
      </w:r>
      <w:r w:rsidR="00F951A1" w:rsidRPr="00F951A1">
        <w:rPr>
          <w:rFonts w:ascii="Arial" w:hAnsi="Arial" w:cs="Arial"/>
        </w:rPr>
        <w:br/>
      </w:r>
      <w:r w:rsidR="00F951A1" w:rsidRPr="00F951A1">
        <w:rPr>
          <w:rFonts w:ascii="Arial" w:hAnsi="Arial" w:cs="Arial"/>
        </w:rPr>
        <w:t xml:space="preserve">Bebchuk, L.A. and Kastiel, K. (2019) </w:t>
      </w:r>
      <w:r w:rsidR="00F951A1" w:rsidRPr="00F951A1">
        <w:rPr>
          <w:rFonts w:ascii="Arial" w:hAnsi="Arial" w:cs="Arial"/>
          <w:i/>
          <w:iCs/>
        </w:rPr>
        <w:t>The Perils of Small-Minority Controllers</w:t>
      </w:r>
      <w:r w:rsidR="00F951A1" w:rsidRPr="00F951A1">
        <w:rPr>
          <w:rFonts w:ascii="Arial" w:hAnsi="Arial" w:cs="Arial"/>
        </w:rPr>
        <w:t xml:space="preserve">. Georgetown Law Journal. Investopedia (2024) </w:t>
      </w:r>
      <w:r w:rsidR="00F951A1" w:rsidRPr="00F951A1">
        <w:rPr>
          <w:rFonts w:ascii="Arial" w:hAnsi="Arial" w:cs="Arial"/>
          <w:i/>
          <w:iCs/>
        </w:rPr>
        <w:t>What is the role of agency theory in corporate governance?</w:t>
      </w:r>
      <w:r w:rsidR="00F951A1">
        <w:rPr>
          <w:rFonts w:ascii="Arial" w:hAnsi="Arial" w:cs="Arial"/>
        </w:rPr>
        <w:br/>
      </w:r>
      <w:r w:rsidR="00F951A1" w:rsidRPr="00F951A1">
        <w:rPr>
          <w:rFonts w:ascii="Arial" w:hAnsi="Arial" w:cs="Arial"/>
        </w:rPr>
        <w:t xml:space="preserve">Krause, R., Whitler, K.A. and Semadeni, M. (2014) 'Power to the Principals! An Experimental Look at Shareholder Say-On-Pay Voting', </w:t>
      </w:r>
      <w:r w:rsidR="00F951A1" w:rsidRPr="00F951A1">
        <w:rPr>
          <w:rFonts w:ascii="Arial" w:hAnsi="Arial" w:cs="Arial"/>
          <w:i/>
          <w:iCs/>
        </w:rPr>
        <w:t>Academy of Management Journal</w:t>
      </w:r>
      <w:r w:rsidR="00F951A1">
        <w:rPr>
          <w:rFonts w:ascii="Arial" w:hAnsi="Arial" w:cs="Arial"/>
        </w:rPr>
        <w:t>.</w:t>
      </w:r>
      <w:r w:rsidR="00F951A1">
        <w:rPr>
          <w:rFonts w:ascii="Arial" w:hAnsi="Arial" w:cs="Arial"/>
        </w:rPr>
        <w:br/>
      </w:r>
      <w:r w:rsidR="00F951A1" w:rsidRPr="00F951A1">
        <w:rPr>
          <w:rFonts w:ascii="Arial" w:hAnsi="Arial" w:cs="Arial"/>
        </w:rPr>
        <w:t xml:space="preserve">London Stock Exchange (2024) </w:t>
      </w:r>
      <w:r w:rsidR="00F951A1" w:rsidRPr="00F951A1">
        <w:rPr>
          <w:rFonts w:ascii="Arial" w:hAnsi="Arial" w:cs="Arial"/>
          <w:i/>
          <w:iCs/>
        </w:rPr>
        <w:t>Inside AIM: Corporate Governance Guidance</w:t>
      </w:r>
      <w:r w:rsidR="00F951A1">
        <w:rPr>
          <w:rFonts w:ascii="Arial" w:hAnsi="Arial" w:cs="Arial"/>
          <w:i/>
          <w:iCs/>
        </w:rPr>
        <w:br/>
      </w:r>
      <w:r w:rsidR="00F951A1" w:rsidRPr="00F951A1">
        <w:rPr>
          <w:rFonts w:ascii="Arial" w:hAnsi="Arial" w:cs="Arial"/>
        </w:rPr>
        <w:t xml:space="preserve">OECD (2012) </w:t>
      </w:r>
      <w:r w:rsidR="00F951A1" w:rsidRPr="00F951A1">
        <w:rPr>
          <w:rFonts w:ascii="Arial" w:hAnsi="Arial" w:cs="Arial"/>
          <w:i/>
          <w:iCs/>
        </w:rPr>
        <w:t>Related Party Transactions and Minority Shareholder Rights</w:t>
      </w:r>
      <w:r w:rsidR="00F951A1" w:rsidRPr="00F951A1">
        <w:rPr>
          <w:rFonts w:ascii="Arial" w:hAnsi="Arial" w:cs="Arial"/>
        </w:rPr>
        <w:t>. OECD Publishing, Paris</w:t>
      </w:r>
      <w:r w:rsidR="00F951A1">
        <w:rPr>
          <w:rFonts w:ascii="Arial" w:hAnsi="Arial" w:cs="Arial"/>
        </w:rPr>
        <w:t>.</w:t>
      </w:r>
      <w:r w:rsidR="00F951A1">
        <w:rPr>
          <w:rFonts w:ascii="Arial" w:hAnsi="Arial" w:cs="Arial"/>
        </w:rPr>
        <w:br/>
      </w:r>
      <w:r w:rsidR="00F951A1" w:rsidRPr="00F951A1">
        <w:rPr>
          <w:rFonts w:ascii="Arial" w:hAnsi="Arial" w:cs="Arial"/>
        </w:rPr>
        <w:t>QCA Corporate Governance Code (2018) QCA Corporate Governance Code. Quoted Companies Alliance.</w:t>
      </w:r>
      <w:r w:rsidR="00F951A1">
        <w:rPr>
          <w:rFonts w:ascii="Arial" w:hAnsi="Arial" w:cs="Arial"/>
        </w:rPr>
        <w:br/>
      </w:r>
    </w:p>
    <w:p w14:paraId="7D2E8EF4" w14:textId="3C5F13E8" w:rsidR="00A80C5E" w:rsidRDefault="00F951A1" w:rsidP="00E052E0">
      <w:pPr>
        <w:spacing w:line="360" w:lineRule="auto"/>
        <w:rPr>
          <w:rFonts w:ascii="Arial" w:hAnsi="Arial" w:cs="Arial"/>
          <w:b/>
          <w:bCs/>
        </w:rPr>
      </w:pPr>
      <w:r>
        <w:rPr>
          <w:rFonts w:ascii="Arial" w:hAnsi="Arial" w:cs="Arial"/>
          <w:b/>
          <w:bCs/>
        </w:rPr>
        <w:br/>
      </w:r>
    </w:p>
    <w:p w14:paraId="5ED2A077" w14:textId="77777777" w:rsidR="00E052E0" w:rsidRPr="001D77F0" w:rsidRDefault="00E052E0" w:rsidP="00E052E0">
      <w:pPr>
        <w:spacing w:line="360" w:lineRule="auto"/>
        <w:rPr>
          <w:rFonts w:ascii="Arial" w:hAnsi="Arial" w:cs="Arial"/>
          <w:b/>
          <w:bCs/>
        </w:rPr>
      </w:pPr>
    </w:p>
    <w:p w14:paraId="2056E87D" w14:textId="4E77F572" w:rsidR="001D77F0" w:rsidRPr="00E052E0" w:rsidRDefault="001D77F0" w:rsidP="00E052E0">
      <w:pPr>
        <w:spacing w:line="360" w:lineRule="auto"/>
        <w:rPr>
          <w:rFonts w:ascii="Arial" w:hAnsi="Arial" w:cs="Arial"/>
          <w:b/>
          <w:bCs/>
        </w:rPr>
      </w:pPr>
    </w:p>
    <w:p w14:paraId="59CEF87A" w14:textId="269B14F9" w:rsidR="001D77F0" w:rsidRPr="00E052E0" w:rsidRDefault="001D77F0" w:rsidP="00E052E0">
      <w:pPr>
        <w:spacing w:line="360" w:lineRule="auto"/>
        <w:rPr>
          <w:rFonts w:ascii="Arial" w:hAnsi="Arial" w:cs="Arial"/>
        </w:rPr>
      </w:pPr>
      <w:r w:rsidRPr="00E052E0">
        <w:rPr>
          <w:rFonts w:ascii="Arial" w:hAnsi="Arial" w:cs="Arial"/>
        </w:rPr>
        <w:br/>
      </w:r>
    </w:p>
    <w:p w14:paraId="5460B9CA" w14:textId="741F3F7A" w:rsidR="001D77F0" w:rsidRPr="00E052E0" w:rsidRDefault="001D77F0" w:rsidP="00E052E0">
      <w:pPr>
        <w:spacing w:line="360" w:lineRule="auto"/>
        <w:rPr>
          <w:rFonts w:ascii="Arial" w:hAnsi="Arial" w:cs="Arial"/>
          <w:b/>
          <w:bCs/>
        </w:rPr>
      </w:pPr>
    </w:p>
    <w:p w14:paraId="27B79746" w14:textId="7A5B0BC9" w:rsidR="001D77F0" w:rsidRPr="00E052E0" w:rsidRDefault="001D77F0" w:rsidP="00E052E0">
      <w:pPr>
        <w:spacing w:line="360" w:lineRule="auto"/>
        <w:rPr>
          <w:rFonts w:ascii="Arial" w:hAnsi="Arial" w:cs="Arial"/>
          <w:b/>
          <w:bCs/>
        </w:rPr>
      </w:pPr>
    </w:p>
    <w:p w14:paraId="27610129" w14:textId="013B7973" w:rsidR="001D77F0" w:rsidRPr="001D77F0" w:rsidRDefault="001D77F0" w:rsidP="00E052E0">
      <w:pPr>
        <w:spacing w:line="360" w:lineRule="auto"/>
        <w:rPr>
          <w:rFonts w:ascii="Arial" w:hAnsi="Arial" w:cs="Arial"/>
        </w:rPr>
      </w:pPr>
      <w:r w:rsidRPr="001D77F0">
        <w:rPr>
          <w:rFonts w:ascii="Arial" w:hAnsi="Arial" w:cs="Arial"/>
        </w:rPr>
        <w:br/>
      </w:r>
    </w:p>
    <w:p w14:paraId="25D174B6" w14:textId="67CF796C" w:rsidR="00D82332" w:rsidRPr="00E052E0" w:rsidRDefault="00D82332" w:rsidP="00E052E0">
      <w:pPr>
        <w:spacing w:line="360" w:lineRule="auto"/>
        <w:rPr>
          <w:rFonts w:ascii="Arial" w:hAnsi="Arial" w:cs="Arial"/>
        </w:rPr>
      </w:pPr>
    </w:p>
    <w:p w14:paraId="351C8E8F" w14:textId="77777777" w:rsidR="00D82332" w:rsidRPr="00E052E0" w:rsidRDefault="00D82332" w:rsidP="00E052E0">
      <w:pPr>
        <w:spacing w:line="360" w:lineRule="auto"/>
        <w:rPr>
          <w:rFonts w:ascii="Arial" w:hAnsi="Arial" w:cs="Arial"/>
        </w:rPr>
      </w:pPr>
    </w:p>
    <w:p w14:paraId="45175AD3" w14:textId="77777777" w:rsidR="00D82332" w:rsidRPr="00E052E0" w:rsidRDefault="00D82332" w:rsidP="00E052E0">
      <w:pPr>
        <w:spacing w:line="360" w:lineRule="auto"/>
        <w:rPr>
          <w:rFonts w:ascii="Arial" w:hAnsi="Arial" w:cs="Arial"/>
        </w:rPr>
      </w:pPr>
    </w:p>
    <w:p w14:paraId="38298693" w14:textId="77777777" w:rsidR="00D82332" w:rsidRPr="00E052E0" w:rsidRDefault="00D82332" w:rsidP="00E052E0">
      <w:pPr>
        <w:spacing w:line="360" w:lineRule="auto"/>
        <w:rPr>
          <w:rFonts w:ascii="Arial" w:hAnsi="Arial" w:cs="Arial"/>
        </w:rPr>
      </w:pPr>
    </w:p>
    <w:p w14:paraId="5C968761" w14:textId="77777777" w:rsidR="00D82332" w:rsidRPr="00E052E0" w:rsidRDefault="00D82332" w:rsidP="00E052E0">
      <w:pPr>
        <w:spacing w:line="360" w:lineRule="auto"/>
        <w:rPr>
          <w:rFonts w:ascii="Arial" w:hAnsi="Arial" w:cs="Arial"/>
        </w:rPr>
      </w:pPr>
    </w:p>
    <w:p w14:paraId="11FFE1E6" w14:textId="77777777" w:rsidR="00D82332" w:rsidRPr="00E052E0" w:rsidRDefault="00D82332" w:rsidP="00E052E0">
      <w:pPr>
        <w:spacing w:line="360" w:lineRule="auto"/>
        <w:rPr>
          <w:rFonts w:ascii="Arial" w:hAnsi="Arial" w:cs="Arial"/>
        </w:rPr>
      </w:pPr>
    </w:p>
    <w:p w14:paraId="646F39E6" w14:textId="77777777" w:rsidR="00D82332" w:rsidRPr="00E052E0" w:rsidRDefault="00D82332" w:rsidP="00E052E0">
      <w:pPr>
        <w:spacing w:line="360" w:lineRule="auto"/>
        <w:rPr>
          <w:rFonts w:ascii="Arial" w:hAnsi="Arial" w:cs="Arial"/>
        </w:rPr>
      </w:pPr>
    </w:p>
    <w:p w14:paraId="0108BEE0" w14:textId="77777777" w:rsidR="00D82332" w:rsidRPr="00E052E0" w:rsidRDefault="00D82332" w:rsidP="00E052E0">
      <w:pPr>
        <w:spacing w:line="360" w:lineRule="auto"/>
        <w:rPr>
          <w:rFonts w:ascii="Arial" w:hAnsi="Arial" w:cs="Arial"/>
        </w:rPr>
      </w:pPr>
    </w:p>
    <w:p w14:paraId="5FB8B90C" w14:textId="77777777" w:rsidR="00D82332" w:rsidRPr="00E052E0" w:rsidRDefault="00D82332" w:rsidP="00E052E0">
      <w:pPr>
        <w:spacing w:line="360" w:lineRule="auto"/>
        <w:rPr>
          <w:rFonts w:ascii="Arial" w:hAnsi="Arial" w:cs="Arial"/>
        </w:rPr>
      </w:pPr>
    </w:p>
    <w:p w14:paraId="2E43E732" w14:textId="77777777" w:rsidR="00D82332" w:rsidRPr="00E052E0" w:rsidRDefault="00D82332" w:rsidP="00E052E0">
      <w:pPr>
        <w:spacing w:line="360" w:lineRule="auto"/>
        <w:rPr>
          <w:rFonts w:ascii="Arial" w:hAnsi="Arial" w:cs="Arial"/>
        </w:rPr>
      </w:pPr>
    </w:p>
    <w:p w14:paraId="44BE0AA3" w14:textId="77777777" w:rsidR="00D82332" w:rsidRPr="00E052E0" w:rsidRDefault="00D82332" w:rsidP="00E052E0">
      <w:pPr>
        <w:spacing w:line="360" w:lineRule="auto"/>
        <w:rPr>
          <w:rFonts w:ascii="Arial" w:hAnsi="Arial" w:cs="Arial"/>
        </w:rPr>
      </w:pPr>
    </w:p>
    <w:p w14:paraId="3EA9F984" w14:textId="77777777" w:rsidR="00D82332" w:rsidRPr="00E052E0" w:rsidRDefault="00D82332" w:rsidP="00E052E0">
      <w:pPr>
        <w:spacing w:line="360" w:lineRule="auto"/>
        <w:rPr>
          <w:rFonts w:ascii="Arial" w:hAnsi="Arial" w:cs="Arial"/>
        </w:rPr>
      </w:pPr>
    </w:p>
    <w:p w14:paraId="42669BC0" w14:textId="77777777" w:rsidR="00D82332" w:rsidRPr="00E052E0" w:rsidRDefault="00D82332" w:rsidP="00E052E0">
      <w:pPr>
        <w:spacing w:line="360" w:lineRule="auto"/>
        <w:rPr>
          <w:rFonts w:ascii="Arial" w:hAnsi="Arial" w:cs="Arial"/>
        </w:rPr>
      </w:pPr>
    </w:p>
    <w:p w14:paraId="2DF4F2E0" w14:textId="77777777" w:rsidR="00D82332" w:rsidRPr="00E052E0" w:rsidRDefault="00D82332" w:rsidP="00E052E0">
      <w:pPr>
        <w:spacing w:line="360" w:lineRule="auto"/>
        <w:rPr>
          <w:rFonts w:ascii="Arial" w:hAnsi="Arial" w:cs="Arial"/>
        </w:rPr>
      </w:pPr>
    </w:p>
    <w:p w14:paraId="566E8C11" w14:textId="77777777" w:rsidR="00D82332" w:rsidRPr="00E052E0" w:rsidRDefault="00D82332" w:rsidP="00E052E0">
      <w:pPr>
        <w:spacing w:line="360" w:lineRule="auto"/>
        <w:rPr>
          <w:rFonts w:ascii="Arial" w:hAnsi="Arial" w:cs="Arial"/>
        </w:rPr>
      </w:pPr>
    </w:p>
    <w:p w14:paraId="2B5272B1" w14:textId="77777777" w:rsidR="00D82332" w:rsidRPr="00E052E0" w:rsidRDefault="00D82332" w:rsidP="00E052E0">
      <w:pPr>
        <w:spacing w:line="360" w:lineRule="auto"/>
        <w:rPr>
          <w:rFonts w:ascii="Arial" w:hAnsi="Arial" w:cs="Arial"/>
        </w:rPr>
      </w:pPr>
    </w:p>
    <w:p w14:paraId="3B4FD4C2" w14:textId="77777777" w:rsidR="00D82332" w:rsidRPr="00E052E0" w:rsidRDefault="00D82332" w:rsidP="00E052E0">
      <w:pPr>
        <w:spacing w:line="360" w:lineRule="auto"/>
        <w:rPr>
          <w:rFonts w:ascii="Arial" w:hAnsi="Arial" w:cs="Arial"/>
        </w:rPr>
      </w:pPr>
    </w:p>
    <w:sectPr w:rsidR="00D82332" w:rsidRPr="00E052E0" w:rsidSect="00F951A1">
      <w:footerReference w:type="default" r:id="rId8"/>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E5D00" w14:textId="77777777" w:rsidR="000C4BC9" w:rsidRDefault="000C4BC9" w:rsidP="00F951A1">
      <w:pPr>
        <w:spacing w:after="0" w:line="240" w:lineRule="auto"/>
      </w:pPr>
      <w:r>
        <w:separator/>
      </w:r>
    </w:p>
    <w:p w14:paraId="0492816D" w14:textId="77777777" w:rsidR="000C4BC9" w:rsidRDefault="000C4BC9"/>
    <w:p w14:paraId="037BDD76" w14:textId="77777777" w:rsidR="000C4BC9" w:rsidRDefault="000C4BC9" w:rsidP="00F951A1"/>
  </w:endnote>
  <w:endnote w:type="continuationSeparator" w:id="0">
    <w:p w14:paraId="0883A75F" w14:textId="77777777" w:rsidR="000C4BC9" w:rsidRDefault="000C4BC9" w:rsidP="00F951A1">
      <w:pPr>
        <w:spacing w:after="0" w:line="240" w:lineRule="auto"/>
      </w:pPr>
      <w:r>
        <w:continuationSeparator/>
      </w:r>
    </w:p>
    <w:p w14:paraId="3DB88AA7" w14:textId="77777777" w:rsidR="000C4BC9" w:rsidRDefault="000C4BC9"/>
    <w:p w14:paraId="6BAC09C6" w14:textId="77777777" w:rsidR="000C4BC9" w:rsidRDefault="000C4BC9" w:rsidP="00F951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372848"/>
      <w:docPartObj>
        <w:docPartGallery w:val="Page Numbers (Bottom of Page)"/>
        <w:docPartUnique/>
      </w:docPartObj>
    </w:sdtPr>
    <w:sdtContent>
      <w:p w14:paraId="358A6E82" w14:textId="30C35C7B" w:rsidR="00F951A1" w:rsidRDefault="00F951A1">
        <w:pPr>
          <w:pStyle w:val="Footer"/>
          <w:jc w:val="center"/>
        </w:pPr>
        <w:r>
          <w:fldChar w:fldCharType="begin"/>
        </w:r>
        <w:r>
          <w:instrText>PAGE   \* MERGEFORMAT</w:instrText>
        </w:r>
        <w:r>
          <w:fldChar w:fldCharType="separate"/>
        </w:r>
        <w:r>
          <w:t>2</w:t>
        </w:r>
        <w:r>
          <w:fldChar w:fldCharType="end"/>
        </w:r>
      </w:p>
    </w:sdtContent>
  </w:sdt>
  <w:p w14:paraId="79EF5851" w14:textId="77777777" w:rsidR="00F951A1" w:rsidRDefault="00F951A1">
    <w:pPr>
      <w:pStyle w:val="Footer"/>
    </w:pPr>
  </w:p>
  <w:p w14:paraId="19ED96E4" w14:textId="77777777" w:rsidR="00000000" w:rsidRDefault="00000000"/>
  <w:p w14:paraId="7F4F4A72" w14:textId="77777777" w:rsidR="00000000" w:rsidRDefault="00000000" w:rsidP="00F951A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4402B" w14:textId="77777777" w:rsidR="000C4BC9" w:rsidRDefault="000C4BC9" w:rsidP="00F951A1">
      <w:pPr>
        <w:spacing w:after="0" w:line="240" w:lineRule="auto"/>
      </w:pPr>
      <w:r>
        <w:separator/>
      </w:r>
    </w:p>
    <w:p w14:paraId="707E6971" w14:textId="77777777" w:rsidR="000C4BC9" w:rsidRDefault="000C4BC9"/>
    <w:p w14:paraId="3C9FFA41" w14:textId="77777777" w:rsidR="000C4BC9" w:rsidRDefault="000C4BC9" w:rsidP="00F951A1"/>
  </w:footnote>
  <w:footnote w:type="continuationSeparator" w:id="0">
    <w:p w14:paraId="0685E8DA" w14:textId="77777777" w:rsidR="000C4BC9" w:rsidRDefault="000C4BC9" w:rsidP="00F951A1">
      <w:pPr>
        <w:spacing w:after="0" w:line="240" w:lineRule="auto"/>
      </w:pPr>
      <w:r>
        <w:continuationSeparator/>
      </w:r>
    </w:p>
    <w:p w14:paraId="5A42B282" w14:textId="77777777" w:rsidR="000C4BC9" w:rsidRDefault="000C4BC9"/>
    <w:p w14:paraId="4BC711B9" w14:textId="77777777" w:rsidR="000C4BC9" w:rsidRDefault="000C4BC9" w:rsidP="00F951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13CC0"/>
    <w:multiLevelType w:val="hybridMultilevel"/>
    <w:tmpl w:val="B6988A32"/>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1" w15:restartNumberingAfterBreak="0">
    <w:nsid w:val="5D5A02F0"/>
    <w:multiLevelType w:val="hybridMultilevel"/>
    <w:tmpl w:val="B0006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51C71"/>
    <w:multiLevelType w:val="hybridMultilevel"/>
    <w:tmpl w:val="84BE0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BF41CB"/>
    <w:multiLevelType w:val="multilevel"/>
    <w:tmpl w:val="843A1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7D19C8"/>
    <w:multiLevelType w:val="hybridMultilevel"/>
    <w:tmpl w:val="693A6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93314A"/>
    <w:multiLevelType w:val="hybridMultilevel"/>
    <w:tmpl w:val="3ECC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813A50"/>
    <w:multiLevelType w:val="hybridMultilevel"/>
    <w:tmpl w:val="BE30E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778250">
    <w:abstractNumId w:val="5"/>
  </w:num>
  <w:num w:numId="2" w16cid:durableId="964308503">
    <w:abstractNumId w:val="2"/>
  </w:num>
  <w:num w:numId="3" w16cid:durableId="705912620">
    <w:abstractNumId w:val="1"/>
  </w:num>
  <w:num w:numId="4" w16cid:durableId="1805153951">
    <w:abstractNumId w:val="4"/>
  </w:num>
  <w:num w:numId="5" w16cid:durableId="1105999020">
    <w:abstractNumId w:val="3"/>
  </w:num>
  <w:num w:numId="6" w16cid:durableId="1279337611">
    <w:abstractNumId w:val="0"/>
  </w:num>
  <w:num w:numId="7" w16cid:durableId="10548187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32"/>
    <w:rsid w:val="000C4BC9"/>
    <w:rsid w:val="001D77F0"/>
    <w:rsid w:val="002212DD"/>
    <w:rsid w:val="00A80C5E"/>
    <w:rsid w:val="00B45213"/>
    <w:rsid w:val="00BD4D6A"/>
    <w:rsid w:val="00D82332"/>
    <w:rsid w:val="00E052E0"/>
    <w:rsid w:val="00E6732C"/>
    <w:rsid w:val="00F95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D9028"/>
  <w15:chartTrackingRefBased/>
  <w15:docId w15:val="{9504BDBE-62A1-4712-A091-2CB2F97CC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332"/>
    <w:rPr>
      <w:rFonts w:eastAsiaTheme="majorEastAsia" w:cstheme="majorBidi"/>
      <w:color w:val="272727" w:themeColor="text1" w:themeTint="D8"/>
    </w:rPr>
  </w:style>
  <w:style w:type="paragraph" w:styleId="Title">
    <w:name w:val="Title"/>
    <w:basedOn w:val="Normal"/>
    <w:next w:val="Normal"/>
    <w:link w:val="TitleChar"/>
    <w:uiPriority w:val="10"/>
    <w:qFormat/>
    <w:rsid w:val="00D82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332"/>
    <w:pPr>
      <w:spacing w:before="160"/>
      <w:jc w:val="center"/>
    </w:pPr>
    <w:rPr>
      <w:i/>
      <w:iCs/>
      <w:color w:val="404040" w:themeColor="text1" w:themeTint="BF"/>
    </w:rPr>
  </w:style>
  <w:style w:type="character" w:customStyle="1" w:styleId="QuoteChar">
    <w:name w:val="Quote Char"/>
    <w:basedOn w:val="DefaultParagraphFont"/>
    <w:link w:val="Quote"/>
    <w:uiPriority w:val="29"/>
    <w:rsid w:val="00D82332"/>
    <w:rPr>
      <w:i/>
      <w:iCs/>
      <w:color w:val="404040" w:themeColor="text1" w:themeTint="BF"/>
    </w:rPr>
  </w:style>
  <w:style w:type="paragraph" w:styleId="ListParagraph">
    <w:name w:val="List Paragraph"/>
    <w:basedOn w:val="Normal"/>
    <w:uiPriority w:val="34"/>
    <w:qFormat/>
    <w:rsid w:val="00D82332"/>
    <w:pPr>
      <w:ind w:left="720"/>
      <w:contextualSpacing/>
    </w:pPr>
  </w:style>
  <w:style w:type="character" w:styleId="IntenseEmphasis">
    <w:name w:val="Intense Emphasis"/>
    <w:basedOn w:val="DefaultParagraphFont"/>
    <w:uiPriority w:val="21"/>
    <w:qFormat/>
    <w:rsid w:val="00D82332"/>
    <w:rPr>
      <w:i/>
      <w:iCs/>
      <w:color w:val="0F4761" w:themeColor="accent1" w:themeShade="BF"/>
    </w:rPr>
  </w:style>
  <w:style w:type="paragraph" w:styleId="IntenseQuote">
    <w:name w:val="Intense Quote"/>
    <w:basedOn w:val="Normal"/>
    <w:next w:val="Normal"/>
    <w:link w:val="IntenseQuoteChar"/>
    <w:uiPriority w:val="30"/>
    <w:qFormat/>
    <w:rsid w:val="00D82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332"/>
    <w:rPr>
      <w:i/>
      <w:iCs/>
      <w:color w:val="0F4761" w:themeColor="accent1" w:themeShade="BF"/>
    </w:rPr>
  </w:style>
  <w:style w:type="character" w:styleId="IntenseReference">
    <w:name w:val="Intense Reference"/>
    <w:basedOn w:val="DefaultParagraphFont"/>
    <w:uiPriority w:val="32"/>
    <w:qFormat/>
    <w:rsid w:val="00D82332"/>
    <w:rPr>
      <w:b/>
      <w:bCs/>
      <w:smallCaps/>
      <w:color w:val="0F4761" w:themeColor="accent1" w:themeShade="BF"/>
      <w:spacing w:val="5"/>
    </w:rPr>
  </w:style>
  <w:style w:type="paragraph" w:styleId="NormalWeb">
    <w:name w:val="Normal (Web)"/>
    <w:basedOn w:val="Normal"/>
    <w:uiPriority w:val="99"/>
    <w:semiHidden/>
    <w:unhideWhenUsed/>
    <w:rsid w:val="00D82332"/>
    <w:rPr>
      <w:rFonts w:ascii="Times New Roman" w:hAnsi="Times New Roman" w:cs="Times New Roman"/>
      <w:sz w:val="24"/>
      <w:szCs w:val="24"/>
    </w:rPr>
  </w:style>
  <w:style w:type="character" w:styleId="Hyperlink">
    <w:name w:val="Hyperlink"/>
    <w:basedOn w:val="DefaultParagraphFont"/>
    <w:uiPriority w:val="99"/>
    <w:unhideWhenUsed/>
    <w:rsid w:val="00F951A1"/>
    <w:rPr>
      <w:color w:val="467886" w:themeColor="hyperlink"/>
      <w:u w:val="single"/>
    </w:rPr>
  </w:style>
  <w:style w:type="character" w:styleId="UnresolvedMention">
    <w:name w:val="Unresolved Mention"/>
    <w:basedOn w:val="DefaultParagraphFont"/>
    <w:uiPriority w:val="99"/>
    <w:semiHidden/>
    <w:unhideWhenUsed/>
    <w:rsid w:val="00F951A1"/>
    <w:rPr>
      <w:color w:val="605E5C"/>
      <w:shd w:val="clear" w:color="auto" w:fill="E1DFDD"/>
    </w:rPr>
  </w:style>
  <w:style w:type="paragraph" w:styleId="Header">
    <w:name w:val="header"/>
    <w:basedOn w:val="Normal"/>
    <w:link w:val="HeaderChar"/>
    <w:uiPriority w:val="99"/>
    <w:unhideWhenUsed/>
    <w:rsid w:val="00F95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1A1"/>
  </w:style>
  <w:style w:type="paragraph" w:styleId="Footer">
    <w:name w:val="footer"/>
    <w:basedOn w:val="Normal"/>
    <w:link w:val="FooterChar"/>
    <w:uiPriority w:val="99"/>
    <w:unhideWhenUsed/>
    <w:rsid w:val="00F95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1A1"/>
  </w:style>
  <w:style w:type="paragraph" w:styleId="FootnoteText">
    <w:name w:val="footnote text"/>
    <w:basedOn w:val="Normal"/>
    <w:link w:val="FootnoteTextChar"/>
    <w:uiPriority w:val="99"/>
    <w:semiHidden/>
    <w:unhideWhenUsed/>
    <w:rsid w:val="00F951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51A1"/>
    <w:rPr>
      <w:sz w:val="20"/>
      <w:szCs w:val="20"/>
    </w:rPr>
  </w:style>
  <w:style w:type="character" w:styleId="FootnoteReference">
    <w:name w:val="footnote reference"/>
    <w:basedOn w:val="DefaultParagraphFont"/>
    <w:uiPriority w:val="99"/>
    <w:semiHidden/>
    <w:unhideWhenUsed/>
    <w:rsid w:val="00F951A1"/>
    <w:rPr>
      <w:vertAlign w:val="superscript"/>
    </w:rPr>
  </w:style>
  <w:style w:type="paragraph" w:styleId="TOCHeading">
    <w:name w:val="TOC Heading"/>
    <w:basedOn w:val="Heading1"/>
    <w:next w:val="Normal"/>
    <w:uiPriority w:val="39"/>
    <w:unhideWhenUsed/>
    <w:qFormat/>
    <w:rsid w:val="00F951A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951A1"/>
    <w:pPr>
      <w:spacing w:after="100"/>
    </w:pPr>
  </w:style>
  <w:style w:type="paragraph" w:styleId="TOC2">
    <w:name w:val="toc 2"/>
    <w:basedOn w:val="Normal"/>
    <w:next w:val="Normal"/>
    <w:autoRedefine/>
    <w:uiPriority w:val="39"/>
    <w:unhideWhenUsed/>
    <w:rsid w:val="00F951A1"/>
    <w:pPr>
      <w:spacing w:after="100"/>
      <w:ind w:left="220"/>
    </w:pPr>
  </w:style>
  <w:style w:type="paragraph" w:styleId="TOC3">
    <w:name w:val="toc 3"/>
    <w:basedOn w:val="Normal"/>
    <w:next w:val="Normal"/>
    <w:autoRedefine/>
    <w:uiPriority w:val="39"/>
    <w:unhideWhenUsed/>
    <w:rsid w:val="00F951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38181">
      <w:bodyDiv w:val="1"/>
      <w:marLeft w:val="0"/>
      <w:marRight w:val="0"/>
      <w:marTop w:val="0"/>
      <w:marBottom w:val="0"/>
      <w:divBdr>
        <w:top w:val="none" w:sz="0" w:space="0" w:color="auto"/>
        <w:left w:val="none" w:sz="0" w:space="0" w:color="auto"/>
        <w:bottom w:val="none" w:sz="0" w:space="0" w:color="auto"/>
        <w:right w:val="none" w:sz="0" w:space="0" w:color="auto"/>
      </w:divBdr>
    </w:div>
    <w:div w:id="71588421">
      <w:bodyDiv w:val="1"/>
      <w:marLeft w:val="0"/>
      <w:marRight w:val="0"/>
      <w:marTop w:val="0"/>
      <w:marBottom w:val="0"/>
      <w:divBdr>
        <w:top w:val="none" w:sz="0" w:space="0" w:color="auto"/>
        <w:left w:val="none" w:sz="0" w:space="0" w:color="auto"/>
        <w:bottom w:val="none" w:sz="0" w:space="0" w:color="auto"/>
        <w:right w:val="none" w:sz="0" w:space="0" w:color="auto"/>
      </w:divBdr>
    </w:div>
    <w:div w:id="122964827">
      <w:bodyDiv w:val="1"/>
      <w:marLeft w:val="0"/>
      <w:marRight w:val="0"/>
      <w:marTop w:val="0"/>
      <w:marBottom w:val="0"/>
      <w:divBdr>
        <w:top w:val="none" w:sz="0" w:space="0" w:color="auto"/>
        <w:left w:val="none" w:sz="0" w:space="0" w:color="auto"/>
        <w:bottom w:val="none" w:sz="0" w:space="0" w:color="auto"/>
        <w:right w:val="none" w:sz="0" w:space="0" w:color="auto"/>
      </w:divBdr>
    </w:div>
    <w:div w:id="142427976">
      <w:bodyDiv w:val="1"/>
      <w:marLeft w:val="0"/>
      <w:marRight w:val="0"/>
      <w:marTop w:val="0"/>
      <w:marBottom w:val="0"/>
      <w:divBdr>
        <w:top w:val="none" w:sz="0" w:space="0" w:color="auto"/>
        <w:left w:val="none" w:sz="0" w:space="0" w:color="auto"/>
        <w:bottom w:val="none" w:sz="0" w:space="0" w:color="auto"/>
        <w:right w:val="none" w:sz="0" w:space="0" w:color="auto"/>
      </w:divBdr>
    </w:div>
    <w:div w:id="208956769">
      <w:bodyDiv w:val="1"/>
      <w:marLeft w:val="0"/>
      <w:marRight w:val="0"/>
      <w:marTop w:val="0"/>
      <w:marBottom w:val="0"/>
      <w:divBdr>
        <w:top w:val="none" w:sz="0" w:space="0" w:color="auto"/>
        <w:left w:val="none" w:sz="0" w:space="0" w:color="auto"/>
        <w:bottom w:val="none" w:sz="0" w:space="0" w:color="auto"/>
        <w:right w:val="none" w:sz="0" w:space="0" w:color="auto"/>
      </w:divBdr>
    </w:div>
    <w:div w:id="268195554">
      <w:bodyDiv w:val="1"/>
      <w:marLeft w:val="0"/>
      <w:marRight w:val="0"/>
      <w:marTop w:val="0"/>
      <w:marBottom w:val="0"/>
      <w:divBdr>
        <w:top w:val="none" w:sz="0" w:space="0" w:color="auto"/>
        <w:left w:val="none" w:sz="0" w:space="0" w:color="auto"/>
        <w:bottom w:val="none" w:sz="0" w:space="0" w:color="auto"/>
        <w:right w:val="none" w:sz="0" w:space="0" w:color="auto"/>
      </w:divBdr>
    </w:div>
    <w:div w:id="312216969">
      <w:bodyDiv w:val="1"/>
      <w:marLeft w:val="0"/>
      <w:marRight w:val="0"/>
      <w:marTop w:val="0"/>
      <w:marBottom w:val="0"/>
      <w:divBdr>
        <w:top w:val="none" w:sz="0" w:space="0" w:color="auto"/>
        <w:left w:val="none" w:sz="0" w:space="0" w:color="auto"/>
        <w:bottom w:val="none" w:sz="0" w:space="0" w:color="auto"/>
        <w:right w:val="none" w:sz="0" w:space="0" w:color="auto"/>
      </w:divBdr>
    </w:div>
    <w:div w:id="325281353">
      <w:bodyDiv w:val="1"/>
      <w:marLeft w:val="0"/>
      <w:marRight w:val="0"/>
      <w:marTop w:val="0"/>
      <w:marBottom w:val="0"/>
      <w:divBdr>
        <w:top w:val="none" w:sz="0" w:space="0" w:color="auto"/>
        <w:left w:val="none" w:sz="0" w:space="0" w:color="auto"/>
        <w:bottom w:val="none" w:sz="0" w:space="0" w:color="auto"/>
        <w:right w:val="none" w:sz="0" w:space="0" w:color="auto"/>
      </w:divBdr>
    </w:div>
    <w:div w:id="331684776">
      <w:bodyDiv w:val="1"/>
      <w:marLeft w:val="0"/>
      <w:marRight w:val="0"/>
      <w:marTop w:val="0"/>
      <w:marBottom w:val="0"/>
      <w:divBdr>
        <w:top w:val="none" w:sz="0" w:space="0" w:color="auto"/>
        <w:left w:val="none" w:sz="0" w:space="0" w:color="auto"/>
        <w:bottom w:val="none" w:sz="0" w:space="0" w:color="auto"/>
        <w:right w:val="none" w:sz="0" w:space="0" w:color="auto"/>
      </w:divBdr>
    </w:div>
    <w:div w:id="379283170">
      <w:bodyDiv w:val="1"/>
      <w:marLeft w:val="0"/>
      <w:marRight w:val="0"/>
      <w:marTop w:val="0"/>
      <w:marBottom w:val="0"/>
      <w:divBdr>
        <w:top w:val="none" w:sz="0" w:space="0" w:color="auto"/>
        <w:left w:val="none" w:sz="0" w:space="0" w:color="auto"/>
        <w:bottom w:val="none" w:sz="0" w:space="0" w:color="auto"/>
        <w:right w:val="none" w:sz="0" w:space="0" w:color="auto"/>
      </w:divBdr>
    </w:div>
    <w:div w:id="392313758">
      <w:bodyDiv w:val="1"/>
      <w:marLeft w:val="0"/>
      <w:marRight w:val="0"/>
      <w:marTop w:val="0"/>
      <w:marBottom w:val="0"/>
      <w:divBdr>
        <w:top w:val="none" w:sz="0" w:space="0" w:color="auto"/>
        <w:left w:val="none" w:sz="0" w:space="0" w:color="auto"/>
        <w:bottom w:val="none" w:sz="0" w:space="0" w:color="auto"/>
        <w:right w:val="none" w:sz="0" w:space="0" w:color="auto"/>
      </w:divBdr>
    </w:div>
    <w:div w:id="434792469">
      <w:bodyDiv w:val="1"/>
      <w:marLeft w:val="0"/>
      <w:marRight w:val="0"/>
      <w:marTop w:val="0"/>
      <w:marBottom w:val="0"/>
      <w:divBdr>
        <w:top w:val="none" w:sz="0" w:space="0" w:color="auto"/>
        <w:left w:val="none" w:sz="0" w:space="0" w:color="auto"/>
        <w:bottom w:val="none" w:sz="0" w:space="0" w:color="auto"/>
        <w:right w:val="none" w:sz="0" w:space="0" w:color="auto"/>
      </w:divBdr>
    </w:div>
    <w:div w:id="452598549">
      <w:bodyDiv w:val="1"/>
      <w:marLeft w:val="0"/>
      <w:marRight w:val="0"/>
      <w:marTop w:val="0"/>
      <w:marBottom w:val="0"/>
      <w:divBdr>
        <w:top w:val="none" w:sz="0" w:space="0" w:color="auto"/>
        <w:left w:val="none" w:sz="0" w:space="0" w:color="auto"/>
        <w:bottom w:val="none" w:sz="0" w:space="0" w:color="auto"/>
        <w:right w:val="none" w:sz="0" w:space="0" w:color="auto"/>
      </w:divBdr>
    </w:div>
    <w:div w:id="524170893">
      <w:bodyDiv w:val="1"/>
      <w:marLeft w:val="0"/>
      <w:marRight w:val="0"/>
      <w:marTop w:val="0"/>
      <w:marBottom w:val="0"/>
      <w:divBdr>
        <w:top w:val="none" w:sz="0" w:space="0" w:color="auto"/>
        <w:left w:val="none" w:sz="0" w:space="0" w:color="auto"/>
        <w:bottom w:val="none" w:sz="0" w:space="0" w:color="auto"/>
        <w:right w:val="none" w:sz="0" w:space="0" w:color="auto"/>
      </w:divBdr>
    </w:div>
    <w:div w:id="581716663">
      <w:bodyDiv w:val="1"/>
      <w:marLeft w:val="0"/>
      <w:marRight w:val="0"/>
      <w:marTop w:val="0"/>
      <w:marBottom w:val="0"/>
      <w:divBdr>
        <w:top w:val="none" w:sz="0" w:space="0" w:color="auto"/>
        <w:left w:val="none" w:sz="0" w:space="0" w:color="auto"/>
        <w:bottom w:val="none" w:sz="0" w:space="0" w:color="auto"/>
        <w:right w:val="none" w:sz="0" w:space="0" w:color="auto"/>
      </w:divBdr>
    </w:div>
    <w:div w:id="718170040">
      <w:bodyDiv w:val="1"/>
      <w:marLeft w:val="0"/>
      <w:marRight w:val="0"/>
      <w:marTop w:val="0"/>
      <w:marBottom w:val="0"/>
      <w:divBdr>
        <w:top w:val="none" w:sz="0" w:space="0" w:color="auto"/>
        <w:left w:val="none" w:sz="0" w:space="0" w:color="auto"/>
        <w:bottom w:val="none" w:sz="0" w:space="0" w:color="auto"/>
        <w:right w:val="none" w:sz="0" w:space="0" w:color="auto"/>
      </w:divBdr>
    </w:div>
    <w:div w:id="728377914">
      <w:bodyDiv w:val="1"/>
      <w:marLeft w:val="0"/>
      <w:marRight w:val="0"/>
      <w:marTop w:val="0"/>
      <w:marBottom w:val="0"/>
      <w:divBdr>
        <w:top w:val="none" w:sz="0" w:space="0" w:color="auto"/>
        <w:left w:val="none" w:sz="0" w:space="0" w:color="auto"/>
        <w:bottom w:val="none" w:sz="0" w:space="0" w:color="auto"/>
        <w:right w:val="none" w:sz="0" w:space="0" w:color="auto"/>
      </w:divBdr>
    </w:div>
    <w:div w:id="736434460">
      <w:bodyDiv w:val="1"/>
      <w:marLeft w:val="0"/>
      <w:marRight w:val="0"/>
      <w:marTop w:val="0"/>
      <w:marBottom w:val="0"/>
      <w:divBdr>
        <w:top w:val="none" w:sz="0" w:space="0" w:color="auto"/>
        <w:left w:val="none" w:sz="0" w:space="0" w:color="auto"/>
        <w:bottom w:val="none" w:sz="0" w:space="0" w:color="auto"/>
        <w:right w:val="none" w:sz="0" w:space="0" w:color="auto"/>
      </w:divBdr>
    </w:div>
    <w:div w:id="811024413">
      <w:bodyDiv w:val="1"/>
      <w:marLeft w:val="0"/>
      <w:marRight w:val="0"/>
      <w:marTop w:val="0"/>
      <w:marBottom w:val="0"/>
      <w:divBdr>
        <w:top w:val="none" w:sz="0" w:space="0" w:color="auto"/>
        <w:left w:val="none" w:sz="0" w:space="0" w:color="auto"/>
        <w:bottom w:val="none" w:sz="0" w:space="0" w:color="auto"/>
        <w:right w:val="none" w:sz="0" w:space="0" w:color="auto"/>
      </w:divBdr>
    </w:div>
    <w:div w:id="824126580">
      <w:bodyDiv w:val="1"/>
      <w:marLeft w:val="0"/>
      <w:marRight w:val="0"/>
      <w:marTop w:val="0"/>
      <w:marBottom w:val="0"/>
      <w:divBdr>
        <w:top w:val="none" w:sz="0" w:space="0" w:color="auto"/>
        <w:left w:val="none" w:sz="0" w:space="0" w:color="auto"/>
        <w:bottom w:val="none" w:sz="0" w:space="0" w:color="auto"/>
        <w:right w:val="none" w:sz="0" w:space="0" w:color="auto"/>
      </w:divBdr>
    </w:div>
    <w:div w:id="827096593">
      <w:bodyDiv w:val="1"/>
      <w:marLeft w:val="0"/>
      <w:marRight w:val="0"/>
      <w:marTop w:val="0"/>
      <w:marBottom w:val="0"/>
      <w:divBdr>
        <w:top w:val="none" w:sz="0" w:space="0" w:color="auto"/>
        <w:left w:val="none" w:sz="0" w:space="0" w:color="auto"/>
        <w:bottom w:val="none" w:sz="0" w:space="0" w:color="auto"/>
        <w:right w:val="none" w:sz="0" w:space="0" w:color="auto"/>
      </w:divBdr>
    </w:div>
    <w:div w:id="844784077">
      <w:bodyDiv w:val="1"/>
      <w:marLeft w:val="0"/>
      <w:marRight w:val="0"/>
      <w:marTop w:val="0"/>
      <w:marBottom w:val="0"/>
      <w:divBdr>
        <w:top w:val="none" w:sz="0" w:space="0" w:color="auto"/>
        <w:left w:val="none" w:sz="0" w:space="0" w:color="auto"/>
        <w:bottom w:val="none" w:sz="0" w:space="0" w:color="auto"/>
        <w:right w:val="none" w:sz="0" w:space="0" w:color="auto"/>
      </w:divBdr>
    </w:div>
    <w:div w:id="914969808">
      <w:bodyDiv w:val="1"/>
      <w:marLeft w:val="0"/>
      <w:marRight w:val="0"/>
      <w:marTop w:val="0"/>
      <w:marBottom w:val="0"/>
      <w:divBdr>
        <w:top w:val="none" w:sz="0" w:space="0" w:color="auto"/>
        <w:left w:val="none" w:sz="0" w:space="0" w:color="auto"/>
        <w:bottom w:val="none" w:sz="0" w:space="0" w:color="auto"/>
        <w:right w:val="none" w:sz="0" w:space="0" w:color="auto"/>
      </w:divBdr>
    </w:div>
    <w:div w:id="946811696">
      <w:bodyDiv w:val="1"/>
      <w:marLeft w:val="0"/>
      <w:marRight w:val="0"/>
      <w:marTop w:val="0"/>
      <w:marBottom w:val="0"/>
      <w:divBdr>
        <w:top w:val="none" w:sz="0" w:space="0" w:color="auto"/>
        <w:left w:val="none" w:sz="0" w:space="0" w:color="auto"/>
        <w:bottom w:val="none" w:sz="0" w:space="0" w:color="auto"/>
        <w:right w:val="none" w:sz="0" w:space="0" w:color="auto"/>
      </w:divBdr>
    </w:div>
    <w:div w:id="1016690835">
      <w:bodyDiv w:val="1"/>
      <w:marLeft w:val="0"/>
      <w:marRight w:val="0"/>
      <w:marTop w:val="0"/>
      <w:marBottom w:val="0"/>
      <w:divBdr>
        <w:top w:val="none" w:sz="0" w:space="0" w:color="auto"/>
        <w:left w:val="none" w:sz="0" w:space="0" w:color="auto"/>
        <w:bottom w:val="none" w:sz="0" w:space="0" w:color="auto"/>
        <w:right w:val="none" w:sz="0" w:space="0" w:color="auto"/>
      </w:divBdr>
    </w:div>
    <w:div w:id="1049233040">
      <w:bodyDiv w:val="1"/>
      <w:marLeft w:val="0"/>
      <w:marRight w:val="0"/>
      <w:marTop w:val="0"/>
      <w:marBottom w:val="0"/>
      <w:divBdr>
        <w:top w:val="none" w:sz="0" w:space="0" w:color="auto"/>
        <w:left w:val="none" w:sz="0" w:space="0" w:color="auto"/>
        <w:bottom w:val="none" w:sz="0" w:space="0" w:color="auto"/>
        <w:right w:val="none" w:sz="0" w:space="0" w:color="auto"/>
      </w:divBdr>
    </w:div>
    <w:div w:id="1175727203">
      <w:bodyDiv w:val="1"/>
      <w:marLeft w:val="0"/>
      <w:marRight w:val="0"/>
      <w:marTop w:val="0"/>
      <w:marBottom w:val="0"/>
      <w:divBdr>
        <w:top w:val="none" w:sz="0" w:space="0" w:color="auto"/>
        <w:left w:val="none" w:sz="0" w:space="0" w:color="auto"/>
        <w:bottom w:val="none" w:sz="0" w:space="0" w:color="auto"/>
        <w:right w:val="none" w:sz="0" w:space="0" w:color="auto"/>
      </w:divBdr>
    </w:div>
    <w:div w:id="1176338126">
      <w:bodyDiv w:val="1"/>
      <w:marLeft w:val="0"/>
      <w:marRight w:val="0"/>
      <w:marTop w:val="0"/>
      <w:marBottom w:val="0"/>
      <w:divBdr>
        <w:top w:val="none" w:sz="0" w:space="0" w:color="auto"/>
        <w:left w:val="none" w:sz="0" w:space="0" w:color="auto"/>
        <w:bottom w:val="none" w:sz="0" w:space="0" w:color="auto"/>
        <w:right w:val="none" w:sz="0" w:space="0" w:color="auto"/>
      </w:divBdr>
    </w:div>
    <w:div w:id="1184175730">
      <w:bodyDiv w:val="1"/>
      <w:marLeft w:val="0"/>
      <w:marRight w:val="0"/>
      <w:marTop w:val="0"/>
      <w:marBottom w:val="0"/>
      <w:divBdr>
        <w:top w:val="none" w:sz="0" w:space="0" w:color="auto"/>
        <w:left w:val="none" w:sz="0" w:space="0" w:color="auto"/>
        <w:bottom w:val="none" w:sz="0" w:space="0" w:color="auto"/>
        <w:right w:val="none" w:sz="0" w:space="0" w:color="auto"/>
      </w:divBdr>
    </w:div>
    <w:div w:id="1203636462">
      <w:bodyDiv w:val="1"/>
      <w:marLeft w:val="0"/>
      <w:marRight w:val="0"/>
      <w:marTop w:val="0"/>
      <w:marBottom w:val="0"/>
      <w:divBdr>
        <w:top w:val="none" w:sz="0" w:space="0" w:color="auto"/>
        <w:left w:val="none" w:sz="0" w:space="0" w:color="auto"/>
        <w:bottom w:val="none" w:sz="0" w:space="0" w:color="auto"/>
        <w:right w:val="none" w:sz="0" w:space="0" w:color="auto"/>
      </w:divBdr>
    </w:div>
    <w:div w:id="1323656832">
      <w:bodyDiv w:val="1"/>
      <w:marLeft w:val="0"/>
      <w:marRight w:val="0"/>
      <w:marTop w:val="0"/>
      <w:marBottom w:val="0"/>
      <w:divBdr>
        <w:top w:val="none" w:sz="0" w:space="0" w:color="auto"/>
        <w:left w:val="none" w:sz="0" w:space="0" w:color="auto"/>
        <w:bottom w:val="none" w:sz="0" w:space="0" w:color="auto"/>
        <w:right w:val="none" w:sz="0" w:space="0" w:color="auto"/>
      </w:divBdr>
    </w:div>
    <w:div w:id="1445731380">
      <w:bodyDiv w:val="1"/>
      <w:marLeft w:val="0"/>
      <w:marRight w:val="0"/>
      <w:marTop w:val="0"/>
      <w:marBottom w:val="0"/>
      <w:divBdr>
        <w:top w:val="none" w:sz="0" w:space="0" w:color="auto"/>
        <w:left w:val="none" w:sz="0" w:space="0" w:color="auto"/>
        <w:bottom w:val="none" w:sz="0" w:space="0" w:color="auto"/>
        <w:right w:val="none" w:sz="0" w:space="0" w:color="auto"/>
      </w:divBdr>
    </w:div>
    <w:div w:id="1447919445">
      <w:bodyDiv w:val="1"/>
      <w:marLeft w:val="0"/>
      <w:marRight w:val="0"/>
      <w:marTop w:val="0"/>
      <w:marBottom w:val="0"/>
      <w:divBdr>
        <w:top w:val="none" w:sz="0" w:space="0" w:color="auto"/>
        <w:left w:val="none" w:sz="0" w:space="0" w:color="auto"/>
        <w:bottom w:val="none" w:sz="0" w:space="0" w:color="auto"/>
        <w:right w:val="none" w:sz="0" w:space="0" w:color="auto"/>
      </w:divBdr>
    </w:div>
    <w:div w:id="1454519926">
      <w:bodyDiv w:val="1"/>
      <w:marLeft w:val="0"/>
      <w:marRight w:val="0"/>
      <w:marTop w:val="0"/>
      <w:marBottom w:val="0"/>
      <w:divBdr>
        <w:top w:val="none" w:sz="0" w:space="0" w:color="auto"/>
        <w:left w:val="none" w:sz="0" w:space="0" w:color="auto"/>
        <w:bottom w:val="none" w:sz="0" w:space="0" w:color="auto"/>
        <w:right w:val="none" w:sz="0" w:space="0" w:color="auto"/>
      </w:divBdr>
    </w:div>
    <w:div w:id="1532843551">
      <w:bodyDiv w:val="1"/>
      <w:marLeft w:val="0"/>
      <w:marRight w:val="0"/>
      <w:marTop w:val="0"/>
      <w:marBottom w:val="0"/>
      <w:divBdr>
        <w:top w:val="none" w:sz="0" w:space="0" w:color="auto"/>
        <w:left w:val="none" w:sz="0" w:space="0" w:color="auto"/>
        <w:bottom w:val="none" w:sz="0" w:space="0" w:color="auto"/>
        <w:right w:val="none" w:sz="0" w:space="0" w:color="auto"/>
      </w:divBdr>
    </w:div>
    <w:div w:id="1565489951">
      <w:bodyDiv w:val="1"/>
      <w:marLeft w:val="0"/>
      <w:marRight w:val="0"/>
      <w:marTop w:val="0"/>
      <w:marBottom w:val="0"/>
      <w:divBdr>
        <w:top w:val="none" w:sz="0" w:space="0" w:color="auto"/>
        <w:left w:val="none" w:sz="0" w:space="0" w:color="auto"/>
        <w:bottom w:val="none" w:sz="0" w:space="0" w:color="auto"/>
        <w:right w:val="none" w:sz="0" w:space="0" w:color="auto"/>
      </w:divBdr>
    </w:div>
    <w:div w:id="1568494840">
      <w:bodyDiv w:val="1"/>
      <w:marLeft w:val="0"/>
      <w:marRight w:val="0"/>
      <w:marTop w:val="0"/>
      <w:marBottom w:val="0"/>
      <w:divBdr>
        <w:top w:val="none" w:sz="0" w:space="0" w:color="auto"/>
        <w:left w:val="none" w:sz="0" w:space="0" w:color="auto"/>
        <w:bottom w:val="none" w:sz="0" w:space="0" w:color="auto"/>
        <w:right w:val="none" w:sz="0" w:space="0" w:color="auto"/>
      </w:divBdr>
    </w:div>
    <w:div w:id="1579746176">
      <w:bodyDiv w:val="1"/>
      <w:marLeft w:val="0"/>
      <w:marRight w:val="0"/>
      <w:marTop w:val="0"/>
      <w:marBottom w:val="0"/>
      <w:divBdr>
        <w:top w:val="none" w:sz="0" w:space="0" w:color="auto"/>
        <w:left w:val="none" w:sz="0" w:space="0" w:color="auto"/>
        <w:bottom w:val="none" w:sz="0" w:space="0" w:color="auto"/>
        <w:right w:val="none" w:sz="0" w:space="0" w:color="auto"/>
      </w:divBdr>
    </w:div>
    <w:div w:id="1590505041">
      <w:bodyDiv w:val="1"/>
      <w:marLeft w:val="0"/>
      <w:marRight w:val="0"/>
      <w:marTop w:val="0"/>
      <w:marBottom w:val="0"/>
      <w:divBdr>
        <w:top w:val="none" w:sz="0" w:space="0" w:color="auto"/>
        <w:left w:val="none" w:sz="0" w:space="0" w:color="auto"/>
        <w:bottom w:val="none" w:sz="0" w:space="0" w:color="auto"/>
        <w:right w:val="none" w:sz="0" w:space="0" w:color="auto"/>
      </w:divBdr>
    </w:div>
    <w:div w:id="1612931452">
      <w:bodyDiv w:val="1"/>
      <w:marLeft w:val="0"/>
      <w:marRight w:val="0"/>
      <w:marTop w:val="0"/>
      <w:marBottom w:val="0"/>
      <w:divBdr>
        <w:top w:val="none" w:sz="0" w:space="0" w:color="auto"/>
        <w:left w:val="none" w:sz="0" w:space="0" w:color="auto"/>
        <w:bottom w:val="none" w:sz="0" w:space="0" w:color="auto"/>
        <w:right w:val="none" w:sz="0" w:space="0" w:color="auto"/>
      </w:divBdr>
    </w:div>
    <w:div w:id="1629970749">
      <w:bodyDiv w:val="1"/>
      <w:marLeft w:val="0"/>
      <w:marRight w:val="0"/>
      <w:marTop w:val="0"/>
      <w:marBottom w:val="0"/>
      <w:divBdr>
        <w:top w:val="none" w:sz="0" w:space="0" w:color="auto"/>
        <w:left w:val="none" w:sz="0" w:space="0" w:color="auto"/>
        <w:bottom w:val="none" w:sz="0" w:space="0" w:color="auto"/>
        <w:right w:val="none" w:sz="0" w:space="0" w:color="auto"/>
      </w:divBdr>
    </w:div>
    <w:div w:id="1637370940">
      <w:bodyDiv w:val="1"/>
      <w:marLeft w:val="0"/>
      <w:marRight w:val="0"/>
      <w:marTop w:val="0"/>
      <w:marBottom w:val="0"/>
      <w:divBdr>
        <w:top w:val="none" w:sz="0" w:space="0" w:color="auto"/>
        <w:left w:val="none" w:sz="0" w:space="0" w:color="auto"/>
        <w:bottom w:val="none" w:sz="0" w:space="0" w:color="auto"/>
        <w:right w:val="none" w:sz="0" w:space="0" w:color="auto"/>
      </w:divBdr>
    </w:div>
    <w:div w:id="1683899967">
      <w:bodyDiv w:val="1"/>
      <w:marLeft w:val="0"/>
      <w:marRight w:val="0"/>
      <w:marTop w:val="0"/>
      <w:marBottom w:val="0"/>
      <w:divBdr>
        <w:top w:val="none" w:sz="0" w:space="0" w:color="auto"/>
        <w:left w:val="none" w:sz="0" w:space="0" w:color="auto"/>
        <w:bottom w:val="none" w:sz="0" w:space="0" w:color="auto"/>
        <w:right w:val="none" w:sz="0" w:space="0" w:color="auto"/>
      </w:divBdr>
    </w:div>
    <w:div w:id="1721516464">
      <w:bodyDiv w:val="1"/>
      <w:marLeft w:val="0"/>
      <w:marRight w:val="0"/>
      <w:marTop w:val="0"/>
      <w:marBottom w:val="0"/>
      <w:divBdr>
        <w:top w:val="none" w:sz="0" w:space="0" w:color="auto"/>
        <w:left w:val="none" w:sz="0" w:space="0" w:color="auto"/>
        <w:bottom w:val="none" w:sz="0" w:space="0" w:color="auto"/>
        <w:right w:val="none" w:sz="0" w:space="0" w:color="auto"/>
      </w:divBdr>
    </w:div>
    <w:div w:id="1724598778">
      <w:bodyDiv w:val="1"/>
      <w:marLeft w:val="0"/>
      <w:marRight w:val="0"/>
      <w:marTop w:val="0"/>
      <w:marBottom w:val="0"/>
      <w:divBdr>
        <w:top w:val="none" w:sz="0" w:space="0" w:color="auto"/>
        <w:left w:val="none" w:sz="0" w:space="0" w:color="auto"/>
        <w:bottom w:val="none" w:sz="0" w:space="0" w:color="auto"/>
        <w:right w:val="none" w:sz="0" w:space="0" w:color="auto"/>
      </w:divBdr>
    </w:div>
    <w:div w:id="1737973015">
      <w:bodyDiv w:val="1"/>
      <w:marLeft w:val="0"/>
      <w:marRight w:val="0"/>
      <w:marTop w:val="0"/>
      <w:marBottom w:val="0"/>
      <w:divBdr>
        <w:top w:val="none" w:sz="0" w:space="0" w:color="auto"/>
        <w:left w:val="none" w:sz="0" w:space="0" w:color="auto"/>
        <w:bottom w:val="none" w:sz="0" w:space="0" w:color="auto"/>
        <w:right w:val="none" w:sz="0" w:space="0" w:color="auto"/>
      </w:divBdr>
    </w:div>
    <w:div w:id="1795249431">
      <w:bodyDiv w:val="1"/>
      <w:marLeft w:val="0"/>
      <w:marRight w:val="0"/>
      <w:marTop w:val="0"/>
      <w:marBottom w:val="0"/>
      <w:divBdr>
        <w:top w:val="none" w:sz="0" w:space="0" w:color="auto"/>
        <w:left w:val="none" w:sz="0" w:space="0" w:color="auto"/>
        <w:bottom w:val="none" w:sz="0" w:space="0" w:color="auto"/>
        <w:right w:val="none" w:sz="0" w:space="0" w:color="auto"/>
      </w:divBdr>
    </w:div>
    <w:div w:id="1817066114">
      <w:bodyDiv w:val="1"/>
      <w:marLeft w:val="0"/>
      <w:marRight w:val="0"/>
      <w:marTop w:val="0"/>
      <w:marBottom w:val="0"/>
      <w:divBdr>
        <w:top w:val="none" w:sz="0" w:space="0" w:color="auto"/>
        <w:left w:val="none" w:sz="0" w:space="0" w:color="auto"/>
        <w:bottom w:val="none" w:sz="0" w:space="0" w:color="auto"/>
        <w:right w:val="none" w:sz="0" w:space="0" w:color="auto"/>
      </w:divBdr>
    </w:div>
    <w:div w:id="1864247969">
      <w:bodyDiv w:val="1"/>
      <w:marLeft w:val="0"/>
      <w:marRight w:val="0"/>
      <w:marTop w:val="0"/>
      <w:marBottom w:val="0"/>
      <w:divBdr>
        <w:top w:val="none" w:sz="0" w:space="0" w:color="auto"/>
        <w:left w:val="none" w:sz="0" w:space="0" w:color="auto"/>
        <w:bottom w:val="none" w:sz="0" w:space="0" w:color="auto"/>
        <w:right w:val="none" w:sz="0" w:space="0" w:color="auto"/>
      </w:divBdr>
    </w:div>
    <w:div w:id="1895965222">
      <w:bodyDiv w:val="1"/>
      <w:marLeft w:val="0"/>
      <w:marRight w:val="0"/>
      <w:marTop w:val="0"/>
      <w:marBottom w:val="0"/>
      <w:divBdr>
        <w:top w:val="none" w:sz="0" w:space="0" w:color="auto"/>
        <w:left w:val="none" w:sz="0" w:space="0" w:color="auto"/>
        <w:bottom w:val="none" w:sz="0" w:space="0" w:color="auto"/>
        <w:right w:val="none" w:sz="0" w:space="0" w:color="auto"/>
      </w:divBdr>
    </w:div>
    <w:div w:id="1913932297">
      <w:bodyDiv w:val="1"/>
      <w:marLeft w:val="0"/>
      <w:marRight w:val="0"/>
      <w:marTop w:val="0"/>
      <w:marBottom w:val="0"/>
      <w:divBdr>
        <w:top w:val="none" w:sz="0" w:space="0" w:color="auto"/>
        <w:left w:val="none" w:sz="0" w:space="0" w:color="auto"/>
        <w:bottom w:val="none" w:sz="0" w:space="0" w:color="auto"/>
        <w:right w:val="none" w:sz="0" w:space="0" w:color="auto"/>
      </w:divBdr>
    </w:div>
    <w:div w:id="1923903717">
      <w:bodyDiv w:val="1"/>
      <w:marLeft w:val="0"/>
      <w:marRight w:val="0"/>
      <w:marTop w:val="0"/>
      <w:marBottom w:val="0"/>
      <w:divBdr>
        <w:top w:val="none" w:sz="0" w:space="0" w:color="auto"/>
        <w:left w:val="none" w:sz="0" w:space="0" w:color="auto"/>
        <w:bottom w:val="none" w:sz="0" w:space="0" w:color="auto"/>
        <w:right w:val="none" w:sz="0" w:space="0" w:color="auto"/>
      </w:divBdr>
    </w:div>
    <w:div w:id="1935091246">
      <w:bodyDiv w:val="1"/>
      <w:marLeft w:val="0"/>
      <w:marRight w:val="0"/>
      <w:marTop w:val="0"/>
      <w:marBottom w:val="0"/>
      <w:divBdr>
        <w:top w:val="none" w:sz="0" w:space="0" w:color="auto"/>
        <w:left w:val="none" w:sz="0" w:space="0" w:color="auto"/>
        <w:bottom w:val="none" w:sz="0" w:space="0" w:color="auto"/>
        <w:right w:val="none" w:sz="0" w:space="0" w:color="auto"/>
      </w:divBdr>
    </w:div>
    <w:div w:id="1944141022">
      <w:bodyDiv w:val="1"/>
      <w:marLeft w:val="0"/>
      <w:marRight w:val="0"/>
      <w:marTop w:val="0"/>
      <w:marBottom w:val="0"/>
      <w:divBdr>
        <w:top w:val="none" w:sz="0" w:space="0" w:color="auto"/>
        <w:left w:val="none" w:sz="0" w:space="0" w:color="auto"/>
        <w:bottom w:val="none" w:sz="0" w:space="0" w:color="auto"/>
        <w:right w:val="none" w:sz="0" w:space="0" w:color="auto"/>
      </w:divBdr>
    </w:div>
    <w:div w:id="2083869845">
      <w:bodyDiv w:val="1"/>
      <w:marLeft w:val="0"/>
      <w:marRight w:val="0"/>
      <w:marTop w:val="0"/>
      <w:marBottom w:val="0"/>
      <w:divBdr>
        <w:top w:val="none" w:sz="0" w:space="0" w:color="auto"/>
        <w:left w:val="none" w:sz="0" w:space="0" w:color="auto"/>
        <w:bottom w:val="none" w:sz="0" w:space="0" w:color="auto"/>
        <w:right w:val="none" w:sz="0" w:space="0" w:color="auto"/>
      </w:divBdr>
    </w:div>
    <w:div w:id="214187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B73CD-4D85-4E38-B49E-1B3566337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11</Pages>
  <Words>2126</Words>
  <Characters>12715</Characters>
  <Application>Microsoft Office Word</Application>
  <DocSecurity>0</DocSecurity>
  <Lines>489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Casiana Danci</dc:creator>
  <cp:keywords/>
  <dc:description/>
  <cp:lastModifiedBy>Casiana Danci</cp:lastModifiedBy>
  <cp:revision>1</cp:revision>
  <dcterms:created xsi:type="dcterms:W3CDTF">2025-02-22T13:20:00Z</dcterms:created>
  <dcterms:modified xsi:type="dcterms:W3CDTF">2025-02-22T22:21:00Z</dcterms:modified>
</cp:coreProperties>
</file>