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54577" w14:textId="14081D16" w:rsidR="00580423" w:rsidRPr="00580423" w:rsidRDefault="00580423" w:rsidP="00580423">
      <w:pPr>
        <w:spacing w:before="100" w:beforeAutospacing="1" w:after="100" w:afterAutospacing="1" w:line="240" w:lineRule="auto"/>
        <w:outlineLvl w:val="1"/>
        <w:rPr>
          <w:rFonts w:eastAsia="Times New Roman" w:cs="Times New Roman"/>
          <w:b/>
          <w:bCs/>
          <w:kern w:val="0"/>
          <w:u w:val="single"/>
          <w:lang w:val="en-AE"/>
          <w14:ligatures w14:val="none"/>
        </w:rPr>
      </w:pPr>
      <w:r w:rsidRPr="00580423">
        <w:rPr>
          <w:rFonts w:eastAsia="Times New Roman" w:cs="Times New Roman"/>
          <w:b/>
          <w:bCs/>
          <w:kern w:val="0"/>
          <w:u w:val="single"/>
          <w:lang w:val="en-AE"/>
          <w14:ligatures w14:val="none"/>
        </w:rPr>
        <w:t xml:space="preserve">Introduction </w:t>
      </w:r>
    </w:p>
    <w:p w14:paraId="2B5B1C83" w14:textId="18654182" w:rsidR="00580423"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The purpose of this portfolio is to demonstrate understanding and application of physiological testing methods through three mini-experiments investigating relationships between strength, power, and aerobic capacity. Each experiment required data collection, analysis, and interpretation grounded in physiological theory and practical laboratory skills.</w:t>
      </w:r>
      <w:r w:rsidR="00916A5A"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Experiment 1 examined whether peak power measured using a Keiser leg press could predict peak power obtained from the Wingate anaerobic cycling test. The aim was to determine whether a resistance-based assessment could serve as a proxy for cycling anaerobic performance.</w:t>
      </w:r>
      <w:r w:rsidR="00916A5A"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Experiment 2 investigated the relationship between maximal oxygen uptake (VO</w:t>
      </w:r>
      <w:r w:rsidR="007D2F33" w:rsidRPr="0068382F">
        <w:rPr>
          <w:rFonts w:eastAsia="Times New Roman" w:cs="Times New Roman"/>
          <w:kern w:val="0"/>
          <w:sz w:val="22"/>
          <w:szCs w:val="22"/>
          <w:lang w:val="en-AE"/>
          <w14:ligatures w14:val="none"/>
        </w:rPr>
        <w:t xml:space="preserve">2 </w:t>
      </w:r>
      <w:r w:rsidRPr="00580423">
        <w:rPr>
          <w:rFonts w:eastAsia="Times New Roman" w:cs="Times New Roman"/>
          <w:kern w:val="0"/>
          <w:sz w:val="22"/>
          <w:szCs w:val="22"/>
          <w:lang w:val="en-AE"/>
          <w14:ligatures w14:val="none"/>
        </w:rPr>
        <w:t>max) and Wingate peak power. This experiment explored the interaction between aerobic capacity and anaerobic power output.</w:t>
      </w:r>
      <w:r w:rsidR="00916A5A"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 xml:space="preserve">Experiment 3 evaluated whether </w:t>
      </w:r>
      <w:r w:rsidR="007D2F33" w:rsidRPr="0068382F">
        <w:rPr>
          <w:rFonts w:eastAsia="Times New Roman" w:cs="Times New Roman"/>
          <w:kern w:val="0"/>
          <w:sz w:val="22"/>
          <w:szCs w:val="22"/>
          <w:lang w:val="en-AE"/>
          <w14:ligatures w14:val="none"/>
        </w:rPr>
        <w:t xml:space="preserve">there was a difference between males and females in </w:t>
      </w:r>
      <w:r w:rsidRPr="00580423">
        <w:rPr>
          <w:rFonts w:eastAsia="Times New Roman" w:cs="Times New Roman"/>
          <w:kern w:val="0"/>
          <w:sz w:val="22"/>
          <w:szCs w:val="22"/>
          <w:lang w:val="en-AE"/>
          <w14:ligatures w14:val="none"/>
        </w:rPr>
        <w:t xml:space="preserve">lower-body </w:t>
      </w:r>
      <w:r w:rsidR="007D2F33" w:rsidRPr="0068382F">
        <w:rPr>
          <w:rFonts w:eastAsia="Times New Roman" w:cs="Times New Roman"/>
          <w:kern w:val="0"/>
          <w:sz w:val="22"/>
          <w:szCs w:val="22"/>
          <w:lang w:val="en-AE"/>
          <w14:ligatures w14:val="none"/>
        </w:rPr>
        <w:t xml:space="preserve">peak power.  </w:t>
      </w:r>
    </w:p>
    <w:p w14:paraId="3F8E1882" w14:textId="7B4B2F6C" w:rsidR="00916A5A" w:rsidRPr="0068382F" w:rsidRDefault="00916A5A" w:rsidP="00916A5A">
      <w:pPr>
        <w:pStyle w:val="NormalWeb"/>
        <w:rPr>
          <w:rFonts w:asciiTheme="minorHAnsi" w:hAnsiTheme="minorHAnsi"/>
          <w:sz w:val="22"/>
          <w:szCs w:val="22"/>
        </w:rPr>
      </w:pPr>
      <w:r w:rsidRPr="0068382F">
        <w:rPr>
          <w:rFonts w:asciiTheme="minorHAnsi" w:hAnsiTheme="minorHAnsi"/>
          <w:sz w:val="22"/>
          <w:szCs w:val="22"/>
        </w:rPr>
        <w:t xml:space="preserve">Physiological testing provides objective measurements of how the body responds to exercise, allowing performance and health to be assessed scientifically rather than through subjective observation. In sport, it is used to profile athletes, identify physiological strengths and weaknesses, monitor training adaptations, and inform evidence-based training programmes tailored to performance demands. Within exercise and fitness settings, physiological testing supports individualised exercise prescription by determining appropriate training intensities and tracking progress safely, helping to maximise improvements while reducing the risk of injury or overtraining. In health and clinical contexts, physiological assessments are valuable for evaluating cardiovascular and metabolic fitness, identifying potential health risks, and monitoring rehabilitation outcomes, with measures such as cardiorespiratory fitness strongly associated with reduced disease risk and improved long-term health. Overall, physiological testing bridges scientific assessment and practical application, providing reliable data that enhances performance optimisation, safe exercise participation, and health </w:t>
      </w:r>
      <w:r w:rsidR="007D2F33" w:rsidRPr="0068382F">
        <w:rPr>
          <w:rFonts w:asciiTheme="minorHAnsi" w:hAnsiTheme="minorHAnsi"/>
          <w:sz w:val="22"/>
          <w:szCs w:val="22"/>
        </w:rPr>
        <w:t xml:space="preserve">and injury </w:t>
      </w:r>
      <w:r w:rsidRPr="0068382F">
        <w:rPr>
          <w:rFonts w:asciiTheme="minorHAnsi" w:hAnsiTheme="minorHAnsi"/>
          <w:sz w:val="22"/>
          <w:szCs w:val="22"/>
        </w:rPr>
        <w:t>management.</w:t>
      </w:r>
    </w:p>
    <w:p w14:paraId="15816088" w14:textId="754C5E42" w:rsidR="00580423" w:rsidRPr="00580423" w:rsidRDefault="00580423" w:rsidP="00580423">
      <w:pPr>
        <w:spacing w:before="100" w:beforeAutospacing="1" w:after="100" w:afterAutospacing="1" w:line="240" w:lineRule="auto"/>
        <w:outlineLvl w:val="1"/>
        <w:rPr>
          <w:rFonts w:eastAsia="Times New Roman" w:cs="Times New Roman"/>
          <w:b/>
          <w:bCs/>
          <w:kern w:val="0"/>
          <w:u w:val="single"/>
          <w:lang w:val="en-AE"/>
          <w14:ligatures w14:val="none"/>
        </w:rPr>
      </w:pPr>
      <w:r w:rsidRPr="00580423">
        <w:rPr>
          <w:rFonts w:eastAsia="Times New Roman" w:cs="Times New Roman"/>
          <w:b/>
          <w:bCs/>
          <w:kern w:val="0"/>
          <w:u w:val="single"/>
          <w:lang w:val="en-AE"/>
          <w14:ligatures w14:val="none"/>
        </w:rPr>
        <w:t>Experimental Sections</w:t>
      </w:r>
    </w:p>
    <w:p w14:paraId="00BF4B19" w14:textId="6F2DBBDB" w:rsidR="00916A5A" w:rsidRPr="00857B64" w:rsidRDefault="00580423" w:rsidP="00857B64">
      <w:pPr>
        <w:spacing w:before="100" w:beforeAutospacing="1" w:after="100" w:afterAutospacing="1" w:line="240" w:lineRule="auto"/>
        <w:outlineLvl w:val="0"/>
        <w:rPr>
          <w:rFonts w:eastAsia="Times New Roman" w:cs="Times New Roman"/>
          <w:b/>
          <w:bCs/>
          <w:kern w:val="36"/>
          <w:sz w:val="28"/>
          <w:szCs w:val="28"/>
          <w:lang w:val="en-AE"/>
          <w14:ligatures w14:val="none"/>
        </w:rPr>
      </w:pPr>
      <w:bookmarkStart w:id="0" w:name="OLE_LINK2"/>
      <w:r w:rsidRPr="00580423">
        <w:rPr>
          <w:rFonts w:eastAsia="Times New Roman" w:cs="Times New Roman"/>
          <w:b/>
          <w:bCs/>
          <w:kern w:val="36"/>
          <w:lang w:val="en-AE"/>
          <w14:ligatures w14:val="none"/>
        </w:rPr>
        <w:t>Experiment 1</w:t>
      </w:r>
      <w:r w:rsidR="00857B64">
        <w:rPr>
          <w:rFonts w:eastAsia="Times New Roman" w:cs="Times New Roman"/>
          <w:b/>
          <w:bCs/>
          <w:kern w:val="36"/>
          <w:sz w:val="28"/>
          <w:szCs w:val="28"/>
          <w:lang w:val="en-AE"/>
          <w14:ligatures w14:val="none"/>
        </w:rPr>
        <w:t xml:space="preserve"> - </w:t>
      </w:r>
      <w:r w:rsidRPr="00580423">
        <w:rPr>
          <w:rFonts w:eastAsia="Times New Roman" w:cs="Times New Roman"/>
          <w:b/>
          <w:bCs/>
          <w:kern w:val="0"/>
          <w:lang w:val="en-AE"/>
          <w14:ligatures w14:val="none"/>
        </w:rPr>
        <w:t>Does Keiser Peak Power help predict Wingate Peak Power?</w:t>
      </w:r>
    </w:p>
    <w:p w14:paraId="38FF3540" w14:textId="635CF8BD" w:rsidR="00580423" w:rsidRPr="00580423" w:rsidRDefault="00580423" w:rsidP="00580423">
      <w:pPr>
        <w:spacing w:before="100" w:beforeAutospacing="1" w:after="100" w:afterAutospacing="1" w:line="240" w:lineRule="auto"/>
        <w:outlineLvl w:val="2"/>
        <w:rPr>
          <w:rFonts w:eastAsia="Times New Roman" w:cs="Times New Roman"/>
          <w:b/>
          <w:bCs/>
          <w:kern w:val="0"/>
          <w:lang w:val="en-AE"/>
          <w14:ligatures w14:val="none"/>
        </w:rPr>
      </w:pPr>
      <w:r w:rsidRPr="00580423">
        <w:rPr>
          <w:rFonts w:eastAsia="Times New Roman" w:cs="Times New Roman"/>
          <w:b/>
          <w:bCs/>
          <w:kern w:val="0"/>
          <w:lang w:val="en-AE"/>
          <w14:ligatures w14:val="none"/>
        </w:rPr>
        <w:t>Method Summary</w:t>
      </w:r>
    </w:p>
    <w:p w14:paraId="3C16CF0E" w14:textId="28FF493C" w:rsidR="00580423" w:rsidRPr="00580423" w:rsidRDefault="0038580B" w:rsidP="00580423">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16 p</w:t>
      </w:r>
      <w:r w:rsidR="00580423" w:rsidRPr="00580423">
        <w:rPr>
          <w:rFonts w:eastAsia="Times New Roman" w:cs="Times New Roman"/>
          <w:kern w:val="0"/>
          <w:sz w:val="22"/>
          <w:szCs w:val="22"/>
          <w:lang w:val="en-AE"/>
          <w14:ligatures w14:val="none"/>
        </w:rPr>
        <w:t>articipants completed a Keiser leg press test</w:t>
      </w:r>
      <w:r w:rsidR="00651776" w:rsidRPr="0068382F">
        <w:rPr>
          <w:rFonts w:eastAsia="Times New Roman" w:cs="Times New Roman"/>
          <w:kern w:val="0"/>
          <w:sz w:val="22"/>
          <w:szCs w:val="22"/>
          <w:lang w:val="en-AE"/>
          <w14:ligatures w14:val="none"/>
        </w:rPr>
        <w:t xml:space="preserve"> </w:t>
      </w:r>
      <w:r w:rsidR="00651776" w:rsidRPr="0068382F">
        <w:rPr>
          <w:rFonts w:eastAsia="Times New Roman" w:cs="Times New Roman"/>
          <w:kern w:val="0"/>
          <w:sz w:val="22"/>
          <w:szCs w:val="22"/>
          <w:lang w:val="en-AE"/>
          <w14:ligatures w14:val="none"/>
        </w:rPr>
        <w:t>(</w:t>
      </w:r>
      <w:r w:rsidR="00651776" w:rsidRPr="00580423">
        <w:rPr>
          <w:rFonts w:eastAsia="Times New Roman" w:cs="Times New Roman"/>
          <w:kern w:val="0"/>
          <w:sz w:val="22"/>
          <w:szCs w:val="22"/>
          <w:lang w:val="en-AE"/>
          <w14:ligatures w14:val="none"/>
        </w:rPr>
        <w:t>Keiser A300 Leg Press</w:t>
      </w:r>
      <w:r w:rsidR="00651776" w:rsidRPr="0068382F">
        <w:rPr>
          <w:rFonts w:eastAsia="Times New Roman" w:cs="Times New Roman"/>
          <w:kern w:val="0"/>
          <w:sz w:val="22"/>
          <w:szCs w:val="22"/>
          <w:lang w:val="en-AE"/>
          <w14:ligatures w14:val="none"/>
        </w:rPr>
        <w:t xml:space="preserve">, </w:t>
      </w:r>
      <w:r w:rsidR="00651776" w:rsidRPr="00580423">
        <w:rPr>
          <w:rFonts w:eastAsia="Times New Roman" w:cs="Times New Roman"/>
          <w:kern w:val="0"/>
          <w:sz w:val="22"/>
          <w:szCs w:val="22"/>
          <w:lang w:val="en-AE"/>
          <w14:ligatures w14:val="none"/>
        </w:rPr>
        <w:t xml:space="preserve">Keiser Corporation, USA) </w:t>
      </w:r>
      <w:r w:rsidR="00580423" w:rsidRPr="00580423">
        <w:rPr>
          <w:rFonts w:eastAsia="Times New Roman" w:cs="Times New Roman"/>
          <w:kern w:val="0"/>
          <w:sz w:val="22"/>
          <w:szCs w:val="22"/>
          <w:lang w:val="en-AE"/>
          <w14:ligatures w14:val="none"/>
        </w:rPr>
        <w:t xml:space="preserve"> followed by a Wingate anaerobic cycling test</w:t>
      </w:r>
      <w:r w:rsidR="00651776" w:rsidRPr="0068382F">
        <w:rPr>
          <w:rFonts w:eastAsia="Times New Roman" w:cs="Times New Roman"/>
          <w:kern w:val="0"/>
          <w:sz w:val="22"/>
          <w:szCs w:val="22"/>
          <w:lang w:val="en-AE"/>
          <w14:ligatures w14:val="none"/>
        </w:rPr>
        <w:t xml:space="preserve"> (</w:t>
      </w:r>
      <w:r w:rsidR="00651776" w:rsidRPr="00580423">
        <w:rPr>
          <w:rFonts w:eastAsia="Times New Roman" w:cs="Times New Roman"/>
          <w:kern w:val="0"/>
          <w:sz w:val="22"/>
          <w:szCs w:val="22"/>
          <w:lang w:val="en-AE"/>
          <w14:ligatures w14:val="none"/>
        </w:rPr>
        <w:t>Monark Ergomedic 894E cycle ergometer</w:t>
      </w:r>
      <w:r w:rsidR="00651776" w:rsidRPr="0068382F">
        <w:rPr>
          <w:rFonts w:eastAsia="Times New Roman" w:cs="Times New Roman"/>
          <w:kern w:val="0"/>
          <w:sz w:val="22"/>
          <w:szCs w:val="22"/>
          <w:lang w:val="en-AE"/>
          <w14:ligatures w14:val="none"/>
        </w:rPr>
        <w:t xml:space="preserve">, </w:t>
      </w:r>
      <w:r w:rsidR="00651776" w:rsidRPr="00580423">
        <w:rPr>
          <w:rFonts w:eastAsia="Times New Roman" w:cs="Times New Roman"/>
          <w:kern w:val="0"/>
          <w:sz w:val="22"/>
          <w:szCs w:val="22"/>
          <w:lang w:val="en-AE"/>
          <w14:ligatures w14:val="none"/>
        </w:rPr>
        <w:t>Monark Exercise AB, Sweden</w:t>
      </w:r>
      <w:r w:rsidR="00651776" w:rsidRPr="0068382F">
        <w:rPr>
          <w:rFonts w:eastAsia="Times New Roman" w:cs="Times New Roman"/>
          <w:kern w:val="0"/>
          <w:sz w:val="22"/>
          <w:szCs w:val="22"/>
          <w:lang w:val="en-AE"/>
          <w14:ligatures w14:val="none"/>
        </w:rPr>
        <w:t>)</w:t>
      </w:r>
      <w:r w:rsidR="00580423" w:rsidRPr="00580423">
        <w:rPr>
          <w:rFonts w:eastAsia="Times New Roman" w:cs="Times New Roman"/>
          <w:kern w:val="0"/>
          <w:sz w:val="22"/>
          <w:szCs w:val="22"/>
          <w:lang w:val="en-AE"/>
          <w14:ligatures w14:val="none"/>
        </w:rPr>
        <w:t xml:space="preserve">. Keiser test was performed </w:t>
      </w:r>
      <w:r w:rsidR="00F145CB" w:rsidRPr="0068382F">
        <w:rPr>
          <w:rFonts w:eastAsia="Times New Roman" w:cs="Times New Roman"/>
          <w:kern w:val="0"/>
          <w:sz w:val="22"/>
          <w:szCs w:val="22"/>
          <w:lang w:val="en-AE"/>
          <w14:ligatures w14:val="none"/>
        </w:rPr>
        <w:t>after a 5 minute RAMP warm up and was done in the</w:t>
      </w:r>
      <w:r w:rsidR="00580423" w:rsidRPr="00580423">
        <w:rPr>
          <w:rFonts w:eastAsia="Times New Roman" w:cs="Times New Roman"/>
          <w:kern w:val="0"/>
          <w:sz w:val="22"/>
          <w:szCs w:val="22"/>
          <w:lang w:val="en-AE"/>
          <w14:ligatures w14:val="none"/>
        </w:rPr>
        <w:t xml:space="preserve"> built-in 10-repetition (10RM) protocol mode, with participants positioned at approximately 90° knee flexion. Peak power was recorded </w:t>
      </w:r>
      <w:r w:rsidR="00916A5A" w:rsidRPr="0068382F">
        <w:rPr>
          <w:rFonts w:eastAsia="Times New Roman" w:cs="Times New Roman"/>
          <w:kern w:val="0"/>
          <w:sz w:val="22"/>
          <w:szCs w:val="22"/>
          <w:lang w:val="en-AE"/>
          <w14:ligatures w14:val="none"/>
        </w:rPr>
        <w:t xml:space="preserve">at the highest output point. </w:t>
      </w:r>
      <w:r w:rsidR="00580423" w:rsidRPr="00580423">
        <w:rPr>
          <w:rFonts w:eastAsia="Times New Roman" w:cs="Times New Roman"/>
          <w:kern w:val="0"/>
          <w:sz w:val="22"/>
          <w:szCs w:val="22"/>
          <w:lang w:val="en-AE"/>
          <w14:ligatures w14:val="none"/>
        </w:rPr>
        <w:t>After a 10-minute passive recovery period, participants completed a 30-second Wingate test using resistance equivalent to 7.5% of body mass, consistent with the original Bar-Or protocol. Peak power (W)</w:t>
      </w:r>
      <w:r w:rsidR="007D2F33" w:rsidRPr="0068382F">
        <w:rPr>
          <w:rFonts w:eastAsia="Times New Roman" w:cs="Times New Roman"/>
          <w:kern w:val="0"/>
          <w:sz w:val="22"/>
          <w:szCs w:val="22"/>
          <w:lang w:val="en-AE"/>
          <w14:ligatures w14:val="none"/>
        </w:rPr>
        <w:t xml:space="preserve"> and </w:t>
      </w:r>
      <w:r w:rsidR="00580423" w:rsidRPr="00580423">
        <w:rPr>
          <w:rFonts w:eastAsia="Times New Roman" w:cs="Times New Roman"/>
          <w:kern w:val="0"/>
          <w:sz w:val="22"/>
          <w:szCs w:val="22"/>
          <w:lang w:val="en-AE"/>
          <w14:ligatures w14:val="none"/>
        </w:rPr>
        <w:t>mean power</w:t>
      </w:r>
      <w:r w:rsidR="007D2F33" w:rsidRPr="0068382F">
        <w:rPr>
          <w:rFonts w:eastAsia="Times New Roman" w:cs="Times New Roman"/>
          <w:kern w:val="0"/>
          <w:sz w:val="22"/>
          <w:szCs w:val="22"/>
          <w:lang w:val="en-AE"/>
          <w14:ligatures w14:val="none"/>
        </w:rPr>
        <w:t xml:space="preserve"> (W) were </w:t>
      </w:r>
      <w:r w:rsidR="00580423" w:rsidRPr="00580423">
        <w:rPr>
          <w:rFonts w:eastAsia="Times New Roman" w:cs="Times New Roman"/>
          <w:kern w:val="0"/>
          <w:sz w:val="22"/>
          <w:szCs w:val="22"/>
          <w:lang w:val="en-AE"/>
          <w14:ligatures w14:val="none"/>
        </w:rPr>
        <w:t>recorded.</w:t>
      </w:r>
      <w:r w:rsidR="00F97B01" w:rsidRPr="0068382F">
        <w:rPr>
          <w:rFonts w:eastAsia="Times New Roman" w:cs="Times New Roman"/>
          <w:kern w:val="0"/>
          <w:sz w:val="22"/>
          <w:szCs w:val="22"/>
          <w:lang w:val="en-AE"/>
          <w14:ligatures w14:val="none"/>
        </w:rPr>
        <w:t xml:space="preserve"> </w:t>
      </w:r>
      <w:r w:rsidR="00580423" w:rsidRPr="00580423">
        <w:rPr>
          <w:rFonts w:eastAsia="Times New Roman" w:cs="Times New Roman"/>
          <w:kern w:val="0"/>
          <w:sz w:val="22"/>
          <w:szCs w:val="22"/>
          <w:lang w:val="en-AE"/>
          <w14:ligatures w14:val="none"/>
        </w:rPr>
        <w:t xml:space="preserve">The aim was to determine whether lower-body power measured during resistance exercise predicts anaerobic performance. </w:t>
      </w:r>
    </w:p>
    <w:p w14:paraId="6FBF748B" w14:textId="443B8DA3" w:rsidR="00580423"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I assisted with participant setup, ensuring correct seat positioning and knee angle alignment on the Keiser</w:t>
      </w:r>
      <w:r w:rsidR="005770CC" w:rsidRPr="0068382F">
        <w:rPr>
          <w:rFonts w:eastAsia="Times New Roman" w:cs="Times New Roman"/>
          <w:kern w:val="0"/>
          <w:sz w:val="22"/>
          <w:szCs w:val="22"/>
          <w:lang w:val="en-AE"/>
          <w14:ligatures w14:val="none"/>
        </w:rPr>
        <w:t xml:space="preserve"> machine</w:t>
      </w:r>
      <w:r w:rsidRPr="00580423">
        <w:rPr>
          <w:rFonts w:eastAsia="Times New Roman" w:cs="Times New Roman"/>
          <w:kern w:val="0"/>
          <w:sz w:val="22"/>
          <w:szCs w:val="22"/>
          <w:lang w:val="en-AE"/>
          <w14:ligatures w14:val="none"/>
        </w:rPr>
        <w:t xml:space="preserve">. During the Wingate test, I monitored cadence and provided verbal encouragement </w:t>
      </w:r>
      <w:r w:rsidRPr="00580423">
        <w:rPr>
          <w:rFonts w:eastAsia="Times New Roman" w:cs="Times New Roman"/>
          <w:kern w:val="0"/>
          <w:sz w:val="22"/>
          <w:szCs w:val="22"/>
          <w:lang w:val="en-AE"/>
          <w14:ligatures w14:val="none"/>
        </w:rPr>
        <w:lastRenderedPageBreak/>
        <w:t>to maximise effort while recording peak power outputs. I also helped verify body mass calculations to ensure correct resistance loading</w:t>
      </w:r>
      <w:r w:rsidR="007D2F33" w:rsidRPr="0068382F">
        <w:rPr>
          <w:rFonts w:eastAsia="Times New Roman" w:cs="Times New Roman"/>
          <w:kern w:val="0"/>
          <w:sz w:val="22"/>
          <w:szCs w:val="22"/>
          <w:lang w:val="en-AE"/>
          <w14:ligatures w14:val="none"/>
        </w:rPr>
        <w:t xml:space="preserve"> on the wingate cycle ergometer.</w:t>
      </w:r>
    </w:p>
    <w:p w14:paraId="1EE6EBBD" w14:textId="128BD73B" w:rsidR="00580423" w:rsidRPr="00580423" w:rsidRDefault="00580423" w:rsidP="00580423">
      <w:pPr>
        <w:spacing w:before="100" w:beforeAutospacing="1" w:after="100" w:afterAutospacing="1" w:line="240" w:lineRule="auto"/>
        <w:outlineLvl w:val="2"/>
        <w:rPr>
          <w:rFonts w:eastAsia="Times New Roman" w:cs="Times New Roman"/>
          <w:b/>
          <w:bCs/>
          <w:kern w:val="0"/>
          <w:lang w:val="en-AE"/>
          <w14:ligatures w14:val="none"/>
        </w:rPr>
      </w:pPr>
      <w:r w:rsidRPr="00580423">
        <w:rPr>
          <w:rFonts w:eastAsia="Times New Roman" w:cs="Times New Roman"/>
          <w:b/>
          <w:bCs/>
          <w:kern w:val="0"/>
          <w:lang w:val="en-AE"/>
          <w14:ligatures w14:val="none"/>
        </w:rPr>
        <w:t>Results</w:t>
      </w:r>
    </w:p>
    <w:p w14:paraId="25C16956" w14:textId="57C3DE34" w:rsidR="00580423"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Group data indicated that individuals producing higher Keiser peak power generally demonstrated higher Wingate peak power values. Mean Wingate peak power exceeded mean Keiser power outputs, reflecting modality differences and greater contribution of momentum during cycling.</w:t>
      </w:r>
      <w:r w:rsidR="00A57A9C"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 xml:space="preserve">Correlation analysis demonstrated a moderate-to-strong positive relationship between Keiser and Wingate peak power </w:t>
      </w:r>
      <w:r w:rsidR="006F7F74" w:rsidRPr="0068382F">
        <w:rPr>
          <w:rFonts w:eastAsia="Times New Roman" w:cs="Times New Roman"/>
          <w:kern w:val="0"/>
          <w:sz w:val="22"/>
          <w:szCs w:val="22"/>
          <w:lang w:val="en-AE"/>
          <w14:ligatures w14:val="none"/>
        </w:rPr>
        <w:t xml:space="preserve">because it had a positive r value. </w:t>
      </w:r>
    </w:p>
    <w:p w14:paraId="5AFFD8FD" w14:textId="77777777" w:rsidR="00A57A9C" w:rsidRDefault="00A57A9C" w:rsidP="00A57A9C">
      <w:pPr>
        <w:keepNext/>
        <w:spacing w:before="100" w:beforeAutospacing="1" w:after="100" w:afterAutospacing="1" w:line="240" w:lineRule="auto"/>
        <w:jc w:val="center"/>
      </w:pPr>
      <w:r>
        <w:rPr>
          <w:noProof/>
        </w:rPr>
        <w:drawing>
          <wp:inline distT="0" distB="0" distL="0" distR="0" wp14:anchorId="61983889" wp14:editId="4A9E733E">
            <wp:extent cx="5508434" cy="3338111"/>
            <wp:effectExtent l="0" t="0" r="16510" b="15240"/>
            <wp:docPr id="13339828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A704F02" w14:textId="70E9D70A" w:rsidR="00A57A9C" w:rsidRPr="00862F79" w:rsidRDefault="00A57A9C" w:rsidP="00862F79">
      <w:pPr>
        <w:pStyle w:val="Caption"/>
        <w:jc w:val="center"/>
        <w:rPr>
          <w:noProof/>
          <w:color w:val="000000" w:themeColor="text1"/>
        </w:rPr>
      </w:pPr>
      <w:r w:rsidRPr="00787291">
        <w:rPr>
          <w:color w:val="000000" w:themeColor="text1"/>
        </w:rPr>
        <w:t xml:space="preserve">Figure </w:t>
      </w:r>
      <w:r w:rsidRPr="00787291">
        <w:rPr>
          <w:color w:val="000000" w:themeColor="text1"/>
        </w:rPr>
        <w:fldChar w:fldCharType="begin"/>
      </w:r>
      <w:r w:rsidRPr="00787291">
        <w:rPr>
          <w:color w:val="000000" w:themeColor="text1"/>
        </w:rPr>
        <w:instrText xml:space="preserve"> SEQ Figure \* ARABIC </w:instrText>
      </w:r>
      <w:r w:rsidRPr="00787291">
        <w:rPr>
          <w:color w:val="000000" w:themeColor="text1"/>
        </w:rPr>
        <w:fldChar w:fldCharType="separate"/>
      </w:r>
      <w:r w:rsidRPr="00787291">
        <w:rPr>
          <w:noProof/>
          <w:color w:val="000000" w:themeColor="text1"/>
        </w:rPr>
        <w:t>1</w:t>
      </w:r>
      <w:r w:rsidRPr="00787291">
        <w:rPr>
          <w:color w:val="000000" w:themeColor="text1"/>
        </w:rPr>
        <w:fldChar w:fldCharType="end"/>
      </w:r>
      <w:r w:rsidRPr="00787291">
        <w:rPr>
          <w:color w:val="000000" w:themeColor="text1"/>
        </w:rPr>
        <w:t>- Wingate and Keiser Peak Power</w:t>
      </w:r>
    </w:p>
    <w:p w14:paraId="0F509550" w14:textId="64B41D57" w:rsidR="00A57A9C" w:rsidRPr="0068382F" w:rsidRDefault="00A57A9C" w:rsidP="00750E65">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 xml:space="preserve">A </w:t>
      </w:r>
      <w:r w:rsidRPr="00580423">
        <w:rPr>
          <w:rFonts w:eastAsia="Times New Roman" w:cs="Times New Roman"/>
          <w:kern w:val="0"/>
          <w:sz w:val="22"/>
          <w:szCs w:val="22"/>
          <w:lang w:val="en-AE"/>
          <w14:ligatures w14:val="none"/>
        </w:rPr>
        <w:t xml:space="preserve">scatter </w:t>
      </w:r>
      <w:r w:rsidR="00750E65" w:rsidRPr="0068382F">
        <w:rPr>
          <w:rFonts w:eastAsia="Times New Roman" w:cs="Times New Roman"/>
          <w:kern w:val="0"/>
          <w:sz w:val="22"/>
          <w:szCs w:val="22"/>
          <w:lang w:val="en-AE"/>
          <w14:ligatures w14:val="none"/>
        </w:rPr>
        <w:t>graph</w:t>
      </w:r>
      <w:r w:rsidRPr="00580423">
        <w:rPr>
          <w:rFonts w:eastAsia="Times New Roman" w:cs="Times New Roman"/>
          <w:kern w:val="0"/>
          <w:sz w:val="22"/>
          <w:szCs w:val="22"/>
          <w:lang w:val="en-AE"/>
          <w14:ligatures w14:val="none"/>
        </w:rPr>
        <w:t xml:space="preserve"> </w:t>
      </w:r>
      <w:r w:rsidR="00750E65" w:rsidRPr="0068382F">
        <w:rPr>
          <w:rFonts w:eastAsia="Times New Roman" w:cs="Times New Roman"/>
          <w:kern w:val="0"/>
          <w:sz w:val="22"/>
          <w:szCs w:val="22"/>
          <w:lang w:val="en-AE"/>
          <w14:ligatures w14:val="none"/>
        </w:rPr>
        <w:t xml:space="preserve">(figure 1) </w:t>
      </w:r>
      <w:r w:rsidRPr="00580423">
        <w:rPr>
          <w:rFonts w:eastAsia="Times New Roman" w:cs="Times New Roman"/>
          <w:kern w:val="0"/>
          <w:sz w:val="22"/>
          <w:szCs w:val="22"/>
          <w:lang w:val="en-AE"/>
          <w14:ligatures w14:val="none"/>
        </w:rPr>
        <w:t>show</w:t>
      </w:r>
      <w:r w:rsidR="00750E65" w:rsidRPr="0068382F">
        <w:rPr>
          <w:rFonts w:eastAsia="Times New Roman" w:cs="Times New Roman"/>
          <w:kern w:val="0"/>
          <w:sz w:val="22"/>
          <w:szCs w:val="22"/>
          <w:lang w:val="en-AE"/>
          <w14:ligatures w14:val="none"/>
        </w:rPr>
        <w:t xml:space="preserve">s </w:t>
      </w:r>
      <w:r w:rsidRPr="00580423">
        <w:rPr>
          <w:rFonts w:eastAsia="Times New Roman" w:cs="Times New Roman"/>
          <w:kern w:val="0"/>
          <w:sz w:val="22"/>
          <w:szCs w:val="22"/>
          <w:lang w:val="en-AE"/>
          <w14:ligatures w14:val="none"/>
        </w:rPr>
        <w:t xml:space="preserve">an upward linear trend, supporting predictive </w:t>
      </w:r>
      <w:r w:rsidR="00750E65" w:rsidRPr="0068382F">
        <w:rPr>
          <w:rFonts w:eastAsia="Times New Roman" w:cs="Times New Roman"/>
          <w:kern w:val="0"/>
          <w:sz w:val="22"/>
          <w:szCs w:val="22"/>
          <w:lang w:val="en-AE"/>
          <w14:ligatures w14:val="none"/>
        </w:rPr>
        <w:t xml:space="preserve">assosiation across 15 participants, indicating that participants who scored higher on keiser peak power generally also demonstrated higher peak power during the wingate. </w:t>
      </w:r>
    </w:p>
    <w:p w14:paraId="4A9CF58B" w14:textId="77777777" w:rsidR="00862F79" w:rsidRDefault="00862F79" w:rsidP="00750E65">
      <w:pPr>
        <w:spacing w:before="100" w:beforeAutospacing="1" w:after="100" w:afterAutospacing="1" w:line="240" w:lineRule="auto"/>
        <w:rPr>
          <w:rFonts w:eastAsia="Times New Roman" w:cs="Times New Roman"/>
          <w:kern w:val="0"/>
          <w:lang w:val="en-AE"/>
          <w14:ligatures w14:val="none"/>
        </w:rPr>
      </w:pPr>
    </w:p>
    <w:tbl>
      <w:tblPr>
        <w:tblStyle w:val="TableGridLight"/>
        <w:tblW w:w="9766" w:type="dxa"/>
        <w:tblLayout w:type="fixed"/>
        <w:tblLook w:val="0000" w:firstRow="0" w:lastRow="0" w:firstColumn="0" w:lastColumn="0" w:noHBand="0" w:noVBand="0"/>
      </w:tblPr>
      <w:tblGrid>
        <w:gridCol w:w="1690"/>
        <w:gridCol w:w="2347"/>
        <w:gridCol w:w="2347"/>
        <w:gridCol w:w="3382"/>
      </w:tblGrid>
      <w:tr w:rsidR="00750E65" w:rsidRPr="00745FA8" w14:paraId="4AC8D69C" w14:textId="77777777" w:rsidTr="00E80039">
        <w:trPr>
          <w:trHeight w:val="718"/>
        </w:trPr>
        <w:tc>
          <w:tcPr>
            <w:tcW w:w="1690" w:type="dxa"/>
          </w:tcPr>
          <w:p w14:paraId="485FFA2D" w14:textId="1EC57E5B" w:rsidR="00750E65" w:rsidRPr="00745FA8" w:rsidRDefault="00750E65" w:rsidP="00E80039">
            <w:pPr>
              <w:autoSpaceDE w:val="0"/>
              <w:autoSpaceDN w:val="0"/>
              <w:adjustRightInd w:val="0"/>
              <w:spacing w:line="320" w:lineRule="atLeast"/>
              <w:ind w:left="60" w:right="60"/>
              <w:jc w:val="center"/>
              <w:rPr>
                <w:rFonts w:cs="Arial"/>
                <w:color w:val="000000" w:themeColor="text1"/>
                <w:kern w:val="0"/>
                <w:lang w:val="en-US"/>
              </w:rPr>
            </w:pPr>
            <w:r w:rsidRPr="00745FA8">
              <w:rPr>
                <w:rFonts w:cs="Arial"/>
                <w:color w:val="000000" w:themeColor="text1"/>
                <w:kern w:val="0"/>
                <w:lang w:val="en-US"/>
              </w:rPr>
              <w:t>Model</w:t>
            </w:r>
            <w:r>
              <w:rPr>
                <w:rFonts w:cs="Arial"/>
                <w:color w:val="000000" w:themeColor="text1"/>
                <w:kern w:val="0"/>
                <w:lang w:val="en-US"/>
              </w:rPr>
              <w:t xml:space="preserve"> (depend</w:t>
            </w:r>
            <w:r w:rsidR="00787291">
              <w:rPr>
                <w:rFonts w:cs="Arial"/>
                <w:color w:val="000000" w:themeColor="text1"/>
                <w:kern w:val="0"/>
                <w:lang w:val="en-US"/>
              </w:rPr>
              <w:t>ent variable)</w:t>
            </w:r>
          </w:p>
        </w:tc>
        <w:tc>
          <w:tcPr>
            <w:tcW w:w="2347" w:type="dxa"/>
          </w:tcPr>
          <w:p w14:paraId="69F02FA4" w14:textId="77777777" w:rsidR="00750E65" w:rsidRDefault="00750E65" w:rsidP="00E80039">
            <w:pPr>
              <w:autoSpaceDE w:val="0"/>
              <w:autoSpaceDN w:val="0"/>
              <w:adjustRightInd w:val="0"/>
              <w:spacing w:line="320" w:lineRule="atLeast"/>
              <w:ind w:left="60" w:right="60"/>
              <w:jc w:val="center"/>
              <w:rPr>
                <w:rFonts w:cs="Arial"/>
                <w:color w:val="000000" w:themeColor="text1"/>
                <w:kern w:val="0"/>
                <w:lang w:val="en-US"/>
              </w:rPr>
            </w:pPr>
            <w:r w:rsidRPr="00745FA8">
              <w:rPr>
                <w:rFonts w:cs="Arial"/>
                <w:color w:val="000000" w:themeColor="text1"/>
                <w:kern w:val="0"/>
                <w:lang w:val="en-US"/>
              </w:rPr>
              <w:t>R</w:t>
            </w:r>
          </w:p>
          <w:p w14:paraId="250D6159" w14:textId="723B8814" w:rsidR="00787291" w:rsidRPr="00745FA8" w:rsidRDefault="00787291" w:rsidP="00E80039">
            <w:pPr>
              <w:autoSpaceDE w:val="0"/>
              <w:autoSpaceDN w:val="0"/>
              <w:adjustRightInd w:val="0"/>
              <w:spacing w:line="320" w:lineRule="atLeast"/>
              <w:ind w:left="60" w:right="60"/>
              <w:jc w:val="center"/>
              <w:rPr>
                <w:rFonts w:cs="Arial"/>
                <w:color w:val="000000" w:themeColor="text1"/>
                <w:kern w:val="0"/>
                <w:lang w:val="en-US"/>
              </w:rPr>
            </w:pPr>
            <w:r>
              <w:rPr>
                <w:rFonts w:cs="Arial"/>
                <w:color w:val="000000" w:themeColor="text1"/>
                <w:kern w:val="0"/>
                <w:lang w:val="en-US"/>
              </w:rPr>
              <w:t>(Correlation Coefficient)</w:t>
            </w:r>
          </w:p>
        </w:tc>
        <w:tc>
          <w:tcPr>
            <w:tcW w:w="2347" w:type="dxa"/>
          </w:tcPr>
          <w:p w14:paraId="6C139695" w14:textId="77777777" w:rsidR="00750E65" w:rsidRDefault="00750E65" w:rsidP="00E80039">
            <w:pPr>
              <w:autoSpaceDE w:val="0"/>
              <w:autoSpaceDN w:val="0"/>
              <w:adjustRightInd w:val="0"/>
              <w:spacing w:line="320" w:lineRule="atLeast"/>
              <w:ind w:left="60" w:right="60"/>
              <w:jc w:val="center"/>
              <w:rPr>
                <w:rFonts w:cs="Arial"/>
                <w:color w:val="000000" w:themeColor="text1"/>
                <w:kern w:val="0"/>
                <w:lang w:val="en-US"/>
              </w:rPr>
            </w:pPr>
            <w:r w:rsidRPr="00745FA8">
              <w:rPr>
                <w:rFonts w:cs="Arial"/>
                <w:color w:val="000000" w:themeColor="text1"/>
                <w:kern w:val="0"/>
                <w:lang w:val="en-US"/>
              </w:rPr>
              <w:t>R Square</w:t>
            </w:r>
          </w:p>
          <w:p w14:paraId="0D5C5460" w14:textId="2C9BB465" w:rsidR="00787291" w:rsidRPr="00745FA8" w:rsidRDefault="00787291" w:rsidP="00E80039">
            <w:pPr>
              <w:autoSpaceDE w:val="0"/>
              <w:autoSpaceDN w:val="0"/>
              <w:adjustRightInd w:val="0"/>
              <w:spacing w:line="320" w:lineRule="atLeast"/>
              <w:ind w:left="60" w:right="60"/>
              <w:jc w:val="center"/>
              <w:rPr>
                <w:rFonts w:cs="Arial"/>
                <w:color w:val="000000" w:themeColor="text1"/>
                <w:kern w:val="0"/>
                <w:lang w:val="en-US"/>
              </w:rPr>
            </w:pPr>
            <w:r>
              <w:rPr>
                <w:rFonts w:cs="Arial"/>
                <w:color w:val="000000" w:themeColor="text1"/>
                <w:kern w:val="0"/>
                <w:lang w:val="en-US"/>
              </w:rPr>
              <w:t>(Explained Variance)</w:t>
            </w:r>
          </w:p>
        </w:tc>
        <w:tc>
          <w:tcPr>
            <w:tcW w:w="3382" w:type="dxa"/>
          </w:tcPr>
          <w:p w14:paraId="7201DFA5" w14:textId="77777777" w:rsidR="00787291" w:rsidRDefault="00750E65" w:rsidP="00787291">
            <w:pPr>
              <w:autoSpaceDE w:val="0"/>
              <w:autoSpaceDN w:val="0"/>
              <w:adjustRightInd w:val="0"/>
              <w:spacing w:line="320" w:lineRule="atLeast"/>
              <w:ind w:left="60" w:right="60"/>
              <w:jc w:val="center"/>
              <w:rPr>
                <w:rFonts w:cs="Arial"/>
                <w:color w:val="000000" w:themeColor="text1"/>
              </w:rPr>
            </w:pPr>
            <w:r w:rsidRPr="007A0E0B">
              <w:rPr>
                <w:rFonts w:cs="Arial"/>
                <w:color w:val="000000" w:themeColor="text1"/>
              </w:rPr>
              <w:t>Sig</w:t>
            </w:r>
            <w:r w:rsidR="00787291">
              <w:rPr>
                <w:rFonts w:cs="Arial"/>
                <w:color w:val="000000" w:themeColor="text1"/>
              </w:rPr>
              <w:t>.</w:t>
            </w:r>
          </w:p>
          <w:p w14:paraId="2A1D8D77" w14:textId="27E7861B" w:rsidR="00787291" w:rsidRPr="00745FA8" w:rsidRDefault="00787291" w:rsidP="00787291">
            <w:pPr>
              <w:autoSpaceDE w:val="0"/>
              <w:autoSpaceDN w:val="0"/>
              <w:adjustRightInd w:val="0"/>
              <w:spacing w:line="320" w:lineRule="atLeast"/>
              <w:ind w:left="60" w:right="60"/>
              <w:jc w:val="center"/>
              <w:rPr>
                <w:rFonts w:cs="Arial"/>
                <w:color w:val="000000" w:themeColor="text1"/>
              </w:rPr>
            </w:pPr>
            <w:r>
              <w:rPr>
                <w:rFonts w:cs="Arial"/>
                <w:color w:val="000000" w:themeColor="text1"/>
              </w:rPr>
              <w:t>(Statistical Significance)</w:t>
            </w:r>
          </w:p>
        </w:tc>
      </w:tr>
      <w:tr w:rsidR="00750E65" w:rsidRPr="00745FA8" w14:paraId="0CF13779" w14:textId="77777777" w:rsidTr="00E80039">
        <w:trPr>
          <w:trHeight w:val="644"/>
        </w:trPr>
        <w:tc>
          <w:tcPr>
            <w:tcW w:w="1690" w:type="dxa"/>
          </w:tcPr>
          <w:p w14:paraId="15DE0A59" w14:textId="77777777" w:rsidR="00750E65" w:rsidRPr="00745FA8" w:rsidRDefault="00750E65" w:rsidP="00E80039">
            <w:pPr>
              <w:autoSpaceDE w:val="0"/>
              <w:autoSpaceDN w:val="0"/>
              <w:adjustRightInd w:val="0"/>
              <w:spacing w:line="320" w:lineRule="atLeast"/>
              <w:ind w:left="60" w:right="60"/>
              <w:jc w:val="center"/>
              <w:rPr>
                <w:rFonts w:cs="Arial"/>
                <w:color w:val="000000" w:themeColor="text1"/>
                <w:kern w:val="0"/>
                <w:lang w:val="en-US"/>
              </w:rPr>
            </w:pPr>
            <w:r w:rsidRPr="007A0E0B">
              <w:rPr>
                <w:rFonts w:cs="Arial"/>
                <w:color w:val="000000" w:themeColor="text1"/>
              </w:rPr>
              <w:t>Wingate Peak</w:t>
            </w:r>
          </w:p>
        </w:tc>
        <w:tc>
          <w:tcPr>
            <w:tcW w:w="2347" w:type="dxa"/>
          </w:tcPr>
          <w:p w14:paraId="023FAC7C" w14:textId="61F86133" w:rsidR="00750E65" w:rsidRPr="00745FA8" w:rsidRDefault="00750E65" w:rsidP="00E80039">
            <w:pPr>
              <w:autoSpaceDE w:val="0"/>
              <w:autoSpaceDN w:val="0"/>
              <w:adjustRightInd w:val="0"/>
              <w:spacing w:line="320" w:lineRule="atLeast"/>
              <w:ind w:left="60" w:right="60"/>
              <w:jc w:val="center"/>
              <w:rPr>
                <w:rFonts w:cs="Arial"/>
                <w:color w:val="000000" w:themeColor="text1"/>
                <w:kern w:val="0"/>
                <w:lang w:val="en-US"/>
              </w:rPr>
            </w:pPr>
            <w:r w:rsidRPr="00745FA8">
              <w:rPr>
                <w:rFonts w:cs="Arial"/>
                <w:color w:val="000000" w:themeColor="text1"/>
                <w:kern w:val="0"/>
                <w:lang w:val="en-US"/>
              </w:rPr>
              <w:t>.955</w:t>
            </w:r>
          </w:p>
        </w:tc>
        <w:tc>
          <w:tcPr>
            <w:tcW w:w="2347" w:type="dxa"/>
          </w:tcPr>
          <w:p w14:paraId="5FC8D4B5" w14:textId="77777777" w:rsidR="00750E65" w:rsidRPr="00745FA8" w:rsidRDefault="00750E65" w:rsidP="00E80039">
            <w:pPr>
              <w:autoSpaceDE w:val="0"/>
              <w:autoSpaceDN w:val="0"/>
              <w:adjustRightInd w:val="0"/>
              <w:spacing w:line="320" w:lineRule="atLeast"/>
              <w:ind w:left="60" w:right="60"/>
              <w:jc w:val="center"/>
              <w:rPr>
                <w:rFonts w:ascii="Arial" w:hAnsi="Arial" w:cs="Arial"/>
                <w:color w:val="000000" w:themeColor="text1"/>
                <w:kern w:val="0"/>
                <w:lang w:val="en-US"/>
              </w:rPr>
            </w:pPr>
            <w:r w:rsidRPr="00745FA8">
              <w:rPr>
                <w:rFonts w:ascii="Arial" w:hAnsi="Arial" w:cs="Arial"/>
                <w:color w:val="000000" w:themeColor="text1"/>
                <w:kern w:val="0"/>
                <w:lang w:val="en-US"/>
              </w:rPr>
              <w:t>.913</w:t>
            </w:r>
          </w:p>
        </w:tc>
        <w:tc>
          <w:tcPr>
            <w:tcW w:w="3382" w:type="dxa"/>
          </w:tcPr>
          <w:p w14:paraId="3694FE6C" w14:textId="77777777" w:rsidR="00750E65" w:rsidRPr="00745FA8" w:rsidRDefault="00750E65" w:rsidP="00E80039">
            <w:pPr>
              <w:autoSpaceDE w:val="0"/>
              <w:autoSpaceDN w:val="0"/>
              <w:adjustRightInd w:val="0"/>
              <w:spacing w:line="320" w:lineRule="atLeast"/>
              <w:ind w:left="60" w:right="60"/>
              <w:jc w:val="center"/>
              <w:rPr>
                <w:rFonts w:ascii="Arial" w:hAnsi="Arial" w:cs="Arial"/>
                <w:color w:val="000000" w:themeColor="text1"/>
                <w:kern w:val="0"/>
                <w:lang w:val="en-US"/>
              </w:rPr>
            </w:pPr>
            <w:r w:rsidRPr="007A0E0B">
              <w:rPr>
                <w:rFonts w:ascii="Arial" w:hAnsi="Arial" w:cs="Arial"/>
                <w:color w:val="000000" w:themeColor="text1"/>
              </w:rPr>
              <w:t>&lt;.001</w:t>
            </w:r>
          </w:p>
        </w:tc>
      </w:tr>
    </w:tbl>
    <w:p w14:paraId="3494B7E7" w14:textId="38EC4959" w:rsidR="00750E65" w:rsidRPr="00787291" w:rsidRDefault="00750E65" w:rsidP="00787291">
      <w:pPr>
        <w:spacing w:before="100" w:beforeAutospacing="1" w:after="100" w:afterAutospacing="1" w:line="240" w:lineRule="auto"/>
        <w:jc w:val="center"/>
        <w:rPr>
          <w:i/>
          <w:iCs/>
          <w:noProof/>
          <w:sz w:val="18"/>
          <w:szCs w:val="18"/>
        </w:rPr>
      </w:pPr>
      <w:r w:rsidRPr="00787291">
        <w:rPr>
          <w:i/>
          <w:iCs/>
          <w:noProof/>
          <w:sz w:val="18"/>
          <w:szCs w:val="18"/>
        </w:rPr>
        <w:t xml:space="preserve">Table 1 </w:t>
      </w:r>
      <w:r w:rsidR="00787291" w:rsidRPr="00787291">
        <w:rPr>
          <w:i/>
          <w:iCs/>
          <w:noProof/>
          <w:sz w:val="18"/>
          <w:szCs w:val="18"/>
        </w:rPr>
        <w:t>– Wingate and Keiser Peak Power</w:t>
      </w:r>
    </w:p>
    <w:p w14:paraId="38F78B54" w14:textId="0C69461B" w:rsidR="005770CC" w:rsidRPr="0068382F" w:rsidRDefault="00787291" w:rsidP="00750E65">
      <w:pPr>
        <w:spacing w:before="100" w:beforeAutospacing="1" w:after="100" w:afterAutospacing="1" w:line="240" w:lineRule="auto"/>
        <w:rPr>
          <w:noProof/>
          <w:sz w:val="22"/>
          <w:szCs w:val="22"/>
        </w:rPr>
      </w:pPr>
      <w:r w:rsidRPr="0068382F">
        <w:rPr>
          <w:noProof/>
          <w:sz w:val="22"/>
          <w:szCs w:val="22"/>
        </w:rPr>
        <w:lastRenderedPageBreak/>
        <w:t>R represents the strength of the relationship between keiser peak power and wingate peak power. The value of .955 shows that there is a very st</w:t>
      </w:r>
      <w:r w:rsidR="006F7F74" w:rsidRPr="0068382F">
        <w:rPr>
          <w:noProof/>
          <w:sz w:val="22"/>
          <w:szCs w:val="22"/>
        </w:rPr>
        <w:t>r</w:t>
      </w:r>
      <w:r w:rsidR="00DB3265" w:rsidRPr="0068382F">
        <w:rPr>
          <w:noProof/>
          <w:sz w:val="22"/>
          <w:szCs w:val="22"/>
        </w:rPr>
        <w:t>o</w:t>
      </w:r>
      <w:r w:rsidRPr="0068382F">
        <w:rPr>
          <w:noProof/>
          <w:sz w:val="22"/>
          <w:szCs w:val="22"/>
        </w:rPr>
        <w:t>ng correlation. R square is how much the variation in wingate peak power is explained by the model.</w:t>
      </w:r>
      <w:r w:rsidR="00DB3265" w:rsidRPr="0068382F">
        <w:rPr>
          <w:noProof/>
          <w:sz w:val="22"/>
          <w:szCs w:val="22"/>
        </w:rPr>
        <w:t xml:space="preserve"> </w:t>
      </w:r>
      <w:r w:rsidRPr="0068382F">
        <w:rPr>
          <w:noProof/>
          <w:sz w:val="22"/>
          <w:szCs w:val="22"/>
        </w:rPr>
        <w:t xml:space="preserve">The value of .913 means that the model explains 91.3% of the differences in wingate peak power between participants which is a high explanatory value. The </w:t>
      </w:r>
      <w:r w:rsidR="005770CC" w:rsidRPr="0068382F">
        <w:rPr>
          <w:noProof/>
          <w:sz w:val="22"/>
          <w:szCs w:val="22"/>
        </w:rPr>
        <w:t xml:space="preserve">significance value is &lt;.001 which means it is highly significant, </w:t>
      </w:r>
      <w:r w:rsidR="006F7F74" w:rsidRPr="0068382F">
        <w:rPr>
          <w:noProof/>
          <w:sz w:val="22"/>
          <w:szCs w:val="22"/>
        </w:rPr>
        <w:t>suggesing</w:t>
      </w:r>
      <w:r w:rsidR="005770CC" w:rsidRPr="0068382F">
        <w:rPr>
          <w:noProof/>
          <w:sz w:val="22"/>
          <w:szCs w:val="22"/>
        </w:rPr>
        <w:t xml:space="preserve"> that it is highly unlikey that the relationship between each test is  due to random chance. </w:t>
      </w:r>
    </w:p>
    <w:p w14:paraId="0040768D" w14:textId="39E0B46C" w:rsidR="005E01CD" w:rsidRPr="005E01CD" w:rsidRDefault="005E01CD" w:rsidP="00750E65">
      <w:pPr>
        <w:spacing w:before="100" w:beforeAutospacing="1" w:after="100" w:afterAutospacing="1" w:line="240" w:lineRule="auto"/>
        <w:rPr>
          <w:b/>
          <w:bCs/>
          <w:noProof/>
        </w:rPr>
      </w:pPr>
      <w:r w:rsidRPr="005E01CD">
        <w:rPr>
          <w:b/>
          <w:bCs/>
          <w:noProof/>
        </w:rPr>
        <w:t>Interpretation and Reflection</w:t>
      </w:r>
    </w:p>
    <w:p w14:paraId="3DF7DDD5" w14:textId="2A3158C7" w:rsidR="00580423"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Both tests rely heavily on ATP-PC</w:t>
      </w:r>
      <w:r w:rsidR="006F7F74"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energy system contribution and rapid motor unit recruitment</w:t>
      </w:r>
      <w:r w:rsidR="00DB3265" w:rsidRPr="0068382F">
        <w:rPr>
          <w:rFonts w:eastAsia="Times New Roman" w:cs="Times New Roman"/>
          <w:kern w:val="0"/>
          <w:sz w:val="22"/>
          <w:szCs w:val="22"/>
          <w:lang w:val="en-AE"/>
          <w14:ligatures w14:val="none"/>
        </w:rPr>
        <w:t xml:space="preserve"> </w:t>
      </w:r>
      <w:r w:rsidR="00DB3265" w:rsidRPr="0068382F">
        <w:rPr>
          <w:sz w:val="22"/>
          <w:szCs w:val="22"/>
        </w:rPr>
        <w:t>(Ulup</w:t>
      </w:r>
      <w:r w:rsidR="006F7F74" w:rsidRPr="0068382F">
        <w:rPr>
          <w:sz w:val="22"/>
          <w:szCs w:val="22"/>
        </w:rPr>
        <w:t>i</w:t>
      </w:r>
      <w:r w:rsidR="00DB3265" w:rsidRPr="0068382F">
        <w:rPr>
          <w:sz w:val="22"/>
          <w:szCs w:val="22"/>
        </w:rPr>
        <w:t xml:space="preserve">nar </w:t>
      </w:r>
      <w:r w:rsidR="00DB3265" w:rsidRPr="0068382F">
        <w:rPr>
          <w:rStyle w:val="Emphasis"/>
          <w:i w:val="0"/>
          <w:iCs w:val="0"/>
          <w:sz w:val="22"/>
          <w:szCs w:val="22"/>
        </w:rPr>
        <w:t>et al</w:t>
      </w:r>
      <w:r w:rsidR="00DB3265" w:rsidRPr="0068382F">
        <w:rPr>
          <w:rStyle w:val="Emphasis"/>
          <w:sz w:val="22"/>
          <w:szCs w:val="22"/>
        </w:rPr>
        <w:t>.</w:t>
      </w:r>
      <w:r w:rsidR="00DB3265" w:rsidRPr="0068382F">
        <w:rPr>
          <w:sz w:val="22"/>
          <w:szCs w:val="22"/>
        </w:rPr>
        <w:t>, 2024)</w:t>
      </w:r>
      <w:r w:rsidRPr="00580423">
        <w:rPr>
          <w:rFonts w:eastAsia="Times New Roman" w:cs="Times New Roman"/>
          <w:kern w:val="0"/>
          <w:sz w:val="22"/>
          <w:szCs w:val="22"/>
          <w:lang w:val="en-AE"/>
          <w14:ligatures w14:val="none"/>
        </w:rPr>
        <w:t>. Individuals with greater type II muscle fibre recruitment capacity can generate higher force and rate of force development, explaining the observed relationship</w:t>
      </w:r>
      <w:r w:rsidR="00DB3265"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w:t>
      </w:r>
      <w:r w:rsidR="005770CC"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However, differences arise due to movement specificity. The Wingate test involves cyclic contractions, elastic energy transfer, and coordination patterns distinct from the leg press. Consequently, Keiser power cannot perfectly predict Wingate outcomes despite physiological overlap.</w:t>
      </w:r>
    </w:p>
    <w:p w14:paraId="0EB219D4" w14:textId="1169584A" w:rsidR="00DB3265"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The Keiser test demonstrated strong practicality and safety compared with maximal cycling efforts, suggesting usefulness in applied environments where fatigue or injury risk must be minimised.</w:t>
      </w:r>
      <w:r w:rsidR="00DB3265" w:rsidRPr="0068382F">
        <w:rPr>
          <w:rFonts w:eastAsia="Times New Roman" w:cs="Times New Roman"/>
          <w:kern w:val="0"/>
          <w:sz w:val="22"/>
          <w:szCs w:val="22"/>
          <w:lang w:val="en-AE"/>
          <w14:ligatures w14:val="none"/>
        </w:rPr>
        <w:t xml:space="preserve"> Ad</w:t>
      </w:r>
      <w:r w:rsidR="006F7F74" w:rsidRPr="0068382F">
        <w:rPr>
          <w:rFonts w:eastAsia="Times New Roman" w:cs="Times New Roman"/>
          <w:kern w:val="0"/>
          <w:sz w:val="22"/>
          <w:szCs w:val="22"/>
          <w:lang w:val="en-AE"/>
          <w14:ligatures w14:val="none"/>
        </w:rPr>
        <w:t>d</w:t>
      </w:r>
      <w:r w:rsidR="00DB3265" w:rsidRPr="0068382F">
        <w:rPr>
          <w:rFonts w:eastAsia="Times New Roman" w:cs="Times New Roman"/>
          <w:kern w:val="0"/>
          <w:sz w:val="22"/>
          <w:szCs w:val="22"/>
          <w:lang w:val="en-AE"/>
          <w14:ligatures w14:val="none"/>
        </w:rPr>
        <w:t>itionally, absolute power values were analysed rather than relative power, which would give lighter participants a disadvantage and limit performance comparisons</w:t>
      </w:r>
      <w:r w:rsidR="006F7F74" w:rsidRPr="0068382F">
        <w:rPr>
          <w:rFonts w:eastAsia="Times New Roman" w:cs="Times New Roman"/>
          <w:kern w:val="0"/>
          <w:sz w:val="22"/>
          <w:szCs w:val="22"/>
          <w:lang w:val="en-AE"/>
          <w14:ligatures w14:val="none"/>
        </w:rPr>
        <w:t>.</w:t>
      </w:r>
    </w:p>
    <w:p w14:paraId="6CD079B2" w14:textId="196BC105" w:rsidR="00DB3265" w:rsidRPr="0068382F" w:rsidRDefault="00580423" w:rsidP="005E01CD">
      <w:pPr>
        <w:spacing w:before="100" w:beforeAutospacing="1" w:after="100" w:afterAutospacing="1" w:line="240" w:lineRule="auto"/>
        <w:rPr>
          <w:noProof/>
          <w:sz w:val="22"/>
          <w:szCs w:val="22"/>
        </w:rPr>
      </w:pPr>
      <w:r w:rsidRPr="00580423">
        <w:rPr>
          <w:rFonts w:eastAsia="Times New Roman" w:cs="Times New Roman"/>
          <w:kern w:val="0"/>
          <w:sz w:val="22"/>
          <w:szCs w:val="22"/>
          <w:lang w:val="en-AE"/>
          <w14:ligatures w14:val="none"/>
        </w:rPr>
        <w:t>Limitations included</w:t>
      </w:r>
      <w:r w:rsidR="005770CC" w:rsidRPr="0068382F">
        <w:rPr>
          <w:rFonts w:eastAsia="Times New Roman" w:cs="Times New Roman"/>
          <w:kern w:val="0"/>
          <w:sz w:val="22"/>
          <w:szCs w:val="22"/>
          <w:lang w:val="en-AE"/>
          <w14:ligatures w14:val="none"/>
        </w:rPr>
        <w:t xml:space="preserve"> v</w:t>
      </w:r>
      <w:r w:rsidRPr="00580423">
        <w:rPr>
          <w:rFonts w:eastAsia="Times New Roman" w:cs="Times New Roman"/>
          <w:kern w:val="0"/>
          <w:sz w:val="22"/>
          <w:szCs w:val="22"/>
          <w:lang w:val="en-AE"/>
          <w14:ligatures w14:val="none"/>
        </w:rPr>
        <w:t>ariation in participant motivation</w:t>
      </w:r>
      <w:r w:rsidR="005770CC" w:rsidRPr="0068382F">
        <w:rPr>
          <w:rFonts w:eastAsia="Times New Roman" w:cs="Times New Roman"/>
          <w:kern w:val="0"/>
          <w:sz w:val="22"/>
          <w:szCs w:val="22"/>
          <w:lang w:val="en-AE"/>
          <w14:ligatures w14:val="none"/>
        </w:rPr>
        <w:t xml:space="preserve"> and a</w:t>
      </w:r>
      <w:r w:rsidRPr="00580423">
        <w:rPr>
          <w:rFonts w:eastAsia="Times New Roman" w:cs="Times New Roman"/>
          <w:kern w:val="0"/>
          <w:sz w:val="22"/>
          <w:szCs w:val="22"/>
          <w:lang w:val="en-AE"/>
          <w14:ligatures w14:val="none"/>
        </w:rPr>
        <w:t>bsolute power measures not accounting for body mass differences.</w:t>
      </w:r>
      <w:r w:rsidR="005770CC"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In practice, Keiser testing could provide a rapid screening tool for lower</w:t>
      </w:r>
      <w:r w:rsidR="005770CC"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body power in team sports, while Wingate testing remains preferable for anaerobic performance profiling.</w:t>
      </w:r>
      <w:r w:rsidR="00DB3265" w:rsidRPr="0068382F">
        <w:rPr>
          <w:rFonts w:eastAsia="Times New Roman" w:cs="Times New Roman"/>
          <w:kern w:val="0"/>
          <w:sz w:val="22"/>
          <w:szCs w:val="22"/>
          <w:lang w:val="en-AE"/>
          <w14:ligatures w14:val="none"/>
        </w:rPr>
        <w:t xml:space="preserve"> Having </w:t>
      </w:r>
      <w:r w:rsidR="00DB3265" w:rsidRPr="0068382F">
        <w:rPr>
          <w:noProof/>
          <w:sz w:val="22"/>
          <w:szCs w:val="22"/>
        </w:rPr>
        <w:t>an extreamly high R value may partly reflect on the sample size</w:t>
      </w:r>
      <w:r w:rsidR="00DB3265" w:rsidRPr="0068382F">
        <w:rPr>
          <w:noProof/>
          <w:sz w:val="22"/>
          <w:szCs w:val="22"/>
        </w:rPr>
        <w:t xml:space="preserve">. Having a smaller sample of participants can mean that the correlation strength is increased, whilst also reducing the generalisability to other populations. </w:t>
      </w:r>
    </w:p>
    <w:bookmarkEnd w:id="0"/>
    <w:p w14:paraId="4DAD25E4" w14:textId="0BD8AE2F" w:rsidR="00580423" w:rsidRPr="00580423" w:rsidRDefault="00580423" w:rsidP="005E01CD">
      <w:pPr>
        <w:spacing w:before="100" w:beforeAutospacing="1" w:after="100" w:afterAutospacing="1" w:line="240" w:lineRule="auto"/>
        <w:outlineLvl w:val="0"/>
        <w:rPr>
          <w:rFonts w:eastAsia="Times New Roman" w:cs="Times New Roman"/>
          <w:b/>
          <w:bCs/>
          <w:kern w:val="36"/>
          <w:lang w:val="en-AE"/>
          <w14:ligatures w14:val="none"/>
        </w:rPr>
      </w:pPr>
      <w:r w:rsidRPr="00580423">
        <w:rPr>
          <w:rFonts w:eastAsia="Times New Roman" w:cs="Times New Roman"/>
          <w:b/>
          <w:bCs/>
          <w:kern w:val="36"/>
          <w:lang w:val="en-AE"/>
          <w14:ligatures w14:val="none"/>
        </w:rPr>
        <w:t xml:space="preserve">Experiment 2 </w:t>
      </w:r>
      <w:r w:rsidR="005E01CD" w:rsidRPr="005E01CD">
        <w:rPr>
          <w:rFonts w:eastAsia="Times New Roman" w:cs="Times New Roman"/>
          <w:b/>
          <w:bCs/>
          <w:kern w:val="36"/>
          <w:lang w:val="en-AE"/>
          <w14:ligatures w14:val="none"/>
        </w:rPr>
        <w:t xml:space="preserve">– </w:t>
      </w:r>
      <w:r w:rsidRPr="00580423">
        <w:rPr>
          <w:rFonts w:eastAsia="Times New Roman" w:cs="Times New Roman"/>
          <w:b/>
          <w:bCs/>
          <w:kern w:val="0"/>
          <w:lang w:val="en-AE"/>
          <w14:ligatures w14:val="none"/>
        </w:rPr>
        <w:t>Is there a relationship between VO</w:t>
      </w:r>
      <w:r w:rsidR="00B33641" w:rsidRPr="005E01CD">
        <w:rPr>
          <w:rFonts w:eastAsia="Times New Roman" w:cs="Times New Roman"/>
          <w:b/>
          <w:bCs/>
          <w:kern w:val="0"/>
          <w:lang w:val="en-AE"/>
          <w14:ligatures w14:val="none"/>
        </w:rPr>
        <w:t xml:space="preserve">2 </w:t>
      </w:r>
      <w:r w:rsidRPr="00580423">
        <w:rPr>
          <w:rFonts w:eastAsia="Times New Roman" w:cs="Times New Roman"/>
          <w:b/>
          <w:bCs/>
          <w:kern w:val="0"/>
          <w:lang w:val="en-AE"/>
          <w14:ligatures w14:val="none"/>
        </w:rPr>
        <w:t>max and Wingate Peak Power?</w:t>
      </w:r>
    </w:p>
    <w:p w14:paraId="06937BE4" w14:textId="77777777" w:rsidR="00580423" w:rsidRPr="00580423" w:rsidRDefault="00580423" w:rsidP="00580423">
      <w:pPr>
        <w:spacing w:before="100" w:beforeAutospacing="1" w:after="100" w:afterAutospacing="1" w:line="240" w:lineRule="auto"/>
        <w:outlineLvl w:val="2"/>
        <w:rPr>
          <w:rFonts w:eastAsia="Times New Roman" w:cs="Times New Roman"/>
          <w:b/>
          <w:bCs/>
          <w:kern w:val="0"/>
          <w:lang w:val="en-AE"/>
          <w14:ligatures w14:val="none"/>
        </w:rPr>
      </w:pPr>
      <w:r w:rsidRPr="00580423">
        <w:rPr>
          <w:rFonts w:eastAsia="Times New Roman" w:cs="Times New Roman"/>
          <w:b/>
          <w:bCs/>
          <w:kern w:val="0"/>
          <w:lang w:val="en-AE"/>
          <w14:ligatures w14:val="none"/>
        </w:rPr>
        <w:t>Method Summary</w:t>
      </w:r>
    </w:p>
    <w:p w14:paraId="46470452" w14:textId="2E58AF19" w:rsidR="00580423" w:rsidRPr="00580423" w:rsidRDefault="005E01CD" w:rsidP="00580423">
      <w:pPr>
        <w:spacing w:before="100" w:beforeAutospacing="1" w:after="100" w:afterAutospacing="1" w:line="240" w:lineRule="auto"/>
        <w:rPr>
          <w:rFonts w:eastAsia="Times New Roman" w:cs="Times New Roman"/>
          <w:kern w:val="0"/>
          <w:sz w:val="22"/>
          <w:szCs w:val="22"/>
          <w:lang w:val="en-AE"/>
          <w14:ligatures w14:val="none"/>
        </w:rPr>
      </w:pPr>
      <w:bookmarkStart w:id="1" w:name="OLE_LINK1"/>
      <w:r w:rsidRPr="0068382F">
        <w:rPr>
          <w:rFonts w:eastAsia="Times New Roman" w:cs="Times New Roman"/>
          <w:kern w:val="0"/>
          <w:sz w:val="22"/>
          <w:szCs w:val="22"/>
          <w:lang w:val="en-AE"/>
          <w14:ligatures w14:val="none"/>
        </w:rPr>
        <w:t>12 p</w:t>
      </w:r>
      <w:r w:rsidR="00580423" w:rsidRPr="00580423">
        <w:rPr>
          <w:rFonts w:eastAsia="Times New Roman" w:cs="Times New Roman"/>
          <w:kern w:val="0"/>
          <w:sz w:val="22"/>
          <w:szCs w:val="22"/>
          <w:lang w:val="en-AE"/>
          <w14:ligatures w14:val="none"/>
        </w:rPr>
        <w:t>articipants completed a</w:t>
      </w:r>
      <w:r w:rsidR="00B33641" w:rsidRPr="0068382F">
        <w:rPr>
          <w:rFonts w:eastAsia="Times New Roman" w:cs="Times New Roman"/>
          <w:kern w:val="0"/>
          <w:sz w:val="22"/>
          <w:szCs w:val="22"/>
          <w:lang w:val="en-AE"/>
          <w14:ligatures w14:val="none"/>
        </w:rPr>
        <w:t xml:space="preserve"> </w:t>
      </w:r>
      <w:r w:rsidR="006F7F74" w:rsidRPr="0068382F">
        <w:rPr>
          <w:rFonts w:eastAsia="Times New Roman" w:cs="Times New Roman"/>
          <w:kern w:val="0"/>
          <w:sz w:val="22"/>
          <w:szCs w:val="22"/>
          <w:lang w:val="en-AE"/>
          <w14:ligatures w14:val="none"/>
        </w:rPr>
        <w:t xml:space="preserve">5 minute </w:t>
      </w:r>
      <w:r w:rsidR="00580423" w:rsidRPr="00580423">
        <w:rPr>
          <w:rFonts w:eastAsia="Times New Roman" w:cs="Times New Roman"/>
          <w:kern w:val="0"/>
          <w:sz w:val="22"/>
          <w:szCs w:val="22"/>
          <w:lang w:val="en-AE"/>
          <w14:ligatures w14:val="none"/>
        </w:rPr>
        <w:t xml:space="preserve">ramp </w:t>
      </w:r>
      <w:r w:rsidR="00B33641" w:rsidRPr="0068382F">
        <w:rPr>
          <w:rFonts w:eastAsia="Times New Roman" w:cs="Times New Roman"/>
          <w:kern w:val="0"/>
          <w:sz w:val="22"/>
          <w:szCs w:val="22"/>
          <w:lang w:val="en-AE"/>
          <w14:ligatures w14:val="none"/>
        </w:rPr>
        <w:t>warm up followed by the VO2 max</w:t>
      </w:r>
      <w:r w:rsidR="00580423" w:rsidRPr="00580423">
        <w:rPr>
          <w:rFonts w:eastAsia="Times New Roman" w:cs="Times New Roman"/>
          <w:kern w:val="0"/>
          <w:sz w:val="22"/>
          <w:szCs w:val="22"/>
          <w:lang w:val="en-AE"/>
          <w14:ligatures w14:val="none"/>
        </w:rPr>
        <w:t xml:space="preserve"> test to exhaustion on a </w:t>
      </w:r>
      <w:r w:rsidR="006F7F74" w:rsidRPr="0068382F">
        <w:rPr>
          <w:rFonts w:eastAsia="Times New Roman" w:cs="Times New Roman"/>
          <w:kern w:val="0"/>
          <w:sz w:val="22"/>
          <w:szCs w:val="22"/>
          <w:lang w:val="en-AE"/>
          <w14:ligatures w14:val="none"/>
        </w:rPr>
        <w:t>Wattbike Atom bike</w:t>
      </w:r>
      <w:r w:rsidR="00594C7C" w:rsidRPr="0068382F">
        <w:rPr>
          <w:rFonts w:eastAsia="Times New Roman" w:cs="Times New Roman"/>
          <w:kern w:val="0"/>
          <w:sz w:val="22"/>
          <w:szCs w:val="22"/>
          <w:lang w:val="en-AE"/>
          <w14:ligatures w14:val="none"/>
        </w:rPr>
        <w:t xml:space="preserve"> </w:t>
      </w:r>
      <w:r w:rsidR="006F7F74" w:rsidRPr="0068382F">
        <w:rPr>
          <w:rFonts w:eastAsia="Times New Roman" w:cs="Times New Roman"/>
          <w:kern w:val="0"/>
          <w:sz w:val="22"/>
          <w:szCs w:val="22"/>
          <w:lang w:val="en-AE"/>
          <w14:ligatures w14:val="none"/>
        </w:rPr>
        <w:t xml:space="preserve">(Wattbike Atom, Wattbike AtomX, Wattbike Ltd, Nottingham, UK), </w:t>
      </w:r>
      <w:r w:rsidR="00594C7C" w:rsidRPr="0068382F">
        <w:rPr>
          <w:rFonts w:eastAsia="Times New Roman" w:cs="Times New Roman"/>
          <w:kern w:val="0"/>
          <w:sz w:val="22"/>
          <w:szCs w:val="22"/>
          <w:lang w:val="en-AE"/>
          <w14:ligatures w14:val="none"/>
        </w:rPr>
        <w:t>starting on RPE 8 with 20W increasde every minute</w:t>
      </w:r>
      <w:r w:rsidR="00580423" w:rsidRPr="00580423">
        <w:rPr>
          <w:rFonts w:eastAsia="Times New Roman" w:cs="Times New Roman"/>
          <w:kern w:val="0"/>
          <w:sz w:val="22"/>
          <w:szCs w:val="22"/>
          <w:lang w:val="en-AE"/>
          <w14:ligatures w14:val="none"/>
        </w:rPr>
        <w:t xml:space="preserve">. Expired gases </w:t>
      </w:r>
      <w:r w:rsidR="00B33641" w:rsidRPr="0068382F">
        <w:rPr>
          <w:rFonts w:eastAsia="Times New Roman" w:cs="Times New Roman"/>
          <w:kern w:val="0"/>
          <w:sz w:val="22"/>
          <w:szCs w:val="22"/>
          <w:lang w:val="en-AE"/>
          <w14:ligatures w14:val="none"/>
        </w:rPr>
        <w:t>was</w:t>
      </w:r>
      <w:r w:rsidR="00580423" w:rsidRPr="00580423">
        <w:rPr>
          <w:rFonts w:eastAsia="Times New Roman" w:cs="Times New Roman"/>
          <w:kern w:val="0"/>
          <w:sz w:val="22"/>
          <w:szCs w:val="22"/>
          <w:lang w:val="en-AE"/>
          <w14:ligatures w14:val="none"/>
        </w:rPr>
        <w:t xml:space="preserve"> collected </w:t>
      </w:r>
      <w:r w:rsidR="00594C7C" w:rsidRPr="0068382F">
        <w:rPr>
          <w:rFonts w:eastAsia="Times New Roman" w:cs="Times New Roman"/>
          <w:kern w:val="0"/>
          <w:sz w:val="22"/>
          <w:szCs w:val="22"/>
          <w:lang w:val="en-AE"/>
          <w14:ligatures w14:val="none"/>
        </w:rPr>
        <w:t xml:space="preserve">in the last minute of the test </w:t>
      </w:r>
      <w:r w:rsidR="00580423" w:rsidRPr="00580423">
        <w:rPr>
          <w:rFonts w:eastAsia="Times New Roman" w:cs="Times New Roman"/>
          <w:kern w:val="0"/>
          <w:sz w:val="22"/>
          <w:szCs w:val="22"/>
          <w:lang w:val="en-AE"/>
          <w14:ligatures w14:val="none"/>
        </w:rPr>
        <w:t>usi</w:t>
      </w:r>
      <w:r w:rsidR="00B33641" w:rsidRPr="0068382F">
        <w:rPr>
          <w:rFonts w:eastAsia="Times New Roman" w:cs="Times New Roman"/>
          <w:kern w:val="0"/>
          <w:sz w:val="22"/>
          <w:szCs w:val="22"/>
          <w:lang w:val="en-AE"/>
          <w14:ligatures w14:val="none"/>
        </w:rPr>
        <w:t xml:space="preserve">ng a </w:t>
      </w:r>
      <w:r w:rsidR="00580423" w:rsidRPr="00580423">
        <w:rPr>
          <w:rFonts w:eastAsia="Times New Roman" w:cs="Times New Roman"/>
          <w:kern w:val="0"/>
          <w:sz w:val="22"/>
          <w:szCs w:val="22"/>
          <w:lang w:val="en-AE"/>
          <w14:ligatures w14:val="none"/>
        </w:rPr>
        <w:t>Douglas Bag system (Hans Rudolph Inc., USA)</w:t>
      </w:r>
      <w:r w:rsidR="00B33641" w:rsidRPr="0068382F">
        <w:rPr>
          <w:rFonts w:eastAsia="Times New Roman" w:cs="Times New Roman"/>
          <w:kern w:val="0"/>
          <w:sz w:val="22"/>
          <w:szCs w:val="22"/>
          <w:lang w:val="en-AE"/>
          <w14:ligatures w14:val="none"/>
        </w:rPr>
        <w:t xml:space="preserve">, a </w:t>
      </w:r>
      <w:r w:rsidR="00580423" w:rsidRPr="00580423">
        <w:rPr>
          <w:rFonts w:eastAsia="Times New Roman" w:cs="Times New Roman"/>
          <w:kern w:val="0"/>
          <w:sz w:val="22"/>
          <w:szCs w:val="22"/>
          <w:lang w:val="en-AE"/>
          <w14:ligatures w14:val="none"/>
        </w:rPr>
        <w:t>Harvard DGM1 Dry Gas Meter</w:t>
      </w:r>
      <w:r w:rsidR="00B33641" w:rsidRPr="0068382F">
        <w:rPr>
          <w:rFonts w:eastAsia="Times New Roman" w:cs="Times New Roman"/>
          <w:kern w:val="0"/>
          <w:sz w:val="22"/>
          <w:szCs w:val="22"/>
          <w:lang w:val="en-AE"/>
          <w14:ligatures w14:val="none"/>
        </w:rPr>
        <w:t xml:space="preserve"> and a </w:t>
      </w:r>
      <w:r w:rsidR="00580423" w:rsidRPr="00580423">
        <w:rPr>
          <w:rFonts w:eastAsia="Times New Roman" w:cs="Times New Roman"/>
          <w:kern w:val="0"/>
          <w:sz w:val="22"/>
          <w:szCs w:val="22"/>
          <w:lang w:val="en-AE"/>
          <w14:ligatures w14:val="none"/>
        </w:rPr>
        <w:t>Servomex miniHF 5200 Gas Analyser</w:t>
      </w:r>
      <w:r w:rsidR="00B33641" w:rsidRPr="0068382F">
        <w:rPr>
          <w:rFonts w:eastAsia="Times New Roman" w:cs="Times New Roman"/>
          <w:kern w:val="0"/>
          <w:sz w:val="22"/>
          <w:szCs w:val="22"/>
          <w:lang w:val="en-AE"/>
          <w14:ligatures w14:val="none"/>
        </w:rPr>
        <w:t xml:space="preserve">. </w:t>
      </w:r>
      <w:r w:rsidR="00580423" w:rsidRPr="00580423">
        <w:rPr>
          <w:rFonts w:eastAsia="Times New Roman" w:cs="Times New Roman"/>
          <w:kern w:val="0"/>
          <w:sz w:val="22"/>
          <w:szCs w:val="22"/>
          <w:lang w:val="en-AE"/>
          <w14:ligatures w14:val="none"/>
        </w:rPr>
        <w:t>A Hans Rudolph 2700 series mouthpiece enabled breath collection</w:t>
      </w:r>
      <w:r w:rsidR="00B33641" w:rsidRPr="0068382F">
        <w:rPr>
          <w:rFonts w:eastAsia="Times New Roman" w:cs="Times New Roman"/>
          <w:kern w:val="0"/>
          <w:sz w:val="22"/>
          <w:szCs w:val="22"/>
          <w:lang w:val="en-AE"/>
          <w14:ligatures w14:val="none"/>
        </w:rPr>
        <w:t xml:space="preserve"> into the Douglas bag</w:t>
      </w:r>
      <w:r w:rsidR="00580423" w:rsidRPr="00580423">
        <w:rPr>
          <w:rFonts w:eastAsia="Times New Roman" w:cs="Times New Roman"/>
          <w:kern w:val="0"/>
          <w:sz w:val="22"/>
          <w:szCs w:val="22"/>
          <w:lang w:val="en-AE"/>
          <w14:ligatures w14:val="none"/>
        </w:rPr>
        <w:t>. VO</w:t>
      </w:r>
      <w:r w:rsidR="00B33641" w:rsidRPr="0068382F">
        <w:rPr>
          <w:rFonts w:eastAsia="Times New Roman" w:cs="Times New Roman"/>
          <w:kern w:val="0"/>
          <w:sz w:val="22"/>
          <w:szCs w:val="22"/>
          <w:lang w:val="en-AE"/>
          <w14:ligatures w14:val="none"/>
        </w:rPr>
        <w:t xml:space="preserve">2 </w:t>
      </w:r>
      <w:r w:rsidR="00580423" w:rsidRPr="00580423">
        <w:rPr>
          <w:rFonts w:eastAsia="Times New Roman" w:cs="Times New Roman"/>
          <w:kern w:val="0"/>
          <w:sz w:val="22"/>
          <w:szCs w:val="22"/>
          <w:lang w:val="en-AE"/>
          <w14:ligatures w14:val="none"/>
        </w:rPr>
        <w:t>max was calculated from expired gas</w:t>
      </w:r>
      <w:r w:rsidR="00B33641" w:rsidRPr="0068382F">
        <w:rPr>
          <w:rFonts w:eastAsia="Times New Roman" w:cs="Times New Roman"/>
          <w:kern w:val="0"/>
          <w:sz w:val="22"/>
          <w:szCs w:val="22"/>
          <w:lang w:val="en-AE"/>
          <w14:ligatures w14:val="none"/>
        </w:rPr>
        <w:t xml:space="preserve">. </w:t>
      </w:r>
      <w:r w:rsidR="00580423" w:rsidRPr="00580423">
        <w:rPr>
          <w:rFonts w:eastAsia="Times New Roman" w:cs="Times New Roman"/>
          <w:kern w:val="0"/>
          <w:sz w:val="22"/>
          <w:szCs w:val="22"/>
          <w:lang w:val="en-AE"/>
          <w14:ligatures w14:val="none"/>
        </w:rPr>
        <w:t xml:space="preserve">Wingate data </w:t>
      </w:r>
      <w:r w:rsidR="00B33641" w:rsidRPr="0068382F">
        <w:rPr>
          <w:rFonts w:eastAsia="Times New Roman" w:cs="Times New Roman"/>
          <w:kern w:val="0"/>
          <w:sz w:val="22"/>
          <w:szCs w:val="22"/>
          <w:lang w:val="en-AE"/>
          <w14:ligatures w14:val="none"/>
        </w:rPr>
        <w:t>was</w:t>
      </w:r>
      <w:r w:rsidR="00580423" w:rsidRPr="00580423">
        <w:rPr>
          <w:rFonts w:eastAsia="Times New Roman" w:cs="Times New Roman"/>
          <w:kern w:val="0"/>
          <w:sz w:val="22"/>
          <w:szCs w:val="22"/>
          <w:lang w:val="en-AE"/>
          <w14:ligatures w14:val="none"/>
        </w:rPr>
        <w:t xml:space="preserve"> collected on a separate day following the same warm</w:t>
      </w:r>
      <w:r w:rsidR="00B33641" w:rsidRPr="0068382F">
        <w:rPr>
          <w:rFonts w:eastAsia="Times New Roman" w:cs="Times New Roman"/>
          <w:kern w:val="0"/>
          <w:sz w:val="22"/>
          <w:szCs w:val="22"/>
          <w:lang w:val="en-AE"/>
          <w14:ligatures w14:val="none"/>
        </w:rPr>
        <w:t xml:space="preserve"> </w:t>
      </w:r>
      <w:r w:rsidR="00580423" w:rsidRPr="00580423">
        <w:rPr>
          <w:rFonts w:eastAsia="Times New Roman" w:cs="Times New Roman"/>
          <w:kern w:val="0"/>
          <w:sz w:val="22"/>
          <w:szCs w:val="22"/>
          <w:lang w:val="en-AE"/>
          <w14:ligatures w14:val="none"/>
        </w:rPr>
        <w:t>up protocol.</w:t>
      </w:r>
      <w:r w:rsidR="00DB3265" w:rsidRPr="0068382F">
        <w:rPr>
          <w:rFonts w:eastAsia="Times New Roman" w:cs="Times New Roman"/>
          <w:kern w:val="0"/>
          <w:sz w:val="22"/>
          <w:szCs w:val="22"/>
          <w:lang w:val="en-AE"/>
          <w14:ligatures w14:val="none"/>
        </w:rPr>
        <w:t xml:space="preserve"> </w:t>
      </w:r>
      <w:r w:rsidR="00580423" w:rsidRPr="00580423">
        <w:rPr>
          <w:rFonts w:eastAsia="Times New Roman" w:cs="Times New Roman"/>
          <w:kern w:val="0"/>
          <w:sz w:val="22"/>
          <w:szCs w:val="22"/>
          <w:lang w:val="en-AE"/>
          <w14:ligatures w14:val="none"/>
        </w:rPr>
        <w:t xml:space="preserve">The aim was to investigate whether aerobic capacity relates to anaerobic peak power production. </w:t>
      </w:r>
    </w:p>
    <w:p w14:paraId="4DCD7EE2" w14:textId="5D1BEC20" w:rsid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I assisted with Douglas bag switching, ensuring correct timing intervals and preventing gas leakage. I also recorded heart rate and RPE values during the test and supported calibration procedures for the gas analyser.</w:t>
      </w:r>
    </w:p>
    <w:p w14:paraId="4C264E66" w14:textId="77777777" w:rsidR="0068382F" w:rsidRPr="00580423" w:rsidRDefault="0068382F" w:rsidP="00580423">
      <w:pPr>
        <w:spacing w:before="100" w:beforeAutospacing="1" w:after="100" w:afterAutospacing="1" w:line="240" w:lineRule="auto"/>
        <w:rPr>
          <w:rFonts w:eastAsia="Times New Roman" w:cs="Times New Roman"/>
          <w:kern w:val="0"/>
          <w:sz w:val="22"/>
          <w:szCs w:val="22"/>
          <w:lang w:val="en-AE"/>
          <w14:ligatures w14:val="none"/>
        </w:rPr>
      </w:pPr>
    </w:p>
    <w:p w14:paraId="1D3F5E2C" w14:textId="77777777" w:rsidR="00580423" w:rsidRPr="00580423" w:rsidRDefault="00580423" w:rsidP="00580423">
      <w:pPr>
        <w:spacing w:before="100" w:beforeAutospacing="1" w:after="100" w:afterAutospacing="1" w:line="240" w:lineRule="auto"/>
        <w:outlineLvl w:val="2"/>
        <w:rPr>
          <w:rFonts w:eastAsia="Times New Roman" w:cs="Times New Roman"/>
          <w:b/>
          <w:bCs/>
          <w:kern w:val="0"/>
          <w:sz w:val="27"/>
          <w:szCs w:val="27"/>
          <w:lang w:val="en-AE"/>
          <w14:ligatures w14:val="none"/>
        </w:rPr>
      </w:pPr>
      <w:r w:rsidRPr="00580423">
        <w:rPr>
          <w:rFonts w:eastAsia="Times New Roman" w:cs="Times New Roman"/>
          <w:b/>
          <w:bCs/>
          <w:kern w:val="0"/>
          <w:lang w:val="en-AE"/>
          <w14:ligatures w14:val="none"/>
        </w:rPr>
        <w:lastRenderedPageBreak/>
        <w:t>Results</w:t>
      </w:r>
    </w:p>
    <w:p w14:paraId="230C75F5" w14:textId="67C5F14D" w:rsidR="00580423" w:rsidRPr="0068382F"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Data demonstrated weak-to-moderate correlations between VO</w:t>
      </w:r>
      <w:r w:rsidR="00B33641" w:rsidRPr="0068382F">
        <w:rPr>
          <w:rFonts w:eastAsia="Times New Roman" w:cs="Times New Roman"/>
          <w:kern w:val="0"/>
          <w:sz w:val="22"/>
          <w:szCs w:val="22"/>
          <w:lang w:val="en-AE"/>
          <w14:ligatures w14:val="none"/>
        </w:rPr>
        <w:t xml:space="preserve">2 </w:t>
      </w:r>
      <w:r w:rsidRPr="00580423">
        <w:rPr>
          <w:rFonts w:eastAsia="Times New Roman" w:cs="Times New Roman"/>
          <w:kern w:val="0"/>
          <w:sz w:val="22"/>
          <w:szCs w:val="22"/>
          <w:lang w:val="en-AE"/>
          <w14:ligatures w14:val="none"/>
        </w:rPr>
        <w:t>max (relative values) and Wingate peak power. Some participants with high aerobic capacity produced high peak power, but several exceptions were observed.</w:t>
      </w:r>
    </w:p>
    <w:p w14:paraId="5E024350" w14:textId="7BDB0221" w:rsidR="00B33641" w:rsidRDefault="005E01CD" w:rsidP="005E01CD">
      <w:pPr>
        <w:spacing w:before="100" w:beforeAutospacing="1" w:after="100" w:afterAutospacing="1" w:line="240" w:lineRule="auto"/>
        <w:jc w:val="center"/>
        <w:rPr>
          <w:rFonts w:eastAsia="Times New Roman" w:cs="Times New Roman"/>
          <w:kern w:val="0"/>
          <w:lang w:val="en-AE"/>
          <w14:ligatures w14:val="none"/>
        </w:rPr>
      </w:pPr>
      <w:r>
        <w:rPr>
          <w:noProof/>
        </w:rPr>
        <w:drawing>
          <wp:inline distT="0" distB="0" distL="0" distR="0" wp14:anchorId="1BEDA993" wp14:editId="44817C8D">
            <wp:extent cx="4572000" cy="2743200"/>
            <wp:effectExtent l="0" t="0" r="12700" b="12700"/>
            <wp:docPr id="116379159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72A170C" w14:textId="40D9ACC9" w:rsidR="005E01CD" w:rsidRPr="00580423" w:rsidRDefault="005E01CD" w:rsidP="005E01CD">
      <w:pPr>
        <w:spacing w:before="100" w:beforeAutospacing="1" w:after="100" w:afterAutospacing="1" w:line="240" w:lineRule="auto"/>
        <w:jc w:val="center"/>
        <w:rPr>
          <w:rFonts w:eastAsia="Times New Roman" w:cs="Times New Roman"/>
          <w:i/>
          <w:iCs/>
          <w:kern w:val="0"/>
          <w:sz w:val="18"/>
          <w:szCs w:val="18"/>
          <w:lang w:val="en-AE"/>
          <w14:ligatures w14:val="none"/>
        </w:rPr>
      </w:pPr>
      <w:r w:rsidRPr="005E01CD">
        <w:rPr>
          <w:rFonts w:eastAsia="Times New Roman" w:cs="Times New Roman"/>
          <w:i/>
          <w:iCs/>
          <w:kern w:val="0"/>
          <w:sz w:val="18"/>
          <w:szCs w:val="18"/>
          <w:lang w:val="en-AE"/>
          <w14:ligatures w14:val="none"/>
        </w:rPr>
        <w:t>Figure 2 – VO2 Max and Wingate Peak Power</w:t>
      </w:r>
    </w:p>
    <w:p w14:paraId="15C2ECA1" w14:textId="1B4230CB" w:rsidR="00F069B7" w:rsidRPr="0068382F"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Scatter analysis s</w:t>
      </w:r>
      <w:r w:rsidR="005E01CD" w:rsidRPr="0068382F">
        <w:rPr>
          <w:rFonts w:eastAsia="Times New Roman" w:cs="Times New Roman"/>
          <w:kern w:val="0"/>
          <w:sz w:val="22"/>
          <w:szCs w:val="22"/>
          <w:lang w:val="en-AE"/>
          <w14:ligatures w14:val="none"/>
        </w:rPr>
        <w:t>hows a positive relationship between wingate peak power and VO2 max. Participants with lower VO2 max values tend to have lower pwingate peak power, and those with higher VO2 max have higher wingate peak power</w:t>
      </w:r>
      <w:r w:rsidR="002423DB" w:rsidRPr="0068382F">
        <w:rPr>
          <w:rFonts w:eastAsia="Times New Roman" w:cs="Times New Roman"/>
          <w:kern w:val="0"/>
          <w:sz w:val="22"/>
          <w:szCs w:val="22"/>
          <w:lang w:val="en-AE"/>
          <w14:ligatures w14:val="none"/>
        </w:rPr>
        <w:t xml:space="preserve">. However, the data points are scattered around the graph, suggesting that the relationship between both tests is </w:t>
      </w:r>
      <w:r w:rsidR="00AA56BA" w:rsidRPr="0068382F">
        <w:rPr>
          <w:rFonts w:eastAsia="Times New Roman" w:cs="Times New Roman"/>
          <w:kern w:val="0"/>
          <w:sz w:val="22"/>
          <w:szCs w:val="22"/>
          <w:lang w:val="en-AE"/>
          <w14:ligatures w14:val="none"/>
        </w:rPr>
        <w:t xml:space="preserve">there but it is </w:t>
      </w:r>
      <w:r w:rsidR="002423DB" w:rsidRPr="0068382F">
        <w:rPr>
          <w:rFonts w:eastAsia="Times New Roman" w:cs="Times New Roman"/>
          <w:kern w:val="0"/>
          <w:sz w:val="22"/>
          <w:szCs w:val="22"/>
          <w:lang w:val="en-AE"/>
          <w14:ligatures w14:val="none"/>
        </w:rPr>
        <w:t xml:space="preserve">not </w:t>
      </w:r>
      <w:r w:rsidR="00AA56BA" w:rsidRPr="0068382F">
        <w:rPr>
          <w:rFonts w:eastAsia="Times New Roman" w:cs="Times New Roman"/>
          <w:kern w:val="0"/>
          <w:sz w:val="22"/>
          <w:szCs w:val="22"/>
          <w:lang w:val="en-AE"/>
          <w14:ligatures w14:val="none"/>
        </w:rPr>
        <w:t xml:space="preserve">strong. </w:t>
      </w:r>
    </w:p>
    <w:tbl>
      <w:tblPr>
        <w:tblStyle w:val="TableGridLight"/>
        <w:tblW w:w="6658" w:type="dxa"/>
        <w:jc w:val="center"/>
        <w:tblLayout w:type="fixed"/>
        <w:tblLook w:val="0000" w:firstRow="0" w:lastRow="0" w:firstColumn="0" w:lastColumn="0" w:noHBand="0" w:noVBand="0"/>
      </w:tblPr>
      <w:tblGrid>
        <w:gridCol w:w="1555"/>
        <w:gridCol w:w="2038"/>
        <w:gridCol w:w="1364"/>
        <w:gridCol w:w="1701"/>
      </w:tblGrid>
      <w:tr w:rsidR="00AA56BA" w:rsidRPr="00D30B3D" w14:paraId="756EB464" w14:textId="77777777" w:rsidTr="00AA56BA">
        <w:trPr>
          <w:jc w:val="center"/>
        </w:trPr>
        <w:tc>
          <w:tcPr>
            <w:tcW w:w="6658" w:type="dxa"/>
            <w:gridSpan w:val="4"/>
          </w:tcPr>
          <w:p w14:paraId="3BC0FB1F" w14:textId="77777777" w:rsidR="00AA56BA" w:rsidRPr="00D30B3D" w:rsidRDefault="00AA56BA" w:rsidP="00E80039">
            <w:pPr>
              <w:autoSpaceDE w:val="0"/>
              <w:autoSpaceDN w:val="0"/>
              <w:adjustRightInd w:val="0"/>
              <w:spacing w:line="320" w:lineRule="atLeast"/>
              <w:ind w:left="60" w:right="60"/>
              <w:jc w:val="center"/>
              <w:rPr>
                <w:rFonts w:cs="Arial"/>
                <w:color w:val="010205"/>
                <w:kern w:val="0"/>
                <w:sz w:val="28"/>
                <w:szCs w:val="28"/>
                <w:lang w:val="en-US"/>
              </w:rPr>
            </w:pPr>
            <w:r w:rsidRPr="00D30B3D">
              <w:rPr>
                <w:rFonts w:cs="Arial"/>
                <w:color w:val="010205"/>
                <w:kern w:val="0"/>
                <w:sz w:val="28"/>
                <w:szCs w:val="28"/>
                <w:lang w:val="en-US"/>
              </w:rPr>
              <w:t>Correlations</w:t>
            </w:r>
          </w:p>
        </w:tc>
      </w:tr>
      <w:tr w:rsidR="00AA56BA" w:rsidRPr="00D30B3D" w14:paraId="74C392EB" w14:textId="77777777" w:rsidTr="00AA56BA">
        <w:trPr>
          <w:jc w:val="center"/>
        </w:trPr>
        <w:tc>
          <w:tcPr>
            <w:tcW w:w="3593" w:type="dxa"/>
            <w:gridSpan w:val="2"/>
          </w:tcPr>
          <w:p w14:paraId="330B6241" w14:textId="77777777" w:rsidR="00AA56BA" w:rsidRPr="00D30B3D" w:rsidRDefault="00AA56BA" w:rsidP="00E80039">
            <w:pPr>
              <w:autoSpaceDE w:val="0"/>
              <w:autoSpaceDN w:val="0"/>
              <w:adjustRightInd w:val="0"/>
              <w:rPr>
                <w:rFonts w:cs="Times New Roman"/>
                <w:color w:val="000000" w:themeColor="text1"/>
                <w:kern w:val="0"/>
                <w:lang w:val="en-US"/>
              </w:rPr>
            </w:pPr>
          </w:p>
        </w:tc>
        <w:tc>
          <w:tcPr>
            <w:tcW w:w="1364" w:type="dxa"/>
          </w:tcPr>
          <w:p w14:paraId="56C5301A" w14:textId="77777777" w:rsidR="00AA56BA" w:rsidRPr="00D30B3D" w:rsidRDefault="00AA56BA" w:rsidP="00E80039">
            <w:pPr>
              <w:autoSpaceDE w:val="0"/>
              <w:autoSpaceDN w:val="0"/>
              <w:adjustRightInd w:val="0"/>
              <w:spacing w:line="320" w:lineRule="atLeast"/>
              <w:ind w:left="60" w:right="60"/>
              <w:jc w:val="center"/>
              <w:rPr>
                <w:rFonts w:cs="Arial"/>
                <w:color w:val="000000" w:themeColor="text1"/>
                <w:kern w:val="0"/>
                <w:lang w:val="en-US"/>
              </w:rPr>
            </w:pPr>
            <w:r w:rsidRPr="00D30B3D">
              <w:rPr>
                <w:rFonts w:cs="Arial"/>
                <w:color w:val="000000" w:themeColor="text1"/>
                <w:kern w:val="0"/>
                <w:lang w:val="en-US"/>
              </w:rPr>
              <w:t>VO2max</w:t>
            </w:r>
          </w:p>
        </w:tc>
        <w:tc>
          <w:tcPr>
            <w:tcW w:w="1701" w:type="dxa"/>
          </w:tcPr>
          <w:p w14:paraId="65D34323" w14:textId="77777777" w:rsidR="00AA56BA" w:rsidRPr="00D30B3D" w:rsidRDefault="00AA56BA" w:rsidP="00E80039">
            <w:pPr>
              <w:autoSpaceDE w:val="0"/>
              <w:autoSpaceDN w:val="0"/>
              <w:adjustRightInd w:val="0"/>
              <w:spacing w:line="320" w:lineRule="atLeast"/>
              <w:ind w:left="60" w:right="60"/>
              <w:jc w:val="center"/>
              <w:rPr>
                <w:rFonts w:cs="Arial"/>
                <w:color w:val="264A60"/>
                <w:kern w:val="0"/>
                <w:lang w:val="en-US"/>
              </w:rPr>
            </w:pPr>
            <w:r w:rsidRPr="00484D41">
              <w:rPr>
                <w:rFonts w:cs="Arial"/>
                <w:color w:val="000000" w:themeColor="text1"/>
              </w:rPr>
              <w:t>Peak Power</w:t>
            </w:r>
          </w:p>
        </w:tc>
      </w:tr>
      <w:tr w:rsidR="00AA56BA" w:rsidRPr="00D30B3D" w14:paraId="5945DF61" w14:textId="77777777" w:rsidTr="00AA56BA">
        <w:trPr>
          <w:jc w:val="center"/>
        </w:trPr>
        <w:tc>
          <w:tcPr>
            <w:tcW w:w="1555" w:type="dxa"/>
            <w:vMerge w:val="restart"/>
          </w:tcPr>
          <w:p w14:paraId="0DE82F38" w14:textId="77777777" w:rsidR="00AA56BA" w:rsidRPr="00D30B3D" w:rsidRDefault="00AA56BA" w:rsidP="00E80039">
            <w:pPr>
              <w:autoSpaceDE w:val="0"/>
              <w:autoSpaceDN w:val="0"/>
              <w:adjustRightInd w:val="0"/>
              <w:spacing w:line="320" w:lineRule="atLeast"/>
              <w:ind w:left="60" w:right="60"/>
              <w:rPr>
                <w:rFonts w:cs="Arial"/>
                <w:color w:val="000000" w:themeColor="text1"/>
                <w:kern w:val="0"/>
                <w:lang w:val="en-US"/>
              </w:rPr>
            </w:pPr>
            <w:r w:rsidRPr="00D30B3D">
              <w:rPr>
                <w:rFonts w:cs="Arial"/>
                <w:color w:val="000000" w:themeColor="text1"/>
                <w:kern w:val="0"/>
                <w:lang w:val="en-US"/>
              </w:rPr>
              <w:t>VO2max</w:t>
            </w:r>
          </w:p>
        </w:tc>
        <w:tc>
          <w:tcPr>
            <w:tcW w:w="2038" w:type="dxa"/>
          </w:tcPr>
          <w:p w14:paraId="1F6835C3" w14:textId="77777777" w:rsidR="00AA56BA" w:rsidRPr="00D30B3D" w:rsidRDefault="00AA56BA" w:rsidP="00E80039">
            <w:pPr>
              <w:autoSpaceDE w:val="0"/>
              <w:autoSpaceDN w:val="0"/>
              <w:adjustRightInd w:val="0"/>
              <w:spacing w:line="320" w:lineRule="atLeast"/>
              <w:ind w:left="60" w:right="60"/>
              <w:rPr>
                <w:rFonts w:cs="Arial"/>
                <w:color w:val="000000" w:themeColor="text1"/>
                <w:kern w:val="0"/>
                <w:lang w:val="en-US"/>
              </w:rPr>
            </w:pPr>
            <w:r w:rsidRPr="00D30B3D">
              <w:rPr>
                <w:rFonts w:cs="Arial"/>
                <w:color w:val="000000" w:themeColor="text1"/>
                <w:kern w:val="0"/>
                <w:lang w:val="en-US"/>
              </w:rPr>
              <w:t>Pearson Correlation</w:t>
            </w:r>
          </w:p>
        </w:tc>
        <w:tc>
          <w:tcPr>
            <w:tcW w:w="1364" w:type="dxa"/>
          </w:tcPr>
          <w:p w14:paraId="7BE33913" w14:textId="77777777" w:rsidR="00AA56BA" w:rsidRPr="00D30B3D" w:rsidRDefault="00AA56BA" w:rsidP="00E80039">
            <w:pPr>
              <w:autoSpaceDE w:val="0"/>
              <w:autoSpaceDN w:val="0"/>
              <w:adjustRightInd w:val="0"/>
              <w:spacing w:line="320" w:lineRule="atLeast"/>
              <w:ind w:left="60" w:right="60"/>
              <w:jc w:val="right"/>
              <w:rPr>
                <w:rFonts w:cs="Arial"/>
                <w:color w:val="000000" w:themeColor="text1"/>
                <w:kern w:val="0"/>
                <w:lang w:val="en-US"/>
              </w:rPr>
            </w:pPr>
            <w:r w:rsidRPr="00D30B3D">
              <w:rPr>
                <w:rFonts w:cs="Arial"/>
                <w:color w:val="000000" w:themeColor="text1"/>
                <w:kern w:val="0"/>
                <w:lang w:val="en-US"/>
              </w:rPr>
              <w:t>1</w:t>
            </w:r>
          </w:p>
        </w:tc>
        <w:tc>
          <w:tcPr>
            <w:tcW w:w="1701" w:type="dxa"/>
          </w:tcPr>
          <w:p w14:paraId="571199CB" w14:textId="77777777" w:rsidR="00AA56BA" w:rsidRPr="00D30B3D" w:rsidRDefault="00AA56BA" w:rsidP="00E80039">
            <w:pPr>
              <w:autoSpaceDE w:val="0"/>
              <w:autoSpaceDN w:val="0"/>
              <w:adjustRightInd w:val="0"/>
              <w:spacing w:line="320" w:lineRule="atLeast"/>
              <w:ind w:left="60" w:right="60"/>
              <w:jc w:val="right"/>
              <w:rPr>
                <w:rFonts w:cs="Arial"/>
                <w:color w:val="010205"/>
                <w:kern w:val="0"/>
                <w:lang w:val="en-US"/>
              </w:rPr>
            </w:pPr>
            <w:r w:rsidRPr="00D30B3D">
              <w:rPr>
                <w:rFonts w:cs="Arial"/>
                <w:color w:val="010205"/>
                <w:kern w:val="0"/>
                <w:lang w:val="en-US"/>
              </w:rPr>
              <w:t>.571</w:t>
            </w:r>
          </w:p>
        </w:tc>
      </w:tr>
      <w:tr w:rsidR="00AA56BA" w:rsidRPr="00D30B3D" w14:paraId="111233E3" w14:textId="77777777" w:rsidTr="00AA56BA">
        <w:trPr>
          <w:jc w:val="center"/>
        </w:trPr>
        <w:tc>
          <w:tcPr>
            <w:tcW w:w="1555" w:type="dxa"/>
            <w:vMerge/>
          </w:tcPr>
          <w:p w14:paraId="689775E3" w14:textId="77777777" w:rsidR="00AA56BA" w:rsidRPr="00D30B3D" w:rsidRDefault="00AA56BA" w:rsidP="00E80039">
            <w:pPr>
              <w:autoSpaceDE w:val="0"/>
              <w:autoSpaceDN w:val="0"/>
              <w:adjustRightInd w:val="0"/>
              <w:rPr>
                <w:rFonts w:cs="Arial"/>
                <w:color w:val="000000" w:themeColor="text1"/>
                <w:kern w:val="0"/>
                <w:lang w:val="en-US"/>
              </w:rPr>
            </w:pPr>
          </w:p>
        </w:tc>
        <w:tc>
          <w:tcPr>
            <w:tcW w:w="2038" w:type="dxa"/>
          </w:tcPr>
          <w:p w14:paraId="159263A7" w14:textId="77777777" w:rsidR="00AA56BA" w:rsidRPr="00D30B3D" w:rsidRDefault="00AA56BA" w:rsidP="00E80039">
            <w:pPr>
              <w:autoSpaceDE w:val="0"/>
              <w:autoSpaceDN w:val="0"/>
              <w:adjustRightInd w:val="0"/>
              <w:spacing w:line="320" w:lineRule="atLeast"/>
              <w:ind w:left="60" w:right="60"/>
              <w:rPr>
                <w:rFonts w:cs="Arial"/>
                <w:color w:val="000000" w:themeColor="text1"/>
                <w:kern w:val="0"/>
                <w:lang w:val="en-US"/>
              </w:rPr>
            </w:pPr>
            <w:r w:rsidRPr="00D30B3D">
              <w:rPr>
                <w:rFonts w:cs="Arial"/>
                <w:color w:val="000000" w:themeColor="text1"/>
                <w:kern w:val="0"/>
                <w:lang w:val="en-US"/>
              </w:rPr>
              <w:t>Sig. (2-tailed)</w:t>
            </w:r>
          </w:p>
        </w:tc>
        <w:tc>
          <w:tcPr>
            <w:tcW w:w="1364" w:type="dxa"/>
          </w:tcPr>
          <w:p w14:paraId="2C05BD82" w14:textId="77777777" w:rsidR="00AA56BA" w:rsidRPr="00D30B3D" w:rsidRDefault="00AA56BA" w:rsidP="00E80039">
            <w:pPr>
              <w:autoSpaceDE w:val="0"/>
              <w:autoSpaceDN w:val="0"/>
              <w:adjustRightInd w:val="0"/>
              <w:rPr>
                <w:rFonts w:cs="Times New Roman"/>
                <w:color w:val="000000" w:themeColor="text1"/>
                <w:kern w:val="0"/>
                <w:lang w:val="en-US"/>
              </w:rPr>
            </w:pPr>
          </w:p>
        </w:tc>
        <w:tc>
          <w:tcPr>
            <w:tcW w:w="1701" w:type="dxa"/>
          </w:tcPr>
          <w:p w14:paraId="7343F4C6" w14:textId="77777777" w:rsidR="00AA56BA" w:rsidRPr="00D30B3D" w:rsidRDefault="00AA56BA" w:rsidP="00E80039">
            <w:pPr>
              <w:autoSpaceDE w:val="0"/>
              <w:autoSpaceDN w:val="0"/>
              <w:adjustRightInd w:val="0"/>
              <w:spacing w:line="320" w:lineRule="atLeast"/>
              <w:ind w:left="60" w:right="60"/>
              <w:jc w:val="right"/>
              <w:rPr>
                <w:rFonts w:cs="Arial"/>
                <w:color w:val="010205"/>
                <w:kern w:val="0"/>
                <w:lang w:val="en-US"/>
              </w:rPr>
            </w:pPr>
            <w:r w:rsidRPr="00D30B3D">
              <w:rPr>
                <w:rFonts w:cs="Arial"/>
                <w:color w:val="010205"/>
                <w:kern w:val="0"/>
                <w:lang w:val="en-US"/>
              </w:rPr>
              <w:t>.042</w:t>
            </w:r>
          </w:p>
        </w:tc>
      </w:tr>
      <w:tr w:rsidR="00AA56BA" w:rsidRPr="00D30B3D" w14:paraId="1C1F0D0D" w14:textId="77777777" w:rsidTr="00AA56BA">
        <w:trPr>
          <w:jc w:val="center"/>
        </w:trPr>
        <w:tc>
          <w:tcPr>
            <w:tcW w:w="1555" w:type="dxa"/>
            <w:vMerge w:val="restart"/>
          </w:tcPr>
          <w:p w14:paraId="025D4AC9" w14:textId="77777777" w:rsidR="00AA56BA" w:rsidRPr="00D30B3D" w:rsidRDefault="00AA56BA" w:rsidP="00E80039">
            <w:pPr>
              <w:autoSpaceDE w:val="0"/>
              <w:autoSpaceDN w:val="0"/>
              <w:adjustRightInd w:val="0"/>
              <w:spacing w:line="320" w:lineRule="atLeast"/>
              <w:ind w:left="60" w:right="60"/>
              <w:rPr>
                <w:rFonts w:cs="Arial"/>
                <w:color w:val="000000" w:themeColor="text1"/>
                <w:kern w:val="0"/>
                <w:lang w:val="en-US"/>
              </w:rPr>
            </w:pPr>
            <w:r w:rsidRPr="00484D41">
              <w:rPr>
                <w:rFonts w:cs="Arial"/>
                <w:color w:val="000000" w:themeColor="text1"/>
              </w:rPr>
              <w:t>Peak Power</w:t>
            </w:r>
          </w:p>
        </w:tc>
        <w:tc>
          <w:tcPr>
            <w:tcW w:w="2038" w:type="dxa"/>
          </w:tcPr>
          <w:p w14:paraId="500AA0CA" w14:textId="77777777" w:rsidR="00AA56BA" w:rsidRPr="00D30B3D" w:rsidRDefault="00AA56BA" w:rsidP="00E80039">
            <w:pPr>
              <w:autoSpaceDE w:val="0"/>
              <w:autoSpaceDN w:val="0"/>
              <w:adjustRightInd w:val="0"/>
              <w:spacing w:line="320" w:lineRule="atLeast"/>
              <w:ind w:left="60" w:right="60"/>
              <w:rPr>
                <w:rFonts w:cs="Arial"/>
                <w:color w:val="000000" w:themeColor="text1"/>
                <w:kern w:val="0"/>
                <w:lang w:val="en-US"/>
              </w:rPr>
            </w:pPr>
            <w:r w:rsidRPr="00D30B3D">
              <w:rPr>
                <w:rFonts w:cs="Arial"/>
                <w:color w:val="000000" w:themeColor="text1"/>
                <w:kern w:val="0"/>
                <w:lang w:val="en-US"/>
              </w:rPr>
              <w:t>Pearson Correlation</w:t>
            </w:r>
          </w:p>
        </w:tc>
        <w:tc>
          <w:tcPr>
            <w:tcW w:w="1364" w:type="dxa"/>
          </w:tcPr>
          <w:p w14:paraId="42C73FD3" w14:textId="77777777" w:rsidR="00AA56BA" w:rsidRPr="00D30B3D" w:rsidRDefault="00AA56BA" w:rsidP="00E80039">
            <w:pPr>
              <w:autoSpaceDE w:val="0"/>
              <w:autoSpaceDN w:val="0"/>
              <w:adjustRightInd w:val="0"/>
              <w:spacing w:line="320" w:lineRule="atLeast"/>
              <w:ind w:left="60" w:right="60"/>
              <w:jc w:val="right"/>
              <w:rPr>
                <w:rFonts w:cs="Arial"/>
                <w:color w:val="000000" w:themeColor="text1"/>
                <w:kern w:val="0"/>
                <w:lang w:val="en-US"/>
              </w:rPr>
            </w:pPr>
            <w:r w:rsidRPr="00D30B3D">
              <w:rPr>
                <w:rFonts w:cs="Arial"/>
                <w:color w:val="000000" w:themeColor="text1"/>
                <w:kern w:val="0"/>
                <w:lang w:val="en-US"/>
              </w:rPr>
              <w:t>.571</w:t>
            </w:r>
          </w:p>
        </w:tc>
        <w:tc>
          <w:tcPr>
            <w:tcW w:w="1701" w:type="dxa"/>
          </w:tcPr>
          <w:p w14:paraId="70E85558" w14:textId="77777777" w:rsidR="00AA56BA" w:rsidRPr="00D30B3D" w:rsidRDefault="00AA56BA" w:rsidP="00E80039">
            <w:pPr>
              <w:autoSpaceDE w:val="0"/>
              <w:autoSpaceDN w:val="0"/>
              <w:adjustRightInd w:val="0"/>
              <w:spacing w:line="320" w:lineRule="atLeast"/>
              <w:ind w:left="60" w:right="60"/>
              <w:jc w:val="right"/>
              <w:rPr>
                <w:rFonts w:cs="Arial"/>
                <w:color w:val="010205"/>
                <w:kern w:val="0"/>
                <w:lang w:val="en-US"/>
              </w:rPr>
            </w:pPr>
            <w:r w:rsidRPr="00D30B3D">
              <w:rPr>
                <w:rFonts w:cs="Arial"/>
                <w:color w:val="010205"/>
                <w:kern w:val="0"/>
                <w:lang w:val="en-US"/>
              </w:rPr>
              <w:t>1</w:t>
            </w:r>
          </w:p>
        </w:tc>
      </w:tr>
      <w:tr w:rsidR="00AA56BA" w:rsidRPr="00D30B3D" w14:paraId="00AACAE4" w14:textId="77777777" w:rsidTr="00AA56BA">
        <w:trPr>
          <w:jc w:val="center"/>
        </w:trPr>
        <w:tc>
          <w:tcPr>
            <w:tcW w:w="1555" w:type="dxa"/>
            <w:vMerge/>
          </w:tcPr>
          <w:p w14:paraId="6E447DC4" w14:textId="77777777" w:rsidR="00AA56BA" w:rsidRPr="00D30B3D" w:rsidRDefault="00AA56BA" w:rsidP="00E80039">
            <w:pPr>
              <w:autoSpaceDE w:val="0"/>
              <w:autoSpaceDN w:val="0"/>
              <w:adjustRightInd w:val="0"/>
              <w:rPr>
                <w:rFonts w:cs="Arial"/>
                <w:color w:val="000000" w:themeColor="text1"/>
                <w:kern w:val="0"/>
                <w:lang w:val="en-US"/>
              </w:rPr>
            </w:pPr>
          </w:p>
        </w:tc>
        <w:tc>
          <w:tcPr>
            <w:tcW w:w="2038" w:type="dxa"/>
          </w:tcPr>
          <w:p w14:paraId="5499C46F" w14:textId="77777777" w:rsidR="00AA56BA" w:rsidRPr="00D30B3D" w:rsidRDefault="00AA56BA" w:rsidP="00E80039">
            <w:pPr>
              <w:autoSpaceDE w:val="0"/>
              <w:autoSpaceDN w:val="0"/>
              <w:adjustRightInd w:val="0"/>
              <w:spacing w:line="320" w:lineRule="atLeast"/>
              <w:ind w:left="60" w:right="60"/>
              <w:rPr>
                <w:rFonts w:cs="Arial"/>
                <w:color w:val="000000" w:themeColor="text1"/>
                <w:kern w:val="0"/>
                <w:lang w:val="en-US"/>
              </w:rPr>
            </w:pPr>
            <w:r w:rsidRPr="00D30B3D">
              <w:rPr>
                <w:rFonts w:cs="Arial"/>
                <w:color w:val="000000" w:themeColor="text1"/>
                <w:kern w:val="0"/>
                <w:lang w:val="en-US"/>
              </w:rPr>
              <w:t>Sig. (2-tailed)</w:t>
            </w:r>
          </w:p>
        </w:tc>
        <w:tc>
          <w:tcPr>
            <w:tcW w:w="1364" w:type="dxa"/>
          </w:tcPr>
          <w:p w14:paraId="2A11B64F" w14:textId="77777777" w:rsidR="00AA56BA" w:rsidRPr="00D30B3D" w:rsidRDefault="00AA56BA" w:rsidP="00E80039">
            <w:pPr>
              <w:autoSpaceDE w:val="0"/>
              <w:autoSpaceDN w:val="0"/>
              <w:adjustRightInd w:val="0"/>
              <w:spacing w:line="320" w:lineRule="atLeast"/>
              <w:ind w:left="60" w:right="60"/>
              <w:jc w:val="right"/>
              <w:rPr>
                <w:rFonts w:cs="Arial"/>
                <w:color w:val="000000" w:themeColor="text1"/>
                <w:kern w:val="0"/>
                <w:lang w:val="en-US"/>
              </w:rPr>
            </w:pPr>
            <w:r w:rsidRPr="00D30B3D">
              <w:rPr>
                <w:rFonts w:cs="Arial"/>
                <w:color w:val="000000" w:themeColor="text1"/>
                <w:kern w:val="0"/>
                <w:lang w:val="en-US"/>
              </w:rPr>
              <w:t>.042</w:t>
            </w:r>
          </w:p>
        </w:tc>
        <w:tc>
          <w:tcPr>
            <w:tcW w:w="1701" w:type="dxa"/>
          </w:tcPr>
          <w:p w14:paraId="048BC254" w14:textId="77777777" w:rsidR="00AA56BA" w:rsidRPr="00D30B3D" w:rsidRDefault="00AA56BA" w:rsidP="00E80039">
            <w:pPr>
              <w:autoSpaceDE w:val="0"/>
              <w:autoSpaceDN w:val="0"/>
              <w:adjustRightInd w:val="0"/>
              <w:rPr>
                <w:rFonts w:cs="Times New Roman"/>
                <w:kern w:val="0"/>
                <w:lang w:val="en-US"/>
              </w:rPr>
            </w:pPr>
          </w:p>
        </w:tc>
      </w:tr>
    </w:tbl>
    <w:p w14:paraId="6DFF28F4" w14:textId="3CA7CC4F" w:rsidR="00AA56BA" w:rsidRDefault="00AA56BA" w:rsidP="00AA56BA">
      <w:pPr>
        <w:spacing w:before="100" w:beforeAutospacing="1" w:after="100" w:afterAutospacing="1" w:line="240" w:lineRule="auto"/>
        <w:jc w:val="center"/>
        <w:rPr>
          <w:rFonts w:eastAsia="Times New Roman" w:cs="Times New Roman"/>
          <w:i/>
          <w:iCs/>
          <w:kern w:val="0"/>
          <w:sz w:val="18"/>
          <w:szCs w:val="18"/>
          <w:lang w:val="en-AE"/>
          <w14:ligatures w14:val="none"/>
        </w:rPr>
      </w:pPr>
      <w:r w:rsidRPr="00AA56BA">
        <w:rPr>
          <w:rFonts w:eastAsia="Times New Roman" w:cs="Times New Roman"/>
          <w:i/>
          <w:iCs/>
          <w:kern w:val="0"/>
          <w:sz w:val="18"/>
          <w:szCs w:val="18"/>
          <w:lang w:val="en-AE"/>
          <w14:ligatures w14:val="none"/>
        </w:rPr>
        <w:t>Table 2 – Correlation table</w:t>
      </w:r>
    </w:p>
    <w:p w14:paraId="4174DDB1" w14:textId="66C60A55" w:rsidR="00AA56BA" w:rsidRPr="00580423" w:rsidRDefault="00AA56BA" w:rsidP="00AA56BA">
      <w:pPr>
        <w:spacing w:before="100" w:beforeAutospacing="1" w:after="100" w:afterAutospacing="1" w:line="240" w:lineRule="auto"/>
        <w:rPr>
          <w:rFonts w:eastAsia="Times New Roman" w:cs="Times New Roman"/>
          <w:kern w:val="0"/>
          <w:sz w:val="22"/>
          <w:szCs w:val="22"/>
          <w:lang w:val="en-AE"/>
          <w14:ligatures w14:val="none"/>
        </w:rPr>
      </w:pPr>
      <w:r>
        <w:rPr>
          <w:rFonts w:eastAsia="Times New Roman" w:cs="Times New Roman"/>
          <w:kern w:val="0"/>
          <w:sz w:val="22"/>
          <w:szCs w:val="22"/>
          <w:lang w:val="en-AE"/>
          <w14:ligatures w14:val="none"/>
        </w:rPr>
        <w:t>The pearson correlation coefficient is r=.571 meaning that as VO2 max increases, wingate peak power also tends to increase, showing a correlation.  The significance value is p=.042 which shows that the relationship is statistically insignificant</w:t>
      </w:r>
      <w:r w:rsidR="003A4147">
        <w:rPr>
          <w:rFonts w:eastAsia="Times New Roman" w:cs="Times New Roman"/>
          <w:kern w:val="0"/>
          <w:sz w:val="22"/>
          <w:szCs w:val="22"/>
          <w:lang w:val="en-AE"/>
          <w14:ligatures w14:val="none"/>
        </w:rPr>
        <w:t xml:space="preserve">, however, it is still unlikely that the increase and relationship between both tests is due to coincidence. </w:t>
      </w:r>
    </w:p>
    <w:p w14:paraId="10346F13" w14:textId="6E453B80" w:rsidR="00580423" w:rsidRPr="00580423" w:rsidRDefault="00580423" w:rsidP="00580423">
      <w:pPr>
        <w:spacing w:before="100" w:beforeAutospacing="1" w:after="100" w:afterAutospacing="1" w:line="240" w:lineRule="auto"/>
        <w:outlineLvl w:val="2"/>
        <w:rPr>
          <w:rFonts w:eastAsia="Times New Roman" w:cs="Times New Roman"/>
          <w:b/>
          <w:bCs/>
          <w:kern w:val="0"/>
          <w:lang w:val="en-AE"/>
          <w14:ligatures w14:val="none"/>
        </w:rPr>
      </w:pPr>
      <w:r w:rsidRPr="00580423">
        <w:rPr>
          <w:rFonts w:eastAsia="Times New Roman" w:cs="Times New Roman"/>
          <w:b/>
          <w:bCs/>
          <w:kern w:val="0"/>
          <w:lang w:val="en-AE"/>
          <w14:ligatures w14:val="none"/>
        </w:rPr>
        <w:lastRenderedPageBreak/>
        <w:t>Interpretation</w:t>
      </w:r>
      <w:r w:rsidR="00AA56BA" w:rsidRPr="00C64B71">
        <w:rPr>
          <w:rFonts w:eastAsia="Times New Roman" w:cs="Times New Roman"/>
          <w:b/>
          <w:bCs/>
          <w:kern w:val="0"/>
          <w:lang w:val="en-AE"/>
          <w14:ligatures w14:val="none"/>
        </w:rPr>
        <w:t xml:space="preserve"> and reflection</w:t>
      </w:r>
    </w:p>
    <w:p w14:paraId="7F5F55A1" w14:textId="5689658C" w:rsidR="00580423"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VO</w:t>
      </w:r>
      <w:r w:rsidR="00B33641" w:rsidRPr="0068382F">
        <w:rPr>
          <w:rFonts w:eastAsia="Times New Roman" w:cs="Times New Roman"/>
          <w:kern w:val="0"/>
          <w:sz w:val="22"/>
          <w:szCs w:val="22"/>
          <w:lang w:val="en-AE"/>
          <w14:ligatures w14:val="none"/>
        </w:rPr>
        <w:t xml:space="preserve">2 </w:t>
      </w:r>
      <w:r w:rsidRPr="00580423">
        <w:rPr>
          <w:rFonts w:eastAsia="Times New Roman" w:cs="Times New Roman"/>
          <w:kern w:val="0"/>
          <w:sz w:val="22"/>
          <w:szCs w:val="22"/>
          <w:lang w:val="en-AE"/>
          <w14:ligatures w14:val="none"/>
        </w:rPr>
        <w:t xml:space="preserve">max reflects cardiovascular and mitochondrial capacity, </w:t>
      </w:r>
      <w:r w:rsidR="003A4147" w:rsidRPr="0068382F">
        <w:rPr>
          <w:rFonts w:eastAsia="Times New Roman" w:cs="Times New Roman"/>
          <w:kern w:val="0"/>
          <w:sz w:val="22"/>
          <w:szCs w:val="22"/>
          <w:lang w:val="en-AE"/>
          <w14:ligatures w14:val="none"/>
        </w:rPr>
        <w:t>whereas</w:t>
      </w:r>
      <w:r w:rsidRPr="00580423">
        <w:rPr>
          <w:rFonts w:eastAsia="Times New Roman" w:cs="Times New Roman"/>
          <w:kern w:val="0"/>
          <w:sz w:val="22"/>
          <w:szCs w:val="22"/>
          <w:lang w:val="en-AE"/>
          <w14:ligatures w14:val="none"/>
        </w:rPr>
        <w:t xml:space="preserve"> Wingate peak power depends primarily on phosphagen availability, neuromuscular activation</w:t>
      </w:r>
      <w:r w:rsidR="003A4147"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and fast</w:t>
      </w:r>
      <w:r w:rsidR="003A4147"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twitch fibre composition</w:t>
      </w:r>
      <w:r w:rsidR="007A3865" w:rsidRPr="0068382F">
        <w:rPr>
          <w:rFonts w:eastAsia="Times New Roman" w:cs="Times New Roman"/>
          <w:kern w:val="0"/>
          <w:sz w:val="22"/>
          <w:szCs w:val="22"/>
          <w:lang w:val="en-AE"/>
          <w14:ligatures w14:val="none"/>
        </w:rPr>
        <w:t xml:space="preserve"> (</w:t>
      </w:r>
      <w:r w:rsidR="007A3865" w:rsidRPr="0068382F">
        <w:rPr>
          <w:sz w:val="22"/>
          <w:szCs w:val="22"/>
        </w:rPr>
        <w:t xml:space="preserve">Carrier </w:t>
      </w:r>
      <w:r w:rsidR="007A3865" w:rsidRPr="0068382F">
        <w:rPr>
          <w:rStyle w:val="Emphasis"/>
          <w:i w:val="0"/>
          <w:iCs w:val="0"/>
          <w:sz w:val="22"/>
          <w:szCs w:val="22"/>
        </w:rPr>
        <w:t>et al</w:t>
      </w:r>
      <w:r w:rsidR="007A3865" w:rsidRPr="0068382F">
        <w:rPr>
          <w:rStyle w:val="Emphasis"/>
          <w:sz w:val="22"/>
          <w:szCs w:val="22"/>
        </w:rPr>
        <w:t>.</w:t>
      </w:r>
      <w:r w:rsidR="007A3865" w:rsidRPr="0068382F">
        <w:rPr>
          <w:sz w:val="22"/>
          <w:szCs w:val="22"/>
        </w:rPr>
        <w:t>, 2023)</w:t>
      </w:r>
      <w:r w:rsidR="007A3865" w:rsidRPr="0068382F">
        <w:rPr>
          <w:sz w:val="22"/>
          <w:szCs w:val="22"/>
        </w:rPr>
        <w:t xml:space="preserve"> </w:t>
      </w:r>
      <w:r w:rsidR="007A3865" w:rsidRPr="0068382F">
        <w:rPr>
          <w:sz w:val="22"/>
          <w:szCs w:val="22"/>
        </w:rPr>
        <w:t>(Wang &amp; Zong, 2024</w:t>
      </w:r>
      <w:r w:rsidR="007A3865" w:rsidRPr="0068382F">
        <w:rPr>
          <w:sz w:val="22"/>
          <w:szCs w:val="22"/>
        </w:rPr>
        <w:t>)</w:t>
      </w:r>
      <w:r w:rsidRPr="00580423">
        <w:rPr>
          <w:rFonts w:eastAsia="Times New Roman" w:cs="Times New Roman"/>
          <w:kern w:val="0"/>
          <w:sz w:val="22"/>
          <w:szCs w:val="22"/>
          <w:lang w:val="en-AE"/>
          <w14:ligatures w14:val="none"/>
        </w:rPr>
        <w:t>.</w:t>
      </w:r>
      <w:r w:rsidR="003A4147"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Although aerobic fitness may support recovery between efforts and influence mean power, it is not the primary determinant of peak anaerobic output. This aligns with physiological models distinguishing aerobic and anaerobic energy system dominance.</w:t>
      </w:r>
    </w:p>
    <w:p w14:paraId="2AF12294" w14:textId="7DC91AC2" w:rsidR="00580423"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Gas analysis procedures were technically demanding, highlighting the importance of calibration and airtight sampling. Small measurement errors could substantially influence VO</w:t>
      </w:r>
      <w:r w:rsidR="003A4147" w:rsidRPr="0068382F">
        <w:rPr>
          <w:rFonts w:eastAsia="Times New Roman" w:cs="Times New Roman"/>
          <w:kern w:val="0"/>
          <w:sz w:val="22"/>
          <w:szCs w:val="22"/>
          <w:lang w:val="en-AE"/>
          <w14:ligatures w14:val="none"/>
        </w:rPr>
        <w:t>2</w:t>
      </w:r>
      <w:r w:rsidRPr="00580423">
        <w:rPr>
          <w:rFonts w:eastAsia="Times New Roman" w:cs="Times New Roman"/>
          <w:kern w:val="0"/>
          <w:sz w:val="22"/>
          <w:szCs w:val="22"/>
          <w:lang w:val="en-AE"/>
          <w14:ligatures w14:val="none"/>
        </w:rPr>
        <w:t xml:space="preserve"> calculation</w:t>
      </w:r>
      <w:r w:rsidR="007A3865" w:rsidRPr="0068382F">
        <w:rPr>
          <w:rFonts w:eastAsia="Times New Roman" w:cs="Times New Roman"/>
          <w:kern w:val="0"/>
          <w:sz w:val="22"/>
          <w:szCs w:val="22"/>
          <w:lang w:val="en-AE"/>
          <w14:ligatures w14:val="none"/>
        </w:rPr>
        <w:t xml:space="preserve">s </w:t>
      </w:r>
      <w:r w:rsidR="007A3865" w:rsidRPr="0068382F">
        <w:rPr>
          <w:sz w:val="22"/>
          <w:szCs w:val="22"/>
        </w:rPr>
        <w:t xml:space="preserve">(Iannetta </w:t>
      </w:r>
      <w:r w:rsidR="007A3865" w:rsidRPr="0068382F">
        <w:rPr>
          <w:rStyle w:val="Emphasis"/>
          <w:i w:val="0"/>
          <w:iCs w:val="0"/>
          <w:sz w:val="22"/>
          <w:szCs w:val="22"/>
        </w:rPr>
        <w:t>et al</w:t>
      </w:r>
      <w:r w:rsidR="007A3865" w:rsidRPr="0068382F">
        <w:rPr>
          <w:rStyle w:val="Emphasis"/>
          <w:sz w:val="22"/>
          <w:szCs w:val="22"/>
        </w:rPr>
        <w:t>.</w:t>
      </w:r>
      <w:r w:rsidR="007A3865" w:rsidRPr="0068382F">
        <w:rPr>
          <w:sz w:val="22"/>
          <w:szCs w:val="22"/>
        </w:rPr>
        <w:t>, 2023</w:t>
      </w:r>
      <w:r w:rsidR="007A3865" w:rsidRPr="0068382F">
        <w:rPr>
          <w:sz w:val="22"/>
          <w:szCs w:val="22"/>
        </w:rPr>
        <w:t>)</w:t>
      </w:r>
      <w:r w:rsidR="006F7F74"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Limitations included</w:t>
      </w:r>
      <w:r w:rsidR="003A4147" w:rsidRPr="0068382F">
        <w:rPr>
          <w:rFonts w:eastAsia="Times New Roman" w:cs="Times New Roman"/>
          <w:kern w:val="0"/>
          <w:sz w:val="22"/>
          <w:szCs w:val="22"/>
          <w:lang w:val="en-AE"/>
          <w14:ligatures w14:val="none"/>
        </w:rPr>
        <w:t xml:space="preserve"> p</w:t>
      </w:r>
      <w:r w:rsidRPr="00580423">
        <w:rPr>
          <w:rFonts w:eastAsia="Times New Roman" w:cs="Times New Roman"/>
          <w:kern w:val="0"/>
          <w:sz w:val="22"/>
          <w:szCs w:val="22"/>
          <w:lang w:val="en-AE"/>
          <w14:ligatures w14:val="none"/>
        </w:rPr>
        <w:t>articipant pacing strategies during tests</w:t>
      </w:r>
      <w:r w:rsidR="003A4147" w:rsidRPr="0068382F">
        <w:rPr>
          <w:rFonts w:eastAsia="Times New Roman" w:cs="Times New Roman"/>
          <w:kern w:val="0"/>
          <w:sz w:val="22"/>
          <w:szCs w:val="22"/>
          <w:lang w:val="en-AE"/>
          <w14:ligatures w14:val="none"/>
        </w:rPr>
        <w:t>, p</w:t>
      </w:r>
      <w:r w:rsidRPr="00580423">
        <w:rPr>
          <w:rFonts w:eastAsia="Times New Roman" w:cs="Times New Roman"/>
          <w:kern w:val="0"/>
          <w:sz w:val="22"/>
          <w:szCs w:val="22"/>
          <w:lang w:val="en-AE"/>
          <w14:ligatures w14:val="none"/>
        </w:rPr>
        <w:t xml:space="preserve">otential underestimation </w:t>
      </w:r>
      <w:r w:rsidR="006F7F74" w:rsidRPr="0068382F">
        <w:rPr>
          <w:rFonts w:eastAsia="Times New Roman" w:cs="Times New Roman"/>
          <w:kern w:val="0"/>
          <w:sz w:val="22"/>
          <w:szCs w:val="22"/>
          <w:lang w:val="en-AE"/>
          <w14:ligatures w14:val="none"/>
        </w:rPr>
        <w:t xml:space="preserve">if </w:t>
      </w:r>
      <w:r w:rsidRPr="00580423">
        <w:rPr>
          <w:rFonts w:eastAsia="Times New Roman" w:cs="Times New Roman"/>
          <w:kern w:val="0"/>
          <w:sz w:val="22"/>
          <w:szCs w:val="22"/>
          <w:lang w:val="en-AE"/>
          <w14:ligatures w14:val="none"/>
        </w:rPr>
        <w:t>true VO</w:t>
      </w:r>
      <w:r w:rsidR="003A4147" w:rsidRPr="0068382F">
        <w:rPr>
          <w:rFonts w:eastAsia="Times New Roman" w:cs="Times New Roman"/>
          <w:kern w:val="0"/>
          <w:sz w:val="22"/>
          <w:szCs w:val="22"/>
          <w:lang w:val="en-AE"/>
          <w14:ligatures w14:val="none"/>
        </w:rPr>
        <w:t>2</w:t>
      </w:r>
      <w:r w:rsidRPr="00580423">
        <w:rPr>
          <w:rFonts w:eastAsia="Times New Roman" w:cs="Times New Roman"/>
          <w:kern w:val="0"/>
          <w:sz w:val="22"/>
          <w:szCs w:val="22"/>
          <w:lang w:val="en-AE"/>
          <w14:ligatures w14:val="none"/>
        </w:rPr>
        <w:t xml:space="preserve"> plateau was not achieve</w:t>
      </w:r>
      <w:r w:rsidR="003A4147" w:rsidRPr="0068382F">
        <w:rPr>
          <w:rFonts w:eastAsia="Times New Roman" w:cs="Times New Roman"/>
          <w:kern w:val="0"/>
          <w:sz w:val="22"/>
          <w:szCs w:val="22"/>
          <w:lang w:val="en-AE"/>
          <w14:ligatures w14:val="none"/>
        </w:rPr>
        <w:t>d and i</w:t>
      </w:r>
      <w:r w:rsidRPr="00580423">
        <w:rPr>
          <w:rFonts w:eastAsia="Times New Roman" w:cs="Times New Roman"/>
          <w:kern w:val="0"/>
          <w:sz w:val="22"/>
          <w:szCs w:val="22"/>
          <w:lang w:val="en-AE"/>
          <w14:ligatures w14:val="none"/>
        </w:rPr>
        <w:t>nter</w:t>
      </w:r>
      <w:r w:rsidR="003A4147" w:rsidRPr="0068382F">
        <w:rPr>
          <w:rFonts w:eastAsia="Times New Roman" w:cs="Times New Roman"/>
          <w:kern w:val="0"/>
          <w:sz w:val="22"/>
          <w:szCs w:val="22"/>
          <w:lang w:val="en-AE"/>
          <w14:ligatures w14:val="none"/>
        </w:rPr>
        <w:t xml:space="preserve"> </w:t>
      </w:r>
      <w:r w:rsidRPr="00580423">
        <w:rPr>
          <w:rFonts w:eastAsia="Times New Roman" w:cs="Times New Roman"/>
          <w:kern w:val="0"/>
          <w:sz w:val="22"/>
          <w:szCs w:val="22"/>
          <w:lang w:val="en-AE"/>
          <w14:ligatures w14:val="none"/>
        </w:rPr>
        <w:t>individual differences in motivation.</w:t>
      </w:r>
    </w:p>
    <w:bookmarkEnd w:id="1"/>
    <w:p w14:paraId="067A4EE3" w14:textId="47501FF0" w:rsidR="00594C7C" w:rsidRPr="00580423" w:rsidRDefault="00580423" w:rsidP="003A4147">
      <w:pPr>
        <w:spacing w:before="100" w:beforeAutospacing="1" w:after="100" w:afterAutospacing="1" w:line="240" w:lineRule="auto"/>
        <w:outlineLvl w:val="0"/>
        <w:rPr>
          <w:rFonts w:eastAsia="Times New Roman" w:cs="Times New Roman"/>
          <w:b/>
          <w:bCs/>
          <w:kern w:val="0"/>
          <w:lang w:val="en-AE"/>
          <w14:ligatures w14:val="none"/>
        </w:rPr>
      </w:pPr>
      <w:r w:rsidRPr="00580423">
        <w:rPr>
          <w:rFonts w:eastAsia="Times New Roman" w:cs="Times New Roman"/>
          <w:b/>
          <w:bCs/>
          <w:kern w:val="36"/>
          <w:lang w:val="en-AE"/>
          <w14:ligatures w14:val="none"/>
        </w:rPr>
        <w:t xml:space="preserve">Experiment 3 </w:t>
      </w:r>
      <w:r w:rsidR="00196451" w:rsidRPr="00C64B71">
        <w:rPr>
          <w:rFonts w:eastAsia="Times New Roman" w:cs="Times New Roman"/>
          <w:b/>
          <w:bCs/>
          <w:kern w:val="36"/>
          <w:lang w:val="en-AE"/>
          <w14:ligatures w14:val="none"/>
        </w:rPr>
        <w:t>–</w:t>
      </w:r>
      <w:r w:rsidR="003A4147" w:rsidRPr="00C64B71">
        <w:rPr>
          <w:rFonts w:eastAsia="Times New Roman" w:cs="Times New Roman"/>
          <w:b/>
          <w:bCs/>
          <w:kern w:val="36"/>
          <w:lang w:val="en-AE"/>
          <w14:ligatures w14:val="none"/>
        </w:rPr>
        <w:t xml:space="preserve"> </w:t>
      </w:r>
      <w:r w:rsidR="00196451" w:rsidRPr="00C64B71">
        <w:rPr>
          <w:rFonts w:eastAsia="Times New Roman" w:cs="Times New Roman"/>
          <w:b/>
          <w:bCs/>
          <w:kern w:val="0"/>
          <w:lang w:val="en-AE"/>
          <w14:ligatures w14:val="none"/>
        </w:rPr>
        <w:t xml:space="preserve">Is there a difference between male and female counter movement jump </w:t>
      </w:r>
      <w:r w:rsidR="00FF076D" w:rsidRPr="00C64B71">
        <w:rPr>
          <w:rFonts w:eastAsia="Times New Roman" w:cs="Times New Roman"/>
          <w:b/>
          <w:bCs/>
          <w:kern w:val="0"/>
          <w:lang w:val="en-AE"/>
          <w14:ligatures w14:val="none"/>
        </w:rPr>
        <w:t xml:space="preserve">peak power </w:t>
      </w:r>
      <w:r w:rsidR="00196451" w:rsidRPr="00C64B71">
        <w:rPr>
          <w:rFonts w:eastAsia="Times New Roman" w:cs="Times New Roman"/>
          <w:b/>
          <w:bCs/>
          <w:kern w:val="0"/>
          <w:lang w:val="en-AE"/>
          <w14:ligatures w14:val="none"/>
        </w:rPr>
        <w:t>scores?</w:t>
      </w:r>
    </w:p>
    <w:p w14:paraId="3E8CDB63" w14:textId="77777777" w:rsidR="00580423" w:rsidRPr="00580423" w:rsidRDefault="00580423" w:rsidP="00580423">
      <w:pPr>
        <w:spacing w:before="100" w:beforeAutospacing="1" w:after="100" w:afterAutospacing="1" w:line="240" w:lineRule="auto"/>
        <w:outlineLvl w:val="2"/>
        <w:rPr>
          <w:rFonts w:eastAsia="Times New Roman" w:cs="Times New Roman"/>
          <w:b/>
          <w:bCs/>
          <w:kern w:val="0"/>
          <w:lang w:val="en-AE"/>
          <w14:ligatures w14:val="none"/>
        </w:rPr>
      </w:pPr>
      <w:r w:rsidRPr="00580423">
        <w:rPr>
          <w:rFonts w:eastAsia="Times New Roman" w:cs="Times New Roman"/>
          <w:b/>
          <w:bCs/>
          <w:kern w:val="0"/>
          <w:lang w:val="en-AE"/>
          <w14:ligatures w14:val="none"/>
        </w:rPr>
        <w:t>Method Summary</w:t>
      </w:r>
    </w:p>
    <w:p w14:paraId="4EDC9257" w14:textId="1073F3B1" w:rsidR="00F97B01" w:rsidRPr="0068382F" w:rsidRDefault="002416FE" w:rsidP="00F97B01">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15 p</w:t>
      </w:r>
      <w:r w:rsidR="00594C7C" w:rsidRPr="0068382F">
        <w:rPr>
          <w:rFonts w:eastAsia="Times New Roman" w:cs="Times New Roman"/>
          <w:kern w:val="0"/>
          <w:sz w:val="22"/>
          <w:szCs w:val="22"/>
          <w:lang w:val="en-AE"/>
          <w14:ligatures w14:val="none"/>
        </w:rPr>
        <w:t xml:space="preserve">articipants did a </w:t>
      </w:r>
      <w:r w:rsidR="00F97B01" w:rsidRPr="0068382F">
        <w:rPr>
          <w:rFonts w:eastAsia="Times New Roman" w:cs="Times New Roman"/>
          <w:kern w:val="0"/>
          <w:sz w:val="22"/>
          <w:szCs w:val="22"/>
          <w:lang w:val="en-AE"/>
          <w14:ligatures w14:val="none"/>
        </w:rPr>
        <w:t>standardised</w:t>
      </w:r>
      <w:r w:rsidR="006F7F74" w:rsidRPr="0068382F">
        <w:rPr>
          <w:rFonts w:eastAsia="Times New Roman" w:cs="Times New Roman"/>
          <w:kern w:val="0"/>
          <w:sz w:val="22"/>
          <w:szCs w:val="22"/>
          <w:lang w:val="en-AE"/>
          <w14:ligatures w14:val="none"/>
        </w:rPr>
        <w:t xml:space="preserve"> 5 minute</w:t>
      </w:r>
      <w:r w:rsidR="00F97B01" w:rsidRPr="0068382F">
        <w:rPr>
          <w:rFonts w:eastAsia="Times New Roman" w:cs="Times New Roman"/>
          <w:kern w:val="0"/>
          <w:sz w:val="22"/>
          <w:szCs w:val="22"/>
          <w:lang w:val="en-AE"/>
          <w14:ligatures w14:val="none"/>
        </w:rPr>
        <w:t xml:space="preserve"> </w:t>
      </w:r>
      <w:r w:rsidR="00594C7C" w:rsidRPr="0068382F">
        <w:rPr>
          <w:rFonts w:eastAsia="Times New Roman" w:cs="Times New Roman"/>
          <w:kern w:val="0"/>
          <w:sz w:val="22"/>
          <w:szCs w:val="22"/>
          <w:lang w:val="en-AE"/>
          <w14:ligatures w14:val="none"/>
        </w:rPr>
        <w:t xml:space="preserve">ramp warm up prior to completing the CMJ on the force platform (FP8 2003, HUR Oy, Kokkola, Finland). </w:t>
      </w:r>
      <w:r w:rsidR="00F97B01" w:rsidRPr="0068382F">
        <w:rPr>
          <w:rFonts w:eastAsia="Times New Roman" w:cs="Times New Roman"/>
          <w:kern w:val="0"/>
          <w:sz w:val="22"/>
          <w:szCs w:val="22"/>
          <w:lang w:val="en-AE"/>
          <w14:ligatures w14:val="none"/>
        </w:rPr>
        <w:t xml:space="preserve">Participants had their hands on hips and completed 3 jumps, the best score was recorded for each participant. The aim of the experiment was to compare lower body peak power between males and females. </w:t>
      </w:r>
    </w:p>
    <w:p w14:paraId="7D4A0D42" w14:textId="6C0D21F5" w:rsidR="00F97B01" w:rsidRPr="0068382F" w:rsidRDefault="00F97B01" w:rsidP="00F97B01">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My role included taking part in the test and collecting my results, supervising participants during testing, and helping run the test.</w:t>
      </w:r>
    </w:p>
    <w:p w14:paraId="7A6414C6" w14:textId="707A1227" w:rsidR="00F97B01" w:rsidRPr="00C64B71" w:rsidRDefault="00F97B01" w:rsidP="00F97B01">
      <w:pPr>
        <w:spacing w:before="100" w:beforeAutospacing="1" w:after="100" w:afterAutospacing="1" w:line="240" w:lineRule="auto"/>
        <w:rPr>
          <w:rFonts w:eastAsia="Times New Roman" w:cs="Times New Roman"/>
          <w:b/>
          <w:bCs/>
          <w:kern w:val="0"/>
          <w:lang w:val="en-AE"/>
          <w14:ligatures w14:val="none"/>
        </w:rPr>
      </w:pPr>
      <w:r w:rsidRPr="00C64B71">
        <w:rPr>
          <w:rFonts w:eastAsia="Times New Roman" w:cs="Times New Roman"/>
          <w:b/>
          <w:bCs/>
          <w:kern w:val="0"/>
          <w:lang w:val="en-AE"/>
          <w14:ligatures w14:val="none"/>
        </w:rPr>
        <w:t xml:space="preserve">Results </w:t>
      </w:r>
    </w:p>
    <w:p w14:paraId="65AB1D2F" w14:textId="08B25C1E" w:rsidR="00F97B01" w:rsidRPr="0068382F" w:rsidRDefault="00F97B01" w:rsidP="00F97B01">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An independent t test showed that there was a statistically significant difference between male and females</w:t>
      </w:r>
      <w:r w:rsidR="00BE6B78" w:rsidRPr="0068382F">
        <w:rPr>
          <w:rFonts w:eastAsia="Times New Roman" w:cs="Times New Roman"/>
          <w:kern w:val="0"/>
          <w:sz w:val="22"/>
          <w:szCs w:val="22"/>
          <w:lang w:val="en-AE"/>
          <w14:ligatures w14:val="none"/>
        </w:rPr>
        <w:t xml:space="preserve"> peak power.</w:t>
      </w:r>
    </w:p>
    <w:tbl>
      <w:tblPr>
        <w:tblStyle w:val="TableGridLight"/>
        <w:tblW w:w="0" w:type="auto"/>
        <w:jc w:val="center"/>
        <w:tblLook w:val="04A0" w:firstRow="1" w:lastRow="0" w:firstColumn="1" w:lastColumn="0" w:noHBand="0" w:noVBand="1"/>
      </w:tblPr>
      <w:tblGrid>
        <w:gridCol w:w="1909"/>
        <w:gridCol w:w="1308"/>
        <w:gridCol w:w="1233"/>
        <w:gridCol w:w="2166"/>
      </w:tblGrid>
      <w:tr w:rsidR="00E0346E" w:rsidRPr="00FF076D" w14:paraId="52246BDA" w14:textId="476A0700" w:rsidTr="00E0346E">
        <w:trPr>
          <w:jc w:val="center"/>
        </w:trPr>
        <w:tc>
          <w:tcPr>
            <w:tcW w:w="0" w:type="auto"/>
            <w:hideMark/>
          </w:tcPr>
          <w:p w14:paraId="51AA8D23" w14:textId="77777777" w:rsidR="00E0346E" w:rsidRPr="00FF076D" w:rsidRDefault="00E0346E" w:rsidP="00FF076D">
            <w:pPr>
              <w:jc w:val="center"/>
              <w:rPr>
                <w:rFonts w:eastAsia="Times New Roman" w:cs="Times New Roman"/>
                <w:b/>
                <w:bCs/>
                <w:kern w:val="0"/>
                <w:lang w:val="en-AE"/>
                <w14:ligatures w14:val="none"/>
              </w:rPr>
            </w:pPr>
            <w:r w:rsidRPr="00FF076D">
              <w:rPr>
                <w:rFonts w:eastAsia="Times New Roman" w:cs="Times New Roman"/>
                <w:b/>
                <w:bCs/>
                <w:kern w:val="0"/>
                <w:lang w:val="en-AE"/>
                <w14:ligatures w14:val="none"/>
              </w:rPr>
              <w:t>Variable</w:t>
            </w:r>
          </w:p>
        </w:tc>
        <w:tc>
          <w:tcPr>
            <w:tcW w:w="0" w:type="auto"/>
            <w:hideMark/>
          </w:tcPr>
          <w:p w14:paraId="16F548DD" w14:textId="77777777" w:rsidR="00E0346E" w:rsidRPr="00FF076D" w:rsidRDefault="00E0346E" w:rsidP="00FF076D">
            <w:pPr>
              <w:jc w:val="center"/>
              <w:rPr>
                <w:rFonts w:eastAsia="Times New Roman" w:cs="Times New Roman"/>
                <w:b/>
                <w:bCs/>
                <w:kern w:val="0"/>
                <w:lang w:val="en-AE"/>
                <w14:ligatures w14:val="none"/>
              </w:rPr>
            </w:pPr>
            <w:r w:rsidRPr="00FF076D">
              <w:rPr>
                <w:rFonts w:eastAsia="Times New Roman" w:cs="Times New Roman"/>
                <w:b/>
                <w:bCs/>
                <w:kern w:val="0"/>
                <w:lang w:val="en-AE"/>
                <w14:ligatures w14:val="none"/>
              </w:rPr>
              <w:t>Sex</w:t>
            </w:r>
          </w:p>
        </w:tc>
        <w:tc>
          <w:tcPr>
            <w:tcW w:w="0" w:type="auto"/>
            <w:hideMark/>
          </w:tcPr>
          <w:p w14:paraId="5AF91542" w14:textId="77777777" w:rsidR="00E0346E" w:rsidRPr="00FF076D" w:rsidRDefault="00E0346E" w:rsidP="00FF076D">
            <w:pPr>
              <w:jc w:val="center"/>
              <w:rPr>
                <w:rFonts w:eastAsia="Times New Roman" w:cs="Times New Roman"/>
                <w:b/>
                <w:bCs/>
                <w:kern w:val="0"/>
                <w:lang w:val="en-AE"/>
                <w14:ligatures w14:val="none"/>
              </w:rPr>
            </w:pPr>
            <w:r w:rsidRPr="00FF076D">
              <w:rPr>
                <w:rFonts w:eastAsia="Times New Roman" w:cs="Times New Roman"/>
                <w:b/>
                <w:bCs/>
                <w:kern w:val="0"/>
                <w:lang w:val="en-AE"/>
                <w14:ligatures w14:val="none"/>
              </w:rPr>
              <w:t>Mean (W)</w:t>
            </w:r>
          </w:p>
        </w:tc>
        <w:tc>
          <w:tcPr>
            <w:tcW w:w="0" w:type="auto"/>
            <w:hideMark/>
          </w:tcPr>
          <w:p w14:paraId="20B1700D" w14:textId="77777777" w:rsidR="00E0346E" w:rsidRPr="00FF076D" w:rsidRDefault="00E0346E" w:rsidP="00FF076D">
            <w:pPr>
              <w:jc w:val="center"/>
              <w:rPr>
                <w:rFonts w:eastAsia="Times New Roman" w:cs="Times New Roman"/>
                <w:b/>
                <w:bCs/>
                <w:kern w:val="0"/>
                <w:lang w:val="en-AE"/>
                <w14:ligatures w14:val="none"/>
              </w:rPr>
            </w:pPr>
            <w:r w:rsidRPr="00FF076D">
              <w:rPr>
                <w:rFonts w:eastAsia="Times New Roman" w:cs="Times New Roman"/>
                <w:b/>
                <w:bCs/>
                <w:kern w:val="0"/>
                <w:lang w:val="en-AE"/>
                <w14:ligatures w14:val="none"/>
              </w:rPr>
              <w:t>Std. Deviation (W)</w:t>
            </w:r>
          </w:p>
        </w:tc>
      </w:tr>
      <w:tr w:rsidR="00E0346E" w:rsidRPr="00FF076D" w14:paraId="5D6B9E20" w14:textId="692DA123" w:rsidTr="00E0346E">
        <w:trPr>
          <w:jc w:val="center"/>
        </w:trPr>
        <w:tc>
          <w:tcPr>
            <w:tcW w:w="0" w:type="auto"/>
            <w:hideMark/>
          </w:tcPr>
          <w:p w14:paraId="5A4A6ED3" w14:textId="77777777" w:rsidR="00E0346E" w:rsidRPr="00FF076D" w:rsidRDefault="00E0346E" w:rsidP="00FF076D">
            <w:pPr>
              <w:jc w:val="center"/>
              <w:rPr>
                <w:rFonts w:eastAsia="Times New Roman" w:cs="Times New Roman"/>
                <w:kern w:val="0"/>
                <w:lang w:val="en-AE"/>
                <w14:ligatures w14:val="none"/>
              </w:rPr>
            </w:pPr>
            <w:r w:rsidRPr="00FF076D">
              <w:rPr>
                <w:rFonts w:eastAsia="Times New Roman" w:cs="Times New Roman"/>
                <w:kern w:val="0"/>
                <w:lang w:val="en-AE"/>
                <w14:ligatures w14:val="none"/>
              </w:rPr>
              <w:t>CMJ Peak Power</w:t>
            </w:r>
          </w:p>
        </w:tc>
        <w:tc>
          <w:tcPr>
            <w:tcW w:w="0" w:type="auto"/>
            <w:hideMark/>
          </w:tcPr>
          <w:p w14:paraId="748A6C51" w14:textId="77777777" w:rsidR="00E0346E" w:rsidRPr="00FF076D" w:rsidRDefault="00E0346E" w:rsidP="00FF076D">
            <w:pPr>
              <w:jc w:val="center"/>
              <w:rPr>
                <w:rFonts w:eastAsia="Times New Roman" w:cs="Times New Roman"/>
                <w:kern w:val="0"/>
                <w:lang w:val="en-AE"/>
                <w14:ligatures w14:val="none"/>
              </w:rPr>
            </w:pPr>
            <w:r w:rsidRPr="00FF076D">
              <w:rPr>
                <w:rFonts w:eastAsia="Times New Roman" w:cs="Times New Roman"/>
                <w:kern w:val="0"/>
                <w:lang w:val="en-AE"/>
                <w14:ligatures w14:val="none"/>
              </w:rPr>
              <w:t>1 (Female)</w:t>
            </w:r>
          </w:p>
        </w:tc>
        <w:tc>
          <w:tcPr>
            <w:tcW w:w="0" w:type="auto"/>
            <w:hideMark/>
          </w:tcPr>
          <w:p w14:paraId="7D6A4D31" w14:textId="77777777" w:rsidR="00E0346E" w:rsidRPr="00FF076D" w:rsidRDefault="00E0346E" w:rsidP="00FF076D">
            <w:pPr>
              <w:jc w:val="center"/>
              <w:rPr>
                <w:rFonts w:eastAsia="Times New Roman" w:cs="Times New Roman"/>
                <w:kern w:val="0"/>
                <w:lang w:val="en-AE"/>
                <w14:ligatures w14:val="none"/>
              </w:rPr>
            </w:pPr>
            <w:r w:rsidRPr="00FF076D">
              <w:rPr>
                <w:rFonts w:eastAsia="Times New Roman" w:cs="Times New Roman"/>
                <w:kern w:val="0"/>
                <w:lang w:val="en-AE"/>
                <w14:ligatures w14:val="none"/>
              </w:rPr>
              <w:t>2805.53</w:t>
            </w:r>
          </w:p>
        </w:tc>
        <w:tc>
          <w:tcPr>
            <w:tcW w:w="0" w:type="auto"/>
            <w:hideMark/>
          </w:tcPr>
          <w:p w14:paraId="7220550C" w14:textId="77777777" w:rsidR="00E0346E" w:rsidRPr="00FF076D" w:rsidRDefault="00E0346E" w:rsidP="00FF076D">
            <w:pPr>
              <w:jc w:val="center"/>
              <w:rPr>
                <w:rFonts w:eastAsia="Times New Roman" w:cs="Times New Roman"/>
                <w:kern w:val="0"/>
                <w:lang w:val="en-AE"/>
                <w14:ligatures w14:val="none"/>
              </w:rPr>
            </w:pPr>
            <w:r w:rsidRPr="00FF076D">
              <w:rPr>
                <w:rFonts w:eastAsia="Times New Roman" w:cs="Times New Roman"/>
                <w:kern w:val="0"/>
                <w:lang w:val="en-AE"/>
                <w14:ligatures w14:val="none"/>
              </w:rPr>
              <w:t>743.49</w:t>
            </w:r>
          </w:p>
        </w:tc>
      </w:tr>
      <w:tr w:rsidR="00E0346E" w:rsidRPr="00FF076D" w14:paraId="39B863F6" w14:textId="08730688" w:rsidTr="00E0346E">
        <w:trPr>
          <w:jc w:val="center"/>
        </w:trPr>
        <w:tc>
          <w:tcPr>
            <w:tcW w:w="0" w:type="auto"/>
            <w:hideMark/>
          </w:tcPr>
          <w:p w14:paraId="049E19B4" w14:textId="77777777" w:rsidR="00E0346E" w:rsidRPr="00FF076D" w:rsidRDefault="00E0346E" w:rsidP="00FF076D">
            <w:pPr>
              <w:jc w:val="center"/>
              <w:rPr>
                <w:rFonts w:eastAsia="Times New Roman" w:cs="Times New Roman"/>
                <w:kern w:val="0"/>
                <w:lang w:val="en-AE"/>
                <w14:ligatures w14:val="none"/>
              </w:rPr>
            </w:pPr>
          </w:p>
        </w:tc>
        <w:tc>
          <w:tcPr>
            <w:tcW w:w="0" w:type="auto"/>
            <w:hideMark/>
          </w:tcPr>
          <w:p w14:paraId="404CCD55" w14:textId="77777777" w:rsidR="00E0346E" w:rsidRPr="00FF076D" w:rsidRDefault="00E0346E" w:rsidP="00FF076D">
            <w:pPr>
              <w:jc w:val="center"/>
              <w:rPr>
                <w:rFonts w:eastAsia="Times New Roman" w:cs="Times New Roman"/>
                <w:kern w:val="0"/>
                <w:lang w:val="en-AE"/>
                <w14:ligatures w14:val="none"/>
              </w:rPr>
            </w:pPr>
            <w:r w:rsidRPr="00FF076D">
              <w:rPr>
                <w:rFonts w:eastAsia="Times New Roman" w:cs="Times New Roman"/>
                <w:kern w:val="0"/>
                <w:lang w:val="en-AE"/>
                <w14:ligatures w14:val="none"/>
              </w:rPr>
              <w:t>2 (Male)</w:t>
            </w:r>
          </w:p>
        </w:tc>
        <w:tc>
          <w:tcPr>
            <w:tcW w:w="0" w:type="auto"/>
            <w:hideMark/>
          </w:tcPr>
          <w:p w14:paraId="5D6DFF88" w14:textId="77777777" w:rsidR="00E0346E" w:rsidRPr="00FF076D" w:rsidRDefault="00E0346E" w:rsidP="00FF076D">
            <w:pPr>
              <w:jc w:val="center"/>
              <w:rPr>
                <w:rFonts w:eastAsia="Times New Roman" w:cs="Times New Roman"/>
                <w:kern w:val="0"/>
                <w:lang w:val="en-AE"/>
                <w14:ligatures w14:val="none"/>
              </w:rPr>
            </w:pPr>
            <w:r w:rsidRPr="00FF076D">
              <w:rPr>
                <w:rFonts w:eastAsia="Times New Roman" w:cs="Times New Roman"/>
                <w:kern w:val="0"/>
                <w:lang w:val="en-AE"/>
                <w14:ligatures w14:val="none"/>
              </w:rPr>
              <w:t>4039.74</w:t>
            </w:r>
          </w:p>
        </w:tc>
        <w:tc>
          <w:tcPr>
            <w:tcW w:w="0" w:type="auto"/>
            <w:hideMark/>
          </w:tcPr>
          <w:p w14:paraId="5FF0F373" w14:textId="77777777" w:rsidR="00E0346E" w:rsidRPr="00FF076D" w:rsidRDefault="00E0346E" w:rsidP="00FF076D">
            <w:pPr>
              <w:jc w:val="center"/>
              <w:rPr>
                <w:rFonts w:eastAsia="Times New Roman" w:cs="Times New Roman"/>
                <w:kern w:val="0"/>
                <w:lang w:val="en-AE"/>
                <w14:ligatures w14:val="none"/>
              </w:rPr>
            </w:pPr>
            <w:r w:rsidRPr="00FF076D">
              <w:rPr>
                <w:rFonts w:eastAsia="Times New Roman" w:cs="Times New Roman"/>
                <w:kern w:val="0"/>
                <w:lang w:val="en-AE"/>
                <w14:ligatures w14:val="none"/>
              </w:rPr>
              <w:t>1218.72</w:t>
            </w:r>
          </w:p>
        </w:tc>
      </w:tr>
    </w:tbl>
    <w:p w14:paraId="77EB6C0F" w14:textId="7F7E15F9" w:rsidR="00F069B7" w:rsidRPr="00F069B7" w:rsidRDefault="00F069B7" w:rsidP="00F069B7">
      <w:pPr>
        <w:spacing w:before="100" w:beforeAutospacing="1" w:after="100" w:afterAutospacing="1" w:line="240" w:lineRule="auto"/>
        <w:jc w:val="center"/>
        <w:rPr>
          <w:rFonts w:eastAsia="Times New Roman" w:cs="Times New Roman"/>
          <w:i/>
          <w:iCs/>
          <w:kern w:val="0"/>
          <w:sz w:val="18"/>
          <w:szCs w:val="18"/>
          <w:lang w:val="en-AE"/>
          <w14:ligatures w14:val="none"/>
        </w:rPr>
      </w:pPr>
      <w:r w:rsidRPr="00F069B7">
        <w:rPr>
          <w:rFonts w:eastAsia="Times New Roman" w:cs="Times New Roman"/>
          <w:i/>
          <w:iCs/>
          <w:kern w:val="0"/>
          <w:sz w:val="18"/>
          <w:szCs w:val="18"/>
          <w:lang w:val="en-AE"/>
          <w14:ligatures w14:val="none"/>
        </w:rPr>
        <w:t>Table 3 – CMJ Peak power in males and females</w:t>
      </w:r>
    </w:p>
    <w:p w14:paraId="1A9DD609" w14:textId="663CAF22" w:rsidR="0020776A" w:rsidRPr="0068382F" w:rsidRDefault="0020776A" w:rsidP="00F97B01">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 xml:space="preserve">Male participants achieved a much greater mean CMJ peak power at </w:t>
      </w:r>
      <w:r w:rsidR="00FF076D" w:rsidRPr="0068382F">
        <w:rPr>
          <w:rFonts w:eastAsia="Times New Roman" w:cs="Times New Roman"/>
          <w:kern w:val="0"/>
          <w:sz w:val="22"/>
          <w:szCs w:val="22"/>
          <w:lang w:val="en-AE"/>
          <w14:ligatures w14:val="none"/>
        </w:rPr>
        <w:t>4039.74</w:t>
      </w:r>
      <w:r w:rsidR="00F069B7" w:rsidRPr="0068382F">
        <w:rPr>
          <w:rFonts w:eastAsia="Times New Roman" w:cs="Times New Roman"/>
          <w:kern w:val="0"/>
          <w:sz w:val="22"/>
          <w:szCs w:val="22"/>
          <w:lang w:val="en-AE"/>
          <w14:ligatures w14:val="none"/>
        </w:rPr>
        <w:t xml:space="preserve"> W</w:t>
      </w:r>
      <w:r w:rsidR="00FF076D" w:rsidRPr="0068382F">
        <w:rPr>
          <w:rFonts w:eastAsia="Times New Roman" w:cs="Times New Roman"/>
          <w:kern w:val="0"/>
          <w:sz w:val="22"/>
          <w:szCs w:val="22"/>
          <w:lang w:val="en-AE"/>
          <w14:ligatures w14:val="none"/>
        </w:rPr>
        <w:t xml:space="preserve"> </w:t>
      </w:r>
      <w:r w:rsidRPr="0068382F">
        <w:rPr>
          <w:rFonts w:eastAsia="Times New Roman" w:cs="Times New Roman"/>
          <w:kern w:val="0"/>
          <w:sz w:val="22"/>
          <w:szCs w:val="22"/>
          <w:lang w:val="en-AE"/>
          <w14:ligatures w14:val="none"/>
        </w:rPr>
        <w:t xml:space="preserve">than the femlaes of the group that achieved a mean of </w:t>
      </w:r>
      <w:r w:rsidR="00FF076D" w:rsidRPr="0068382F">
        <w:rPr>
          <w:rFonts w:eastAsia="Times New Roman" w:cs="Times New Roman"/>
          <w:kern w:val="0"/>
          <w:sz w:val="22"/>
          <w:szCs w:val="22"/>
          <w:lang w:val="en-AE"/>
          <w14:ligatures w14:val="none"/>
        </w:rPr>
        <w:t>2805.53</w:t>
      </w:r>
      <w:r w:rsidR="00F069B7" w:rsidRPr="0068382F">
        <w:rPr>
          <w:rFonts w:eastAsia="Times New Roman" w:cs="Times New Roman"/>
          <w:kern w:val="0"/>
          <w:sz w:val="22"/>
          <w:szCs w:val="22"/>
          <w:lang w:val="en-AE"/>
          <w14:ligatures w14:val="none"/>
        </w:rPr>
        <w:t xml:space="preserve"> W</w:t>
      </w:r>
      <w:r w:rsidRPr="0068382F">
        <w:rPr>
          <w:rFonts w:eastAsia="Times New Roman" w:cs="Times New Roman"/>
          <w:kern w:val="0"/>
          <w:sz w:val="22"/>
          <w:szCs w:val="22"/>
          <w:lang w:val="en-AE"/>
          <w14:ligatures w14:val="none"/>
        </w:rPr>
        <w:t xml:space="preserve">. </w:t>
      </w:r>
      <w:r w:rsidR="00F069B7" w:rsidRPr="0068382F">
        <w:rPr>
          <w:rFonts w:eastAsia="Times New Roman" w:cs="Times New Roman"/>
          <w:kern w:val="0"/>
          <w:sz w:val="22"/>
          <w:szCs w:val="22"/>
          <w:lang w:val="en-AE"/>
          <w14:ligatures w14:val="none"/>
        </w:rPr>
        <w:t>T</w:t>
      </w:r>
      <w:r w:rsidRPr="0068382F">
        <w:rPr>
          <w:rFonts w:eastAsia="Times New Roman" w:cs="Times New Roman"/>
          <w:kern w:val="0"/>
          <w:sz w:val="22"/>
          <w:szCs w:val="22"/>
          <w:lang w:val="en-AE"/>
          <w14:ligatures w14:val="none"/>
        </w:rPr>
        <w:t xml:space="preserve">he difference between both groups was </w:t>
      </w:r>
      <w:r w:rsidR="00F069B7" w:rsidRPr="0068382F">
        <w:rPr>
          <w:rFonts w:eastAsia="Times New Roman" w:cs="Times New Roman"/>
          <w:kern w:val="0"/>
          <w:sz w:val="22"/>
          <w:szCs w:val="22"/>
          <w:lang w:val="en-AE"/>
          <w14:ligatures w14:val="none"/>
        </w:rPr>
        <w:t>1234.21</w:t>
      </w:r>
      <w:r w:rsidRPr="0068382F">
        <w:rPr>
          <w:rFonts w:eastAsia="Times New Roman" w:cs="Times New Roman"/>
          <w:kern w:val="0"/>
          <w:sz w:val="22"/>
          <w:szCs w:val="22"/>
          <w:lang w:val="en-AE"/>
          <w14:ligatures w14:val="none"/>
        </w:rPr>
        <w:t xml:space="preserve"> W, indicating a higher explosive force production in males. The variability of peak power in males was</w:t>
      </w:r>
      <w:r w:rsidR="00F069B7" w:rsidRPr="0068382F">
        <w:rPr>
          <w:rFonts w:eastAsia="Times New Roman" w:cs="Times New Roman"/>
          <w:kern w:val="0"/>
          <w:sz w:val="22"/>
          <w:szCs w:val="22"/>
          <w:lang w:val="en-AE"/>
          <w14:ligatures w14:val="none"/>
        </w:rPr>
        <w:t xml:space="preserve"> </w:t>
      </w:r>
      <w:r w:rsidR="00F069B7" w:rsidRPr="0068382F">
        <w:rPr>
          <w:sz w:val="22"/>
          <w:szCs w:val="22"/>
        </w:rPr>
        <w:t xml:space="preserve">4039.74 ± 1218.72 </w:t>
      </w:r>
      <w:r w:rsidRPr="0068382F">
        <w:rPr>
          <w:rFonts w:eastAsia="Times New Roman" w:cs="Times New Roman"/>
          <w:kern w:val="0"/>
          <w:sz w:val="22"/>
          <w:szCs w:val="22"/>
          <w:lang w:val="en-AE"/>
          <w14:ligatures w14:val="none"/>
        </w:rPr>
        <w:t xml:space="preserve">W, compared to </w:t>
      </w:r>
      <w:r w:rsidR="00F069B7" w:rsidRPr="0068382F">
        <w:rPr>
          <w:sz w:val="22"/>
          <w:szCs w:val="22"/>
        </w:rPr>
        <w:t>2805.53 ± 743.49</w:t>
      </w:r>
      <w:r w:rsidR="00F069B7" w:rsidRPr="0068382F">
        <w:rPr>
          <w:sz w:val="22"/>
          <w:szCs w:val="22"/>
        </w:rPr>
        <w:t xml:space="preserve"> </w:t>
      </w:r>
      <w:r w:rsidRPr="0068382F">
        <w:rPr>
          <w:rFonts w:eastAsia="Times New Roman" w:cs="Times New Roman"/>
          <w:kern w:val="0"/>
          <w:sz w:val="22"/>
          <w:szCs w:val="22"/>
          <w:lang w:val="en-AE"/>
          <w14:ligatures w14:val="none"/>
        </w:rPr>
        <w:t>W in females. This suggests a wider range of power abilities within the males</w:t>
      </w:r>
      <w:r w:rsidR="00A8706F" w:rsidRPr="0068382F">
        <w:rPr>
          <w:rFonts w:eastAsia="Times New Roman" w:cs="Times New Roman"/>
          <w:kern w:val="0"/>
          <w:sz w:val="22"/>
          <w:szCs w:val="22"/>
          <w:lang w:val="en-AE"/>
          <w14:ligatures w14:val="none"/>
        </w:rPr>
        <w:t xml:space="preserve"> than females. P &lt; .001 which strongly suggests that the difference between both groups is not due to chance and the results are statistically significant. </w:t>
      </w:r>
      <w:r w:rsidR="00E0346E" w:rsidRPr="0068382F">
        <w:rPr>
          <w:rFonts w:eastAsia="Times New Roman" w:cs="Times New Roman"/>
          <w:kern w:val="0"/>
          <w:sz w:val="22"/>
          <w:szCs w:val="22"/>
          <w:lang w:val="en-AE"/>
          <w14:ligatures w14:val="none"/>
        </w:rPr>
        <w:t>Cohen’s d is 1.23 showing that there is a large effect size between males and females.</w:t>
      </w:r>
    </w:p>
    <w:p w14:paraId="23C8A7A3" w14:textId="587D3054" w:rsidR="00F069B7" w:rsidRDefault="00F069B7" w:rsidP="00F069B7">
      <w:pPr>
        <w:spacing w:before="100" w:beforeAutospacing="1" w:after="100" w:afterAutospacing="1" w:line="240" w:lineRule="auto"/>
        <w:jc w:val="center"/>
        <w:rPr>
          <w:rFonts w:eastAsia="Times New Roman" w:cs="Times New Roman"/>
          <w:kern w:val="0"/>
          <w:lang w:val="en-AE"/>
          <w14:ligatures w14:val="none"/>
        </w:rPr>
      </w:pPr>
      <w:r w:rsidRPr="00F069B7">
        <w:rPr>
          <w:noProof/>
          <w:shd w:val="clear" w:color="auto" w:fill="B3E5A1" w:themeFill="accent6" w:themeFillTint="66"/>
        </w:rPr>
        <w:lastRenderedPageBreak/>
        <w:drawing>
          <wp:inline distT="0" distB="0" distL="0" distR="0" wp14:anchorId="55B3EB38" wp14:editId="26DC6780">
            <wp:extent cx="4788535" cy="2626995"/>
            <wp:effectExtent l="0" t="0" r="12065" b="14605"/>
            <wp:docPr id="144657511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7E11EB4" w14:textId="26394AAC" w:rsidR="00F069B7" w:rsidRPr="00BE6B78" w:rsidRDefault="00F069B7" w:rsidP="00F069B7">
      <w:pPr>
        <w:spacing w:before="100" w:beforeAutospacing="1" w:after="100" w:afterAutospacing="1" w:line="240" w:lineRule="auto"/>
        <w:jc w:val="center"/>
        <w:rPr>
          <w:rFonts w:eastAsia="Times New Roman" w:cs="Times New Roman"/>
          <w:i/>
          <w:iCs/>
          <w:kern w:val="0"/>
          <w:sz w:val="18"/>
          <w:szCs w:val="18"/>
          <w:lang w:val="en-AE"/>
          <w14:ligatures w14:val="none"/>
        </w:rPr>
      </w:pPr>
      <w:r w:rsidRPr="00BE6B78">
        <w:rPr>
          <w:rFonts w:eastAsia="Times New Roman" w:cs="Times New Roman"/>
          <w:i/>
          <w:iCs/>
          <w:kern w:val="0"/>
          <w:sz w:val="18"/>
          <w:szCs w:val="18"/>
          <w:lang w:val="en-AE"/>
          <w14:ligatures w14:val="none"/>
        </w:rPr>
        <w:t xml:space="preserve">Figure 3 – Standard deviation bar chart </w:t>
      </w:r>
    </w:p>
    <w:p w14:paraId="37D42194" w14:textId="1A206297" w:rsidR="00862F79" w:rsidRPr="0068382F" w:rsidRDefault="00A23499" w:rsidP="00A23499">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Figure 3 displays the standard deviaiton in each group and shows the difference between peak power using bars.</w:t>
      </w:r>
      <w:r w:rsidR="00BE6B78" w:rsidRPr="0068382F">
        <w:rPr>
          <w:rFonts w:eastAsia="Times New Roman" w:cs="Times New Roman"/>
          <w:kern w:val="0"/>
          <w:sz w:val="22"/>
          <w:szCs w:val="22"/>
          <w:lang w:val="en-AE"/>
          <w14:ligatures w14:val="none"/>
        </w:rPr>
        <w:t xml:space="preserve"> It shows that the male scores varied between</w:t>
      </w:r>
      <w:r w:rsidR="0068382F" w:rsidRPr="0068382F">
        <w:rPr>
          <w:rFonts w:eastAsia="Times New Roman" w:cs="Times New Roman"/>
          <w:kern w:val="0"/>
          <w:sz w:val="22"/>
          <w:szCs w:val="22"/>
          <w:lang w:val="en-AE"/>
          <w14:ligatures w14:val="none"/>
        </w:rPr>
        <w:t xml:space="preserve"> approximately</w:t>
      </w:r>
      <w:r w:rsidR="00BE6B78" w:rsidRPr="0068382F">
        <w:rPr>
          <w:rFonts w:eastAsia="Times New Roman" w:cs="Times New Roman"/>
          <w:kern w:val="0"/>
          <w:sz w:val="22"/>
          <w:szCs w:val="22"/>
          <w:lang w:val="en-AE"/>
          <w14:ligatures w14:val="none"/>
        </w:rPr>
        <w:t xml:space="preserve"> </w:t>
      </w:r>
      <w:r w:rsidR="00BE6B78" w:rsidRPr="0068382F">
        <w:rPr>
          <w:rStyle w:val="Strong"/>
          <w:b w:val="0"/>
          <w:bCs w:val="0"/>
          <w:color w:val="000000" w:themeColor="text1"/>
          <w:sz w:val="22"/>
          <w:szCs w:val="22"/>
        </w:rPr>
        <w:t xml:space="preserve">4100 W ± </w:t>
      </w:r>
      <w:r w:rsidR="0068382F" w:rsidRPr="0068382F">
        <w:rPr>
          <w:rStyle w:val="Strong"/>
          <w:b w:val="0"/>
          <w:bCs w:val="0"/>
          <w:color w:val="000000" w:themeColor="text1"/>
          <w:sz w:val="22"/>
          <w:szCs w:val="22"/>
        </w:rPr>
        <w:t>1200</w:t>
      </w:r>
      <w:r w:rsidR="00BE6B78" w:rsidRPr="0068382F">
        <w:rPr>
          <w:rStyle w:val="Strong"/>
          <w:b w:val="0"/>
          <w:bCs w:val="0"/>
          <w:color w:val="000000" w:themeColor="text1"/>
          <w:sz w:val="22"/>
          <w:szCs w:val="22"/>
        </w:rPr>
        <w:t xml:space="preserve"> W</w:t>
      </w:r>
      <w:r w:rsidR="00BE6B78" w:rsidRPr="0068382F">
        <w:rPr>
          <w:rStyle w:val="Strong"/>
          <w:b w:val="0"/>
          <w:bCs w:val="0"/>
          <w:color w:val="000000" w:themeColor="text1"/>
          <w:sz w:val="22"/>
          <w:szCs w:val="22"/>
        </w:rPr>
        <w:t xml:space="preserve"> and female scores varied between </w:t>
      </w:r>
      <w:r w:rsidR="0068382F" w:rsidRPr="0068382F">
        <w:rPr>
          <w:rStyle w:val="Strong"/>
          <w:b w:val="0"/>
          <w:bCs w:val="0"/>
          <w:color w:val="000000" w:themeColor="text1"/>
          <w:sz w:val="22"/>
          <w:szCs w:val="22"/>
        </w:rPr>
        <w:t xml:space="preserve">approximately </w:t>
      </w:r>
      <w:r w:rsidR="00BE6B78" w:rsidRPr="0068382F">
        <w:rPr>
          <w:rStyle w:val="Strong"/>
          <w:b w:val="0"/>
          <w:bCs w:val="0"/>
          <w:color w:val="000000" w:themeColor="text1"/>
          <w:sz w:val="22"/>
          <w:szCs w:val="22"/>
        </w:rPr>
        <w:t>2</w:t>
      </w:r>
      <w:r w:rsidR="0068382F" w:rsidRPr="0068382F">
        <w:rPr>
          <w:rStyle w:val="Strong"/>
          <w:b w:val="0"/>
          <w:bCs w:val="0"/>
          <w:color w:val="000000" w:themeColor="text1"/>
          <w:sz w:val="22"/>
          <w:szCs w:val="22"/>
        </w:rPr>
        <w:t>800</w:t>
      </w:r>
      <w:r w:rsidR="00BE6B78" w:rsidRPr="0068382F">
        <w:rPr>
          <w:rStyle w:val="Strong"/>
          <w:b w:val="0"/>
          <w:bCs w:val="0"/>
          <w:color w:val="000000" w:themeColor="text1"/>
          <w:sz w:val="22"/>
          <w:szCs w:val="22"/>
        </w:rPr>
        <w:t xml:space="preserve"> W ± 700 W</w:t>
      </w:r>
      <w:r w:rsidR="00BE6B78" w:rsidRPr="0068382F">
        <w:rPr>
          <w:rStyle w:val="Strong"/>
          <w:b w:val="0"/>
          <w:bCs w:val="0"/>
          <w:color w:val="000000" w:themeColor="text1"/>
          <w:sz w:val="22"/>
          <w:szCs w:val="22"/>
        </w:rPr>
        <w:t xml:space="preserve">. </w:t>
      </w:r>
    </w:p>
    <w:p w14:paraId="7B7B9BF6" w14:textId="77777777" w:rsidR="00A23499" w:rsidRPr="00C64B71" w:rsidRDefault="00A23499" w:rsidP="00A23499">
      <w:pPr>
        <w:spacing w:before="100" w:beforeAutospacing="1" w:after="100" w:afterAutospacing="1" w:line="240" w:lineRule="auto"/>
        <w:rPr>
          <w:rFonts w:eastAsia="Times New Roman" w:cs="Times New Roman"/>
          <w:kern w:val="0"/>
          <w:sz w:val="22"/>
          <w:szCs w:val="22"/>
          <w:lang w:val="en-AE"/>
          <w14:ligatures w14:val="none"/>
        </w:rPr>
      </w:pPr>
      <w:r w:rsidRPr="00C64B71">
        <w:rPr>
          <w:rFonts w:eastAsia="Times New Roman" w:cs="Times New Roman"/>
          <w:b/>
          <w:bCs/>
          <w:kern w:val="0"/>
          <w:lang w:val="en-AE"/>
          <w14:ligatures w14:val="none"/>
        </w:rPr>
        <w:t>Interpretation and reflection</w:t>
      </w:r>
    </w:p>
    <w:p w14:paraId="6415829C" w14:textId="3FB80450" w:rsidR="00A23499" w:rsidRPr="0068382F" w:rsidRDefault="00A23499" w:rsidP="00A23499">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The findings indicate that male participants generated significantly more CMJ peak power compared to females. This aligns with already established principles relating to neuromuscular performance and sex based biological differences. Peak power depends on force generation and contraction velocity</w:t>
      </w:r>
      <w:r w:rsidR="007E49CF" w:rsidRPr="0068382F">
        <w:rPr>
          <w:rFonts w:eastAsia="Times New Roman" w:cs="Times New Roman"/>
          <w:kern w:val="0"/>
          <w:sz w:val="22"/>
          <w:szCs w:val="22"/>
          <w:lang w:val="en-AE"/>
          <w14:ligatures w14:val="none"/>
        </w:rPr>
        <w:t xml:space="preserve"> (</w:t>
      </w:r>
      <w:r w:rsidR="007E49CF" w:rsidRPr="0068382F">
        <w:rPr>
          <w:color w:val="000000" w:themeColor="text1"/>
          <w:sz w:val="22"/>
          <w:szCs w:val="22"/>
        </w:rPr>
        <w:t>Lin, Goldstein and Schroeder, 2025)</w:t>
      </w:r>
      <w:r w:rsidR="00AA74C0" w:rsidRPr="0068382F">
        <w:rPr>
          <w:rFonts w:eastAsia="Times New Roman" w:cs="Times New Roman"/>
          <w:color w:val="000000" w:themeColor="text1"/>
          <w:kern w:val="0"/>
          <w:sz w:val="22"/>
          <w:szCs w:val="22"/>
          <w:lang w:val="en-AE"/>
          <w14:ligatures w14:val="none"/>
        </w:rPr>
        <w:t xml:space="preserve">. </w:t>
      </w:r>
      <w:r w:rsidR="00AA74C0" w:rsidRPr="0068382F">
        <w:rPr>
          <w:rFonts w:eastAsia="Times New Roman" w:cs="Times New Roman"/>
          <w:kern w:val="0"/>
          <w:sz w:val="22"/>
          <w:szCs w:val="22"/>
          <w:lang w:val="en-AE"/>
          <w14:ligatures w14:val="none"/>
        </w:rPr>
        <w:t>Males generally have a higher lower limb mass and a larger muscle cross sectional area due to higher testosterone levels, which allows more force production</w:t>
      </w:r>
      <w:r w:rsidR="007E49CF" w:rsidRPr="0068382F">
        <w:rPr>
          <w:rFonts w:eastAsia="Times New Roman" w:cs="Times New Roman"/>
          <w:kern w:val="0"/>
          <w:sz w:val="22"/>
          <w:szCs w:val="22"/>
          <w:lang w:val="en-AE"/>
          <w14:ligatures w14:val="none"/>
        </w:rPr>
        <w:t xml:space="preserve"> </w:t>
      </w:r>
      <w:r w:rsidR="007E49CF" w:rsidRPr="0068382F">
        <w:rPr>
          <w:color w:val="000000" w:themeColor="text1"/>
          <w:sz w:val="22"/>
          <w:szCs w:val="22"/>
        </w:rPr>
        <w:t>(Handelsman, Hirschberg and Bermon, 2024)</w:t>
      </w:r>
      <w:r w:rsidR="007E49CF" w:rsidRPr="0068382F">
        <w:rPr>
          <w:rFonts w:eastAsia="Times New Roman" w:cs="Times New Roman"/>
          <w:color w:val="000000" w:themeColor="text1"/>
          <w:kern w:val="0"/>
          <w:sz w:val="22"/>
          <w:szCs w:val="22"/>
          <w:lang w:val="en-AE"/>
          <w14:ligatures w14:val="none"/>
        </w:rPr>
        <w:t xml:space="preserve">. </w:t>
      </w:r>
      <w:r w:rsidR="00AA74C0" w:rsidRPr="0068382F">
        <w:rPr>
          <w:rFonts w:eastAsia="Times New Roman" w:cs="Times New Roman"/>
          <w:kern w:val="0"/>
          <w:sz w:val="22"/>
          <w:szCs w:val="22"/>
          <w:lang w:val="en-AE"/>
          <w14:ligatures w14:val="none"/>
        </w:rPr>
        <w:t xml:space="preserve">Males also typically have more type II fast twitch fibres which produce force more rapidly. This also makes them better suited to explosive tasks, such as a counter movement jump. Using an objective measurement system improved accuracy of the test, and using a standardised ramp warm up increased reliability acorss the participants. </w:t>
      </w:r>
    </w:p>
    <w:p w14:paraId="014C0FDD" w14:textId="34A90981" w:rsidR="00580423" w:rsidRPr="00580423" w:rsidRDefault="00580423" w:rsidP="00580423">
      <w:pPr>
        <w:spacing w:before="100" w:beforeAutospacing="1" w:after="100" w:afterAutospacing="1" w:line="240" w:lineRule="auto"/>
        <w:outlineLvl w:val="1"/>
        <w:rPr>
          <w:rFonts w:eastAsia="Times New Roman" w:cs="Times New Roman"/>
          <w:b/>
          <w:bCs/>
          <w:kern w:val="0"/>
          <w:u w:val="single"/>
          <w:lang w:val="en-AE"/>
          <w14:ligatures w14:val="none"/>
        </w:rPr>
      </w:pPr>
      <w:r w:rsidRPr="00580423">
        <w:rPr>
          <w:rFonts w:eastAsia="Times New Roman" w:cs="Times New Roman"/>
          <w:b/>
          <w:bCs/>
          <w:kern w:val="0"/>
          <w:u w:val="single"/>
          <w:lang w:val="en-AE"/>
          <w14:ligatures w14:val="none"/>
        </w:rPr>
        <w:t xml:space="preserve">Conclusion </w:t>
      </w:r>
    </w:p>
    <w:p w14:paraId="250FD979" w14:textId="7820171B" w:rsidR="00580423"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 xml:space="preserve">Across the three experiments, distinct but interconnected physiological relationships between strength, anaerobic power, and aerobic capacity were observed.Experiment 1 demonstrated that resistance-based power assessments moderately predict anaerobic cycling performance, highlighting shared neuromuscular determinants while reinforcing the principle of movement specificity. Experiment 2 showed limited association between VO₂max and peak anaerobic power, emphasising the relative independence of aerobic and anaerobic energy systems. In contrast, Experiment 3 revealed a strong </w:t>
      </w:r>
      <w:r w:rsidR="007E49CF" w:rsidRPr="0068382F">
        <w:rPr>
          <w:rFonts w:eastAsia="Times New Roman" w:cs="Times New Roman"/>
          <w:kern w:val="0"/>
          <w:sz w:val="22"/>
          <w:szCs w:val="22"/>
          <w:lang w:val="en-AE"/>
          <w14:ligatures w14:val="none"/>
        </w:rPr>
        <w:t>difference</w:t>
      </w:r>
      <w:r w:rsidRPr="00580423">
        <w:rPr>
          <w:rFonts w:eastAsia="Times New Roman" w:cs="Times New Roman"/>
          <w:kern w:val="0"/>
          <w:sz w:val="22"/>
          <w:szCs w:val="22"/>
          <w:lang w:val="en-AE"/>
          <w14:ligatures w14:val="none"/>
        </w:rPr>
        <w:t xml:space="preserve"> between </w:t>
      </w:r>
      <w:r w:rsidR="007E49CF" w:rsidRPr="0068382F">
        <w:rPr>
          <w:rFonts w:eastAsia="Times New Roman" w:cs="Times New Roman"/>
          <w:kern w:val="0"/>
          <w:sz w:val="22"/>
          <w:szCs w:val="22"/>
          <w:lang w:val="en-AE"/>
          <w14:ligatures w14:val="none"/>
        </w:rPr>
        <w:t xml:space="preserve">male and female CMJ peak power </w:t>
      </w:r>
      <w:r w:rsidRPr="00580423">
        <w:rPr>
          <w:rFonts w:eastAsia="Times New Roman" w:cs="Times New Roman"/>
          <w:kern w:val="0"/>
          <w:sz w:val="22"/>
          <w:szCs w:val="22"/>
          <w:lang w:val="en-AE"/>
          <w14:ligatures w14:val="none"/>
        </w:rPr>
        <w:t>performance, supporting established strength</w:t>
      </w:r>
      <w:r w:rsidR="007E49CF" w:rsidRPr="0068382F">
        <w:rPr>
          <w:rFonts w:eastAsia="Times New Roman" w:cs="Times New Roman"/>
          <w:kern w:val="0"/>
          <w:sz w:val="22"/>
          <w:szCs w:val="22"/>
          <w:lang w:val="en-AE"/>
          <w14:ligatures w14:val="none"/>
        </w:rPr>
        <w:t xml:space="preserve"> and </w:t>
      </w:r>
      <w:r w:rsidRPr="00580423">
        <w:rPr>
          <w:rFonts w:eastAsia="Times New Roman" w:cs="Times New Roman"/>
          <w:kern w:val="0"/>
          <w:sz w:val="22"/>
          <w:szCs w:val="22"/>
          <w:lang w:val="en-AE"/>
          <w14:ligatures w14:val="none"/>
        </w:rPr>
        <w:t>power theories</w:t>
      </w:r>
      <w:r w:rsidR="007E49CF" w:rsidRPr="0068382F">
        <w:rPr>
          <w:rFonts w:eastAsia="Times New Roman" w:cs="Times New Roman"/>
          <w:kern w:val="0"/>
          <w:sz w:val="22"/>
          <w:szCs w:val="22"/>
          <w:lang w:val="en-AE"/>
          <w14:ligatures w14:val="none"/>
        </w:rPr>
        <w:t xml:space="preserve"> between males and females</w:t>
      </w:r>
      <w:r w:rsidRPr="00580423">
        <w:rPr>
          <w:rFonts w:eastAsia="Times New Roman" w:cs="Times New Roman"/>
          <w:kern w:val="0"/>
          <w:sz w:val="22"/>
          <w:szCs w:val="22"/>
          <w:lang w:val="en-AE"/>
          <w14:ligatures w14:val="none"/>
        </w:rPr>
        <w:t>.</w:t>
      </w:r>
    </w:p>
    <w:p w14:paraId="6C16AE2D" w14:textId="77777777" w:rsidR="00580423" w:rsidRPr="00580423"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lastRenderedPageBreak/>
        <w:t>Together, the findings illustrate that athletic performance cannot be explained by a single physiological variable. Instead, performance emerges from interactions between metabolic capacity, neuromuscular function, and biomechanical efficiency. Comprehensive athlete profiling therefore requires multiple complementary assessments.</w:t>
      </w:r>
    </w:p>
    <w:p w14:paraId="3D24EF88" w14:textId="65814182" w:rsidR="00580423" w:rsidRPr="0068382F" w:rsidRDefault="00580423" w:rsidP="00580423">
      <w:pPr>
        <w:spacing w:before="100" w:beforeAutospacing="1" w:after="100" w:afterAutospacing="1" w:line="240" w:lineRule="auto"/>
        <w:rPr>
          <w:rFonts w:eastAsia="Times New Roman" w:cs="Times New Roman"/>
          <w:kern w:val="0"/>
          <w:sz w:val="22"/>
          <w:szCs w:val="22"/>
          <w:lang w:val="en-AE"/>
          <w14:ligatures w14:val="none"/>
        </w:rPr>
      </w:pPr>
      <w:r w:rsidRPr="00580423">
        <w:rPr>
          <w:rFonts w:eastAsia="Times New Roman" w:cs="Times New Roman"/>
          <w:kern w:val="0"/>
          <w:sz w:val="22"/>
          <w:szCs w:val="22"/>
          <w:lang w:val="en-AE"/>
          <w14:ligatures w14:val="none"/>
        </w:rPr>
        <w:t>Through conducting these experiments, my understanding of physiological testing progressed substantially. I developed practical skills in equipment setup, calibration, and participant standardisation while recognising how methodological errors influence data interpretation. I also gained greater appreciation for selecting appropriate statistical analyses, distinguishing between comparisons (t-tests) and relationships (correlation analysis).</w:t>
      </w:r>
      <w:r w:rsidR="007E49CF" w:rsidRPr="0068382F">
        <w:rPr>
          <w:rFonts w:eastAsia="Times New Roman" w:cs="Times New Roman"/>
          <w:kern w:val="0"/>
          <w:sz w:val="22"/>
          <w:szCs w:val="22"/>
          <w:lang w:val="en-AE"/>
          <w14:ligatures w14:val="none"/>
        </w:rPr>
        <w:t xml:space="preserve"> </w:t>
      </w:r>
    </w:p>
    <w:p w14:paraId="4D05FF8F" w14:textId="6C2C267B" w:rsidR="00580423" w:rsidRPr="0068382F" w:rsidRDefault="007E49CF" w:rsidP="00580423">
      <w:pPr>
        <w:spacing w:before="100" w:beforeAutospacing="1" w:after="100" w:afterAutospacing="1" w:line="240" w:lineRule="auto"/>
        <w:rPr>
          <w:rFonts w:eastAsia="Times New Roman" w:cs="Times New Roman"/>
          <w:kern w:val="0"/>
          <w:sz w:val="22"/>
          <w:szCs w:val="22"/>
          <w:lang w:val="en-AE"/>
          <w14:ligatures w14:val="none"/>
        </w:rPr>
      </w:pPr>
      <w:r w:rsidRPr="0068382F">
        <w:rPr>
          <w:rFonts w:eastAsia="Times New Roman" w:cs="Times New Roman"/>
          <w:kern w:val="0"/>
          <w:sz w:val="22"/>
          <w:szCs w:val="22"/>
          <w:lang w:val="en-AE"/>
          <w14:ligatures w14:val="none"/>
        </w:rPr>
        <w:t>Another important insight that I have gained throughout this portfolio is the role of reliability and individual variability in testing. The difference in group results on a variety of tests highlighted to me the importance of training history, participant motivation and fatigue status be</w:t>
      </w:r>
      <w:r w:rsidR="0068382F" w:rsidRPr="0068382F">
        <w:rPr>
          <w:rFonts w:eastAsia="Times New Roman" w:cs="Times New Roman"/>
          <w:kern w:val="0"/>
          <w:sz w:val="22"/>
          <w:szCs w:val="22"/>
          <w:lang w:val="en-AE"/>
          <w14:ligatures w14:val="none"/>
        </w:rPr>
        <w:t>c</w:t>
      </w:r>
      <w:r w:rsidRPr="0068382F">
        <w:rPr>
          <w:rFonts w:eastAsia="Times New Roman" w:cs="Times New Roman"/>
          <w:kern w:val="0"/>
          <w:sz w:val="22"/>
          <w:szCs w:val="22"/>
          <w:lang w:val="en-AE"/>
          <w14:ligatures w14:val="none"/>
        </w:rPr>
        <w:t xml:space="preserve">ause they can all have a huge </w:t>
      </w:r>
      <w:r w:rsidR="00DB3265" w:rsidRPr="0068382F">
        <w:rPr>
          <w:rFonts w:eastAsia="Times New Roman" w:cs="Times New Roman"/>
          <w:kern w:val="0"/>
          <w:sz w:val="22"/>
          <w:szCs w:val="22"/>
          <w:lang w:val="en-AE"/>
          <w14:ligatures w14:val="none"/>
        </w:rPr>
        <w:t xml:space="preserve">influence on the participants results. </w:t>
      </w:r>
      <w:r w:rsidR="00580423" w:rsidRPr="00580423">
        <w:rPr>
          <w:rFonts w:eastAsia="Times New Roman" w:cs="Times New Roman"/>
          <w:kern w:val="0"/>
          <w:sz w:val="22"/>
          <w:szCs w:val="22"/>
          <w:lang w:val="en-AE"/>
          <w14:ligatures w14:val="none"/>
        </w:rPr>
        <w:t>Most importantly, the portfolio reinforced the importance of translating laboratory data into applied decision-making. Physiological testing is most valuable when results inform training prescription, performance monitoring, and long-term athlete development.</w:t>
      </w:r>
    </w:p>
    <w:p w14:paraId="15BD7112" w14:textId="77777777" w:rsidR="007E49CF" w:rsidRDefault="007E49CF" w:rsidP="00580423">
      <w:pPr>
        <w:spacing w:before="100" w:beforeAutospacing="1" w:after="100" w:afterAutospacing="1" w:line="240" w:lineRule="auto"/>
        <w:rPr>
          <w:rFonts w:eastAsia="Times New Roman" w:cs="Times New Roman"/>
          <w:b/>
          <w:bCs/>
          <w:kern w:val="0"/>
          <w:u w:val="single"/>
          <w:lang w:val="en-AE"/>
          <w14:ligatures w14:val="none"/>
        </w:rPr>
      </w:pPr>
    </w:p>
    <w:p w14:paraId="73F38D4F"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2E1B3060"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12313783"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6BD07525"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0685EAAA"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361B7BE0"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6665021C"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734713C7"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7BCF0467"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3406C138"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6D934E33"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7D69DE97" w14:textId="77777777" w:rsidR="007A3865" w:rsidRDefault="007A3865" w:rsidP="00580423">
      <w:pPr>
        <w:spacing w:before="100" w:beforeAutospacing="1" w:after="100" w:afterAutospacing="1" w:line="240" w:lineRule="auto"/>
        <w:rPr>
          <w:rFonts w:eastAsia="Times New Roman" w:cs="Times New Roman"/>
          <w:b/>
          <w:bCs/>
          <w:kern w:val="0"/>
          <w:u w:val="single"/>
          <w:lang w:val="en-AE"/>
          <w14:ligatures w14:val="none"/>
        </w:rPr>
      </w:pPr>
    </w:p>
    <w:p w14:paraId="13CBBFD6" w14:textId="77777777" w:rsidR="0068382F" w:rsidRDefault="0068382F" w:rsidP="00580423">
      <w:pPr>
        <w:spacing w:before="100" w:beforeAutospacing="1" w:after="100" w:afterAutospacing="1" w:line="240" w:lineRule="auto"/>
        <w:rPr>
          <w:rFonts w:eastAsia="Times New Roman" w:cs="Times New Roman"/>
          <w:b/>
          <w:bCs/>
          <w:kern w:val="0"/>
          <w:u w:val="single"/>
          <w:lang w:val="en-AE"/>
          <w14:ligatures w14:val="none"/>
        </w:rPr>
      </w:pPr>
    </w:p>
    <w:p w14:paraId="71E06309" w14:textId="036D5112" w:rsidR="007E49CF" w:rsidRPr="00580423" w:rsidRDefault="007E49CF" w:rsidP="00580423">
      <w:pPr>
        <w:spacing w:before="100" w:beforeAutospacing="1" w:after="100" w:afterAutospacing="1" w:line="240" w:lineRule="auto"/>
        <w:rPr>
          <w:rFonts w:eastAsia="Times New Roman" w:cs="Times New Roman"/>
          <w:b/>
          <w:bCs/>
          <w:kern w:val="0"/>
          <w:u w:val="single"/>
          <w:lang w:val="en-AE"/>
          <w14:ligatures w14:val="none"/>
        </w:rPr>
      </w:pPr>
      <w:r w:rsidRPr="007E49CF">
        <w:rPr>
          <w:rFonts w:eastAsia="Times New Roman" w:cs="Times New Roman"/>
          <w:b/>
          <w:bCs/>
          <w:kern w:val="0"/>
          <w:u w:val="single"/>
          <w:lang w:val="en-AE"/>
          <w14:ligatures w14:val="none"/>
        </w:rPr>
        <w:lastRenderedPageBreak/>
        <w:t xml:space="preserve">Reference list </w:t>
      </w:r>
    </w:p>
    <w:p w14:paraId="59423C7A" w14:textId="77777777" w:rsidR="00FE0E81" w:rsidRPr="0068382F" w:rsidRDefault="00FE0E81">
      <w:pPr>
        <w:rPr>
          <w:sz w:val="22"/>
          <w:szCs w:val="22"/>
        </w:rPr>
      </w:pPr>
      <w:r w:rsidRPr="0068382F">
        <w:rPr>
          <w:sz w:val="22"/>
          <w:szCs w:val="22"/>
        </w:rPr>
        <w:t>Carrier, B., Helm, M.M., Cruz, K., Barrios, B. and Navalta, J.W., 2023.</w:t>
      </w:r>
      <w:r w:rsidRPr="0068382F">
        <w:rPr>
          <w:sz w:val="22"/>
          <w:szCs w:val="22"/>
        </w:rPr>
        <w:br/>
      </w:r>
      <w:r w:rsidRPr="0068382F">
        <w:rPr>
          <w:rStyle w:val="Strong"/>
          <w:b w:val="0"/>
          <w:bCs w:val="0"/>
          <w:sz w:val="22"/>
          <w:szCs w:val="22"/>
        </w:rPr>
        <w:t>Validation of aerobic capacity (VO</w:t>
      </w:r>
      <w:r>
        <w:rPr>
          <w:rStyle w:val="Strong"/>
          <w:b w:val="0"/>
          <w:bCs w:val="0"/>
          <w:sz w:val="22"/>
          <w:szCs w:val="22"/>
        </w:rPr>
        <w:t>2</w:t>
      </w:r>
      <w:r w:rsidRPr="0068382F">
        <w:rPr>
          <w:rStyle w:val="Strong"/>
          <w:b w:val="0"/>
          <w:bCs w:val="0"/>
          <w:sz w:val="22"/>
          <w:szCs w:val="22"/>
        </w:rPr>
        <w:t>max) and lactate threshold in wearable technology for athletic populations.</w:t>
      </w:r>
      <w:r w:rsidRPr="0068382F">
        <w:rPr>
          <w:sz w:val="22"/>
          <w:szCs w:val="22"/>
        </w:rPr>
        <w:t xml:space="preserve"> </w:t>
      </w:r>
      <w:r w:rsidRPr="0068382F">
        <w:rPr>
          <w:rStyle w:val="Emphasis"/>
          <w:i w:val="0"/>
          <w:iCs w:val="0"/>
          <w:sz w:val="22"/>
          <w:szCs w:val="22"/>
        </w:rPr>
        <w:t>Technologie</w:t>
      </w:r>
      <w:r w:rsidRPr="0068382F">
        <w:rPr>
          <w:rStyle w:val="Emphasis"/>
          <w:sz w:val="22"/>
          <w:szCs w:val="22"/>
        </w:rPr>
        <w:t>s</w:t>
      </w:r>
      <w:r w:rsidRPr="0068382F">
        <w:rPr>
          <w:sz w:val="22"/>
          <w:szCs w:val="22"/>
        </w:rPr>
        <w:t>, 11(3), 71.</w:t>
      </w:r>
    </w:p>
    <w:p w14:paraId="5D16F726" w14:textId="77777777" w:rsidR="00FE0E81" w:rsidRPr="0068382F" w:rsidRDefault="00FE0E81">
      <w:pPr>
        <w:rPr>
          <w:color w:val="000000" w:themeColor="text1"/>
          <w:sz w:val="22"/>
          <w:szCs w:val="22"/>
        </w:rPr>
      </w:pPr>
      <w:r w:rsidRPr="0068382F">
        <w:rPr>
          <w:color w:val="000000" w:themeColor="text1"/>
          <w:sz w:val="22"/>
          <w:szCs w:val="22"/>
        </w:rPr>
        <w:t>Handelsman, D. J., Hirschberg, A. L., &amp; Bermon, S. (2024). Circulating testosterone as the hormonal basis of sex differences in athletic performance.</w:t>
      </w:r>
      <w:r w:rsidRPr="0068382F">
        <w:rPr>
          <w:rStyle w:val="apple-converted-space"/>
          <w:color w:val="000000" w:themeColor="text1"/>
          <w:sz w:val="22"/>
          <w:szCs w:val="22"/>
        </w:rPr>
        <w:t> </w:t>
      </w:r>
      <w:r w:rsidRPr="0068382F">
        <w:rPr>
          <w:rStyle w:val="Emphasis"/>
          <w:i w:val="0"/>
          <w:iCs w:val="0"/>
          <w:color w:val="000000" w:themeColor="text1"/>
          <w:sz w:val="22"/>
          <w:szCs w:val="22"/>
        </w:rPr>
        <w:t>Endocrinology, 165</w:t>
      </w:r>
      <w:r w:rsidRPr="0068382F">
        <w:rPr>
          <w:color w:val="000000" w:themeColor="text1"/>
          <w:sz w:val="22"/>
          <w:szCs w:val="22"/>
        </w:rPr>
        <w:t>(5</w:t>
      </w:r>
      <w:r w:rsidRPr="0068382F">
        <w:rPr>
          <w:i/>
          <w:iCs/>
          <w:color w:val="000000" w:themeColor="text1"/>
          <w:sz w:val="22"/>
          <w:szCs w:val="22"/>
        </w:rPr>
        <w:t>),</w:t>
      </w:r>
      <w:r w:rsidRPr="0068382F">
        <w:rPr>
          <w:color w:val="000000" w:themeColor="text1"/>
          <w:sz w:val="22"/>
          <w:szCs w:val="22"/>
        </w:rPr>
        <w:t xml:space="preserve"> bqae036</w:t>
      </w:r>
    </w:p>
    <w:p w14:paraId="55145D0C" w14:textId="77777777" w:rsidR="00FE0E81" w:rsidRPr="00FE0E81" w:rsidRDefault="00FE0E81" w:rsidP="00FE0E81">
      <w:pPr>
        <w:pStyle w:val="NormalWeb"/>
        <w:rPr>
          <w:rFonts w:asciiTheme="minorHAnsi" w:hAnsiTheme="minorHAnsi"/>
          <w:sz w:val="22"/>
          <w:szCs w:val="22"/>
        </w:rPr>
      </w:pPr>
      <w:r w:rsidRPr="00FE0E81">
        <w:rPr>
          <w:rStyle w:val="Strong"/>
          <w:rFonts w:asciiTheme="minorHAnsi" w:eastAsiaTheme="majorEastAsia" w:hAnsiTheme="minorHAnsi"/>
          <w:b w:val="0"/>
          <w:bCs w:val="0"/>
          <w:sz w:val="22"/>
          <w:szCs w:val="22"/>
        </w:rPr>
        <w:t>Hans Rudolph, Inc.</w:t>
      </w:r>
      <w:r w:rsidRPr="00FE0E81">
        <w:rPr>
          <w:rFonts w:asciiTheme="minorHAnsi" w:hAnsiTheme="minorHAnsi"/>
          <w:sz w:val="22"/>
          <w:szCs w:val="22"/>
        </w:rPr>
        <w:t xml:space="preserve"> (no date) </w:t>
      </w:r>
      <w:r w:rsidRPr="00FE0E81">
        <w:rPr>
          <w:rStyle w:val="Emphasis"/>
          <w:rFonts w:asciiTheme="minorHAnsi" w:eastAsiaTheme="majorEastAsia" w:hAnsiTheme="minorHAnsi"/>
          <w:i w:val="0"/>
          <w:iCs w:val="0"/>
          <w:sz w:val="22"/>
          <w:szCs w:val="22"/>
        </w:rPr>
        <w:t>Medical Devices</w:t>
      </w:r>
      <w:r w:rsidRPr="00FE0E81">
        <w:rPr>
          <w:rFonts w:asciiTheme="minorHAnsi" w:hAnsiTheme="minorHAnsi"/>
          <w:i/>
          <w:iCs/>
          <w:sz w:val="22"/>
          <w:szCs w:val="22"/>
        </w:rPr>
        <w:t>.</w:t>
      </w:r>
      <w:r w:rsidRPr="00FE0E81">
        <w:rPr>
          <w:rFonts w:asciiTheme="minorHAnsi" w:hAnsiTheme="minorHAnsi"/>
          <w:sz w:val="22"/>
          <w:szCs w:val="22"/>
        </w:rPr>
        <w:t xml:space="preserve"> Available at: </w:t>
      </w:r>
      <w:hyperlink r:id="rId9" w:tgtFrame="_new" w:history="1">
        <w:r w:rsidRPr="00FE0E81">
          <w:rPr>
            <w:rStyle w:val="Hyperlink"/>
            <w:rFonts w:asciiTheme="minorHAnsi" w:eastAsiaTheme="majorEastAsia" w:hAnsiTheme="minorHAnsi"/>
            <w:sz w:val="22"/>
            <w:szCs w:val="22"/>
          </w:rPr>
          <w:t>https://www.rudolphkc.com/</w:t>
        </w:r>
      </w:hyperlink>
      <w:r w:rsidRPr="00FE0E81">
        <w:rPr>
          <w:rFonts w:asciiTheme="minorHAnsi" w:hAnsiTheme="minorHAnsi"/>
          <w:sz w:val="22"/>
          <w:szCs w:val="22"/>
        </w:rPr>
        <w:t xml:space="preserve"> (Accessed: 5 March 2026).</w:t>
      </w:r>
    </w:p>
    <w:p w14:paraId="094272F3" w14:textId="77777777" w:rsidR="00FE0E81" w:rsidRPr="00FE0E81" w:rsidRDefault="00FE0E81" w:rsidP="00FE0E81">
      <w:pPr>
        <w:pStyle w:val="NormalWeb"/>
        <w:rPr>
          <w:rFonts w:asciiTheme="minorHAnsi" w:hAnsiTheme="minorHAnsi"/>
          <w:sz w:val="22"/>
          <w:szCs w:val="22"/>
        </w:rPr>
      </w:pPr>
      <w:r w:rsidRPr="00FE0E81">
        <w:rPr>
          <w:rStyle w:val="Strong"/>
          <w:rFonts w:asciiTheme="minorHAnsi" w:eastAsiaTheme="majorEastAsia" w:hAnsiTheme="minorHAnsi"/>
          <w:b w:val="0"/>
          <w:bCs w:val="0"/>
          <w:sz w:val="22"/>
          <w:szCs w:val="22"/>
        </w:rPr>
        <w:t>Harvard Apparatus</w:t>
      </w:r>
      <w:r w:rsidRPr="00FE0E81">
        <w:rPr>
          <w:rFonts w:asciiTheme="minorHAnsi" w:hAnsiTheme="minorHAnsi"/>
          <w:sz w:val="22"/>
          <w:szCs w:val="22"/>
        </w:rPr>
        <w:t xml:space="preserve"> (no date) </w:t>
      </w:r>
      <w:r w:rsidRPr="00FE0E81">
        <w:rPr>
          <w:rStyle w:val="Emphasis"/>
          <w:rFonts w:asciiTheme="minorHAnsi" w:eastAsiaTheme="majorEastAsia" w:hAnsiTheme="minorHAnsi"/>
          <w:i w:val="0"/>
          <w:iCs w:val="0"/>
          <w:sz w:val="22"/>
          <w:szCs w:val="22"/>
        </w:rPr>
        <w:t>Harvard Apparatus</w:t>
      </w:r>
      <w:r w:rsidRPr="00FE0E81">
        <w:rPr>
          <w:rFonts w:asciiTheme="minorHAnsi" w:hAnsiTheme="minorHAnsi"/>
          <w:i/>
          <w:iCs/>
          <w:sz w:val="22"/>
          <w:szCs w:val="22"/>
        </w:rPr>
        <w:t>.</w:t>
      </w:r>
      <w:r w:rsidRPr="00FE0E81">
        <w:rPr>
          <w:rFonts w:asciiTheme="minorHAnsi" w:hAnsiTheme="minorHAnsi"/>
          <w:sz w:val="22"/>
          <w:szCs w:val="22"/>
        </w:rPr>
        <w:t xml:space="preserve"> Available at: </w:t>
      </w:r>
      <w:hyperlink r:id="rId10" w:tgtFrame="_new" w:history="1">
        <w:r w:rsidRPr="00FE0E81">
          <w:rPr>
            <w:rStyle w:val="Hyperlink"/>
            <w:rFonts w:asciiTheme="minorHAnsi" w:eastAsiaTheme="majorEastAsia" w:hAnsiTheme="minorHAnsi"/>
            <w:sz w:val="22"/>
            <w:szCs w:val="22"/>
          </w:rPr>
          <w:t>https://www.harvardapparatus.com/</w:t>
        </w:r>
      </w:hyperlink>
      <w:r w:rsidRPr="00FE0E81">
        <w:rPr>
          <w:rFonts w:asciiTheme="minorHAnsi" w:hAnsiTheme="minorHAnsi"/>
          <w:sz w:val="22"/>
          <w:szCs w:val="22"/>
        </w:rPr>
        <w:t xml:space="preserve"> (Accessed: 5 March 2026).</w:t>
      </w:r>
    </w:p>
    <w:p w14:paraId="554082BB" w14:textId="77777777" w:rsidR="00FE0E81" w:rsidRPr="00FE0E81" w:rsidRDefault="00FE0E81" w:rsidP="00FE0E81">
      <w:pPr>
        <w:pStyle w:val="NormalWeb"/>
        <w:rPr>
          <w:rFonts w:asciiTheme="minorHAnsi" w:hAnsiTheme="minorHAnsi"/>
          <w:sz w:val="22"/>
          <w:szCs w:val="22"/>
        </w:rPr>
      </w:pPr>
      <w:r w:rsidRPr="00FE0E81">
        <w:rPr>
          <w:rStyle w:val="Strong"/>
          <w:rFonts w:asciiTheme="minorHAnsi" w:eastAsiaTheme="majorEastAsia" w:hAnsiTheme="minorHAnsi"/>
          <w:b w:val="0"/>
          <w:bCs w:val="0"/>
          <w:sz w:val="22"/>
          <w:szCs w:val="22"/>
        </w:rPr>
        <w:t>HUR Oy</w:t>
      </w:r>
      <w:r w:rsidRPr="00FE0E81">
        <w:rPr>
          <w:rFonts w:asciiTheme="minorHAnsi" w:hAnsiTheme="minorHAnsi"/>
          <w:b/>
          <w:bCs/>
          <w:sz w:val="22"/>
          <w:szCs w:val="22"/>
        </w:rPr>
        <w:t xml:space="preserve"> (</w:t>
      </w:r>
      <w:r w:rsidRPr="00FE0E81">
        <w:rPr>
          <w:rFonts w:asciiTheme="minorHAnsi" w:hAnsiTheme="minorHAnsi"/>
          <w:sz w:val="22"/>
          <w:szCs w:val="22"/>
        </w:rPr>
        <w:t xml:space="preserve">2025) </w:t>
      </w:r>
      <w:r w:rsidRPr="00FE0E81">
        <w:rPr>
          <w:rStyle w:val="Emphasis"/>
          <w:rFonts w:asciiTheme="minorHAnsi" w:eastAsiaTheme="majorEastAsia" w:hAnsiTheme="minorHAnsi"/>
          <w:i w:val="0"/>
          <w:iCs w:val="0"/>
          <w:sz w:val="22"/>
          <w:szCs w:val="22"/>
        </w:rPr>
        <w:t>Your Partner for Lifelong Strength</w:t>
      </w:r>
      <w:r w:rsidRPr="00FE0E81">
        <w:rPr>
          <w:rFonts w:asciiTheme="minorHAnsi" w:hAnsiTheme="minorHAnsi"/>
          <w:sz w:val="22"/>
          <w:szCs w:val="22"/>
        </w:rPr>
        <w:t xml:space="preserve">. Available at: </w:t>
      </w:r>
      <w:hyperlink r:id="rId11" w:tgtFrame="_new" w:history="1">
        <w:r w:rsidRPr="00FE0E81">
          <w:rPr>
            <w:rStyle w:val="Hyperlink"/>
            <w:rFonts w:asciiTheme="minorHAnsi" w:eastAsiaTheme="majorEastAsia" w:hAnsiTheme="minorHAnsi"/>
            <w:sz w:val="22"/>
            <w:szCs w:val="22"/>
          </w:rPr>
          <w:t>https://hur.fi/</w:t>
        </w:r>
      </w:hyperlink>
      <w:r w:rsidRPr="00FE0E81">
        <w:rPr>
          <w:rFonts w:asciiTheme="minorHAnsi" w:hAnsiTheme="minorHAnsi"/>
          <w:sz w:val="22"/>
          <w:szCs w:val="22"/>
        </w:rPr>
        <w:t xml:space="preserve"> (Accessed: 5 March 2026).</w:t>
      </w:r>
    </w:p>
    <w:p w14:paraId="26E43174" w14:textId="77777777" w:rsidR="00FE0E81" w:rsidRPr="00FE0E81" w:rsidRDefault="00FE0E81" w:rsidP="00FE0E81">
      <w:pPr>
        <w:pStyle w:val="NormalWeb"/>
        <w:rPr>
          <w:rFonts w:asciiTheme="minorHAnsi" w:hAnsiTheme="minorHAnsi"/>
          <w:sz w:val="22"/>
          <w:szCs w:val="22"/>
        </w:rPr>
      </w:pPr>
      <w:r w:rsidRPr="00FE0E81">
        <w:rPr>
          <w:rStyle w:val="Strong"/>
          <w:rFonts w:asciiTheme="minorHAnsi" w:eastAsiaTheme="majorEastAsia" w:hAnsiTheme="minorHAnsi"/>
          <w:b w:val="0"/>
          <w:bCs w:val="0"/>
          <w:sz w:val="22"/>
          <w:szCs w:val="22"/>
        </w:rPr>
        <w:t>Keiser Corporation</w:t>
      </w:r>
      <w:r w:rsidRPr="00FE0E81">
        <w:rPr>
          <w:rFonts w:asciiTheme="minorHAnsi" w:hAnsiTheme="minorHAnsi"/>
          <w:sz w:val="22"/>
          <w:szCs w:val="22"/>
        </w:rPr>
        <w:t xml:space="preserve"> (no date) </w:t>
      </w:r>
      <w:r w:rsidRPr="00FE0E81">
        <w:rPr>
          <w:rStyle w:val="Emphasis"/>
          <w:rFonts w:asciiTheme="minorHAnsi" w:eastAsiaTheme="majorEastAsia" w:hAnsiTheme="minorHAnsi"/>
          <w:i w:val="0"/>
          <w:iCs w:val="0"/>
          <w:sz w:val="22"/>
          <w:szCs w:val="22"/>
        </w:rPr>
        <w:t>Commercial and Home Fitness Equipment</w:t>
      </w:r>
      <w:r w:rsidRPr="00FE0E81">
        <w:rPr>
          <w:rFonts w:asciiTheme="minorHAnsi" w:hAnsiTheme="minorHAnsi"/>
          <w:i/>
          <w:iCs/>
          <w:sz w:val="22"/>
          <w:szCs w:val="22"/>
        </w:rPr>
        <w:t>.</w:t>
      </w:r>
      <w:r w:rsidRPr="00FE0E81">
        <w:rPr>
          <w:rFonts w:asciiTheme="minorHAnsi" w:hAnsiTheme="minorHAnsi"/>
          <w:sz w:val="22"/>
          <w:szCs w:val="22"/>
        </w:rPr>
        <w:t xml:space="preserve"> Available at: </w:t>
      </w:r>
      <w:hyperlink r:id="rId12" w:tgtFrame="_new" w:history="1">
        <w:r w:rsidRPr="00FE0E81">
          <w:rPr>
            <w:rStyle w:val="Hyperlink"/>
            <w:rFonts w:asciiTheme="minorHAnsi" w:eastAsiaTheme="majorEastAsia" w:hAnsiTheme="minorHAnsi"/>
            <w:sz w:val="22"/>
            <w:szCs w:val="22"/>
          </w:rPr>
          <w:t>https://www.keiser.com/</w:t>
        </w:r>
      </w:hyperlink>
      <w:r w:rsidRPr="00FE0E81">
        <w:rPr>
          <w:rFonts w:asciiTheme="minorHAnsi" w:hAnsiTheme="minorHAnsi"/>
          <w:sz w:val="22"/>
          <w:szCs w:val="22"/>
        </w:rPr>
        <w:t xml:space="preserve"> (Accessed: 5 March 2026).</w:t>
      </w:r>
    </w:p>
    <w:p w14:paraId="1B49E9BD" w14:textId="50564081" w:rsidR="00FE0E81" w:rsidRDefault="00FE0E81">
      <w:pPr>
        <w:rPr>
          <w:color w:val="000000" w:themeColor="text1"/>
          <w:sz w:val="22"/>
          <w:szCs w:val="22"/>
        </w:rPr>
      </w:pPr>
      <w:r w:rsidRPr="0068382F">
        <w:rPr>
          <w:color w:val="000000" w:themeColor="text1"/>
          <w:sz w:val="22"/>
          <w:szCs w:val="22"/>
        </w:rPr>
        <w:t xml:space="preserve">Lin, J., Goldstein, E. and Schroeder, E.T., 2025. Sex-specific countermovement </w:t>
      </w:r>
      <w:r w:rsidR="00C64B71" w:rsidRPr="0068382F">
        <w:rPr>
          <w:color w:val="000000" w:themeColor="text1"/>
          <w:sz w:val="22"/>
          <w:szCs w:val="22"/>
        </w:rPr>
        <w:t>jump</w:t>
      </w:r>
      <w:r w:rsidR="00C64B71">
        <w:rPr>
          <w:color w:val="000000" w:themeColor="text1"/>
          <w:sz w:val="22"/>
          <w:szCs w:val="22"/>
        </w:rPr>
        <w:t xml:space="preserve"> </w:t>
      </w:r>
      <w:r w:rsidRPr="0068382F">
        <w:rPr>
          <w:color w:val="000000" w:themeColor="text1"/>
          <w:sz w:val="22"/>
          <w:szCs w:val="22"/>
        </w:rPr>
        <w:t>strategies in NCAA Division I athletes.</w:t>
      </w:r>
      <w:r w:rsidRPr="0068382F">
        <w:rPr>
          <w:rStyle w:val="apple-converted-space"/>
          <w:color w:val="000000" w:themeColor="text1"/>
          <w:sz w:val="22"/>
          <w:szCs w:val="22"/>
        </w:rPr>
        <w:t> </w:t>
      </w:r>
      <w:r w:rsidRPr="0068382F">
        <w:rPr>
          <w:rStyle w:val="Emphasis"/>
          <w:i w:val="0"/>
          <w:iCs w:val="0"/>
          <w:color w:val="000000" w:themeColor="text1"/>
          <w:sz w:val="22"/>
          <w:szCs w:val="22"/>
        </w:rPr>
        <w:t>Sports</w:t>
      </w:r>
      <w:r w:rsidRPr="0068382F">
        <w:rPr>
          <w:color w:val="000000" w:themeColor="text1"/>
          <w:sz w:val="22"/>
          <w:szCs w:val="22"/>
        </w:rPr>
        <w:t>, 13(9), p.292.</w:t>
      </w:r>
      <w:r w:rsidRPr="0068382F">
        <w:rPr>
          <w:rStyle w:val="apple-converted-space"/>
          <w:color w:val="000000" w:themeColor="text1"/>
          <w:sz w:val="22"/>
          <w:szCs w:val="22"/>
        </w:rPr>
        <w:t> </w:t>
      </w:r>
      <w:hyperlink r:id="rId13" w:tgtFrame="_new" w:history="1">
        <w:r w:rsidRPr="0068382F">
          <w:rPr>
            <w:rStyle w:val="Hyperlink"/>
            <w:color w:val="000000" w:themeColor="text1"/>
            <w:sz w:val="22"/>
            <w:szCs w:val="22"/>
            <w:u w:val="none"/>
          </w:rPr>
          <w:t>https://d</w:t>
        </w:r>
        <w:r w:rsidRPr="0068382F">
          <w:rPr>
            <w:rStyle w:val="Hyperlink"/>
            <w:color w:val="000000" w:themeColor="text1"/>
            <w:sz w:val="22"/>
            <w:szCs w:val="22"/>
            <w:u w:val="none"/>
          </w:rPr>
          <w:t>o</w:t>
        </w:r>
        <w:r w:rsidRPr="0068382F">
          <w:rPr>
            <w:rStyle w:val="Hyperlink"/>
            <w:color w:val="000000" w:themeColor="text1"/>
            <w:sz w:val="22"/>
            <w:szCs w:val="22"/>
            <w:u w:val="none"/>
          </w:rPr>
          <w:t>i.org/10.3390/sports13090292</w:t>
        </w:r>
      </w:hyperlink>
    </w:p>
    <w:p w14:paraId="60026ABD" w14:textId="6967B92B" w:rsidR="00E62870" w:rsidRPr="0068382F" w:rsidRDefault="00E62870">
      <w:pPr>
        <w:rPr>
          <w:color w:val="000000" w:themeColor="text1"/>
          <w:sz w:val="22"/>
          <w:szCs w:val="22"/>
        </w:rPr>
      </w:pPr>
      <w:r>
        <w:t xml:space="preserve">Microsoft (2024) </w:t>
      </w:r>
      <w:r w:rsidRPr="00E62870">
        <w:rPr>
          <w:rStyle w:val="Emphasis"/>
          <w:i w:val="0"/>
          <w:iCs w:val="0"/>
        </w:rPr>
        <w:t>Microsoft Copilot</w:t>
      </w:r>
      <w:r>
        <w:t xml:space="preserve">. Available at: </w:t>
      </w:r>
      <w:hyperlink r:id="rId14" w:tgtFrame="_new" w:history="1">
        <w:r>
          <w:rPr>
            <w:rStyle w:val="Hyperlink"/>
          </w:rPr>
          <w:t>https://copilot.microsoft.com/</w:t>
        </w:r>
      </w:hyperlink>
      <w:r>
        <w:t xml:space="preserve"> </w:t>
      </w:r>
      <w:r w:rsidR="00AB54E3">
        <w:t xml:space="preserve">- </w:t>
      </w:r>
      <w:r w:rsidR="00AB54E3">
        <w:t xml:space="preserve">Microsoft Copilot was used to assist with structuring the </w:t>
      </w:r>
      <w:r w:rsidR="00AB54E3">
        <w:t>assignment</w:t>
      </w:r>
    </w:p>
    <w:p w14:paraId="7D98ACC8" w14:textId="77777777" w:rsidR="00FE0E81" w:rsidRPr="00FE0E81" w:rsidRDefault="00FE0E81" w:rsidP="00FE0E81">
      <w:pPr>
        <w:pStyle w:val="NormalWeb"/>
        <w:rPr>
          <w:rFonts w:asciiTheme="minorHAnsi" w:hAnsiTheme="minorHAnsi"/>
          <w:sz w:val="22"/>
          <w:szCs w:val="22"/>
        </w:rPr>
      </w:pPr>
      <w:r w:rsidRPr="00FE0E81">
        <w:rPr>
          <w:rStyle w:val="Strong"/>
          <w:rFonts w:asciiTheme="minorHAnsi" w:eastAsiaTheme="majorEastAsia" w:hAnsiTheme="minorHAnsi"/>
          <w:b w:val="0"/>
          <w:bCs w:val="0"/>
          <w:sz w:val="22"/>
          <w:szCs w:val="22"/>
        </w:rPr>
        <w:t>Monark Exercise AB</w:t>
      </w:r>
      <w:r w:rsidRPr="00FE0E81">
        <w:rPr>
          <w:rFonts w:asciiTheme="minorHAnsi" w:hAnsiTheme="minorHAnsi"/>
          <w:sz w:val="22"/>
          <w:szCs w:val="22"/>
        </w:rPr>
        <w:t xml:space="preserve"> (2025) </w:t>
      </w:r>
      <w:r w:rsidRPr="00FE0E81">
        <w:rPr>
          <w:rStyle w:val="Emphasis"/>
          <w:rFonts w:asciiTheme="minorHAnsi" w:eastAsiaTheme="majorEastAsia" w:hAnsiTheme="minorHAnsi"/>
          <w:i w:val="0"/>
          <w:iCs w:val="0"/>
          <w:sz w:val="22"/>
          <w:szCs w:val="22"/>
        </w:rPr>
        <w:t>For Life and Performance</w:t>
      </w:r>
      <w:r w:rsidRPr="00FE0E81">
        <w:rPr>
          <w:rFonts w:asciiTheme="minorHAnsi" w:hAnsiTheme="minorHAnsi"/>
          <w:i/>
          <w:iCs/>
          <w:sz w:val="22"/>
          <w:szCs w:val="22"/>
        </w:rPr>
        <w:t>.</w:t>
      </w:r>
      <w:r w:rsidRPr="00FE0E81">
        <w:rPr>
          <w:rFonts w:asciiTheme="minorHAnsi" w:hAnsiTheme="minorHAnsi"/>
          <w:sz w:val="22"/>
          <w:szCs w:val="22"/>
        </w:rPr>
        <w:t xml:space="preserve"> Available at: </w:t>
      </w:r>
      <w:hyperlink r:id="rId15" w:history="1">
        <w:r w:rsidRPr="00FE0E81">
          <w:rPr>
            <w:rStyle w:val="Hyperlink"/>
            <w:rFonts w:asciiTheme="minorHAnsi" w:eastAsiaTheme="majorEastAsia" w:hAnsiTheme="minorHAnsi"/>
            <w:sz w:val="22"/>
            <w:szCs w:val="22"/>
          </w:rPr>
          <w:t>htt</w:t>
        </w:r>
        <w:r w:rsidRPr="00FE0E81">
          <w:rPr>
            <w:rStyle w:val="Hyperlink"/>
            <w:rFonts w:asciiTheme="minorHAnsi" w:eastAsiaTheme="majorEastAsia" w:hAnsiTheme="minorHAnsi"/>
            <w:sz w:val="22"/>
            <w:szCs w:val="22"/>
          </w:rPr>
          <w:t>p</w:t>
        </w:r>
        <w:r w:rsidRPr="00FE0E81">
          <w:rPr>
            <w:rStyle w:val="Hyperlink"/>
            <w:rFonts w:asciiTheme="minorHAnsi" w:eastAsiaTheme="majorEastAsia" w:hAnsiTheme="minorHAnsi"/>
            <w:sz w:val="22"/>
            <w:szCs w:val="22"/>
          </w:rPr>
          <w:t>s://monarkexercise.se/</w:t>
        </w:r>
      </w:hyperlink>
      <w:r w:rsidRPr="00FE0E81">
        <w:rPr>
          <w:rFonts w:asciiTheme="minorHAnsi" w:hAnsiTheme="minorHAnsi"/>
          <w:sz w:val="22"/>
          <w:szCs w:val="22"/>
        </w:rPr>
        <w:t xml:space="preserve"> (Accessed: 5 March 2026).</w:t>
      </w:r>
    </w:p>
    <w:p w14:paraId="65296C8A" w14:textId="77777777" w:rsidR="00FE0E81" w:rsidRPr="009C4E11" w:rsidRDefault="00FE0E81">
      <w:pPr>
        <w:rPr>
          <w:sz w:val="22"/>
          <w:szCs w:val="22"/>
        </w:rPr>
      </w:pPr>
      <w:r w:rsidRPr="009C4E11">
        <w:rPr>
          <w:sz w:val="22"/>
          <w:szCs w:val="22"/>
        </w:rPr>
        <w:t xml:space="preserve">SANKA Co., Ltd. Health Equipment Division (2025) </w:t>
      </w:r>
      <w:r w:rsidRPr="009C4E11">
        <w:rPr>
          <w:rStyle w:val="Emphasis"/>
          <w:sz w:val="22"/>
          <w:szCs w:val="22"/>
        </w:rPr>
        <w:t>SANKA Co., Ltd. Health Equipment Division</w:t>
      </w:r>
      <w:r w:rsidRPr="009C4E11">
        <w:rPr>
          <w:sz w:val="22"/>
          <w:szCs w:val="22"/>
        </w:rPr>
        <w:t xml:space="preserve">. Available at: </w:t>
      </w:r>
      <w:hyperlink r:id="rId16" w:tgtFrame="_new" w:history="1">
        <w:r w:rsidRPr="009C4E11">
          <w:rPr>
            <w:rStyle w:val="Hyperlink"/>
            <w:sz w:val="22"/>
            <w:szCs w:val="22"/>
          </w:rPr>
          <w:t>http://www.takei-si.co.jp/</w:t>
        </w:r>
      </w:hyperlink>
      <w:r w:rsidRPr="009C4E11">
        <w:rPr>
          <w:sz w:val="22"/>
          <w:szCs w:val="22"/>
        </w:rPr>
        <w:t xml:space="preserve"> (Accessed: 5 March 2026).</w:t>
      </w:r>
    </w:p>
    <w:p w14:paraId="0135DBF4" w14:textId="77777777" w:rsidR="00FE0E81" w:rsidRPr="00FE0E81" w:rsidRDefault="00FE0E81" w:rsidP="00FE0E81">
      <w:pPr>
        <w:pStyle w:val="NormalWeb"/>
        <w:rPr>
          <w:rFonts w:asciiTheme="minorHAnsi" w:hAnsiTheme="minorHAnsi"/>
          <w:sz w:val="22"/>
          <w:szCs w:val="22"/>
        </w:rPr>
      </w:pPr>
      <w:r w:rsidRPr="00FE0E81">
        <w:rPr>
          <w:rStyle w:val="Strong"/>
          <w:rFonts w:asciiTheme="minorHAnsi" w:eastAsiaTheme="majorEastAsia" w:hAnsiTheme="minorHAnsi"/>
          <w:b w:val="0"/>
          <w:bCs w:val="0"/>
          <w:sz w:val="22"/>
          <w:szCs w:val="22"/>
        </w:rPr>
        <w:t>Servomex Group Ltd</w:t>
      </w:r>
      <w:r w:rsidRPr="00FE0E81">
        <w:rPr>
          <w:rStyle w:val="Strong"/>
          <w:rFonts w:asciiTheme="minorHAnsi" w:eastAsiaTheme="majorEastAsia" w:hAnsiTheme="minorHAnsi"/>
          <w:sz w:val="22"/>
          <w:szCs w:val="22"/>
        </w:rPr>
        <w:t>.</w:t>
      </w:r>
      <w:r w:rsidRPr="00FE0E81">
        <w:rPr>
          <w:rFonts w:asciiTheme="minorHAnsi" w:hAnsiTheme="minorHAnsi"/>
          <w:sz w:val="22"/>
          <w:szCs w:val="22"/>
        </w:rPr>
        <w:t xml:space="preserve"> (2026) </w:t>
      </w:r>
      <w:r w:rsidRPr="00FE0E81">
        <w:rPr>
          <w:rStyle w:val="Emphasis"/>
          <w:rFonts w:asciiTheme="minorHAnsi" w:eastAsiaTheme="majorEastAsia" w:hAnsiTheme="minorHAnsi"/>
          <w:i w:val="0"/>
          <w:iCs w:val="0"/>
          <w:sz w:val="22"/>
          <w:szCs w:val="22"/>
        </w:rPr>
        <w:t>Gas Analysis Equipment, Technology &amp; Consulting</w:t>
      </w:r>
      <w:r w:rsidRPr="00FE0E81">
        <w:rPr>
          <w:rFonts w:asciiTheme="minorHAnsi" w:hAnsiTheme="minorHAnsi"/>
          <w:i/>
          <w:iCs/>
          <w:sz w:val="22"/>
          <w:szCs w:val="22"/>
        </w:rPr>
        <w:t>.</w:t>
      </w:r>
      <w:r w:rsidRPr="00FE0E81">
        <w:rPr>
          <w:rFonts w:asciiTheme="minorHAnsi" w:hAnsiTheme="minorHAnsi"/>
          <w:sz w:val="22"/>
          <w:szCs w:val="22"/>
        </w:rPr>
        <w:t xml:space="preserve"> Available at: </w:t>
      </w:r>
      <w:hyperlink r:id="rId17" w:tgtFrame="_new" w:history="1">
        <w:r w:rsidRPr="00FE0E81">
          <w:rPr>
            <w:rStyle w:val="Hyperlink"/>
            <w:rFonts w:asciiTheme="minorHAnsi" w:eastAsiaTheme="majorEastAsia" w:hAnsiTheme="minorHAnsi"/>
            <w:sz w:val="22"/>
            <w:szCs w:val="22"/>
          </w:rPr>
          <w:t>https://www.servomex.com/</w:t>
        </w:r>
      </w:hyperlink>
      <w:r w:rsidRPr="00FE0E81">
        <w:rPr>
          <w:rFonts w:asciiTheme="minorHAnsi" w:hAnsiTheme="minorHAnsi"/>
          <w:sz w:val="22"/>
          <w:szCs w:val="22"/>
        </w:rPr>
        <w:t xml:space="preserve"> (Accessed: 5 March 2026).</w:t>
      </w:r>
    </w:p>
    <w:p w14:paraId="0A43CFC0" w14:textId="77777777" w:rsidR="00FE0E81" w:rsidRPr="0068382F" w:rsidRDefault="00FE0E81">
      <w:pPr>
        <w:rPr>
          <w:sz w:val="22"/>
          <w:szCs w:val="22"/>
        </w:rPr>
      </w:pPr>
      <w:r w:rsidRPr="0068382F">
        <w:rPr>
          <w:sz w:val="22"/>
          <w:szCs w:val="22"/>
        </w:rPr>
        <w:t>Ulup</w:t>
      </w:r>
      <w:r>
        <w:rPr>
          <w:sz w:val="22"/>
          <w:szCs w:val="22"/>
        </w:rPr>
        <w:t>i</w:t>
      </w:r>
      <w:r w:rsidRPr="0068382F">
        <w:rPr>
          <w:sz w:val="22"/>
          <w:szCs w:val="22"/>
        </w:rPr>
        <w:t>nar, S., Özbay, S., Gençoğlu, C., Ouergui, I., Öget, F., Kishal</w:t>
      </w:r>
      <w:r>
        <w:rPr>
          <w:sz w:val="22"/>
          <w:szCs w:val="22"/>
        </w:rPr>
        <w:t>i</w:t>
      </w:r>
      <w:r w:rsidRPr="0068382F">
        <w:rPr>
          <w:sz w:val="22"/>
          <w:szCs w:val="22"/>
        </w:rPr>
        <w:t>, N.F., K</w:t>
      </w:r>
      <w:r>
        <w:rPr>
          <w:sz w:val="22"/>
          <w:szCs w:val="22"/>
        </w:rPr>
        <w:t>i</w:t>
      </w:r>
      <w:r w:rsidRPr="0068382F">
        <w:rPr>
          <w:sz w:val="22"/>
          <w:szCs w:val="22"/>
        </w:rPr>
        <w:t>y</w:t>
      </w:r>
      <w:r>
        <w:rPr>
          <w:sz w:val="22"/>
          <w:szCs w:val="22"/>
        </w:rPr>
        <w:t>i</w:t>
      </w:r>
      <w:r w:rsidRPr="0068382F">
        <w:rPr>
          <w:sz w:val="22"/>
          <w:szCs w:val="22"/>
        </w:rPr>
        <w:t>c</w:t>
      </w:r>
      <w:r>
        <w:rPr>
          <w:sz w:val="22"/>
          <w:szCs w:val="22"/>
        </w:rPr>
        <w:t>i</w:t>
      </w:r>
      <w:r w:rsidRPr="0068382F">
        <w:rPr>
          <w:sz w:val="22"/>
          <w:szCs w:val="22"/>
        </w:rPr>
        <w:t>, F., Y</w:t>
      </w:r>
      <w:r>
        <w:rPr>
          <w:sz w:val="22"/>
          <w:szCs w:val="22"/>
        </w:rPr>
        <w:t>i</w:t>
      </w:r>
      <w:r w:rsidRPr="0068382F">
        <w:rPr>
          <w:sz w:val="22"/>
          <w:szCs w:val="22"/>
        </w:rPr>
        <w:t xml:space="preserve">lmaz, H.H. and Ardigò, L.P., 2024. </w:t>
      </w:r>
      <w:r w:rsidRPr="0068382F">
        <w:rPr>
          <w:rStyle w:val="Emphasis"/>
          <w:i w:val="0"/>
          <w:iCs w:val="0"/>
          <w:sz w:val="22"/>
          <w:szCs w:val="22"/>
        </w:rPr>
        <w:t>Evaluating bioenergetic pathway contributions from single to multiple sprints</w:t>
      </w:r>
      <w:r w:rsidRPr="0068382F">
        <w:rPr>
          <w:i/>
          <w:iCs/>
          <w:sz w:val="22"/>
          <w:szCs w:val="22"/>
        </w:rPr>
        <w:t xml:space="preserve">. </w:t>
      </w:r>
      <w:r w:rsidRPr="0068382F">
        <w:rPr>
          <w:rStyle w:val="Strong"/>
          <w:b w:val="0"/>
          <w:bCs w:val="0"/>
          <w:sz w:val="22"/>
          <w:szCs w:val="22"/>
        </w:rPr>
        <w:t>Scientific Reports</w:t>
      </w:r>
      <w:r w:rsidRPr="0068382F">
        <w:rPr>
          <w:sz w:val="22"/>
          <w:szCs w:val="22"/>
        </w:rPr>
        <w:t xml:space="preserve">, 14, p.27295. </w:t>
      </w:r>
      <w:hyperlink r:id="rId18" w:tgtFrame="_new" w:history="1"/>
    </w:p>
    <w:p w14:paraId="66859D64" w14:textId="77777777" w:rsidR="00FE0E81" w:rsidRPr="0068382F" w:rsidRDefault="00FE0E81">
      <w:pPr>
        <w:rPr>
          <w:color w:val="000000" w:themeColor="text1"/>
          <w:sz w:val="22"/>
          <w:szCs w:val="22"/>
        </w:rPr>
      </w:pPr>
      <w:r w:rsidRPr="0068382F">
        <w:rPr>
          <w:sz w:val="22"/>
          <w:szCs w:val="22"/>
        </w:rPr>
        <w:t xml:space="preserve">Van Hooren, B., Souren, T. and Bongers, B.C., 2024. </w:t>
      </w:r>
      <w:r w:rsidRPr="0068382F">
        <w:rPr>
          <w:rStyle w:val="Emphasis"/>
          <w:i w:val="0"/>
          <w:iCs w:val="0"/>
          <w:sz w:val="22"/>
          <w:szCs w:val="22"/>
        </w:rPr>
        <w:t>Accuracy of respiratory gas variables, substrate, and energy use from 15 CPET systems during simulated and human exercise</w:t>
      </w:r>
      <w:r w:rsidRPr="0068382F">
        <w:rPr>
          <w:i/>
          <w:iCs/>
          <w:sz w:val="22"/>
          <w:szCs w:val="22"/>
        </w:rPr>
        <w:t>.</w:t>
      </w:r>
      <w:r w:rsidRPr="0068382F">
        <w:rPr>
          <w:sz w:val="22"/>
          <w:szCs w:val="22"/>
        </w:rPr>
        <w:t xml:space="preserve"> </w:t>
      </w:r>
      <w:r w:rsidRPr="0068382F">
        <w:rPr>
          <w:rStyle w:val="Strong"/>
          <w:b w:val="0"/>
          <w:bCs w:val="0"/>
          <w:sz w:val="22"/>
          <w:szCs w:val="22"/>
        </w:rPr>
        <w:t>Scandinavian Journal of Medicine &amp; Science in Sports</w:t>
      </w:r>
      <w:r w:rsidRPr="0068382F">
        <w:rPr>
          <w:b/>
          <w:bCs/>
          <w:sz w:val="22"/>
          <w:szCs w:val="22"/>
        </w:rPr>
        <w:t>,</w:t>
      </w:r>
      <w:r w:rsidRPr="0068382F">
        <w:rPr>
          <w:sz w:val="22"/>
          <w:szCs w:val="22"/>
        </w:rPr>
        <w:t xml:space="preserve"> 34(1), e14490.</w:t>
      </w:r>
    </w:p>
    <w:p w14:paraId="2EF3E3DA" w14:textId="77777777" w:rsidR="00FE0E81" w:rsidRDefault="00FE0E81">
      <w:pPr>
        <w:rPr>
          <w:sz w:val="22"/>
          <w:szCs w:val="22"/>
        </w:rPr>
      </w:pPr>
      <w:r w:rsidRPr="0068382F">
        <w:rPr>
          <w:sz w:val="22"/>
          <w:szCs w:val="22"/>
        </w:rPr>
        <w:t>Wang, J. and Zong, Y., 2024.</w:t>
      </w:r>
      <w:r w:rsidRPr="0068382F">
        <w:rPr>
          <w:sz w:val="22"/>
          <w:szCs w:val="22"/>
        </w:rPr>
        <w:br/>
      </w:r>
      <w:r w:rsidRPr="0068382F">
        <w:rPr>
          <w:rStyle w:val="Strong"/>
          <w:b w:val="0"/>
          <w:bCs w:val="0"/>
          <w:sz w:val="22"/>
          <w:szCs w:val="22"/>
        </w:rPr>
        <w:t>Construction and validation of the Wingate index model for elite athletes.</w:t>
      </w:r>
      <w:r w:rsidRPr="0068382F">
        <w:rPr>
          <w:sz w:val="22"/>
          <w:szCs w:val="22"/>
        </w:rPr>
        <w:t xml:space="preserve"> </w:t>
      </w:r>
      <w:r w:rsidRPr="0068382F">
        <w:rPr>
          <w:rStyle w:val="Emphasis"/>
          <w:i w:val="0"/>
          <w:iCs w:val="0"/>
          <w:sz w:val="22"/>
          <w:szCs w:val="22"/>
        </w:rPr>
        <w:t>Heliyon</w:t>
      </w:r>
      <w:r w:rsidRPr="0068382F">
        <w:rPr>
          <w:i/>
          <w:iCs/>
          <w:sz w:val="22"/>
          <w:szCs w:val="22"/>
        </w:rPr>
        <w:t>,</w:t>
      </w:r>
      <w:r w:rsidRPr="0068382F">
        <w:rPr>
          <w:sz w:val="22"/>
          <w:szCs w:val="22"/>
        </w:rPr>
        <w:t xml:space="preserve"> 10(11), e32178.</w:t>
      </w:r>
    </w:p>
    <w:p w14:paraId="5D78EE3F" w14:textId="77777777" w:rsidR="00FE0E81" w:rsidRPr="00FE0E81" w:rsidRDefault="00FE0E81" w:rsidP="00FE0E81">
      <w:pPr>
        <w:pStyle w:val="NormalWeb"/>
        <w:rPr>
          <w:rFonts w:asciiTheme="minorHAnsi" w:hAnsiTheme="minorHAnsi"/>
          <w:sz w:val="22"/>
          <w:szCs w:val="22"/>
        </w:rPr>
      </w:pPr>
      <w:r w:rsidRPr="00FE0E81">
        <w:rPr>
          <w:rStyle w:val="Strong"/>
          <w:rFonts w:asciiTheme="minorHAnsi" w:eastAsiaTheme="majorEastAsia" w:hAnsiTheme="minorHAnsi"/>
          <w:b w:val="0"/>
          <w:bCs w:val="0"/>
          <w:sz w:val="22"/>
          <w:szCs w:val="22"/>
        </w:rPr>
        <w:lastRenderedPageBreak/>
        <w:t>Wattbike Ltd.</w:t>
      </w:r>
      <w:r w:rsidRPr="00FE0E81">
        <w:rPr>
          <w:rFonts w:asciiTheme="minorHAnsi" w:hAnsiTheme="minorHAnsi"/>
          <w:sz w:val="22"/>
          <w:szCs w:val="22"/>
        </w:rPr>
        <w:t xml:space="preserve"> (no date) </w:t>
      </w:r>
      <w:r w:rsidRPr="00FE0E81">
        <w:rPr>
          <w:rStyle w:val="Emphasis"/>
          <w:rFonts w:asciiTheme="minorHAnsi" w:eastAsiaTheme="majorEastAsia" w:hAnsiTheme="minorHAnsi"/>
          <w:i w:val="0"/>
          <w:iCs w:val="0"/>
          <w:sz w:val="22"/>
          <w:szCs w:val="22"/>
        </w:rPr>
        <w:t>World-Class Smart Indoor Bike Trainers</w:t>
      </w:r>
      <w:r w:rsidRPr="00FE0E81">
        <w:rPr>
          <w:rFonts w:asciiTheme="minorHAnsi" w:hAnsiTheme="minorHAnsi"/>
          <w:sz w:val="22"/>
          <w:szCs w:val="22"/>
        </w:rPr>
        <w:t xml:space="preserve">. Available at: </w:t>
      </w:r>
      <w:hyperlink r:id="rId19" w:tgtFrame="_new" w:history="1">
        <w:r w:rsidRPr="00FE0E81">
          <w:rPr>
            <w:rStyle w:val="Hyperlink"/>
            <w:rFonts w:asciiTheme="minorHAnsi" w:eastAsiaTheme="majorEastAsia" w:hAnsiTheme="minorHAnsi"/>
            <w:sz w:val="22"/>
            <w:szCs w:val="22"/>
          </w:rPr>
          <w:t>https://www.wattbike.com/</w:t>
        </w:r>
      </w:hyperlink>
      <w:r w:rsidRPr="00FE0E81">
        <w:rPr>
          <w:rFonts w:asciiTheme="minorHAnsi" w:hAnsiTheme="minorHAnsi"/>
          <w:sz w:val="22"/>
          <w:szCs w:val="22"/>
        </w:rPr>
        <w:t xml:space="preserve"> (Accessed: 5 March 2026).</w:t>
      </w:r>
    </w:p>
    <w:sectPr w:rsidR="00FE0E81" w:rsidRPr="00FE0E8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6198A"/>
    <w:multiLevelType w:val="multilevel"/>
    <w:tmpl w:val="D6CC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8F13B9"/>
    <w:multiLevelType w:val="multilevel"/>
    <w:tmpl w:val="CD4C7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D07B2B"/>
    <w:multiLevelType w:val="multilevel"/>
    <w:tmpl w:val="D1C27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A4580F"/>
    <w:multiLevelType w:val="multilevel"/>
    <w:tmpl w:val="F4F03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D727DE"/>
    <w:multiLevelType w:val="multilevel"/>
    <w:tmpl w:val="30C20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5155554">
    <w:abstractNumId w:val="3"/>
  </w:num>
  <w:num w:numId="2" w16cid:durableId="762385061">
    <w:abstractNumId w:val="2"/>
  </w:num>
  <w:num w:numId="3" w16cid:durableId="568542656">
    <w:abstractNumId w:val="4"/>
  </w:num>
  <w:num w:numId="4" w16cid:durableId="1037438482">
    <w:abstractNumId w:val="1"/>
  </w:num>
  <w:num w:numId="5" w16cid:durableId="1146126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423"/>
    <w:rsid w:val="001867A4"/>
    <w:rsid w:val="00196451"/>
    <w:rsid w:val="001E1793"/>
    <w:rsid w:val="0020776A"/>
    <w:rsid w:val="00225D24"/>
    <w:rsid w:val="002416FE"/>
    <w:rsid w:val="002423DB"/>
    <w:rsid w:val="00253964"/>
    <w:rsid w:val="00284A60"/>
    <w:rsid w:val="002D61CA"/>
    <w:rsid w:val="0038580B"/>
    <w:rsid w:val="003A4147"/>
    <w:rsid w:val="003B40C6"/>
    <w:rsid w:val="005770CC"/>
    <w:rsid w:val="00580423"/>
    <w:rsid w:val="00594C7C"/>
    <w:rsid w:val="00595811"/>
    <w:rsid w:val="005E01CD"/>
    <w:rsid w:val="00651776"/>
    <w:rsid w:val="0068382F"/>
    <w:rsid w:val="006F7F74"/>
    <w:rsid w:val="00750E65"/>
    <w:rsid w:val="00754C9D"/>
    <w:rsid w:val="00787291"/>
    <w:rsid w:val="007A3865"/>
    <w:rsid w:val="007D2F33"/>
    <w:rsid w:val="007E49CF"/>
    <w:rsid w:val="00827D3C"/>
    <w:rsid w:val="00857B64"/>
    <w:rsid w:val="00862F79"/>
    <w:rsid w:val="00895139"/>
    <w:rsid w:val="00916A5A"/>
    <w:rsid w:val="00966273"/>
    <w:rsid w:val="009C4E11"/>
    <w:rsid w:val="00A1549A"/>
    <w:rsid w:val="00A23499"/>
    <w:rsid w:val="00A57A9C"/>
    <w:rsid w:val="00A8706F"/>
    <w:rsid w:val="00AA03E7"/>
    <w:rsid w:val="00AA56BA"/>
    <w:rsid w:val="00AA74C0"/>
    <w:rsid w:val="00AB54E3"/>
    <w:rsid w:val="00AE3CE6"/>
    <w:rsid w:val="00B33641"/>
    <w:rsid w:val="00BE6B78"/>
    <w:rsid w:val="00C64B71"/>
    <w:rsid w:val="00DB3265"/>
    <w:rsid w:val="00E0346E"/>
    <w:rsid w:val="00E62870"/>
    <w:rsid w:val="00F069B7"/>
    <w:rsid w:val="00F145CB"/>
    <w:rsid w:val="00F97B01"/>
    <w:rsid w:val="00FC3CBD"/>
    <w:rsid w:val="00FE0E81"/>
    <w:rsid w:val="00FF076D"/>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19C5B"/>
  <w15:chartTrackingRefBased/>
  <w15:docId w15:val="{6595C5EB-0484-1F42-B75F-51D037D83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804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0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0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4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4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4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4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4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4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42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58042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58042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8042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8042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8042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8042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8042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8042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804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42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804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42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80423"/>
    <w:pPr>
      <w:spacing w:before="160"/>
      <w:jc w:val="center"/>
    </w:pPr>
    <w:rPr>
      <w:i/>
      <w:iCs/>
      <w:color w:val="404040" w:themeColor="text1" w:themeTint="BF"/>
    </w:rPr>
  </w:style>
  <w:style w:type="character" w:customStyle="1" w:styleId="QuoteChar">
    <w:name w:val="Quote Char"/>
    <w:basedOn w:val="DefaultParagraphFont"/>
    <w:link w:val="Quote"/>
    <w:uiPriority w:val="29"/>
    <w:rsid w:val="00580423"/>
    <w:rPr>
      <w:i/>
      <w:iCs/>
      <w:color w:val="404040" w:themeColor="text1" w:themeTint="BF"/>
      <w:lang w:val="en-GB"/>
    </w:rPr>
  </w:style>
  <w:style w:type="paragraph" w:styleId="ListParagraph">
    <w:name w:val="List Paragraph"/>
    <w:basedOn w:val="Normal"/>
    <w:uiPriority w:val="34"/>
    <w:qFormat/>
    <w:rsid w:val="00580423"/>
    <w:pPr>
      <w:ind w:left="720"/>
      <w:contextualSpacing/>
    </w:pPr>
  </w:style>
  <w:style w:type="character" w:styleId="IntenseEmphasis">
    <w:name w:val="Intense Emphasis"/>
    <w:basedOn w:val="DefaultParagraphFont"/>
    <w:uiPriority w:val="21"/>
    <w:qFormat/>
    <w:rsid w:val="00580423"/>
    <w:rPr>
      <w:i/>
      <w:iCs/>
      <w:color w:val="0F4761" w:themeColor="accent1" w:themeShade="BF"/>
    </w:rPr>
  </w:style>
  <w:style w:type="paragraph" w:styleId="IntenseQuote">
    <w:name w:val="Intense Quote"/>
    <w:basedOn w:val="Normal"/>
    <w:next w:val="Normal"/>
    <w:link w:val="IntenseQuoteChar"/>
    <w:uiPriority w:val="30"/>
    <w:qFormat/>
    <w:rsid w:val="005804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423"/>
    <w:rPr>
      <w:i/>
      <w:iCs/>
      <w:color w:val="0F4761" w:themeColor="accent1" w:themeShade="BF"/>
      <w:lang w:val="en-GB"/>
    </w:rPr>
  </w:style>
  <w:style w:type="character" w:styleId="IntenseReference">
    <w:name w:val="Intense Reference"/>
    <w:basedOn w:val="DefaultParagraphFont"/>
    <w:uiPriority w:val="32"/>
    <w:qFormat/>
    <w:rsid w:val="00580423"/>
    <w:rPr>
      <w:b/>
      <w:bCs/>
      <w:smallCaps/>
      <w:color w:val="0F4761" w:themeColor="accent1" w:themeShade="BF"/>
      <w:spacing w:val="5"/>
    </w:rPr>
  </w:style>
  <w:style w:type="character" w:styleId="Strong">
    <w:name w:val="Strong"/>
    <w:basedOn w:val="DefaultParagraphFont"/>
    <w:uiPriority w:val="22"/>
    <w:qFormat/>
    <w:rsid w:val="00580423"/>
    <w:rPr>
      <w:b/>
      <w:bCs/>
    </w:rPr>
  </w:style>
  <w:style w:type="paragraph" w:styleId="NormalWeb">
    <w:name w:val="Normal (Web)"/>
    <w:basedOn w:val="Normal"/>
    <w:uiPriority w:val="99"/>
    <w:unhideWhenUsed/>
    <w:rsid w:val="00580423"/>
    <w:pPr>
      <w:spacing w:before="100" w:beforeAutospacing="1" w:after="100" w:afterAutospacing="1" w:line="240" w:lineRule="auto"/>
    </w:pPr>
    <w:rPr>
      <w:rFonts w:ascii="Times New Roman" w:eastAsia="Times New Roman" w:hAnsi="Times New Roman" w:cs="Times New Roman"/>
      <w:kern w:val="0"/>
      <w:lang w:val="en-AE"/>
      <w14:ligatures w14:val="none"/>
    </w:rPr>
  </w:style>
  <w:style w:type="character" w:styleId="Emphasis">
    <w:name w:val="Emphasis"/>
    <w:basedOn w:val="DefaultParagraphFont"/>
    <w:uiPriority w:val="20"/>
    <w:qFormat/>
    <w:rsid w:val="00580423"/>
    <w:rPr>
      <w:i/>
      <w:iCs/>
    </w:rPr>
  </w:style>
  <w:style w:type="paragraph" w:styleId="Caption">
    <w:name w:val="caption"/>
    <w:basedOn w:val="Normal"/>
    <w:next w:val="Normal"/>
    <w:uiPriority w:val="35"/>
    <w:unhideWhenUsed/>
    <w:qFormat/>
    <w:rsid w:val="00A57A9C"/>
    <w:pPr>
      <w:spacing w:after="200" w:line="240" w:lineRule="auto"/>
    </w:pPr>
    <w:rPr>
      <w:i/>
      <w:iCs/>
      <w:color w:val="0E2841" w:themeColor="text2"/>
      <w:sz w:val="18"/>
      <w:szCs w:val="18"/>
    </w:rPr>
  </w:style>
  <w:style w:type="table" w:styleId="TableGridLight">
    <w:name w:val="Grid Table Light"/>
    <w:basedOn w:val="TableNormal"/>
    <w:uiPriority w:val="40"/>
    <w:rsid w:val="00750E6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59"/>
    <w:rsid w:val="00594C7C"/>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E49CF"/>
  </w:style>
  <w:style w:type="character" w:styleId="Hyperlink">
    <w:name w:val="Hyperlink"/>
    <w:basedOn w:val="DefaultParagraphFont"/>
    <w:uiPriority w:val="99"/>
    <w:unhideWhenUsed/>
    <w:rsid w:val="007E49CF"/>
    <w:rPr>
      <w:color w:val="0000FF"/>
      <w:u w:val="single"/>
    </w:rPr>
  </w:style>
  <w:style w:type="character" w:styleId="UnresolvedMention">
    <w:name w:val="Unresolved Mention"/>
    <w:basedOn w:val="DefaultParagraphFont"/>
    <w:uiPriority w:val="99"/>
    <w:semiHidden/>
    <w:unhideWhenUsed/>
    <w:rsid w:val="009C4E11"/>
    <w:rPr>
      <w:color w:val="605E5C"/>
      <w:shd w:val="clear" w:color="auto" w:fill="E1DFDD"/>
    </w:rPr>
  </w:style>
  <w:style w:type="character" w:styleId="FollowedHyperlink">
    <w:name w:val="FollowedHyperlink"/>
    <w:basedOn w:val="DefaultParagraphFont"/>
    <w:uiPriority w:val="99"/>
    <w:semiHidden/>
    <w:unhideWhenUsed/>
    <w:rsid w:val="00FE0E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doi.org/10.3390/sports13090292" TargetMode="External"/><Relationship Id="rId18" Type="http://schemas.openxmlformats.org/officeDocument/2006/relationships/hyperlink" Target="https://doi.org/10.1038/s41598-024-78916-z"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chart" Target="charts/chart2.xml"/><Relationship Id="rId12" Type="http://schemas.openxmlformats.org/officeDocument/2006/relationships/hyperlink" Target="https://www.keiser.com/" TargetMode="External"/><Relationship Id="rId17" Type="http://schemas.openxmlformats.org/officeDocument/2006/relationships/hyperlink" Target="https://www.servomex.com/" TargetMode="External"/><Relationship Id="rId2" Type="http://schemas.openxmlformats.org/officeDocument/2006/relationships/numbering" Target="numbering.xml"/><Relationship Id="rId16" Type="http://schemas.openxmlformats.org/officeDocument/2006/relationships/hyperlink" Target="http://www.takei-si.co.j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hur.fi/" TargetMode="External"/><Relationship Id="rId5" Type="http://schemas.openxmlformats.org/officeDocument/2006/relationships/webSettings" Target="webSettings.xml"/><Relationship Id="rId15" Type="http://schemas.openxmlformats.org/officeDocument/2006/relationships/hyperlink" Target="https://monarkexercise.se/" TargetMode="External"/><Relationship Id="rId10" Type="http://schemas.openxmlformats.org/officeDocument/2006/relationships/hyperlink" Target="https://www.harvardapparatus.com/" TargetMode="External"/><Relationship Id="rId19" Type="http://schemas.openxmlformats.org/officeDocument/2006/relationships/hyperlink" Target="https://www.wattbike.com/" TargetMode="External"/><Relationship Id="rId4" Type="http://schemas.openxmlformats.org/officeDocument/2006/relationships/settings" Target="settings.xml"/><Relationship Id="rId9" Type="http://schemas.openxmlformats.org/officeDocument/2006/relationships/hyperlink" Target="https://www.rudolphkc.com/" TargetMode="External"/><Relationship Id="rId14" Type="http://schemas.openxmlformats.org/officeDocument/2006/relationships/hyperlink" Target="https://copilot.microsoft.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Lit>
              <c:formatCode>0.00</c:formatCode>
              <c:ptCount val="16"/>
              <c:pt idx="0">
                <c:v>962</c:v>
              </c:pt>
              <c:pt idx="1">
                <c:v>971</c:v>
              </c:pt>
              <c:pt idx="2">
                <c:v>698</c:v>
              </c:pt>
              <c:pt idx="3">
                <c:v>1124</c:v>
              </c:pt>
              <c:pt idx="4">
                <c:v>360</c:v>
              </c:pt>
              <c:pt idx="5">
                <c:v>633</c:v>
              </c:pt>
              <c:pt idx="6">
                <c:v>1100</c:v>
              </c:pt>
              <c:pt idx="7">
                <c:v>1226</c:v>
              </c:pt>
              <c:pt idx="8">
                <c:v>1034</c:v>
              </c:pt>
              <c:pt idx="9">
                <c:v>781</c:v>
              </c:pt>
              <c:pt idx="10">
                <c:v>658</c:v>
              </c:pt>
              <c:pt idx="11">
                <c:v>693</c:v>
              </c:pt>
              <c:pt idx="12">
                <c:v>571</c:v>
              </c:pt>
              <c:pt idx="13">
                <c:v>939</c:v>
              </c:pt>
              <c:pt idx="14">
                <c:v>892</c:v>
              </c:pt>
              <c:pt idx="15">
                <c:v>1788</c:v>
              </c:pt>
            </c:numLit>
          </c:xVal>
          <c:yVal>
            <c:numLit>
              <c:formatCode>0.00</c:formatCode>
              <c:ptCount val="16"/>
              <c:pt idx="0">
                <c:v>1109</c:v>
              </c:pt>
              <c:pt idx="1">
                <c:v>1091</c:v>
              </c:pt>
              <c:pt idx="2">
                <c:v>659</c:v>
              </c:pt>
              <c:pt idx="3">
                <c:v>1201</c:v>
              </c:pt>
              <c:pt idx="4">
                <c:v>624.70000000000005</c:v>
              </c:pt>
              <c:pt idx="5">
                <c:v>677.42</c:v>
              </c:pt>
              <c:pt idx="6">
                <c:v>1200</c:v>
              </c:pt>
              <c:pt idx="7">
                <c:v>1265.54</c:v>
              </c:pt>
              <c:pt idx="8">
                <c:v>1176</c:v>
              </c:pt>
              <c:pt idx="9">
                <c:v>929.22</c:v>
              </c:pt>
              <c:pt idx="10">
                <c:v>872</c:v>
              </c:pt>
              <c:pt idx="11">
                <c:v>768.27</c:v>
              </c:pt>
              <c:pt idx="12">
                <c:v>661</c:v>
              </c:pt>
              <c:pt idx="13">
                <c:v>911.8</c:v>
              </c:pt>
              <c:pt idx="14">
                <c:v>882.66</c:v>
              </c:pt>
              <c:pt idx="15">
                <c:v>1617</c:v>
              </c:pt>
            </c:numLit>
          </c:yVal>
          <c:smooth val="0"/>
          <c:extLst>
            <c:ext xmlns:c16="http://schemas.microsoft.com/office/drawing/2014/chart" uri="{C3380CC4-5D6E-409C-BE32-E72D297353CC}">
              <c16:uniqueId val="{00000001-6E45-3847-9F29-753371E14D89}"/>
            </c:ext>
          </c:extLst>
        </c:ser>
        <c:dLbls>
          <c:showLegendKey val="0"/>
          <c:showVal val="0"/>
          <c:showCatName val="0"/>
          <c:showSerName val="0"/>
          <c:showPercent val="0"/>
          <c:showBubbleSize val="0"/>
        </c:dLbls>
        <c:axId val="541954592"/>
        <c:axId val="541954264"/>
      </c:scatterChart>
      <c:valAx>
        <c:axId val="5419545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Keiser Peak Power (W)</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954264"/>
        <c:crosses val="autoZero"/>
        <c:crossBetween val="midCat"/>
      </c:valAx>
      <c:valAx>
        <c:axId val="541954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Wingate Peak Power (W)</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9545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Lit>
              <c:formatCode>0.00</c:formatCode>
              <c:ptCount val="13"/>
              <c:pt idx="0">
                <c:v>3.1</c:v>
              </c:pt>
              <c:pt idx="1">
                <c:v>1.74</c:v>
              </c:pt>
              <c:pt idx="2">
                <c:v>3.59</c:v>
              </c:pt>
              <c:pt idx="3">
                <c:v>4.2699999999999996</c:v>
              </c:pt>
              <c:pt idx="4">
                <c:v>4.32</c:v>
              </c:pt>
              <c:pt idx="5">
                <c:v>3.34</c:v>
              </c:pt>
              <c:pt idx="6">
                <c:v>3.32</c:v>
              </c:pt>
              <c:pt idx="7">
                <c:v>1.88</c:v>
              </c:pt>
              <c:pt idx="8">
                <c:v>3.59</c:v>
              </c:pt>
              <c:pt idx="9">
                <c:v>2.14</c:v>
              </c:pt>
              <c:pt idx="10">
                <c:v>3.24</c:v>
              </c:pt>
              <c:pt idx="11">
                <c:v>3.85</c:v>
              </c:pt>
              <c:pt idx="12">
                <c:v>4.97</c:v>
              </c:pt>
            </c:numLit>
          </c:xVal>
          <c:yVal>
            <c:numLit>
              <c:formatCode>0.00</c:formatCode>
              <c:ptCount val="13"/>
              <c:pt idx="0">
                <c:v>220</c:v>
              </c:pt>
              <c:pt idx="1">
                <c:v>160</c:v>
              </c:pt>
              <c:pt idx="2">
                <c:v>400</c:v>
              </c:pt>
              <c:pt idx="3">
                <c:v>400</c:v>
              </c:pt>
              <c:pt idx="4">
                <c:v>360</c:v>
              </c:pt>
              <c:pt idx="5">
                <c:v>320</c:v>
              </c:pt>
              <c:pt idx="6">
                <c:v>320</c:v>
              </c:pt>
              <c:pt idx="7">
                <c:v>185</c:v>
              </c:pt>
              <c:pt idx="8">
                <c:v>320</c:v>
              </c:pt>
              <c:pt idx="9">
                <c:v>210</c:v>
              </c:pt>
              <c:pt idx="10">
                <c:v>185</c:v>
              </c:pt>
              <c:pt idx="11">
                <c:v>320</c:v>
              </c:pt>
              <c:pt idx="12">
                <c:v>204</c:v>
              </c:pt>
            </c:numLit>
          </c:yVal>
          <c:smooth val="0"/>
          <c:extLst>
            <c:ext xmlns:c16="http://schemas.microsoft.com/office/drawing/2014/chart" uri="{C3380CC4-5D6E-409C-BE32-E72D297353CC}">
              <c16:uniqueId val="{00000001-F77E-AB41-B5D0-F0D0ACB3DAE1}"/>
            </c:ext>
          </c:extLst>
        </c:ser>
        <c:dLbls>
          <c:showLegendKey val="0"/>
          <c:showVal val="0"/>
          <c:showCatName val="0"/>
          <c:showSerName val="0"/>
          <c:showPercent val="0"/>
          <c:showBubbleSize val="0"/>
        </c:dLbls>
        <c:axId val="541954592"/>
        <c:axId val="541954264"/>
      </c:scatterChart>
      <c:valAx>
        <c:axId val="5419545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VO2 Max</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954264"/>
        <c:crosses val="autoZero"/>
        <c:crossBetween val="midCat"/>
      </c:valAx>
      <c:valAx>
        <c:axId val="541954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Wingate Peak Power</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9545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SD bar chart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5">
                  <a:lumMod val="20000"/>
                  <a:lumOff val="80000"/>
                </a:schemeClr>
              </a:solidFill>
              <a:ln>
                <a:noFill/>
              </a:ln>
              <a:effectLst/>
            </c:spPr>
            <c:extLst>
              <c:ext xmlns:c16="http://schemas.microsoft.com/office/drawing/2014/chart" uri="{C3380CC4-5D6E-409C-BE32-E72D297353CC}">
                <c16:uniqueId val="{00000002-4106-1948-8E18-566BF217519D}"/>
              </c:ext>
            </c:extLst>
          </c:dPt>
          <c:dPt>
            <c:idx val="1"/>
            <c:invertIfNegative val="0"/>
            <c:bubble3D val="0"/>
            <c:spPr>
              <a:solidFill>
                <a:schemeClr val="accent1">
                  <a:lumMod val="20000"/>
                  <a:lumOff val="80000"/>
                </a:schemeClr>
              </a:solidFill>
              <a:ln>
                <a:noFill/>
              </a:ln>
              <a:effectLst/>
            </c:spPr>
            <c:extLst>
              <c:ext xmlns:c16="http://schemas.microsoft.com/office/drawing/2014/chart" uri="{C3380CC4-5D6E-409C-BE32-E72D297353CC}">
                <c16:uniqueId val="{00000001-4106-1948-8E18-566BF217519D}"/>
              </c:ext>
            </c:extLst>
          </c:dPt>
          <c:errBars>
            <c:errBarType val="both"/>
            <c:errValType val="cust"/>
            <c:noEndCap val="0"/>
            <c:plus>
              <c:numLit>
                <c:formatCode>General</c:formatCode>
                <c:ptCount val="2"/>
                <c:pt idx="0">
                  <c:v>760.97942442148678</c:v>
                </c:pt>
                <c:pt idx="1">
                  <c:v>2045.4336267845383</c:v>
                </c:pt>
              </c:numLit>
            </c:plus>
            <c:minus>
              <c:numLit>
                <c:formatCode>General</c:formatCode>
                <c:ptCount val="2"/>
                <c:pt idx="0">
                  <c:v>760.97942442148678</c:v>
                </c:pt>
                <c:pt idx="1">
                  <c:v>2045.4336267845383</c:v>
                </c:pt>
              </c:numLit>
            </c:minus>
            <c:spPr>
              <a:noFill/>
              <a:ln w="9525" cap="flat" cmpd="sng" algn="ctr">
                <a:solidFill>
                  <a:schemeClr val="tx1">
                    <a:lumMod val="65000"/>
                    <a:lumOff val="35000"/>
                  </a:schemeClr>
                </a:solidFill>
                <a:round/>
              </a:ln>
              <a:effectLst/>
            </c:spPr>
          </c:errBars>
          <c:cat>
            <c:strLit>
              <c:ptCount val="2"/>
              <c:pt idx="0">
                <c:v>Females</c:v>
              </c:pt>
              <c:pt idx="1">
                <c:v>Males</c:v>
              </c:pt>
            </c:strLit>
          </c:cat>
          <c:val>
            <c:numLit>
              <c:formatCode>#,##0.00</c:formatCode>
              <c:ptCount val="2"/>
              <c:pt idx="0">
                <c:v>2533.7987500000004</c:v>
              </c:pt>
              <c:pt idx="1">
                <c:v>4173.9757142857143</c:v>
              </c:pt>
            </c:numLit>
          </c:val>
          <c:extLst>
            <c:ext xmlns:c16="http://schemas.microsoft.com/office/drawing/2014/chart" uri="{C3380CC4-5D6E-409C-BE32-E72D297353CC}">
              <c16:uniqueId val="{00000000-4106-1948-8E18-566BF217519D}"/>
            </c:ext>
          </c:extLst>
        </c:ser>
        <c:dLbls>
          <c:showLegendKey val="0"/>
          <c:showVal val="0"/>
          <c:showCatName val="0"/>
          <c:showSerName val="0"/>
          <c:showPercent val="0"/>
          <c:showBubbleSize val="0"/>
        </c:dLbls>
        <c:gapWidth val="219"/>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Sex</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Mean CMJ Peak Power (W)</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F481E-8565-284D-8AEA-6B3C85590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2595</Words>
  <Characters>14793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Evans</dc:creator>
  <cp:keywords/>
  <dc:description/>
  <cp:lastModifiedBy>Lauren Evans</cp:lastModifiedBy>
  <cp:revision>2</cp:revision>
  <dcterms:created xsi:type="dcterms:W3CDTF">2026-03-05T17:38:00Z</dcterms:created>
  <dcterms:modified xsi:type="dcterms:W3CDTF">2026-03-05T17:38:00Z</dcterms:modified>
</cp:coreProperties>
</file>