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FC262" w14:textId="77777777" w:rsidR="00AD42C9" w:rsidRDefault="00AD42C9" w:rsidP="00E046CD"/>
    <w:p w14:paraId="7A40F533" w14:textId="77777777" w:rsidR="00F5655D" w:rsidRDefault="00F5655D" w:rsidP="00E046CD"/>
    <w:p w14:paraId="290BB04C" w14:textId="77777777" w:rsidR="00E046CD" w:rsidRDefault="00E046CD" w:rsidP="00E046CD">
      <w:pPr>
        <w:jc w:val="right"/>
      </w:pPr>
    </w:p>
    <w:p w14:paraId="4077165F" w14:textId="17200499" w:rsidR="00E046CD" w:rsidRDefault="00F5655D" w:rsidP="00F5655D">
      <w:pPr>
        <w:jc w:val="center"/>
        <w:rPr>
          <w:b/>
          <w:bCs/>
          <w:sz w:val="44"/>
          <w:szCs w:val="44"/>
        </w:rPr>
      </w:pPr>
      <w:r w:rsidRPr="00F5655D">
        <w:rPr>
          <w:b/>
          <w:bCs/>
          <w:sz w:val="44"/>
          <w:szCs w:val="44"/>
        </w:rPr>
        <w:t>Financial Management for the Hotel Industry</w:t>
      </w:r>
    </w:p>
    <w:p w14:paraId="0B422C7E" w14:textId="04B186D7" w:rsidR="009D669D" w:rsidRPr="009D669D" w:rsidRDefault="009D669D" w:rsidP="00F5655D">
      <w:pPr>
        <w:jc w:val="center"/>
        <w:rPr>
          <w:b/>
          <w:bCs/>
          <w:sz w:val="44"/>
          <w:szCs w:val="44"/>
        </w:rPr>
      </w:pPr>
      <w:r w:rsidRPr="00F5655D">
        <w:rPr>
          <w:b/>
          <w:bCs/>
          <w:sz w:val="44"/>
          <w:szCs w:val="44"/>
        </w:rPr>
        <w:t>BMIH5007</w:t>
      </w:r>
    </w:p>
    <w:p w14:paraId="33A20E48" w14:textId="77777777" w:rsidR="00E046CD" w:rsidRPr="00F5655D" w:rsidRDefault="00F5655D" w:rsidP="00F5655D">
      <w:pPr>
        <w:jc w:val="center"/>
        <w:rPr>
          <w:b/>
          <w:bCs/>
          <w:sz w:val="44"/>
          <w:szCs w:val="44"/>
        </w:rPr>
      </w:pPr>
      <w:r w:rsidRPr="00F5655D">
        <w:rPr>
          <w:b/>
          <w:bCs/>
          <w:sz w:val="44"/>
          <w:szCs w:val="44"/>
        </w:rPr>
        <w:t xml:space="preserve">Assignment </w:t>
      </w:r>
      <w:r>
        <w:rPr>
          <w:b/>
          <w:bCs/>
          <w:sz w:val="44"/>
          <w:szCs w:val="44"/>
        </w:rPr>
        <w:t>2</w:t>
      </w:r>
    </w:p>
    <w:p w14:paraId="6B0ABCD7" w14:textId="77777777" w:rsidR="00E046CD" w:rsidRPr="00F5655D" w:rsidRDefault="00E046CD" w:rsidP="00F5655D">
      <w:pPr>
        <w:rPr>
          <w:b/>
          <w:bCs/>
          <w:sz w:val="36"/>
          <w:szCs w:val="36"/>
        </w:rPr>
      </w:pPr>
    </w:p>
    <w:p w14:paraId="15FB7866" w14:textId="77777777" w:rsidR="00E046CD" w:rsidRPr="00F5655D" w:rsidRDefault="00E046CD" w:rsidP="00F5655D">
      <w:pPr>
        <w:jc w:val="center"/>
        <w:rPr>
          <w:sz w:val="36"/>
          <w:szCs w:val="36"/>
        </w:rPr>
      </w:pPr>
      <w:r w:rsidRPr="00F5655D">
        <w:rPr>
          <w:sz w:val="36"/>
          <w:szCs w:val="36"/>
        </w:rPr>
        <w:t>Student Name:</w:t>
      </w:r>
      <w:r w:rsidR="00F5655D" w:rsidRPr="00F5655D">
        <w:rPr>
          <w:sz w:val="36"/>
          <w:szCs w:val="36"/>
        </w:rPr>
        <w:t xml:space="preserve"> Abul </w:t>
      </w:r>
      <w:proofErr w:type="spellStart"/>
      <w:r w:rsidR="00F5655D" w:rsidRPr="00F5655D">
        <w:rPr>
          <w:sz w:val="36"/>
          <w:szCs w:val="36"/>
        </w:rPr>
        <w:t>Fozol</w:t>
      </w:r>
      <w:proofErr w:type="spellEnd"/>
      <w:r w:rsidR="00F5655D" w:rsidRPr="00F5655D">
        <w:rPr>
          <w:sz w:val="36"/>
          <w:szCs w:val="36"/>
        </w:rPr>
        <w:t xml:space="preserve"> Oliullah</w:t>
      </w:r>
    </w:p>
    <w:p w14:paraId="6B4690EE" w14:textId="77777777" w:rsidR="00E046CD" w:rsidRPr="00F5655D" w:rsidRDefault="00E046CD" w:rsidP="00E046CD">
      <w:pPr>
        <w:jc w:val="center"/>
        <w:rPr>
          <w:sz w:val="36"/>
          <w:szCs w:val="36"/>
        </w:rPr>
      </w:pPr>
      <w:r w:rsidRPr="00F5655D">
        <w:rPr>
          <w:sz w:val="36"/>
          <w:szCs w:val="36"/>
        </w:rPr>
        <w:t>Student Number:</w:t>
      </w:r>
      <w:r w:rsidR="00F5655D" w:rsidRPr="00F5655D">
        <w:rPr>
          <w:sz w:val="36"/>
          <w:szCs w:val="36"/>
        </w:rPr>
        <w:t xml:space="preserve"> 2226836</w:t>
      </w:r>
    </w:p>
    <w:p w14:paraId="0D32FD4A" w14:textId="77777777" w:rsidR="00E046CD" w:rsidRPr="00F5655D" w:rsidRDefault="00E046CD" w:rsidP="00F5655D">
      <w:pPr>
        <w:jc w:val="center"/>
        <w:rPr>
          <w:sz w:val="36"/>
          <w:szCs w:val="36"/>
        </w:rPr>
      </w:pPr>
    </w:p>
    <w:p w14:paraId="782BB90D" w14:textId="77777777" w:rsidR="00F5655D" w:rsidRPr="00F5655D" w:rsidRDefault="00F5655D" w:rsidP="00F5655D">
      <w:pPr>
        <w:jc w:val="center"/>
        <w:rPr>
          <w:sz w:val="36"/>
          <w:szCs w:val="36"/>
        </w:rPr>
      </w:pPr>
      <w:r w:rsidRPr="00F5655D">
        <w:rPr>
          <w:sz w:val="36"/>
          <w:szCs w:val="36"/>
        </w:rPr>
        <w:t>Assignment Title: Report Case Study: The City Hotel</w:t>
      </w:r>
    </w:p>
    <w:p w14:paraId="40671844" w14:textId="77777777" w:rsidR="00F5655D" w:rsidRPr="00F5655D" w:rsidRDefault="00F5655D" w:rsidP="00F5655D">
      <w:pPr>
        <w:jc w:val="center"/>
        <w:rPr>
          <w:sz w:val="36"/>
          <w:szCs w:val="36"/>
        </w:rPr>
      </w:pPr>
      <w:r w:rsidRPr="00F5655D">
        <w:rPr>
          <w:sz w:val="36"/>
          <w:szCs w:val="36"/>
        </w:rPr>
        <w:t>Lecturer: Tristan Hawkins</w:t>
      </w:r>
    </w:p>
    <w:p w14:paraId="72A92B8C" w14:textId="7AA0D48A" w:rsidR="00E046CD" w:rsidRDefault="00E046CD" w:rsidP="0003409E">
      <w:pPr>
        <w:rPr>
          <w:sz w:val="36"/>
          <w:szCs w:val="36"/>
        </w:rPr>
      </w:pPr>
    </w:p>
    <w:p w14:paraId="60E68C62" w14:textId="77777777" w:rsidR="00CF38AB" w:rsidRDefault="00CF38AB" w:rsidP="00E046CD">
      <w:pPr>
        <w:jc w:val="center"/>
        <w:rPr>
          <w:sz w:val="36"/>
          <w:szCs w:val="36"/>
        </w:rPr>
      </w:pPr>
    </w:p>
    <w:tbl>
      <w:tblPr>
        <w:tblStyle w:val="TableGrid"/>
        <w:tblW w:w="0" w:type="auto"/>
        <w:tblLook w:val="04A0" w:firstRow="1" w:lastRow="0" w:firstColumn="1" w:lastColumn="0" w:noHBand="0" w:noVBand="1"/>
      </w:tblPr>
      <w:tblGrid>
        <w:gridCol w:w="9016"/>
      </w:tblGrid>
      <w:tr w:rsidR="00CF38AB" w:rsidRPr="003F6DCD" w14:paraId="75C9EC33" w14:textId="77777777" w:rsidTr="001C7C4F">
        <w:tc>
          <w:tcPr>
            <w:tcW w:w="9019" w:type="dxa"/>
          </w:tcPr>
          <w:p w14:paraId="0D54EFE5" w14:textId="77777777" w:rsidR="00CF38AB" w:rsidRPr="003F6DCD" w:rsidRDefault="00CF38AB" w:rsidP="001C7C4F">
            <w:pPr>
              <w:rPr>
                <w:b/>
                <w:bCs/>
                <w:highlight w:val="white"/>
              </w:rPr>
            </w:pPr>
            <w:r w:rsidRPr="003F6DCD">
              <w:rPr>
                <w:b/>
                <w:bCs/>
                <w:highlight w:val="white"/>
              </w:rPr>
              <w:t xml:space="preserve">AI Declaration: </w:t>
            </w:r>
          </w:p>
          <w:p w14:paraId="0E83EA8D" w14:textId="77777777" w:rsidR="00CF38AB" w:rsidRPr="003F6DCD" w:rsidRDefault="00CF38AB" w:rsidP="001C7C4F">
            <w:pPr>
              <w:rPr>
                <w:highlight w:val="white"/>
              </w:rPr>
            </w:pPr>
            <w:r>
              <w:rPr>
                <w:highlight w:val="white"/>
              </w:rPr>
              <w:t xml:space="preserve">I acknowledge that this submission is my own work with the use of relevant academic materials and instruments. There is no intentional use of AI tools in researching or structing my work. All the works are done my me using my own knowledge and skills.  </w:t>
            </w:r>
          </w:p>
        </w:tc>
      </w:tr>
    </w:tbl>
    <w:p w14:paraId="5E775D95" w14:textId="77777777" w:rsidR="00CF38AB" w:rsidRPr="00BE31D1" w:rsidRDefault="00CF38AB" w:rsidP="00CF38AB">
      <w:pPr>
        <w:rPr>
          <w:lang w:val="en-GB"/>
        </w:rPr>
      </w:pPr>
    </w:p>
    <w:p w14:paraId="48981470" w14:textId="77777777" w:rsidR="00CF38AB" w:rsidRPr="00DD4A97" w:rsidRDefault="00CF38AB" w:rsidP="00E046CD">
      <w:pPr>
        <w:jc w:val="center"/>
        <w:rPr>
          <w:sz w:val="36"/>
          <w:szCs w:val="36"/>
        </w:rPr>
      </w:pPr>
    </w:p>
    <w:p w14:paraId="5EF884A1" w14:textId="77777777" w:rsidR="00F5655D" w:rsidRPr="00F5655D" w:rsidRDefault="00F5655D" w:rsidP="00E046CD">
      <w:pPr>
        <w:jc w:val="center"/>
        <w:rPr>
          <w:sz w:val="36"/>
          <w:szCs w:val="36"/>
        </w:rPr>
      </w:pPr>
    </w:p>
    <w:p w14:paraId="000BE695" w14:textId="77777777" w:rsidR="00E046CD" w:rsidRDefault="00E046CD" w:rsidP="00F5655D">
      <w:pPr>
        <w:spacing w:line="480" w:lineRule="auto"/>
        <w:jc w:val="center"/>
        <w:rPr>
          <w:b/>
          <w:bCs/>
          <w:sz w:val="36"/>
          <w:szCs w:val="36"/>
        </w:rPr>
      </w:pPr>
      <w:r>
        <w:rPr>
          <w:b/>
          <w:bCs/>
          <w:sz w:val="36"/>
          <w:szCs w:val="36"/>
        </w:rPr>
        <w:br w:type="page"/>
      </w:r>
    </w:p>
    <w:sdt>
      <w:sdtPr>
        <w:rPr>
          <w:rFonts w:ascii="Times New Roman" w:eastAsia="Times New Roman" w:hAnsi="Times New Roman" w:cs="Times New Roman"/>
          <w:b w:val="0"/>
          <w:bCs w:val="0"/>
          <w:color w:val="auto"/>
          <w:sz w:val="24"/>
          <w:szCs w:val="24"/>
          <w:lang w:bidi="bn-IN"/>
        </w:rPr>
        <w:id w:val="48807717"/>
        <w:docPartObj>
          <w:docPartGallery w:val="Table of Contents"/>
          <w:docPartUnique/>
        </w:docPartObj>
      </w:sdtPr>
      <w:sdtEndPr>
        <w:rPr>
          <w:noProof/>
        </w:rPr>
      </w:sdtEndPr>
      <w:sdtContent>
        <w:p w14:paraId="63998DCF" w14:textId="77777777" w:rsidR="00E046CD" w:rsidRPr="00E046CD" w:rsidRDefault="00E046CD" w:rsidP="00E046CD">
          <w:pPr>
            <w:pStyle w:val="TOCHeading"/>
            <w:jc w:val="center"/>
            <w:rPr>
              <w:color w:val="000000" w:themeColor="text1"/>
            </w:rPr>
          </w:pPr>
          <w:r w:rsidRPr="00E046CD">
            <w:rPr>
              <w:color w:val="000000" w:themeColor="text1"/>
            </w:rPr>
            <w:t>Table of Contents</w:t>
          </w:r>
        </w:p>
        <w:p w14:paraId="14E23A6F" w14:textId="77777777" w:rsidR="00DD4A97" w:rsidRDefault="00E046CD">
          <w:pPr>
            <w:pStyle w:val="TOC1"/>
            <w:tabs>
              <w:tab w:val="right" w:leader="dot" w:pos="9016"/>
            </w:tabs>
            <w:rPr>
              <w:rFonts w:eastAsiaTheme="minorEastAsia"/>
              <w:b w:val="0"/>
              <w:bCs w:val="0"/>
              <w:caps w:val="0"/>
              <w:noProof/>
              <w:sz w:val="24"/>
              <w:szCs w:val="30"/>
            </w:rPr>
          </w:pPr>
          <w:r>
            <w:rPr>
              <w:b w:val="0"/>
              <w:bCs w:val="0"/>
            </w:rPr>
            <w:fldChar w:fldCharType="begin"/>
          </w:r>
          <w:r>
            <w:instrText xml:space="preserve"> TOC \o "1-3" \h \z \u </w:instrText>
          </w:r>
          <w:r>
            <w:rPr>
              <w:b w:val="0"/>
              <w:bCs w:val="0"/>
            </w:rPr>
            <w:fldChar w:fldCharType="separate"/>
          </w:r>
          <w:hyperlink w:anchor="_Toc181449829" w:history="1">
            <w:r w:rsidR="00DD4A97" w:rsidRPr="00ED6EF5">
              <w:rPr>
                <w:rStyle w:val="Hyperlink"/>
                <w:noProof/>
              </w:rPr>
              <w:t>1.0 Introduction</w:t>
            </w:r>
            <w:r w:rsidR="00DD4A97">
              <w:rPr>
                <w:noProof/>
                <w:webHidden/>
              </w:rPr>
              <w:tab/>
            </w:r>
            <w:r w:rsidR="00DD4A97">
              <w:rPr>
                <w:noProof/>
                <w:webHidden/>
              </w:rPr>
              <w:fldChar w:fldCharType="begin"/>
            </w:r>
            <w:r w:rsidR="00DD4A97">
              <w:rPr>
                <w:noProof/>
                <w:webHidden/>
              </w:rPr>
              <w:instrText xml:space="preserve"> PAGEREF _Toc181449829 \h </w:instrText>
            </w:r>
            <w:r w:rsidR="00DD4A97">
              <w:rPr>
                <w:noProof/>
                <w:webHidden/>
              </w:rPr>
            </w:r>
            <w:r w:rsidR="00DD4A97">
              <w:rPr>
                <w:noProof/>
                <w:webHidden/>
              </w:rPr>
              <w:fldChar w:fldCharType="separate"/>
            </w:r>
            <w:r w:rsidR="00DD4A97">
              <w:rPr>
                <w:noProof/>
                <w:webHidden/>
              </w:rPr>
              <w:t>3</w:t>
            </w:r>
            <w:r w:rsidR="00DD4A97">
              <w:rPr>
                <w:noProof/>
                <w:webHidden/>
              </w:rPr>
              <w:fldChar w:fldCharType="end"/>
            </w:r>
          </w:hyperlink>
        </w:p>
        <w:p w14:paraId="45E87B95" w14:textId="77777777" w:rsidR="00DD4A97" w:rsidRDefault="00DD4A97">
          <w:pPr>
            <w:pStyle w:val="TOC1"/>
            <w:tabs>
              <w:tab w:val="right" w:leader="dot" w:pos="9016"/>
            </w:tabs>
            <w:rPr>
              <w:rFonts w:eastAsiaTheme="minorEastAsia"/>
              <w:b w:val="0"/>
              <w:bCs w:val="0"/>
              <w:caps w:val="0"/>
              <w:noProof/>
              <w:sz w:val="24"/>
              <w:szCs w:val="30"/>
            </w:rPr>
          </w:pPr>
          <w:hyperlink w:anchor="_Toc181449830" w:history="1">
            <w:r w:rsidRPr="00ED6EF5">
              <w:rPr>
                <w:rStyle w:val="Hyperlink"/>
                <w:noProof/>
              </w:rPr>
              <w:t>2.0 Financial Performance Trends</w:t>
            </w:r>
            <w:r>
              <w:rPr>
                <w:noProof/>
                <w:webHidden/>
              </w:rPr>
              <w:tab/>
            </w:r>
            <w:r>
              <w:rPr>
                <w:noProof/>
                <w:webHidden/>
              </w:rPr>
              <w:fldChar w:fldCharType="begin"/>
            </w:r>
            <w:r>
              <w:rPr>
                <w:noProof/>
                <w:webHidden/>
              </w:rPr>
              <w:instrText xml:space="preserve"> PAGEREF _Toc181449830 \h </w:instrText>
            </w:r>
            <w:r>
              <w:rPr>
                <w:noProof/>
                <w:webHidden/>
              </w:rPr>
            </w:r>
            <w:r>
              <w:rPr>
                <w:noProof/>
                <w:webHidden/>
              </w:rPr>
              <w:fldChar w:fldCharType="separate"/>
            </w:r>
            <w:r>
              <w:rPr>
                <w:noProof/>
                <w:webHidden/>
              </w:rPr>
              <w:t>4</w:t>
            </w:r>
            <w:r>
              <w:rPr>
                <w:noProof/>
                <w:webHidden/>
              </w:rPr>
              <w:fldChar w:fldCharType="end"/>
            </w:r>
          </w:hyperlink>
        </w:p>
        <w:p w14:paraId="02D9D302" w14:textId="77777777" w:rsidR="00DD4A97" w:rsidRDefault="00DD4A97">
          <w:pPr>
            <w:pStyle w:val="TOC2"/>
            <w:tabs>
              <w:tab w:val="right" w:leader="dot" w:pos="9016"/>
            </w:tabs>
            <w:rPr>
              <w:rFonts w:eastAsiaTheme="minorEastAsia"/>
              <w:smallCaps w:val="0"/>
              <w:noProof/>
              <w:sz w:val="24"/>
              <w:szCs w:val="30"/>
            </w:rPr>
          </w:pPr>
          <w:hyperlink w:anchor="_Toc181449831" w:history="1">
            <w:r w:rsidRPr="00ED6EF5">
              <w:rPr>
                <w:rStyle w:val="Hyperlink"/>
                <w:noProof/>
              </w:rPr>
              <w:t>2.1 Revenue</w:t>
            </w:r>
            <w:r>
              <w:rPr>
                <w:noProof/>
                <w:webHidden/>
              </w:rPr>
              <w:tab/>
            </w:r>
            <w:r>
              <w:rPr>
                <w:noProof/>
                <w:webHidden/>
              </w:rPr>
              <w:fldChar w:fldCharType="begin"/>
            </w:r>
            <w:r>
              <w:rPr>
                <w:noProof/>
                <w:webHidden/>
              </w:rPr>
              <w:instrText xml:space="preserve"> PAGEREF _Toc181449831 \h </w:instrText>
            </w:r>
            <w:r>
              <w:rPr>
                <w:noProof/>
                <w:webHidden/>
              </w:rPr>
            </w:r>
            <w:r>
              <w:rPr>
                <w:noProof/>
                <w:webHidden/>
              </w:rPr>
              <w:fldChar w:fldCharType="separate"/>
            </w:r>
            <w:r>
              <w:rPr>
                <w:noProof/>
                <w:webHidden/>
              </w:rPr>
              <w:t>4</w:t>
            </w:r>
            <w:r>
              <w:rPr>
                <w:noProof/>
                <w:webHidden/>
              </w:rPr>
              <w:fldChar w:fldCharType="end"/>
            </w:r>
          </w:hyperlink>
        </w:p>
        <w:p w14:paraId="798098F6" w14:textId="77777777" w:rsidR="00DD4A97" w:rsidRDefault="00DD4A97">
          <w:pPr>
            <w:pStyle w:val="TOC2"/>
            <w:tabs>
              <w:tab w:val="right" w:leader="dot" w:pos="9016"/>
            </w:tabs>
            <w:rPr>
              <w:rFonts w:eastAsiaTheme="minorEastAsia"/>
              <w:smallCaps w:val="0"/>
              <w:noProof/>
              <w:sz w:val="24"/>
              <w:szCs w:val="30"/>
            </w:rPr>
          </w:pPr>
          <w:hyperlink w:anchor="_Toc181449832" w:history="1">
            <w:r w:rsidRPr="00ED6EF5">
              <w:rPr>
                <w:rStyle w:val="Hyperlink"/>
                <w:noProof/>
              </w:rPr>
              <w:t>2.2 Expenses</w:t>
            </w:r>
            <w:r>
              <w:rPr>
                <w:noProof/>
                <w:webHidden/>
              </w:rPr>
              <w:tab/>
            </w:r>
            <w:r>
              <w:rPr>
                <w:noProof/>
                <w:webHidden/>
              </w:rPr>
              <w:fldChar w:fldCharType="begin"/>
            </w:r>
            <w:r>
              <w:rPr>
                <w:noProof/>
                <w:webHidden/>
              </w:rPr>
              <w:instrText xml:space="preserve"> PAGEREF _Toc181449832 \h </w:instrText>
            </w:r>
            <w:r>
              <w:rPr>
                <w:noProof/>
                <w:webHidden/>
              </w:rPr>
            </w:r>
            <w:r>
              <w:rPr>
                <w:noProof/>
                <w:webHidden/>
              </w:rPr>
              <w:fldChar w:fldCharType="separate"/>
            </w:r>
            <w:r>
              <w:rPr>
                <w:noProof/>
                <w:webHidden/>
              </w:rPr>
              <w:t>4</w:t>
            </w:r>
            <w:r>
              <w:rPr>
                <w:noProof/>
                <w:webHidden/>
              </w:rPr>
              <w:fldChar w:fldCharType="end"/>
            </w:r>
          </w:hyperlink>
        </w:p>
        <w:p w14:paraId="55792023" w14:textId="77777777" w:rsidR="00DD4A97" w:rsidRDefault="00DD4A97">
          <w:pPr>
            <w:pStyle w:val="TOC2"/>
            <w:tabs>
              <w:tab w:val="right" w:leader="dot" w:pos="9016"/>
            </w:tabs>
            <w:rPr>
              <w:rFonts w:eastAsiaTheme="minorEastAsia"/>
              <w:smallCaps w:val="0"/>
              <w:noProof/>
              <w:sz w:val="24"/>
              <w:szCs w:val="30"/>
            </w:rPr>
          </w:pPr>
          <w:hyperlink w:anchor="_Toc181449833" w:history="1">
            <w:r w:rsidRPr="00ED6EF5">
              <w:rPr>
                <w:rStyle w:val="Hyperlink"/>
                <w:noProof/>
              </w:rPr>
              <w:t>2.3 Profitability Analysis</w:t>
            </w:r>
            <w:r>
              <w:rPr>
                <w:noProof/>
                <w:webHidden/>
              </w:rPr>
              <w:tab/>
            </w:r>
            <w:r>
              <w:rPr>
                <w:noProof/>
                <w:webHidden/>
              </w:rPr>
              <w:fldChar w:fldCharType="begin"/>
            </w:r>
            <w:r>
              <w:rPr>
                <w:noProof/>
                <w:webHidden/>
              </w:rPr>
              <w:instrText xml:space="preserve"> PAGEREF _Toc181449833 \h </w:instrText>
            </w:r>
            <w:r>
              <w:rPr>
                <w:noProof/>
                <w:webHidden/>
              </w:rPr>
            </w:r>
            <w:r>
              <w:rPr>
                <w:noProof/>
                <w:webHidden/>
              </w:rPr>
              <w:fldChar w:fldCharType="separate"/>
            </w:r>
            <w:r>
              <w:rPr>
                <w:noProof/>
                <w:webHidden/>
              </w:rPr>
              <w:t>4</w:t>
            </w:r>
            <w:r>
              <w:rPr>
                <w:noProof/>
                <w:webHidden/>
              </w:rPr>
              <w:fldChar w:fldCharType="end"/>
            </w:r>
          </w:hyperlink>
        </w:p>
        <w:p w14:paraId="22D2B88E" w14:textId="77777777" w:rsidR="00DD4A97" w:rsidRDefault="00DD4A97">
          <w:pPr>
            <w:pStyle w:val="TOC2"/>
            <w:tabs>
              <w:tab w:val="right" w:leader="dot" w:pos="9016"/>
            </w:tabs>
            <w:rPr>
              <w:rFonts w:eastAsiaTheme="minorEastAsia"/>
              <w:smallCaps w:val="0"/>
              <w:noProof/>
              <w:sz w:val="24"/>
              <w:szCs w:val="30"/>
            </w:rPr>
          </w:pPr>
          <w:hyperlink w:anchor="_Toc181449834" w:history="1">
            <w:r w:rsidRPr="00ED6EF5">
              <w:rPr>
                <w:rStyle w:val="Hyperlink"/>
                <w:noProof/>
              </w:rPr>
              <w:t>2.4 Liquidity Analysis</w:t>
            </w:r>
            <w:r>
              <w:rPr>
                <w:noProof/>
                <w:webHidden/>
              </w:rPr>
              <w:tab/>
            </w:r>
            <w:r>
              <w:rPr>
                <w:noProof/>
                <w:webHidden/>
              </w:rPr>
              <w:fldChar w:fldCharType="begin"/>
            </w:r>
            <w:r>
              <w:rPr>
                <w:noProof/>
                <w:webHidden/>
              </w:rPr>
              <w:instrText xml:space="preserve"> PAGEREF _Toc181449834 \h </w:instrText>
            </w:r>
            <w:r>
              <w:rPr>
                <w:noProof/>
                <w:webHidden/>
              </w:rPr>
            </w:r>
            <w:r>
              <w:rPr>
                <w:noProof/>
                <w:webHidden/>
              </w:rPr>
              <w:fldChar w:fldCharType="separate"/>
            </w:r>
            <w:r>
              <w:rPr>
                <w:noProof/>
                <w:webHidden/>
              </w:rPr>
              <w:t>5</w:t>
            </w:r>
            <w:r>
              <w:rPr>
                <w:noProof/>
                <w:webHidden/>
              </w:rPr>
              <w:fldChar w:fldCharType="end"/>
            </w:r>
          </w:hyperlink>
        </w:p>
        <w:p w14:paraId="08FEF143" w14:textId="77777777" w:rsidR="00DD4A97" w:rsidRDefault="00DD4A97">
          <w:pPr>
            <w:pStyle w:val="TOC2"/>
            <w:tabs>
              <w:tab w:val="right" w:leader="dot" w:pos="9016"/>
            </w:tabs>
            <w:rPr>
              <w:rFonts w:eastAsiaTheme="minorEastAsia"/>
              <w:smallCaps w:val="0"/>
              <w:noProof/>
              <w:sz w:val="24"/>
              <w:szCs w:val="30"/>
            </w:rPr>
          </w:pPr>
          <w:hyperlink w:anchor="_Toc181449835" w:history="1">
            <w:r w:rsidRPr="00ED6EF5">
              <w:rPr>
                <w:rStyle w:val="Hyperlink"/>
                <w:noProof/>
              </w:rPr>
              <w:t>2.5 Solvency Analysis</w:t>
            </w:r>
            <w:r>
              <w:rPr>
                <w:noProof/>
                <w:webHidden/>
              </w:rPr>
              <w:tab/>
            </w:r>
            <w:r>
              <w:rPr>
                <w:noProof/>
                <w:webHidden/>
              </w:rPr>
              <w:fldChar w:fldCharType="begin"/>
            </w:r>
            <w:r>
              <w:rPr>
                <w:noProof/>
                <w:webHidden/>
              </w:rPr>
              <w:instrText xml:space="preserve"> PAGEREF _Toc181449835 \h </w:instrText>
            </w:r>
            <w:r>
              <w:rPr>
                <w:noProof/>
                <w:webHidden/>
              </w:rPr>
            </w:r>
            <w:r>
              <w:rPr>
                <w:noProof/>
                <w:webHidden/>
              </w:rPr>
              <w:fldChar w:fldCharType="separate"/>
            </w:r>
            <w:r>
              <w:rPr>
                <w:noProof/>
                <w:webHidden/>
              </w:rPr>
              <w:t>6</w:t>
            </w:r>
            <w:r>
              <w:rPr>
                <w:noProof/>
                <w:webHidden/>
              </w:rPr>
              <w:fldChar w:fldCharType="end"/>
            </w:r>
          </w:hyperlink>
        </w:p>
        <w:p w14:paraId="377A4A5E" w14:textId="77777777" w:rsidR="00DD4A97" w:rsidRDefault="00DD4A97">
          <w:pPr>
            <w:pStyle w:val="TOC1"/>
            <w:tabs>
              <w:tab w:val="right" w:leader="dot" w:pos="9016"/>
            </w:tabs>
            <w:rPr>
              <w:rFonts w:eastAsiaTheme="minorEastAsia"/>
              <w:b w:val="0"/>
              <w:bCs w:val="0"/>
              <w:caps w:val="0"/>
              <w:noProof/>
              <w:sz w:val="24"/>
              <w:szCs w:val="30"/>
            </w:rPr>
          </w:pPr>
          <w:hyperlink w:anchor="_Toc181449836" w:history="1">
            <w:r w:rsidRPr="00ED6EF5">
              <w:rPr>
                <w:rStyle w:val="Hyperlink"/>
                <w:noProof/>
              </w:rPr>
              <w:t>3.0 Reasons Behind Decline in Profitability</w:t>
            </w:r>
            <w:r>
              <w:rPr>
                <w:noProof/>
                <w:webHidden/>
              </w:rPr>
              <w:tab/>
            </w:r>
            <w:r>
              <w:rPr>
                <w:noProof/>
                <w:webHidden/>
              </w:rPr>
              <w:fldChar w:fldCharType="begin"/>
            </w:r>
            <w:r>
              <w:rPr>
                <w:noProof/>
                <w:webHidden/>
              </w:rPr>
              <w:instrText xml:space="preserve"> PAGEREF _Toc181449836 \h </w:instrText>
            </w:r>
            <w:r>
              <w:rPr>
                <w:noProof/>
                <w:webHidden/>
              </w:rPr>
            </w:r>
            <w:r>
              <w:rPr>
                <w:noProof/>
                <w:webHidden/>
              </w:rPr>
              <w:fldChar w:fldCharType="separate"/>
            </w:r>
            <w:r>
              <w:rPr>
                <w:noProof/>
                <w:webHidden/>
              </w:rPr>
              <w:t>7</w:t>
            </w:r>
            <w:r>
              <w:rPr>
                <w:noProof/>
                <w:webHidden/>
              </w:rPr>
              <w:fldChar w:fldCharType="end"/>
            </w:r>
          </w:hyperlink>
        </w:p>
        <w:p w14:paraId="6983C65F" w14:textId="77777777" w:rsidR="00DD4A97" w:rsidRDefault="00DD4A97">
          <w:pPr>
            <w:pStyle w:val="TOC2"/>
            <w:tabs>
              <w:tab w:val="right" w:leader="dot" w:pos="9016"/>
            </w:tabs>
            <w:rPr>
              <w:rFonts w:eastAsiaTheme="minorEastAsia"/>
              <w:smallCaps w:val="0"/>
              <w:noProof/>
              <w:sz w:val="24"/>
              <w:szCs w:val="30"/>
            </w:rPr>
          </w:pPr>
          <w:hyperlink w:anchor="_Toc181449837" w:history="1">
            <w:r w:rsidRPr="00ED6EF5">
              <w:rPr>
                <w:rStyle w:val="Hyperlink"/>
                <w:noProof/>
              </w:rPr>
              <w:t>3.1 Impact of the COVID-19 Pandemic and Recovery Challenges</w:t>
            </w:r>
            <w:r>
              <w:rPr>
                <w:noProof/>
                <w:webHidden/>
              </w:rPr>
              <w:tab/>
            </w:r>
            <w:r>
              <w:rPr>
                <w:noProof/>
                <w:webHidden/>
              </w:rPr>
              <w:fldChar w:fldCharType="begin"/>
            </w:r>
            <w:r>
              <w:rPr>
                <w:noProof/>
                <w:webHidden/>
              </w:rPr>
              <w:instrText xml:space="preserve"> PAGEREF _Toc181449837 \h </w:instrText>
            </w:r>
            <w:r>
              <w:rPr>
                <w:noProof/>
                <w:webHidden/>
              </w:rPr>
            </w:r>
            <w:r>
              <w:rPr>
                <w:noProof/>
                <w:webHidden/>
              </w:rPr>
              <w:fldChar w:fldCharType="separate"/>
            </w:r>
            <w:r>
              <w:rPr>
                <w:noProof/>
                <w:webHidden/>
              </w:rPr>
              <w:t>7</w:t>
            </w:r>
            <w:r>
              <w:rPr>
                <w:noProof/>
                <w:webHidden/>
              </w:rPr>
              <w:fldChar w:fldCharType="end"/>
            </w:r>
          </w:hyperlink>
        </w:p>
        <w:p w14:paraId="7F5E1CA0" w14:textId="77777777" w:rsidR="00DD4A97" w:rsidRDefault="00DD4A97">
          <w:pPr>
            <w:pStyle w:val="TOC2"/>
            <w:tabs>
              <w:tab w:val="right" w:leader="dot" w:pos="9016"/>
            </w:tabs>
            <w:rPr>
              <w:rFonts w:eastAsiaTheme="minorEastAsia"/>
              <w:smallCaps w:val="0"/>
              <w:noProof/>
              <w:sz w:val="24"/>
              <w:szCs w:val="30"/>
            </w:rPr>
          </w:pPr>
          <w:hyperlink w:anchor="_Toc181449838" w:history="1">
            <w:r w:rsidRPr="00ED6EF5">
              <w:rPr>
                <w:rStyle w:val="Hyperlink"/>
                <w:noProof/>
              </w:rPr>
              <w:t>3.2 Rising Inflation and Increased Operating Costs</w:t>
            </w:r>
            <w:r>
              <w:rPr>
                <w:noProof/>
                <w:webHidden/>
              </w:rPr>
              <w:tab/>
            </w:r>
            <w:r>
              <w:rPr>
                <w:noProof/>
                <w:webHidden/>
              </w:rPr>
              <w:fldChar w:fldCharType="begin"/>
            </w:r>
            <w:r>
              <w:rPr>
                <w:noProof/>
                <w:webHidden/>
              </w:rPr>
              <w:instrText xml:space="preserve"> PAGEREF _Toc181449838 \h </w:instrText>
            </w:r>
            <w:r>
              <w:rPr>
                <w:noProof/>
                <w:webHidden/>
              </w:rPr>
            </w:r>
            <w:r>
              <w:rPr>
                <w:noProof/>
                <w:webHidden/>
              </w:rPr>
              <w:fldChar w:fldCharType="separate"/>
            </w:r>
            <w:r>
              <w:rPr>
                <w:noProof/>
                <w:webHidden/>
              </w:rPr>
              <w:t>7</w:t>
            </w:r>
            <w:r>
              <w:rPr>
                <w:noProof/>
                <w:webHidden/>
              </w:rPr>
              <w:fldChar w:fldCharType="end"/>
            </w:r>
          </w:hyperlink>
        </w:p>
        <w:p w14:paraId="587D1877" w14:textId="77777777" w:rsidR="00DD4A97" w:rsidRDefault="00DD4A97">
          <w:pPr>
            <w:pStyle w:val="TOC2"/>
            <w:tabs>
              <w:tab w:val="right" w:leader="dot" w:pos="9016"/>
            </w:tabs>
            <w:rPr>
              <w:rFonts w:eastAsiaTheme="minorEastAsia"/>
              <w:smallCaps w:val="0"/>
              <w:noProof/>
              <w:sz w:val="24"/>
              <w:szCs w:val="30"/>
            </w:rPr>
          </w:pPr>
          <w:hyperlink w:anchor="_Toc181449839" w:history="1">
            <w:r w:rsidRPr="00ED6EF5">
              <w:rPr>
                <w:rStyle w:val="Hyperlink"/>
                <w:noProof/>
              </w:rPr>
              <w:t>3.3 Rising Competition and Shifts in Consumer Preferences</w:t>
            </w:r>
            <w:r>
              <w:rPr>
                <w:noProof/>
                <w:webHidden/>
              </w:rPr>
              <w:tab/>
            </w:r>
            <w:r>
              <w:rPr>
                <w:noProof/>
                <w:webHidden/>
              </w:rPr>
              <w:fldChar w:fldCharType="begin"/>
            </w:r>
            <w:r>
              <w:rPr>
                <w:noProof/>
                <w:webHidden/>
              </w:rPr>
              <w:instrText xml:space="preserve"> PAGEREF _Toc181449839 \h </w:instrText>
            </w:r>
            <w:r>
              <w:rPr>
                <w:noProof/>
                <w:webHidden/>
              </w:rPr>
            </w:r>
            <w:r>
              <w:rPr>
                <w:noProof/>
                <w:webHidden/>
              </w:rPr>
              <w:fldChar w:fldCharType="separate"/>
            </w:r>
            <w:r>
              <w:rPr>
                <w:noProof/>
                <w:webHidden/>
              </w:rPr>
              <w:t>7</w:t>
            </w:r>
            <w:r>
              <w:rPr>
                <w:noProof/>
                <w:webHidden/>
              </w:rPr>
              <w:fldChar w:fldCharType="end"/>
            </w:r>
          </w:hyperlink>
        </w:p>
        <w:p w14:paraId="52206E43" w14:textId="77777777" w:rsidR="00DD4A97" w:rsidRDefault="00DD4A97">
          <w:pPr>
            <w:pStyle w:val="TOC2"/>
            <w:tabs>
              <w:tab w:val="right" w:leader="dot" w:pos="9016"/>
            </w:tabs>
            <w:rPr>
              <w:rFonts w:eastAsiaTheme="minorEastAsia"/>
              <w:smallCaps w:val="0"/>
              <w:noProof/>
              <w:sz w:val="24"/>
              <w:szCs w:val="30"/>
            </w:rPr>
          </w:pPr>
          <w:hyperlink w:anchor="_Toc181449840" w:history="1">
            <w:r w:rsidRPr="00ED6EF5">
              <w:rPr>
                <w:rStyle w:val="Hyperlink"/>
                <w:noProof/>
              </w:rPr>
              <w:t>3.4 Current Economic Uncertainty and Reduced Consumer Spending</w:t>
            </w:r>
            <w:r>
              <w:rPr>
                <w:noProof/>
                <w:webHidden/>
              </w:rPr>
              <w:tab/>
            </w:r>
            <w:r>
              <w:rPr>
                <w:noProof/>
                <w:webHidden/>
              </w:rPr>
              <w:fldChar w:fldCharType="begin"/>
            </w:r>
            <w:r>
              <w:rPr>
                <w:noProof/>
                <w:webHidden/>
              </w:rPr>
              <w:instrText xml:space="preserve"> PAGEREF _Toc181449840 \h </w:instrText>
            </w:r>
            <w:r>
              <w:rPr>
                <w:noProof/>
                <w:webHidden/>
              </w:rPr>
            </w:r>
            <w:r>
              <w:rPr>
                <w:noProof/>
                <w:webHidden/>
              </w:rPr>
              <w:fldChar w:fldCharType="separate"/>
            </w:r>
            <w:r>
              <w:rPr>
                <w:noProof/>
                <w:webHidden/>
              </w:rPr>
              <w:t>8</w:t>
            </w:r>
            <w:r>
              <w:rPr>
                <w:noProof/>
                <w:webHidden/>
              </w:rPr>
              <w:fldChar w:fldCharType="end"/>
            </w:r>
          </w:hyperlink>
        </w:p>
        <w:p w14:paraId="4132E2CC" w14:textId="77777777" w:rsidR="00DD4A97" w:rsidRDefault="00DD4A97">
          <w:pPr>
            <w:pStyle w:val="TOC1"/>
            <w:tabs>
              <w:tab w:val="right" w:leader="dot" w:pos="9016"/>
            </w:tabs>
            <w:rPr>
              <w:rFonts w:eastAsiaTheme="minorEastAsia"/>
              <w:b w:val="0"/>
              <w:bCs w:val="0"/>
              <w:caps w:val="0"/>
              <w:noProof/>
              <w:sz w:val="24"/>
              <w:szCs w:val="30"/>
            </w:rPr>
          </w:pPr>
          <w:hyperlink w:anchor="_Toc181449841" w:history="1">
            <w:r w:rsidRPr="00ED6EF5">
              <w:rPr>
                <w:rStyle w:val="Hyperlink"/>
                <w:noProof/>
              </w:rPr>
              <w:t>4.0 Turnaround Strategy Proposal</w:t>
            </w:r>
            <w:r>
              <w:rPr>
                <w:noProof/>
                <w:webHidden/>
              </w:rPr>
              <w:tab/>
            </w:r>
            <w:r>
              <w:rPr>
                <w:noProof/>
                <w:webHidden/>
              </w:rPr>
              <w:fldChar w:fldCharType="begin"/>
            </w:r>
            <w:r>
              <w:rPr>
                <w:noProof/>
                <w:webHidden/>
              </w:rPr>
              <w:instrText xml:space="preserve"> PAGEREF _Toc181449841 \h </w:instrText>
            </w:r>
            <w:r>
              <w:rPr>
                <w:noProof/>
                <w:webHidden/>
              </w:rPr>
            </w:r>
            <w:r>
              <w:rPr>
                <w:noProof/>
                <w:webHidden/>
              </w:rPr>
              <w:fldChar w:fldCharType="separate"/>
            </w:r>
            <w:r>
              <w:rPr>
                <w:noProof/>
                <w:webHidden/>
              </w:rPr>
              <w:t>9</w:t>
            </w:r>
            <w:r>
              <w:rPr>
                <w:noProof/>
                <w:webHidden/>
              </w:rPr>
              <w:fldChar w:fldCharType="end"/>
            </w:r>
          </w:hyperlink>
        </w:p>
        <w:p w14:paraId="58337982" w14:textId="77777777" w:rsidR="00DD4A97" w:rsidRDefault="00DD4A97">
          <w:pPr>
            <w:pStyle w:val="TOC1"/>
            <w:tabs>
              <w:tab w:val="right" w:leader="dot" w:pos="9016"/>
            </w:tabs>
            <w:rPr>
              <w:rFonts w:eastAsiaTheme="minorEastAsia"/>
              <w:b w:val="0"/>
              <w:bCs w:val="0"/>
              <w:caps w:val="0"/>
              <w:noProof/>
              <w:sz w:val="24"/>
              <w:szCs w:val="30"/>
            </w:rPr>
          </w:pPr>
          <w:hyperlink w:anchor="_Toc181449842" w:history="1">
            <w:r w:rsidRPr="00ED6EF5">
              <w:rPr>
                <w:rStyle w:val="Hyperlink"/>
                <w:noProof/>
              </w:rPr>
              <w:t>5.0 Conclusion</w:t>
            </w:r>
            <w:r>
              <w:rPr>
                <w:noProof/>
                <w:webHidden/>
              </w:rPr>
              <w:tab/>
            </w:r>
            <w:r>
              <w:rPr>
                <w:noProof/>
                <w:webHidden/>
              </w:rPr>
              <w:fldChar w:fldCharType="begin"/>
            </w:r>
            <w:r>
              <w:rPr>
                <w:noProof/>
                <w:webHidden/>
              </w:rPr>
              <w:instrText xml:space="preserve"> PAGEREF _Toc181449842 \h </w:instrText>
            </w:r>
            <w:r>
              <w:rPr>
                <w:noProof/>
                <w:webHidden/>
              </w:rPr>
            </w:r>
            <w:r>
              <w:rPr>
                <w:noProof/>
                <w:webHidden/>
              </w:rPr>
              <w:fldChar w:fldCharType="separate"/>
            </w:r>
            <w:r>
              <w:rPr>
                <w:noProof/>
                <w:webHidden/>
              </w:rPr>
              <w:t>10</w:t>
            </w:r>
            <w:r>
              <w:rPr>
                <w:noProof/>
                <w:webHidden/>
              </w:rPr>
              <w:fldChar w:fldCharType="end"/>
            </w:r>
          </w:hyperlink>
        </w:p>
        <w:p w14:paraId="49C9626B" w14:textId="77777777" w:rsidR="00DD4A97" w:rsidRDefault="00DD4A97">
          <w:pPr>
            <w:pStyle w:val="TOC1"/>
            <w:tabs>
              <w:tab w:val="right" w:leader="dot" w:pos="9016"/>
            </w:tabs>
            <w:rPr>
              <w:rFonts w:eastAsiaTheme="minorEastAsia"/>
              <w:b w:val="0"/>
              <w:bCs w:val="0"/>
              <w:caps w:val="0"/>
              <w:noProof/>
              <w:sz w:val="24"/>
              <w:szCs w:val="30"/>
            </w:rPr>
          </w:pPr>
          <w:hyperlink w:anchor="_Toc181449843" w:history="1">
            <w:r w:rsidRPr="00ED6EF5">
              <w:rPr>
                <w:rStyle w:val="Hyperlink"/>
                <w:noProof/>
              </w:rPr>
              <w:t>References</w:t>
            </w:r>
            <w:r>
              <w:rPr>
                <w:noProof/>
                <w:webHidden/>
              </w:rPr>
              <w:tab/>
            </w:r>
            <w:r>
              <w:rPr>
                <w:noProof/>
                <w:webHidden/>
              </w:rPr>
              <w:fldChar w:fldCharType="begin"/>
            </w:r>
            <w:r>
              <w:rPr>
                <w:noProof/>
                <w:webHidden/>
              </w:rPr>
              <w:instrText xml:space="preserve"> PAGEREF _Toc181449843 \h </w:instrText>
            </w:r>
            <w:r>
              <w:rPr>
                <w:noProof/>
                <w:webHidden/>
              </w:rPr>
            </w:r>
            <w:r>
              <w:rPr>
                <w:noProof/>
                <w:webHidden/>
              </w:rPr>
              <w:fldChar w:fldCharType="separate"/>
            </w:r>
            <w:r>
              <w:rPr>
                <w:noProof/>
                <w:webHidden/>
              </w:rPr>
              <w:t>11</w:t>
            </w:r>
            <w:r>
              <w:rPr>
                <w:noProof/>
                <w:webHidden/>
              </w:rPr>
              <w:fldChar w:fldCharType="end"/>
            </w:r>
          </w:hyperlink>
        </w:p>
        <w:p w14:paraId="4DD175D1" w14:textId="77777777" w:rsidR="00E046CD" w:rsidRDefault="00E046CD">
          <w:r>
            <w:rPr>
              <w:b/>
              <w:bCs/>
              <w:noProof/>
            </w:rPr>
            <w:fldChar w:fldCharType="end"/>
          </w:r>
        </w:p>
      </w:sdtContent>
    </w:sdt>
    <w:p w14:paraId="77A1AFAF" w14:textId="77777777" w:rsidR="00E046CD" w:rsidRDefault="00E046CD" w:rsidP="004C425B">
      <w:pPr>
        <w:pStyle w:val="Heading1"/>
      </w:pPr>
      <w:r>
        <w:br w:type="page"/>
      </w:r>
      <w:bookmarkStart w:id="0" w:name="_Toc181449829"/>
      <w:r w:rsidR="00B64BCB">
        <w:lastRenderedPageBreak/>
        <w:t xml:space="preserve">1.0 </w:t>
      </w:r>
      <w:r w:rsidR="004C425B">
        <w:t>Introduction</w:t>
      </w:r>
      <w:bookmarkEnd w:id="0"/>
    </w:p>
    <w:p w14:paraId="10DDC7D6" w14:textId="77777777" w:rsidR="00B64BCB" w:rsidRPr="00B64BCB" w:rsidRDefault="00B64BCB" w:rsidP="00B64BCB">
      <w:r w:rsidRPr="00B64BCB">
        <w:t>The City Hotel, located in an urban area, has faced significant financial challenges in recent years, with declining revenue, occupancy rates, and customer satisfaction impacting its overall viability. The owner is deeply concerned about the business's future and seeks expert insight to determine whether a turnaround strategy can salvage the hotel</w:t>
      </w:r>
      <w:r w:rsidR="00EA03FA">
        <w:t xml:space="preserve"> (Obtained from brief)</w:t>
      </w:r>
      <w:r w:rsidRPr="00B64BCB">
        <w:t>. This report assesses The City Hotel’s financial performance from 2021 to 2023, examining key profitability, liquidity, and solvency ratios to understand the financial trends affecting the business. Additionally, this report identifies primary factors contributing to profitability decline, considering real-world economic shifts and events, such as inflationary pressures, changing travel preferences, and heightened operational costs.</w:t>
      </w:r>
      <w:r w:rsidR="00954CAB">
        <w:t xml:space="preserve"> T</w:t>
      </w:r>
      <w:r w:rsidRPr="00B64BCB">
        <w:t>he report aims to develop a feasible turnaround strategy to improve the hotel’s financial health, enhance guest satisfaction, and ultimately restore the hotel’s reputatio</w:t>
      </w:r>
      <w:r>
        <w:t>n.</w:t>
      </w:r>
    </w:p>
    <w:p w14:paraId="27480894" w14:textId="77777777" w:rsidR="004C425B" w:rsidRDefault="004C425B">
      <w:pPr>
        <w:spacing w:line="240" w:lineRule="auto"/>
        <w:jc w:val="left"/>
      </w:pPr>
      <w:r>
        <w:br w:type="page"/>
      </w:r>
    </w:p>
    <w:p w14:paraId="117DD336" w14:textId="77777777" w:rsidR="004C425B" w:rsidRDefault="004C425B" w:rsidP="004C425B"/>
    <w:p w14:paraId="231C6FFF" w14:textId="77777777" w:rsidR="001E5936" w:rsidRPr="001E5936" w:rsidRDefault="001E5936" w:rsidP="001E5936">
      <w:pPr>
        <w:pStyle w:val="Heading1"/>
      </w:pPr>
      <w:bookmarkStart w:id="1" w:name="_Toc181449830"/>
      <w:r>
        <w:t>2.</w:t>
      </w:r>
      <w:r w:rsidR="00B64BCB">
        <w:t>0</w:t>
      </w:r>
      <w:r>
        <w:t xml:space="preserve"> </w:t>
      </w:r>
      <w:r w:rsidRPr="001E5936">
        <w:t>Financial Performance Trends</w:t>
      </w:r>
      <w:bookmarkEnd w:id="1"/>
    </w:p>
    <w:p w14:paraId="15015804" w14:textId="77777777" w:rsidR="001E5936" w:rsidRPr="001E5936" w:rsidRDefault="001E5936" w:rsidP="001E5936">
      <w:pPr>
        <w:pStyle w:val="Heading2"/>
      </w:pPr>
      <w:bookmarkStart w:id="2" w:name="_Toc181449831"/>
      <w:r>
        <w:t xml:space="preserve">2.1 </w:t>
      </w:r>
      <w:r w:rsidRPr="001E5936">
        <w:t>Revenue</w:t>
      </w:r>
      <w:bookmarkEnd w:id="2"/>
    </w:p>
    <w:p w14:paraId="6F9A44C7" w14:textId="77777777" w:rsidR="001E5936" w:rsidRPr="001E5936" w:rsidRDefault="001E5936" w:rsidP="001E5936">
      <w:r w:rsidRPr="001E5936">
        <w:t>The hotel’s revenue remained stable in 2021 and 2022, with minor growth from £5.25 million in 2021 to £5.30 million in 2022. However, in 2023, revenue dropped drastically to £2.32 million, a decrease of about 56% from the previous year. This sharp decline may be due to external factors, such as economic conditions or reduced occupancy rates.</w:t>
      </w:r>
    </w:p>
    <w:p w14:paraId="0C4D7065" w14:textId="77777777" w:rsidR="001E5936" w:rsidRPr="001E5936" w:rsidRDefault="001E5936" w:rsidP="001E5936">
      <w:pPr>
        <w:pStyle w:val="Heading2"/>
      </w:pPr>
      <w:bookmarkStart w:id="3" w:name="_Toc181449832"/>
      <w:r>
        <w:t xml:space="preserve">2.2 </w:t>
      </w:r>
      <w:r w:rsidRPr="001E5936">
        <w:t>Expenses</w:t>
      </w:r>
      <w:bookmarkEnd w:id="3"/>
    </w:p>
    <w:p w14:paraId="11DD8DF6" w14:textId="77777777" w:rsidR="001E5936" w:rsidRPr="001E5936" w:rsidRDefault="001E5936" w:rsidP="001E5936">
      <w:r w:rsidRPr="001E5936">
        <w:rPr>
          <w:b/>
          <w:bCs/>
        </w:rPr>
        <w:t>Cost of Goods Sold (COGS)</w:t>
      </w:r>
      <w:r w:rsidRPr="001E5936">
        <w:t>: This includes expenses directly related to the services provided. COGS decreased each year, from £411,600 in 2021 to £176,250 in 2023. While this drop aligns with the revenue decline, the change is smaller, meaning the hotel did not cut costs at the same rate as the revenue decline.</w:t>
      </w:r>
    </w:p>
    <w:p w14:paraId="7B9BE3D7" w14:textId="77777777" w:rsidR="001E5936" w:rsidRPr="001E5936" w:rsidRDefault="001E5936" w:rsidP="001E5936">
      <w:r w:rsidRPr="001E5936">
        <w:rPr>
          <w:b/>
          <w:bCs/>
        </w:rPr>
        <w:t>Employee Costs</w:t>
      </w:r>
      <w:r w:rsidRPr="001E5936">
        <w:t>: Employee costs have been high throughout, at £1.72 million in 2021, slightly increasing to £1.77 million in 2022, then falling to £1.23 million in 2023. Even though these costs decreased in 2023, they still represent a significant portion of the total revenue, indicating that staffing costs may not be fully optimized for low-occupancy situations.</w:t>
      </w:r>
    </w:p>
    <w:p w14:paraId="2680A844" w14:textId="77777777" w:rsidR="001E5936" w:rsidRPr="001E5936" w:rsidRDefault="001E5936" w:rsidP="001E5936">
      <w:r w:rsidRPr="001E5936">
        <w:rPr>
          <w:b/>
          <w:bCs/>
        </w:rPr>
        <w:t>External Expenses</w:t>
      </w:r>
      <w:r w:rsidRPr="001E5936">
        <w:t>: These are other operating costs, such as maintenance and utility bills. External expenses were £1.89 million in 2021, reducing slightly in 2022 and again in 2023 to £1.07 million. The decrease shows some adjustment to lower revenues, but these expenses still weigh heavily on the business.</w:t>
      </w:r>
    </w:p>
    <w:p w14:paraId="30C4079B" w14:textId="77777777" w:rsidR="001E5936" w:rsidRPr="001E5936" w:rsidRDefault="001E5936" w:rsidP="009F7D87">
      <w:r w:rsidRPr="001E5936">
        <w:rPr>
          <w:b/>
          <w:bCs/>
        </w:rPr>
        <w:t>Depreciation &amp; Amorti</w:t>
      </w:r>
      <w:r w:rsidR="005104DA">
        <w:rPr>
          <w:b/>
          <w:bCs/>
        </w:rPr>
        <w:t>s</w:t>
      </w:r>
      <w:r w:rsidRPr="001E5936">
        <w:rPr>
          <w:b/>
          <w:bCs/>
        </w:rPr>
        <w:t>ation</w:t>
      </w:r>
      <w:r w:rsidRPr="001E5936">
        <w:t>: This expense reflects the cost of using assets over time. It increased from £409,190 in 2021 to £661,590 in 2023, meaning that the hotel is recognizing more asset costs over the years. Higher depreciation affects net income, reducing profitability.</w:t>
      </w:r>
    </w:p>
    <w:p w14:paraId="6B64830C" w14:textId="77777777" w:rsidR="001E5936" w:rsidRDefault="001E5936" w:rsidP="001E5936">
      <w:pPr>
        <w:pStyle w:val="Heading2"/>
      </w:pPr>
      <w:bookmarkStart w:id="4" w:name="_Toc181449833"/>
      <w:r>
        <w:t>2.3</w:t>
      </w:r>
      <w:r w:rsidRPr="001E5936">
        <w:t xml:space="preserve"> Profitability Analysis</w:t>
      </w:r>
      <w:bookmarkEnd w:id="4"/>
    </w:p>
    <w:tbl>
      <w:tblPr>
        <w:tblStyle w:val="TableGrid"/>
        <w:tblW w:w="0" w:type="auto"/>
        <w:tblInd w:w="-998" w:type="dxa"/>
        <w:tblLook w:val="04A0" w:firstRow="1" w:lastRow="0" w:firstColumn="1" w:lastColumn="0" w:noHBand="0" w:noVBand="1"/>
      </w:tblPr>
      <w:tblGrid>
        <w:gridCol w:w="790"/>
        <w:gridCol w:w="3442"/>
        <w:gridCol w:w="2891"/>
        <w:gridCol w:w="2891"/>
      </w:tblGrid>
      <w:tr w:rsidR="003D789F" w:rsidRPr="008A1D92" w14:paraId="75B78178" w14:textId="77777777" w:rsidTr="009F7D87">
        <w:tc>
          <w:tcPr>
            <w:tcW w:w="993" w:type="dxa"/>
            <w:hideMark/>
          </w:tcPr>
          <w:p w14:paraId="0A0456FA" w14:textId="77777777" w:rsidR="009F7D87" w:rsidRPr="009F7D87" w:rsidRDefault="009F7D87" w:rsidP="009F7D87">
            <w:pPr>
              <w:jc w:val="center"/>
              <w:rPr>
                <w:b/>
                <w:bCs/>
              </w:rPr>
            </w:pPr>
          </w:p>
        </w:tc>
        <w:tc>
          <w:tcPr>
            <w:tcW w:w="3097" w:type="dxa"/>
            <w:hideMark/>
          </w:tcPr>
          <w:p w14:paraId="638972C9" w14:textId="77777777" w:rsidR="009F7D87" w:rsidRPr="009F7D87" w:rsidRDefault="009F7D87" w:rsidP="009F7D87">
            <w:pPr>
              <w:jc w:val="center"/>
              <w:rPr>
                <w:b/>
                <w:bCs/>
              </w:rPr>
            </w:pPr>
            <w:r w:rsidRPr="009F7D87">
              <w:rPr>
                <w:b/>
                <w:bCs/>
              </w:rPr>
              <w:t>Gross Profit Margin</w:t>
            </w:r>
          </w:p>
        </w:tc>
        <w:tc>
          <w:tcPr>
            <w:tcW w:w="0" w:type="auto"/>
            <w:hideMark/>
          </w:tcPr>
          <w:p w14:paraId="2B056B2D" w14:textId="77777777" w:rsidR="009F7D87" w:rsidRPr="009F7D87" w:rsidRDefault="009F7D87" w:rsidP="009F7D87">
            <w:pPr>
              <w:jc w:val="center"/>
              <w:rPr>
                <w:b/>
                <w:bCs/>
              </w:rPr>
            </w:pPr>
            <w:r w:rsidRPr="009F7D87">
              <w:rPr>
                <w:b/>
                <w:bCs/>
              </w:rPr>
              <w:t>Net Profit Margin</w:t>
            </w:r>
          </w:p>
        </w:tc>
        <w:tc>
          <w:tcPr>
            <w:tcW w:w="0" w:type="auto"/>
            <w:hideMark/>
          </w:tcPr>
          <w:p w14:paraId="09ED753E" w14:textId="77777777" w:rsidR="009F7D87" w:rsidRPr="009F7D87" w:rsidRDefault="009F7D87" w:rsidP="009F7D87">
            <w:pPr>
              <w:jc w:val="center"/>
              <w:rPr>
                <w:b/>
                <w:bCs/>
              </w:rPr>
            </w:pPr>
            <w:r w:rsidRPr="009F7D87">
              <w:rPr>
                <w:b/>
                <w:bCs/>
              </w:rPr>
              <w:t>Return on Assets (ROA)</w:t>
            </w:r>
          </w:p>
        </w:tc>
      </w:tr>
      <w:tr w:rsidR="003D789F" w:rsidRPr="008A1D92" w14:paraId="0FA802E9" w14:textId="77777777" w:rsidTr="003D789F">
        <w:trPr>
          <w:trHeight w:val="613"/>
        </w:trPr>
        <w:tc>
          <w:tcPr>
            <w:tcW w:w="993" w:type="dxa"/>
            <w:hideMark/>
          </w:tcPr>
          <w:p w14:paraId="1BEED068" w14:textId="77777777" w:rsidR="003D789F" w:rsidRPr="003D789F" w:rsidRDefault="003D789F" w:rsidP="00116C98">
            <w:r>
              <w:t>Formula</w:t>
            </w:r>
          </w:p>
          <w:p w14:paraId="33BDEA57" w14:textId="77777777" w:rsidR="009F7D87" w:rsidRPr="008A1D92" w:rsidRDefault="009F7D87" w:rsidP="00116C98"/>
        </w:tc>
        <w:tc>
          <w:tcPr>
            <w:tcW w:w="3097" w:type="dxa"/>
            <w:hideMark/>
          </w:tcPr>
          <w:p w14:paraId="17D3ED2A" w14:textId="77777777" w:rsidR="009F7D87" w:rsidRDefault="009F7D87" w:rsidP="00116C98">
            <w:r w:rsidRPr="008A1D92">
              <w:t>(Revenue−COGS)/Revenue×100</w:t>
            </w:r>
          </w:p>
          <w:p w14:paraId="383E2AC4" w14:textId="77777777" w:rsidR="009F7D87" w:rsidRPr="008A1D92" w:rsidRDefault="009F7D87" w:rsidP="00116C98"/>
        </w:tc>
        <w:tc>
          <w:tcPr>
            <w:tcW w:w="0" w:type="auto"/>
            <w:hideMark/>
          </w:tcPr>
          <w:p w14:paraId="43FB781F" w14:textId="77777777" w:rsidR="009F7D87" w:rsidRDefault="009F7D87" w:rsidP="00116C98">
            <w:r w:rsidRPr="008A1D92">
              <w:t>(Net Income/Revenue)×100</w:t>
            </w:r>
          </w:p>
          <w:p w14:paraId="213C0BB7" w14:textId="77777777" w:rsidR="009F7D87" w:rsidRPr="008A1D92" w:rsidRDefault="009F7D87" w:rsidP="00116C98"/>
        </w:tc>
        <w:tc>
          <w:tcPr>
            <w:tcW w:w="0" w:type="auto"/>
            <w:hideMark/>
          </w:tcPr>
          <w:p w14:paraId="179A25C7" w14:textId="77777777" w:rsidR="009F7D87" w:rsidRPr="008A1D92" w:rsidRDefault="009F7D87" w:rsidP="00116C98">
            <w:r w:rsidRPr="008A1D92">
              <w:t>(Net Income/Total Assets)×100</w:t>
            </w:r>
          </w:p>
        </w:tc>
      </w:tr>
      <w:tr w:rsidR="003D789F" w:rsidRPr="008A1D92" w14:paraId="6749A41B" w14:textId="77777777" w:rsidTr="009F7D87">
        <w:trPr>
          <w:trHeight w:val="1440"/>
        </w:trPr>
        <w:tc>
          <w:tcPr>
            <w:tcW w:w="993" w:type="dxa"/>
          </w:tcPr>
          <w:p w14:paraId="3B84604A" w14:textId="77777777" w:rsidR="003D789F" w:rsidRDefault="003D789F" w:rsidP="003D789F"/>
          <w:p w14:paraId="606EC0D6" w14:textId="77777777" w:rsidR="003D789F" w:rsidRDefault="003D789F" w:rsidP="003D789F">
            <w:r w:rsidRPr="008A1D92">
              <w:t>2021</w:t>
            </w:r>
          </w:p>
        </w:tc>
        <w:tc>
          <w:tcPr>
            <w:tcW w:w="3097" w:type="dxa"/>
          </w:tcPr>
          <w:p w14:paraId="13E8B64D" w14:textId="77777777" w:rsidR="003D789F" w:rsidRDefault="003D789F" w:rsidP="003D789F">
            <w:proofErr w:type="gramStart"/>
            <w:r>
              <w:t>=</w:t>
            </w:r>
            <w:r w:rsidRPr="008A1D92">
              <w:t>(</w:t>
            </w:r>
            <w:proofErr w:type="gramEnd"/>
            <w:r w:rsidRPr="008A1D92">
              <w:t>5,248,290−411,600)/5,248,290×100=92.16%</w:t>
            </w:r>
          </w:p>
          <w:p w14:paraId="61A6524E" w14:textId="77777777" w:rsidR="003D789F" w:rsidRPr="008A1D92" w:rsidRDefault="003D789F" w:rsidP="00116C98"/>
        </w:tc>
        <w:tc>
          <w:tcPr>
            <w:tcW w:w="0" w:type="auto"/>
          </w:tcPr>
          <w:p w14:paraId="44B06C3A" w14:textId="77777777" w:rsidR="003D789F" w:rsidRPr="008A1D92" w:rsidRDefault="003D789F" w:rsidP="00116C98">
            <w:r w:rsidRPr="008A1D92">
              <w:t>(333,930/5,248,290)×100=6.36%</w:t>
            </w:r>
          </w:p>
        </w:tc>
        <w:tc>
          <w:tcPr>
            <w:tcW w:w="0" w:type="auto"/>
          </w:tcPr>
          <w:p w14:paraId="3F34CA82" w14:textId="77777777" w:rsidR="003D789F" w:rsidRPr="008A1D92" w:rsidRDefault="003D789F" w:rsidP="003D789F">
            <w:r w:rsidRPr="008A1D92">
              <w:br/>
              <w:t>(333,930/12,941,110)×100=5.13%</w:t>
            </w:r>
          </w:p>
        </w:tc>
      </w:tr>
      <w:tr w:rsidR="003D789F" w:rsidRPr="008A1D92" w14:paraId="5088CC6A" w14:textId="77777777" w:rsidTr="009F7D87">
        <w:tc>
          <w:tcPr>
            <w:tcW w:w="993" w:type="dxa"/>
            <w:hideMark/>
          </w:tcPr>
          <w:p w14:paraId="0F299992" w14:textId="77777777" w:rsidR="009F7D87" w:rsidRPr="008A1D92" w:rsidRDefault="009F7D87" w:rsidP="00116C98">
            <w:r w:rsidRPr="008A1D92">
              <w:lastRenderedPageBreak/>
              <w:t>2022</w:t>
            </w:r>
          </w:p>
        </w:tc>
        <w:tc>
          <w:tcPr>
            <w:tcW w:w="3097" w:type="dxa"/>
            <w:hideMark/>
          </w:tcPr>
          <w:p w14:paraId="49F52FE2" w14:textId="77777777" w:rsidR="009F7D87" w:rsidRPr="008A1D92" w:rsidRDefault="009F7D87" w:rsidP="00116C98">
            <w:r w:rsidRPr="008A1D92">
              <w:t>(5,307,480−401,510)/5,307,480×100=92.43%</w:t>
            </w:r>
          </w:p>
        </w:tc>
        <w:tc>
          <w:tcPr>
            <w:tcW w:w="0" w:type="auto"/>
            <w:hideMark/>
          </w:tcPr>
          <w:p w14:paraId="5E3AD3A1" w14:textId="77777777" w:rsidR="009F7D87" w:rsidRPr="008A1D92" w:rsidRDefault="009F7D87" w:rsidP="00116C98">
            <w:r w:rsidRPr="008A1D92">
              <w:t>(304,650/5,307,480)×100=5.74%</w:t>
            </w:r>
          </w:p>
        </w:tc>
        <w:tc>
          <w:tcPr>
            <w:tcW w:w="0" w:type="auto"/>
            <w:hideMark/>
          </w:tcPr>
          <w:p w14:paraId="11D5C239" w14:textId="77777777" w:rsidR="009F7D87" w:rsidRPr="008A1D92" w:rsidRDefault="009F7D87" w:rsidP="00116C98">
            <w:r w:rsidRPr="008A1D92">
              <w:t>(304,650/15,921,080)×100=4.23%</w:t>
            </w:r>
          </w:p>
        </w:tc>
      </w:tr>
      <w:tr w:rsidR="003D789F" w:rsidRPr="008A1D92" w14:paraId="4DFD8D41" w14:textId="77777777" w:rsidTr="009F7D87">
        <w:tc>
          <w:tcPr>
            <w:tcW w:w="993" w:type="dxa"/>
            <w:hideMark/>
          </w:tcPr>
          <w:p w14:paraId="2B16D1D4" w14:textId="77777777" w:rsidR="009F7D87" w:rsidRPr="008A1D92" w:rsidRDefault="009F7D87" w:rsidP="00116C98">
            <w:r w:rsidRPr="008A1D92">
              <w:t>2023</w:t>
            </w:r>
          </w:p>
        </w:tc>
        <w:tc>
          <w:tcPr>
            <w:tcW w:w="3097" w:type="dxa"/>
            <w:hideMark/>
          </w:tcPr>
          <w:p w14:paraId="257C8B42" w14:textId="77777777" w:rsidR="009F7D87" w:rsidRPr="008A1D92" w:rsidRDefault="009F7D87" w:rsidP="00116C98">
            <w:r w:rsidRPr="008A1D92">
              <w:t>(2,325,440−176,250)/2,325,440×100=92.42%</w:t>
            </w:r>
          </w:p>
        </w:tc>
        <w:tc>
          <w:tcPr>
            <w:tcW w:w="0" w:type="auto"/>
            <w:hideMark/>
          </w:tcPr>
          <w:p w14:paraId="35F72344" w14:textId="77777777" w:rsidR="009F7D87" w:rsidRPr="008A1D92" w:rsidRDefault="009F7D87" w:rsidP="00116C98">
            <w:r w:rsidRPr="008A1D92">
              <w:t>(−1,134,950/2,325,440)×100=−48.79%</w:t>
            </w:r>
          </w:p>
        </w:tc>
        <w:tc>
          <w:tcPr>
            <w:tcW w:w="0" w:type="auto"/>
            <w:hideMark/>
          </w:tcPr>
          <w:p w14:paraId="6510BBB2" w14:textId="77777777" w:rsidR="009F7D87" w:rsidRPr="008A1D92" w:rsidRDefault="009F7D87" w:rsidP="00116C98">
            <w:r w:rsidRPr="008A1D92">
              <w:t>(−1,134,950/15,653,970)×100=−7.25%</w:t>
            </w:r>
          </w:p>
        </w:tc>
      </w:tr>
    </w:tbl>
    <w:p w14:paraId="1320DE8B" w14:textId="77777777" w:rsidR="004C425B" w:rsidRDefault="004C425B">
      <w:pPr>
        <w:spacing w:line="240" w:lineRule="auto"/>
        <w:jc w:val="left"/>
      </w:pPr>
    </w:p>
    <w:p w14:paraId="6F062B7F" w14:textId="77777777" w:rsidR="003D789F" w:rsidRDefault="003D789F">
      <w:pPr>
        <w:spacing w:line="240" w:lineRule="auto"/>
        <w:jc w:val="left"/>
      </w:pPr>
    </w:p>
    <w:p w14:paraId="5ABF9F65" w14:textId="77777777" w:rsidR="00EA03FA" w:rsidRPr="005104DA" w:rsidRDefault="003D789F" w:rsidP="00EA03FA">
      <w:r w:rsidRPr="005104DA">
        <w:t xml:space="preserve">The profitability ratios for The City Hotel show significant shifts from 2021 to 2023. The Gross Profit Margin remained stable around 92% each year, indicating that the hotel effectively managed its cost of goods sold in relation to revenue, even as revenue fell </w:t>
      </w:r>
      <w:r w:rsidR="005104DA">
        <w:t>(Horngren et al., 2022)</w:t>
      </w:r>
      <w:r w:rsidRPr="005104DA">
        <w:t>. However, the Net Profit Margin decreased sharply from 6.36% in 2021 to a staggering -48.79% in 2023, driven by declining revenues and increased expenses in 2023, leading to substantial net losses. This drop reflects</w:t>
      </w:r>
      <w:r>
        <w:t xml:space="preserve"> weakened financial health and challenges in covering operating costs </w:t>
      </w:r>
      <w:r w:rsidR="005104DA">
        <w:t>(Corporate Finance Institute, 2024</w:t>
      </w:r>
      <w:r>
        <w:t xml:space="preserve">). </w:t>
      </w:r>
      <w:r w:rsidR="00EA03FA">
        <w:t>In the same way, profitability in relation to total assets was evaluated by the Return on Assets (ROA), and it reduced from 5.13% in 2021 to -7.25% in 2023 which gives insight of inefficiency of the total asset as the hotel yielded losses from resources instead of revenues.</w:t>
      </w:r>
      <w:r w:rsidR="005104DA">
        <w:t xml:space="preserve"> </w:t>
      </w:r>
    </w:p>
    <w:p w14:paraId="0452D411" w14:textId="77777777" w:rsidR="009F7D87" w:rsidRPr="009F7D87" w:rsidRDefault="009F7D87" w:rsidP="009F7D87">
      <w:pPr>
        <w:pStyle w:val="Heading2"/>
      </w:pPr>
      <w:bookmarkStart w:id="5" w:name="_Toc181449834"/>
      <w:r>
        <w:t>2.4</w:t>
      </w:r>
      <w:r w:rsidRPr="001E5936">
        <w:t xml:space="preserve"> </w:t>
      </w:r>
      <w:r>
        <w:t>Liquidity</w:t>
      </w:r>
      <w:r w:rsidRPr="001E5936">
        <w:t xml:space="preserve"> Analysis</w:t>
      </w:r>
      <w:bookmarkEnd w:id="5"/>
    </w:p>
    <w:tbl>
      <w:tblPr>
        <w:tblStyle w:val="TableGrid"/>
        <w:tblW w:w="0" w:type="auto"/>
        <w:tblInd w:w="-289" w:type="dxa"/>
        <w:tblLook w:val="04A0" w:firstRow="1" w:lastRow="0" w:firstColumn="1" w:lastColumn="0" w:noHBand="0" w:noVBand="1"/>
      </w:tblPr>
      <w:tblGrid>
        <w:gridCol w:w="1138"/>
        <w:gridCol w:w="3469"/>
        <w:gridCol w:w="4698"/>
      </w:tblGrid>
      <w:tr w:rsidR="003D789F" w:rsidRPr="009F7D87" w14:paraId="001BC7B5" w14:textId="77777777" w:rsidTr="003D789F">
        <w:tc>
          <w:tcPr>
            <w:tcW w:w="1302" w:type="dxa"/>
            <w:hideMark/>
          </w:tcPr>
          <w:p w14:paraId="789E32A4" w14:textId="77777777" w:rsidR="009F7D87" w:rsidRPr="009F7D87" w:rsidRDefault="009F7D87" w:rsidP="009F7D87">
            <w:pPr>
              <w:jc w:val="center"/>
              <w:rPr>
                <w:b/>
                <w:bCs/>
              </w:rPr>
            </w:pPr>
            <w:r w:rsidRPr="009F7D87">
              <w:rPr>
                <w:b/>
                <w:bCs/>
              </w:rPr>
              <w:t>Year</w:t>
            </w:r>
          </w:p>
        </w:tc>
        <w:tc>
          <w:tcPr>
            <w:tcW w:w="0" w:type="auto"/>
            <w:hideMark/>
          </w:tcPr>
          <w:p w14:paraId="6809ACB2" w14:textId="77777777" w:rsidR="009F7D87" w:rsidRPr="009F7D87" w:rsidRDefault="009F7D87" w:rsidP="009F7D87">
            <w:pPr>
              <w:jc w:val="center"/>
              <w:rPr>
                <w:b/>
                <w:bCs/>
              </w:rPr>
            </w:pPr>
            <w:r w:rsidRPr="009F7D87">
              <w:rPr>
                <w:b/>
                <w:bCs/>
              </w:rPr>
              <w:t>Current Ratio</w:t>
            </w:r>
          </w:p>
        </w:tc>
        <w:tc>
          <w:tcPr>
            <w:tcW w:w="0" w:type="auto"/>
            <w:hideMark/>
          </w:tcPr>
          <w:p w14:paraId="563310E3" w14:textId="77777777" w:rsidR="009F7D87" w:rsidRPr="009F7D87" w:rsidRDefault="009F7D87" w:rsidP="009F7D87">
            <w:pPr>
              <w:jc w:val="center"/>
              <w:rPr>
                <w:b/>
                <w:bCs/>
              </w:rPr>
            </w:pPr>
            <w:r w:rsidRPr="009F7D87">
              <w:rPr>
                <w:b/>
                <w:bCs/>
              </w:rPr>
              <w:t>Quick Ratio</w:t>
            </w:r>
          </w:p>
        </w:tc>
      </w:tr>
      <w:tr w:rsidR="003D789F" w:rsidRPr="009F7D87" w14:paraId="63F417B6" w14:textId="77777777" w:rsidTr="003D789F">
        <w:trPr>
          <w:trHeight w:val="337"/>
        </w:trPr>
        <w:tc>
          <w:tcPr>
            <w:tcW w:w="1302" w:type="dxa"/>
            <w:hideMark/>
          </w:tcPr>
          <w:p w14:paraId="44C92C2B" w14:textId="77777777" w:rsidR="009F7D87" w:rsidRPr="003D789F" w:rsidRDefault="003D789F" w:rsidP="009F7D87">
            <w:r>
              <w:t>Formula</w:t>
            </w:r>
          </w:p>
        </w:tc>
        <w:tc>
          <w:tcPr>
            <w:tcW w:w="0" w:type="auto"/>
            <w:hideMark/>
          </w:tcPr>
          <w:p w14:paraId="74B0370D" w14:textId="77777777" w:rsidR="009F7D87" w:rsidRPr="009F7D87" w:rsidRDefault="009F7D87" w:rsidP="009F7D87">
            <w:r w:rsidRPr="009F7D87">
              <w:t>Current Assets/Current Liabilities</w:t>
            </w:r>
          </w:p>
        </w:tc>
        <w:tc>
          <w:tcPr>
            <w:tcW w:w="0" w:type="auto"/>
            <w:hideMark/>
          </w:tcPr>
          <w:p w14:paraId="273CD640" w14:textId="77777777" w:rsidR="009F7D87" w:rsidRPr="009F7D87" w:rsidRDefault="009F7D87" w:rsidP="009F7D87">
            <w:r w:rsidRPr="009F7D87">
              <w:t>(Current Assets−Inventory)/Current Liabilitie</w:t>
            </w:r>
            <w:r>
              <w:t>s</w:t>
            </w:r>
          </w:p>
        </w:tc>
      </w:tr>
      <w:tr w:rsidR="003D789F" w:rsidRPr="009F7D87" w14:paraId="7BFA8658" w14:textId="77777777" w:rsidTr="003D789F">
        <w:trPr>
          <w:trHeight w:val="71"/>
        </w:trPr>
        <w:tc>
          <w:tcPr>
            <w:tcW w:w="1302" w:type="dxa"/>
          </w:tcPr>
          <w:p w14:paraId="263E7F61" w14:textId="77777777" w:rsidR="003D789F" w:rsidRDefault="003D789F" w:rsidP="003D789F">
            <w:r w:rsidRPr="009F7D87">
              <w:t>2021</w:t>
            </w:r>
          </w:p>
        </w:tc>
        <w:tc>
          <w:tcPr>
            <w:tcW w:w="0" w:type="auto"/>
          </w:tcPr>
          <w:p w14:paraId="46A9730C" w14:textId="77777777" w:rsidR="003D789F" w:rsidRPr="009F7D87" w:rsidRDefault="003D789F" w:rsidP="009F7D87">
            <w:r w:rsidRPr="009F7D87">
              <w:t>1,891,970/1,957,360=0.97</w:t>
            </w:r>
          </w:p>
        </w:tc>
        <w:tc>
          <w:tcPr>
            <w:tcW w:w="0" w:type="auto"/>
          </w:tcPr>
          <w:p w14:paraId="6DAF5FC9" w14:textId="77777777" w:rsidR="003D789F" w:rsidRPr="009F7D87" w:rsidRDefault="003D789F" w:rsidP="003D789F">
            <w:r w:rsidRPr="009F7D87">
              <w:t>(1,891,970−35,230)/1,957,360=0.94</w:t>
            </w:r>
          </w:p>
        </w:tc>
      </w:tr>
      <w:tr w:rsidR="003D789F" w:rsidRPr="009F7D87" w14:paraId="3AB17310" w14:textId="77777777" w:rsidTr="003D789F">
        <w:tc>
          <w:tcPr>
            <w:tcW w:w="1302" w:type="dxa"/>
            <w:hideMark/>
          </w:tcPr>
          <w:p w14:paraId="5500E690" w14:textId="77777777" w:rsidR="009F7D87" w:rsidRPr="009F7D87" w:rsidRDefault="009F7D87" w:rsidP="009F7D87">
            <w:r w:rsidRPr="009F7D87">
              <w:t>2022</w:t>
            </w:r>
          </w:p>
        </w:tc>
        <w:tc>
          <w:tcPr>
            <w:tcW w:w="0" w:type="auto"/>
            <w:hideMark/>
          </w:tcPr>
          <w:p w14:paraId="1E9A0140" w14:textId="77777777" w:rsidR="009F7D87" w:rsidRPr="009F7D87" w:rsidRDefault="009F7D87" w:rsidP="009F7D87">
            <w:r w:rsidRPr="009F7D87">
              <w:t>1,965,340/2,107,750=0.93</w:t>
            </w:r>
          </w:p>
        </w:tc>
        <w:tc>
          <w:tcPr>
            <w:tcW w:w="0" w:type="auto"/>
            <w:hideMark/>
          </w:tcPr>
          <w:p w14:paraId="152EAD0C" w14:textId="77777777" w:rsidR="009F7D87" w:rsidRPr="009F7D87" w:rsidRDefault="009F7D87" w:rsidP="009F7D87">
            <w:r w:rsidRPr="009F7D87">
              <w:t>(1,965,340−36,350)/2,107,750=0.91</w:t>
            </w:r>
          </w:p>
        </w:tc>
      </w:tr>
      <w:tr w:rsidR="003D789F" w:rsidRPr="009F7D87" w14:paraId="0B826290" w14:textId="77777777" w:rsidTr="003D789F">
        <w:tc>
          <w:tcPr>
            <w:tcW w:w="1302" w:type="dxa"/>
            <w:hideMark/>
          </w:tcPr>
          <w:p w14:paraId="4497EE26" w14:textId="77777777" w:rsidR="009F7D87" w:rsidRPr="009F7D87" w:rsidRDefault="009F7D87" w:rsidP="009F7D87">
            <w:r w:rsidRPr="009F7D87">
              <w:t>2023</w:t>
            </w:r>
          </w:p>
        </w:tc>
        <w:tc>
          <w:tcPr>
            <w:tcW w:w="0" w:type="auto"/>
            <w:hideMark/>
          </w:tcPr>
          <w:p w14:paraId="139810A2" w14:textId="77777777" w:rsidR="009F7D87" w:rsidRPr="009F7D87" w:rsidRDefault="009F7D87" w:rsidP="009F7D87">
            <w:r w:rsidRPr="009F7D87">
              <w:t>1,285,880/2,014,600=0.64</w:t>
            </w:r>
          </w:p>
        </w:tc>
        <w:tc>
          <w:tcPr>
            <w:tcW w:w="0" w:type="auto"/>
            <w:hideMark/>
          </w:tcPr>
          <w:p w14:paraId="4BC2CEBF" w14:textId="77777777" w:rsidR="009F7D87" w:rsidRPr="009F7D87" w:rsidRDefault="009F7D87" w:rsidP="009F7D87">
            <w:r w:rsidRPr="009F7D87">
              <w:t>(1,285,880−29,470)/2,014,600=0.63</w:t>
            </w:r>
          </w:p>
        </w:tc>
      </w:tr>
    </w:tbl>
    <w:p w14:paraId="240BD461" w14:textId="77777777" w:rsidR="009F7D87" w:rsidRDefault="009F7D87" w:rsidP="009F7D87"/>
    <w:p w14:paraId="74DF4B33" w14:textId="77777777" w:rsidR="00EA03FA" w:rsidRPr="00E21877" w:rsidRDefault="00EA03FA" w:rsidP="009F7D87">
      <w:r>
        <w:t xml:space="preserve">In liquidity ratios, The City Hotel had lower Current Ratio (0.97 in 2021 to 0.64 in 2023) and lesser Quick Ratio (0.94 in 2021 to 0.63 in 2023). These ratios indicate the efficiency that the hotel has in meeting the short term obligations with the current assets (Brealey et al., 2020). The Current Ratio, below 1.0, is an indication that the hotel may encounter future liquidity problems, therefore recommending a position that the hotel may be unable to meet near-term obligations that are payable without having to borrow or sell assets. This indicates worsening of liquidity which is work in progress and an indicator of the firms’ financial stress </w:t>
      </w:r>
      <w:r w:rsidR="00E21877">
        <w:t>(Gallo, 2015)</w:t>
      </w:r>
      <w:r>
        <w:t>. Due to the low Quick Ratio, it also reveals lesser amount of liquid assets that is available after excluding inventory</w:t>
      </w:r>
      <w:r w:rsidR="00E21877">
        <w:t>.</w:t>
      </w:r>
    </w:p>
    <w:p w14:paraId="3554EC0C" w14:textId="77777777" w:rsidR="003D789F" w:rsidRPr="003D789F" w:rsidRDefault="009F7D87" w:rsidP="003D789F">
      <w:pPr>
        <w:pStyle w:val="Heading2"/>
      </w:pPr>
      <w:bookmarkStart w:id="6" w:name="_Toc181449835"/>
      <w:r>
        <w:lastRenderedPageBreak/>
        <w:t>2.5 Solvency Analysis</w:t>
      </w:r>
      <w:bookmarkEnd w:id="6"/>
    </w:p>
    <w:tbl>
      <w:tblPr>
        <w:tblStyle w:val="TableGrid"/>
        <w:tblW w:w="0" w:type="auto"/>
        <w:tblLook w:val="04A0" w:firstRow="1" w:lastRow="0" w:firstColumn="1" w:lastColumn="0" w:noHBand="0" w:noVBand="1"/>
      </w:tblPr>
      <w:tblGrid>
        <w:gridCol w:w="1030"/>
        <w:gridCol w:w="3059"/>
        <w:gridCol w:w="4409"/>
      </w:tblGrid>
      <w:tr w:rsidR="003D789F" w14:paraId="157879BC" w14:textId="77777777" w:rsidTr="003D789F">
        <w:tc>
          <w:tcPr>
            <w:tcW w:w="0" w:type="auto"/>
            <w:hideMark/>
          </w:tcPr>
          <w:p w14:paraId="15F06067" w14:textId="77777777" w:rsidR="003D789F" w:rsidRDefault="003D789F">
            <w:pPr>
              <w:jc w:val="center"/>
              <w:rPr>
                <w:b/>
                <w:bCs/>
              </w:rPr>
            </w:pPr>
            <w:r>
              <w:rPr>
                <w:b/>
                <w:bCs/>
              </w:rPr>
              <w:t>Year</w:t>
            </w:r>
          </w:p>
        </w:tc>
        <w:tc>
          <w:tcPr>
            <w:tcW w:w="0" w:type="auto"/>
            <w:hideMark/>
          </w:tcPr>
          <w:p w14:paraId="41AF134E" w14:textId="77777777" w:rsidR="003D789F" w:rsidRDefault="003D789F">
            <w:pPr>
              <w:jc w:val="center"/>
              <w:rPr>
                <w:b/>
                <w:bCs/>
              </w:rPr>
            </w:pPr>
            <w:r>
              <w:rPr>
                <w:b/>
                <w:bCs/>
              </w:rPr>
              <w:t>Debt to Equity Ratio</w:t>
            </w:r>
          </w:p>
        </w:tc>
        <w:tc>
          <w:tcPr>
            <w:tcW w:w="0" w:type="auto"/>
            <w:hideMark/>
          </w:tcPr>
          <w:p w14:paraId="7484608A" w14:textId="77777777" w:rsidR="003D789F" w:rsidRDefault="003D789F">
            <w:pPr>
              <w:jc w:val="center"/>
              <w:rPr>
                <w:b/>
                <w:bCs/>
              </w:rPr>
            </w:pPr>
            <w:r>
              <w:rPr>
                <w:b/>
                <w:bCs/>
              </w:rPr>
              <w:t>Interest Coverage Ratio (approximation)</w:t>
            </w:r>
          </w:p>
        </w:tc>
      </w:tr>
      <w:tr w:rsidR="003D789F" w14:paraId="1FE9A29C" w14:textId="77777777" w:rsidTr="003D789F">
        <w:trPr>
          <w:trHeight w:val="475"/>
        </w:trPr>
        <w:tc>
          <w:tcPr>
            <w:tcW w:w="0" w:type="auto"/>
            <w:hideMark/>
          </w:tcPr>
          <w:p w14:paraId="49E2CE7A" w14:textId="77777777" w:rsidR="003D789F" w:rsidRPr="003D789F" w:rsidRDefault="003D789F">
            <w:pPr>
              <w:jc w:val="left"/>
              <w:rPr>
                <w:rStyle w:val="Strong"/>
                <w:b w:val="0"/>
                <w:bCs w:val="0"/>
              </w:rPr>
            </w:pPr>
            <w:r w:rsidRPr="003D789F">
              <w:rPr>
                <w:rStyle w:val="Strong"/>
                <w:b w:val="0"/>
                <w:bCs w:val="0"/>
              </w:rPr>
              <w:t>Formula</w:t>
            </w:r>
          </w:p>
          <w:p w14:paraId="1D180C78" w14:textId="77777777" w:rsidR="003D789F" w:rsidRDefault="003D789F">
            <w:pPr>
              <w:jc w:val="left"/>
            </w:pPr>
          </w:p>
        </w:tc>
        <w:tc>
          <w:tcPr>
            <w:tcW w:w="0" w:type="auto"/>
            <w:hideMark/>
          </w:tcPr>
          <w:p w14:paraId="3EA30B85" w14:textId="77777777" w:rsidR="003D789F" w:rsidRDefault="003D789F">
            <w:pPr>
              <w:rPr>
                <w:rStyle w:val="katex-mathml"/>
              </w:rPr>
            </w:pPr>
            <w:r>
              <w:rPr>
                <w:rStyle w:val="katex-mathml"/>
              </w:rPr>
              <w:t>Total Liabilities/Total Equity</w:t>
            </w:r>
          </w:p>
          <w:p w14:paraId="0FFDC270" w14:textId="77777777" w:rsidR="003D789F" w:rsidRDefault="003D789F"/>
        </w:tc>
        <w:tc>
          <w:tcPr>
            <w:tcW w:w="0" w:type="auto"/>
            <w:hideMark/>
          </w:tcPr>
          <w:p w14:paraId="1519035B" w14:textId="77777777" w:rsidR="003D789F" w:rsidRDefault="003D789F">
            <w:pPr>
              <w:rPr>
                <w:rStyle w:val="katex-mathml"/>
              </w:rPr>
            </w:pPr>
            <w:r>
              <w:rPr>
                <w:rStyle w:val="katex-mathml"/>
              </w:rPr>
              <w:t>Operating Income/Interest Expense </w:t>
            </w:r>
          </w:p>
          <w:p w14:paraId="7BA2642A" w14:textId="77777777" w:rsidR="003D789F" w:rsidRDefault="003D789F"/>
        </w:tc>
      </w:tr>
      <w:tr w:rsidR="003D789F" w14:paraId="00A79DBD" w14:textId="77777777" w:rsidTr="003D789F">
        <w:trPr>
          <w:trHeight w:val="751"/>
        </w:trPr>
        <w:tc>
          <w:tcPr>
            <w:tcW w:w="0" w:type="auto"/>
          </w:tcPr>
          <w:p w14:paraId="610FFE2E" w14:textId="77777777" w:rsidR="003D789F" w:rsidRDefault="003D789F" w:rsidP="003D789F">
            <w:pPr>
              <w:jc w:val="left"/>
              <w:rPr>
                <w:rStyle w:val="Strong"/>
              </w:rPr>
            </w:pPr>
            <w:r>
              <w:rPr>
                <w:rStyle w:val="Strong"/>
              </w:rPr>
              <w:t>2021</w:t>
            </w:r>
          </w:p>
        </w:tc>
        <w:tc>
          <w:tcPr>
            <w:tcW w:w="0" w:type="auto"/>
          </w:tcPr>
          <w:p w14:paraId="3D971DCD" w14:textId="77777777" w:rsidR="003D789F" w:rsidRDefault="003D789F" w:rsidP="003D789F">
            <w:pPr>
              <w:rPr>
                <w:rStyle w:val="katex-mathml"/>
              </w:rPr>
            </w:pPr>
            <w:r>
              <w:rPr>
                <w:rStyle w:val="katex-mathml"/>
              </w:rPr>
              <w:t>10,684,940/2,256,180= 4.74</w:t>
            </w:r>
          </w:p>
        </w:tc>
        <w:tc>
          <w:tcPr>
            <w:tcW w:w="0" w:type="auto"/>
          </w:tcPr>
          <w:p w14:paraId="695F1B4F" w14:textId="77777777" w:rsidR="003D789F" w:rsidRDefault="003D789F" w:rsidP="003D789F">
            <w:pPr>
              <w:rPr>
                <w:rStyle w:val="katex-mathml"/>
              </w:rPr>
            </w:pPr>
            <w:r>
              <w:rPr>
                <w:rStyle w:val="katex-mathml"/>
              </w:rPr>
              <w:t>664,160/90,180=  7.36</w:t>
            </w:r>
          </w:p>
        </w:tc>
      </w:tr>
      <w:tr w:rsidR="003D789F" w14:paraId="248ECA48" w14:textId="77777777" w:rsidTr="003D789F">
        <w:tc>
          <w:tcPr>
            <w:tcW w:w="0" w:type="auto"/>
            <w:hideMark/>
          </w:tcPr>
          <w:p w14:paraId="395B0EB0" w14:textId="77777777" w:rsidR="003D789F" w:rsidRDefault="003D789F">
            <w:r>
              <w:rPr>
                <w:rStyle w:val="Strong"/>
              </w:rPr>
              <w:t>2022</w:t>
            </w:r>
          </w:p>
        </w:tc>
        <w:tc>
          <w:tcPr>
            <w:tcW w:w="0" w:type="auto"/>
            <w:hideMark/>
          </w:tcPr>
          <w:p w14:paraId="754F4429" w14:textId="77777777" w:rsidR="003D789F" w:rsidRDefault="003D789F">
            <w:r>
              <w:rPr>
                <w:rStyle w:val="katex-mathml"/>
              </w:rPr>
              <w:t>13,338,050/2,583,030= 5.16</w:t>
            </w:r>
          </w:p>
        </w:tc>
        <w:tc>
          <w:tcPr>
            <w:tcW w:w="0" w:type="auto"/>
            <w:hideMark/>
          </w:tcPr>
          <w:p w14:paraId="7CF6D679" w14:textId="77777777" w:rsidR="003D789F" w:rsidRDefault="003D789F">
            <w:r>
              <w:rPr>
                <w:rStyle w:val="katex-mathml"/>
              </w:rPr>
              <w:t>674,730/90,180= 7.48</w:t>
            </w:r>
          </w:p>
        </w:tc>
      </w:tr>
      <w:tr w:rsidR="003D789F" w14:paraId="5AA077A0" w14:textId="77777777" w:rsidTr="003D789F">
        <w:tc>
          <w:tcPr>
            <w:tcW w:w="0" w:type="auto"/>
            <w:hideMark/>
          </w:tcPr>
          <w:p w14:paraId="14F2FC68" w14:textId="77777777" w:rsidR="003D789F" w:rsidRDefault="003D789F">
            <w:r>
              <w:rPr>
                <w:rStyle w:val="Strong"/>
              </w:rPr>
              <w:t>2023</w:t>
            </w:r>
          </w:p>
        </w:tc>
        <w:tc>
          <w:tcPr>
            <w:tcW w:w="0" w:type="auto"/>
            <w:hideMark/>
          </w:tcPr>
          <w:p w14:paraId="48C9E9DD" w14:textId="77777777" w:rsidR="003D789F" w:rsidRDefault="003D789F">
            <w:r>
              <w:rPr>
                <w:rStyle w:val="katex-mathml"/>
              </w:rPr>
              <w:t>14,243,390/1,410,580= 10.10</w:t>
            </w:r>
          </w:p>
        </w:tc>
        <w:tc>
          <w:tcPr>
            <w:tcW w:w="0" w:type="auto"/>
            <w:hideMark/>
          </w:tcPr>
          <w:p w14:paraId="051D9316" w14:textId="77777777" w:rsidR="003D789F" w:rsidRDefault="003D789F">
            <w:r>
              <w:rPr>
                <w:rStyle w:val="katex-mathml"/>
              </w:rPr>
              <w:t>(−1,218,850)/90,180= −13.52</w:t>
            </w:r>
          </w:p>
        </w:tc>
      </w:tr>
    </w:tbl>
    <w:p w14:paraId="591A1DA6" w14:textId="77777777" w:rsidR="009F7D87" w:rsidRPr="009F7D87" w:rsidRDefault="009F7D87" w:rsidP="009F7D87"/>
    <w:p w14:paraId="59F0520E" w14:textId="77777777" w:rsidR="009F7D87" w:rsidRDefault="00EA03FA" w:rsidP="00EA03FA">
      <w:r>
        <w:t>The solvency ratios are also alike and raise concern as the Debt to Equity Ratio rises from 4.74 in 2021 to 10.10 in 2023. This rise shows that the amount of debt has surpassed equity many times; therefore, the amount of financial risk that hotel has is high and it implies that the organisation relies much on debt rather than equity (Brigham and Houston, 20</w:t>
      </w:r>
      <w:r w:rsidR="0070495C">
        <w:t>22</w:t>
      </w:r>
      <w:r>
        <w:t xml:space="preserve">). However, the Interest Coverage Ratio declined significantly from 7.36 in 2021 to -13.52 in 2023, meaning that the hotel cannot even meet interest cost because of operating losses. This is a clear sign that the hotel’s financial health is in the red since the company’s earnings are not adequate to meet debt obligations hence the potential for insolvency if matters are not turned around </w:t>
      </w:r>
      <w:r w:rsidR="0070495C">
        <w:t>(Arhinful and Radmehr, 2023)</w:t>
      </w:r>
      <w:r>
        <w:t>.</w:t>
      </w:r>
      <w:r w:rsidR="0070495C">
        <w:t xml:space="preserve"> </w:t>
      </w:r>
      <w:r w:rsidR="006E54DF">
        <w:br w:type="page"/>
      </w:r>
    </w:p>
    <w:p w14:paraId="7388BA60" w14:textId="77777777" w:rsidR="006E54DF" w:rsidRDefault="006E54DF" w:rsidP="006E54DF">
      <w:pPr>
        <w:pStyle w:val="Heading1"/>
        <w:rPr>
          <w:szCs w:val="27"/>
        </w:rPr>
      </w:pPr>
      <w:bookmarkStart w:id="7" w:name="_Toc181449836"/>
      <w:r>
        <w:lastRenderedPageBreak/>
        <w:t>3.</w:t>
      </w:r>
      <w:r w:rsidR="00B64BCB">
        <w:t>0</w:t>
      </w:r>
      <w:r>
        <w:t xml:space="preserve"> Reasons Behind Decline in Profitability</w:t>
      </w:r>
      <w:bookmarkEnd w:id="7"/>
    </w:p>
    <w:p w14:paraId="5F62E62A" w14:textId="77777777" w:rsidR="006E54DF" w:rsidRDefault="006E54DF" w:rsidP="00B64BCB">
      <w:pPr>
        <w:pStyle w:val="Heading2"/>
        <w:rPr>
          <w:rStyle w:val="Strong"/>
          <w:b/>
          <w:bCs w:val="0"/>
        </w:rPr>
      </w:pPr>
      <w:bookmarkStart w:id="8" w:name="_Toc181449837"/>
      <w:r w:rsidRPr="00B64BCB">
        <w:rPr>
          <w:rStyle w:val="Strong"/>
          <w:b/>
          <w:bCs w:val="0"/>
        </w:rPr>
        <w:t>3.1 Impact of the COVID-19 Pandemic and Recovery Challenges</w:t>
      </w:r>
      <w:bookmarkEnd w:id="8"/>
    </w:p>
    <w:p w14:paraId="7024CBAC" w14:textId="77777777" w:rsidR="008E2F15" w:rsidRPr="008E2F15" w:rsidRDefault="008E2F15" w:rsidP="008E2F15">
      <w:r w:rsidRPr="008E2F15">
        <w:t xml:space="preserve">The impact of COVID-19 pandemic remains one of the significance factors influencing The City Hotel profit. From year 2020 and so on, the hospitality industry brought the most challenging problems. Such challenges were in the form of government-imposed lock-downs, restrictive travel and trading bans as well as customer avoids contact measures such as group convening. According to Colmekcioglu et al. (2022) these interruptions decreased hotel occupancy rates globally. Other hotels which lost business due to decline in metropolitan tourism and business travelling include The City Hotel. Because of shift, most urban hotels are unable to attain pre-crisis occupancy and revenue, which influences their profitability (Peco-Torres et al., 2021). Moreover, some new conditions in the period after a pandemic became a concern of the company’s operations. The costs that gave rise to the need for PPE and more frequent cleaning were therefore the costs identified above. According to Shapoval et al. (2021), however, these necessary measures added pressure for those with a already-squeezed budget. </w:t>
      </w:r>
    </w:p>
    <w:p w14:paraId="4EA66D56" w14:textId="77777777" w:rsidR="006E54DF" w:rsidRPr="00B64BCB" w:rsidRDefault="00B64BCB" w:rsidP="00B64BCB">
      <w:pPr>
        <w:pStyle w:val="Heading2"/>
      </w:pPr>
      <w:bookmarkStart w:id="9" w:name="_Toc181449838"/>
      <w:r w:rsidRPr="00B64BCB">
        <w:rPr>
          <w:rStyle w:val="Strong"/>
          <w:b/>
          <w:bCs w:val="0"/>
        </w:rPr>
        <w:t>3.</w:t>
      </w:r>
      <w:r w:rsidR="006E54DF" w:rsidRPr="00B64BCB">
        <w:rPr>
          <w:rStyle w:val="Strong"/>
          <w:b/>
          <w:bCs w:val="0"/>
        </w:rPr>
        <w:t>2 Rising Inflation and Increased Operating Costs</w:t>
      </w:r>
      <w:bookmarkEnd w:id="9"/>
    </w:p>
    <w:p w14:paraId="61BD4CCA" w14:textId="77777777" w:rsidR="005104DA" w:rsidRPr="0070495C" w:rsidRDefault="005104DA" w:rsidP="005104DA">
      <w:r w:rsidRPr="005104DA">
        <w:t>The City Hotel's profitability is also declining due to rising inflation. Many factors caused inflation to reach multi-decade highs in many countries, including the UK and US</w:t>
      </w:r>
      <w:r w:rsidR="0070495C">
        <w:t xml:space="preserve"> (BBC, 2024). </w:t>
      </w:r>
      <w:r w:rsidRPr="005104DA">
        <w:t>The rising rate of inflation has raised the prices of hotel supplies. For instance, the hotel's restaurant and bar's food, beverage, and other supplies may have increased in price</w:t>
      </w:r>
      <w:r w:rsidR="0070495C">
        <w:t xml:space="preserve"> (Sauvage, 2023)</w:t>
      </w:r>
      <w:r w:rsidRPr="005104DA">
        <w:t xml:space="preserve">. Meanwhile, electricity and water prices have risen, straining the hotel's profit margins. </w:t>
      </w:r>
      <w:r w:rsidR="0070495C">
        <w:t xml:space="preserve"> </w:t>
      </w:r>
    </w:p>
    <w:p w14:paraId="3637C557" w14:textId="77777777" w:rsidR="006E54DF" w:rsidRDefault="005104DA" w:rsidP="005104DA">
      <w:r w:rsidRPr="005104DA">
        <w:t xml:space="preserve">Inflationary pressures have raised employee costs. Hospitality workers are demanding higher wages to keep up with rising costs due to inflation </w:t>
      </w:r>
      <w:r w:rsidR="0070495C">
        <w:t xml:space="preserve">(European Parliament, 2023). </w:t>
      </w:r>
      <w:r w:rsidRPr="005104DA">
        <w:t>This has increased recruitment costs and wages to attract new hires, increasing the overall burden</w:t>
      </w:r>
      <w:r w:rsidR="00340663">
        <w:t xml:space="preserve"> (Ha et al., 2024)</w:t>
      </w:r>
      <w:r w:rsidRPr="005104DA">
        <w:t xml:space="preserve">. As a result, The City Hotel likely spent more on staff retention and recruitment, lowering profits. </w:t>
      </w:r>
    </w:p>
    <w:p w14:paraId="149A59EC" w14:textId="77777777" w:rsidR="006E54DF" w:rsidRDefault="00B64BCB" w:rsidP="00B64BCB">
      <w:pPr>
        <w:pStyle w:val="Heading2"/>
        <w:rPr>
          <w:rStyle w:val="Strong"/>
          <w:b/>
          <w:bCs w:val="0"/>
        </w:rPr>
      </w:pPr>
      <w:bookmarkStart w:id="10" w:name="_Toc181449839"/>
      <w:r w:rsidRPr="00B64BCB">
        <w:rPr>
          <w:rStyle w:val="Strong"/>
          <w:b/>
          <w:bCs w:val="0"/>
        </w:rPr>
        <w:t>3.</w:t>
      </w:r>
      <w:r w:rsidR="006E54DF" w:rsidRPr="00B64BCB">
        <w:rPr>
          <w:rStyle w:val="Strong"/>
          <w:b/>
          <w:bCs w:val="0"/>
        </w:rPr>
        <w:t>3 Rising Competition and Shifts in Consumer Preferences</w:t>
      </w:r>
      <w:bookmarkEnd w:id="10"/>
    </w:p>
    <w:p w14:paraId="007878DF" w14:textId="77777777" w:rsidR="00A3627B" w:rsidRDefault="005104DA" w:rsidP="00A3627B">
      <w:r w:rsidRPr="005104DA">
        <w:t>The City Hotel also faces rising hospitality industry competition. Customers have more options than ever thanks to Airbnb and other online travel platforms</w:t>
      </w:r>
      <w:r w:rsidR="0070495C">
        <w:t xml:space="preserve"> (Dogru et al., 2020)</w:t>
      </w:r>
      <w:r w:rsidRPr="005104DA">
        <w:t xml:space="preserve">. Urban hotels suffer disproportionately from travelers' growing preference for short-term rentals and boutique guesthouses with unique experiences. </w:t>
      </w:r>
      <w:r w:rsidR="00A3627B">
        <w:t xml:space="preserve">These options are generally less expensive than typical hotels for youth and budget-conscious solo travelers, and growing populations of young urban </w:t>
      </w:r>
      <w:r w:rsidR="00A3627B">
        <w:lastRenderedPageBreak/>
        <w:t>dwellers, respectively, According to Guttentag (2019). This means that The City Hotel’s occupancy and the resulting revenues could have been affected by this shift in consumer preference for the CSA accommodations. In order to gain a better understanding of travel motivation, many travelers are looking for things that have more privacy, ability to be more flexible or to avoid large crowds. Shiwen et al. (2021) observed that travelers have a tendency to choose hotels that provide self-check-in and flexibility in the booking process rather than traditional hotels that still have not emphasized the importance of these factors.</w:t>
      </w:r>
    </w:p>
    <w:p w14:paraId="28C1B717" w14:textId="77777777" w:rsidR="006E54DF" w:rsidRPr="00B64BCB" w:rsidRDefault="00B64BCB" w:rsidP="00B64BCB">
      <w:pPr>
        <w:pStyle w:val="Heading2"/>
      </w:pPr>
      <w:bookmarkStart w:id="11" w:name="_Toc181449840"/>
      <w:r w:rsidRPr="00B64BCB">
        <w:rPr>
          <w:rStyle w:val="Strong"/>
          <w:b/>
          <w:bCs w:val="0"/>
        </w:rPr>
        <w:t>3.</w:t>
      </w:r>
      <w:r w:rsidR="006E54DF" w:rsidRPr="00B64BCB">
        <w:rPr>
          <w:rStyle w:val="Strong"/>
          <w:b/>
          <w:bCs w:val="0"/>
        </w:rPr>
        <w:t>4 Current Economic Uncertainty and Reduced Consumer Spending</w:t>
      </w:r>
      <w:bookmarkEnd w:id="11"/>
    </w:p>
    <w:p w14:paraId="2A99AA0D" w14:textId="77777777" w:rsidR="006E54DF" w:rsidRPr="00A3627B" w:rsidRDefault="00A3627B" w:rsidP="00B64BCB">
      <w:r>
        <w:t>Inflation and unstable interest rates have contributed to low consumer spending in the current global economy especially on sensitive items such as tourism and hotels. Because of increase in price levels, consumers give premium spending products or services a wide berth, or limit them to the bare minimum possible, in regard to eating out, entertainment and travel among others. The hotel’s bar, restaurant and accommodative event facilities may have faced the brunt as people and firms sought to cut expenses (Nguyen et al., 2020). Cutting down on such expenses has a direct consequence on the hotel’s turnover and profitability because such services more often than not provide attractive returns to support some of the fixed costs that the hotel may incur. If the business travel does not restore to the state that prevailed before the advent of Covid-19 again, hotels depending on the segment such as The City Hotel will still face a challenge of low occupancy and revenue (Fairbrother, 2022)</w:t>
      </w:r>
      <w:r w:rsidR="006E54DF">
        <w:t>.</w:t>
      </w:r>
    </w:p>
    <w:p w14:paraId="641D78A5" w14:textId="77777777" w:rsidR="00B64BCB" w:rsidRDefault="00B64BCB">
      <w:pPr>
        <w:spacing w:line="240" w:lineRule="auto"/>
        <w:jc w:val="left"/>
      </w:pPr>
      <w:r>
        <w:br w:type="page"/>
      </w:r>
    </w:p>
    <w:p w14:paraId="59AA31D0" w14:textId="77777777" w:rsidR="006E54DF" w:rsidRDefault="00B64BCB" w:rsidP="00B64BCB">
      <w:pPr>
        <w:pStyle w:val="Heading1"/>
      </w:pPr>
      <w:bookmarkStart w:id="12" w:name="_Toc181449841"/>
      <w:r>
        <w:lastRenderedPageBreak/>
        <w:t>4.0 Turnaround Strategy Proposal</w:t>
      </w:r>
      <w:bookmarkEnd w:id="12"/>
    </w:p>
    <w:p w14:paraId="7145CEE1" w14:textId="77777777" w:rsidR="005104DA" w:rsidRDefault="005104DA" w:rsidP="005104DA">
      <w:r>
        <w:t>Thus, The City Hotel’s business revitalization measures that should encompass the combination of the key factors of financial and image recovery included can be used: First, the ‘cost constraints’ should receive much attention. They have the ability to cut operating costs through renegotiating the supplier contracts as well as enhancing their energy consumption. Moreover, recalculating goals for the effective staffing</w:t>
      </w:r>
      <w:r w:rsidR="00340663">
        <w:t xml:space="preserve">, </w:t>
      </w:r>
      <w:r>
        <w:t>the staff cross-training concept</w:t>
      </w:r>
      <w:r w:rsidR="00340663">
        <w:t xml:space="preserve">, </w:t>
      </w:r>
      <w:r>
        <w:t>can contribute to service quality sustainability while controlling employees’ expenses</w:t>
      </w:r>
      <w:r w:rsidR="00340663">
        <w:t xml:space="preserve"> (Hidalgo et al., 2022)</w:t>
      </w:r>
      <w:r>
        <w:t xml:space="preserve">. </w:t>
      </w:r>
    </w:p>
    <w:p w14:paraId="1E1E712C" w14:textId="77777777" w:rsidR="005104DA" w:rsidRDefault="005104DA" w:rsidP="005104DA">
      <w:r>
        <w:t xml:space="preserve">Enhancing the experience of guests should also be done. Extending standard check-in and check-out times, allowing digital check-ins, and offering optional, individually selected services like room features would make the hotel accessible to modern consumer </w:t>
      </w:r>
      <w:r w:rsidR="009257F9">
        <w:t>(Crudu, 2024)</w:t>
      </w:r>
      <w:r>
        <w:t>. First of all, the renewal of some space such as the lobby, restaurant, and guest rooms could increase appeal as well as allowing the property to be more of a contender to some of the new hotels and hostels. It could also establish brand appeal by hosting local events such exposing artists or themed evenings in the restaurant and bar section.</w:t>
      </w:r>
    </w:p>
    <w:p w14:paraId="10E859F6" w14:textId="77777777" w:rsidR="00B64BCB" w:rsidRDefault="005104DA" w:rsidP="005104DA">
      <w:r>
        <w:t>In order to establish a stronger position of the hotel’s brand and, therefore, to attract more visitors, a promotion campaign should be launched. Social media portals and collaboration with local companies, usage of online booking agents can increase demand towards the hotel. Options such as reduced rates for loyal customers would encourage customers to stick around and create brand loyalty. Furthermore, offering conference room service, and meeting packages could also bring in corporate clients to the hotel and regain the image it once had to business men and women once corporate travels resumes.</w:t>
      </w:r>
      <w:r w:rsidR="00B64BCB">
        <w:br w:type="page"/>
      </w:r>
    </w:p>
    <w:p w14:paraId="3CCFF5F4" w14:textId="77777777" w:rsidR="00B64BCB" w:rsidRDefault="00B64BCB" w:rsidP="00B64BCB">
      <w:pPr>
        <w:pStyle w:val="Heading1"/>
      </w:pPr>
      <w:bookmarkStart w:id="13" w:name="_Toc181449842"/>
      <w:r>
        <w:lastRenderedPageBreak/>
        <w:t>5.0 Conclusion</w:t>
      </w:r>
      <w:bookmarkEnd w:id="13"/>
    </w:p>
    <w:p w14:paraId="111B6557" w14:textId="77777777" w:rsidR="009257F9" w:rsidRDefault="005104DA" w:rsidP="00B64BCB">
      <w:r w:rsidRPr="005104DA">
        <w:t>The problems of declining financial results are caused by both macroeconomic indicators and microeconomic processes in the management and running of the City Hotel, making it necessary to develop a complex plan of recovery. Cost containment measures, guest satisfaction, and marketing strategies are some of the recommendations for the revitalization of the business. Implementing financial discipline and strategic customer-oriented improvements</w:t>
      </w:r>
      <w:r>
        <w:t>,</w:t>
      </w:r>
      <w:r w:rsidRPr="005104DA">
        <w:t xml:space="preserve"> The City Hotel has an opportunity to create a sustainable recovery pattern to attain the profitability status and enhance the company’s market position. The most realistic financial result for the owner may be achieved by the careful implementation of the turnaround strategy that will help the hotel regain its reputation of the favorite among city guests.</w:t>
      </w:r>
    </w:p>
    <w:p w14:paraId="630B69F5" w14:textId="77777777" w:rsidR="009257F9" w:rsidRDefault="009257F9">
      <w:pPr>
        <w:spacing w:line="240" w:lineRule="auto"/>
        <w:jc w:val="left"/>
      </w:pPr>
      <w:r>
        <w:br w:type="page"/>
      </w:r>
    </w:p>
    <w:p w14:paraId="47ECD46A" w14:textId="77777777" w:rsidR="00B64BCB" w:rsidRDefault="009257F9" w:rsidP="009257F9">
      <w:pPr>
        <w:pStyle w:val="Heading1"/>
      </w:pPr>
      <w:bookmarkStart w:id="14" w:name="_Toc181449843"/>
      <w:r w:rsidRPr="009257F9">
        <w:lastRenderedPageBreak/>
        <w:t>Reference</w:t>
      </w:r>
      <w:r>
        <w:t>s</w:t>
      </w:r>
      <w:bookmarkEnd w:id="14"/>
    </w:p>
    <w:p w14:paraId="639DBC60" w14:textId="77777777" w:rsidR="009257F9" w:rsidRDefault="009257F9" w:rsidP="009257F9">
      <w:pPr>
        <w:pStyle w:val="NormalWeb"/>
        <w:spacing w:before="0" w:beforeAutospacing="0" w:after="240" w:afterAutospacing="0" w:line="360" w:lineRule="auto"/>
        <w:jc w:val="both"/>
      </w:pPr>
      <w:r>
        <w:t xml:space="preserve">Arhinful, R. and Radmehr, M. (2023). The Impact of Financial Leverage on the Financial Performance of the Firms Listed on the Tokyo Stock Exchange. </w:t>
      </w:r>
      <w:r>
        <w:rPr>
          <w:i/>
          <w:iCs/>
        </w:rPr>
        <w:t>SAGE Open</w:t>
      </w:r>
      <w:r>
        <w:t>, [online] 13(4). doi:https://doi.org/10.1177/21582440231204099.</w:t>
      </w:r>
    </w:p>
    <w:p w14:paraId="35508EDC" w14:textId="77777777" w:rsidR="009257F9" w:rsidRDefault="009257F9" w:rsidP="009257F9">
      <w:pPr>
        <w:pStyle w:val="NormalWeb"/>
        <w:spacing w:before="0" w:beforeAutospacing="0" w:after="240" w:afterAutospacing="0" w:line="360" w:lineRule="auto"/>
        <w:jc w:val="both"/>
      </w:pPr>
      <w:r>
        <w:t xml:space="preserve">BBC (2024). What is the UK’s inflation rate? </w:t>
      </w:r>
      <w:r>
        <w:rPr>
          <w:i/>
          <w:iCs/>
        </w:rPr>
        <w:t>BBC News</w:t>
      </w:r>
      <w:r>
        <w:t>. [online] Available at: https://www.bbc.com/news/business-12196322.</w:t>
      </w:r>
    </w:p>
    <w:p w14:paraId="6E855B8C" w14:textId="77777777" w:rsidR="009257F9" w:rsidRDefault="009257F9" w:rsidP="009257F9">
      <w:pPr>
        <w:pStyle w:val="NormalWeb"/>
        <w:spacing w:before="0" w:beforeAutospacing="0" w:after="240" w:afterAutospacing="0" w:line="360" w:lineRule="auto"/>
        <w:jc w:val="both"/>
      </w:pPr>
      <w:r>
        <w:t xml:space="preserve">Brealey, R.A., Myers, S.C. and Allen, F. (2020). </w:t>
      </w:r>
      <w:r>
        <w:rPr>
          <w:i/>
          <w:iCs/>
        </w:rPr>
        <w:t>Principles of corporate finance</w:t>
      </w:r>
      <w:r>
        <w:t>. 13th ed. New York: McGraw-Hill Education.</w:t>
      </w:r>
    </w:p>
    <w:p w14:paraId="0D15EA98" w14:textId="77777777" w:rsidR="009257F9" w:rsidRDefault="009257F9" w:rsidP="009257F9">
      <w:pPr>
        <w:pStyle w:val="NormalWeb"/>
        <w:spacing w:before="0" w:beforeAutospacing="0" w:after="240" w:afterAutospacing="0" w:line="360" w:lineRule="auto"/>
        <w:jc w:val="both"/>
      </w:pPr>
      <w:r>
        <w:t xml:space="preserve">Brigham, E.F. and Houston, J.F. (2022). </w:t>
      </w:r>
      <w:r>
        <w:rPr>
          <w:i/>
          <w:iCs/>
        </w:rPr>
        <w:t>Fundamentals Of Financial Management.</w:t>
      </w:r>
      <w:r>
        <w:t xml:space="preserve"> Cengage.</w:t>
      </w:r>
    </w:p>
    <w:p w14:paraId="1CD58FE1" w14:textId="77777777" w:rsidR="009257F9" w:rsidRDefault="009257F9" w:rsidP="009257F9">
      <w:pPr>
        <w:pStyle w:val="NormalWeb"/>
        <w:spacing w:before="0" w:beforeAutospacing="0" w:after="240" w:afterAutospacing="0" w:line="360" w:lineRule="auto"/>
        <w:jc w:val="both"/>
      </w:pPr>
      <w:r>
        <w:t xml:space="preserve">Colmekcioglu, N., Dineva, D. and Lu, X. (2022). ‘Building back better’: the impact of the COVID-19 pandemic on the resilience of the hospitality and tourism industries. </w:t>
      </w:r>
      <w:r>
        <w:rPr>
          <w:i/>
          <w:iCs/>
        </w:rPr>
        <w:t>International Journal of Contemporary Hospitality Management</w:t>
      </w:r>
      <w:r>
        <w:t>, 34(11). doi:https://doi.org/10.1108/ijchm-12-2021-1509.</w:t>
      </w:r>
    </w:p>
    <w:p w14:paraId="47FD693A" w14:textId="77777777" w:rsidR="009257F9" w:rsidRDefault="009257F9" w:rsidP="009257F9">
      <w:pPr>
        <w:pStyle w:val="NormalWeb"/>
        <w:spacing w:before="0" w:beforeAutospacing="0" w:after="240" w:afterAutospacing="0" w:line="360" w:lineRule="auto"/>
        <w:jc w:val="both"/>
      </w:pPr>
      <w:r>
        <w:t xml:space="preserve">Corporate Finance Institute (2024). </w:t>
      </w:r>
      <w:r>
        <w:rPr>
          <w:i/>
          <w:iCs/>
        </w:rPr>
        <w:t>Net Profit Margin</w:t>
      </w:r>
      <w:r>
        <w:t>. [online] Corporate Finance Institute. Available at: https://corporatefinanceinstitute.com/resources/accounting/net-profit-margin-formula/.</w:t>
      </w:r>
    </w:p>
    <w:p w14:paraId="5FBAC2A4" w14:textId="77777777" w:rsidR="009257F9" w:rsidRDefault="009257F9" w:rsidP="009257F9">
      <w:pPr>
        <w:pStyle w:val="NormalWeb"/>
        <w:spacing w:before="0" w:beforeAutospacing="0" w:after="240" w:afterAutospacing="0" w:line="360" w:lineRule="auto"/>
        <w:jc w:val="both"/>
      </w:pPr>
      <w:r>
        <w:t xml:space="preserve">Crudu, A. (2024). </w:t>
      </w:r>
      <w:r>
        <w:rPr>
          <w:i/>
          <w:iCs/>
        </w:rPr>
        <w:t>Enhancing guest check-in and check-out processes with digital tools</w:t>
      </w:r>
      <w:r>
        <w:t>. [online] Moldstud.com. Available at: https://moldstud.com/articles/p-enhancing-guest-check-in-and-check-out-processes-with-digital-tools.</w:t>
      </w:r>
    </w:p>
    <w:p w14:paraId="1AC9EEFD" w14:textId="77777777" w:rsidR="009257F9" w:rsidRDefault="009257F9" w:rsidP="009257F9">
      <w:pPr>
        <w:pStyle w:val="NormalWeb"/>
        <w:spacing w:before="0" w:beforeAutospacing="0" w:after="240" w:afterAutospacing="0" w:line="360" w:lineRule="auto"/>
        <w:jc w:val="both"/>
      </w:pPr>
      <w:r>
        <w:t xml:space="preserve">Dogru, T., Hanks, L., Mody, M., Suess, C. and Sirakaya-Turk, E. (2020). The effects of Airbnb on hotel performance: Evidence from cities beyond the United States. </w:t>
      </w:r>
      <w:r>
        <w:rPr>
          <w:i/>
          <w:iCs/>
        </w:rPr>
        <w:t>Tourism Management</w:t>
      </w:r>
      <w:r>
        <w:t>, 79(7), p.104090. doi:https://doi.org/10.1016/j.tourman.2020.104090.</w:t>
      </w:r>
    </w:p>
    <w:p w14:paraId="4FE2187B" w14:textId="77777777" w:rsidR="009257F9" w:rsidRDefault="009257F9" w:rsidP="009257F9">
      <w:pPr>
        <w:pStyle w:val="NormalWeb"/>
        <w:spacing w:before="0" w:beforeAutospacing="0" w:after="240" w:afterAutospacing="0" w:line="360" w:lineRule="auto"/>
        <w:jc w:val="both"/>
      </w:pPr>
      <w:r>
        <w:t xml:space="preserve">European Parliament (2023). </w:t>
      </w:r>
      <w:r>
        <w:rPr>
          <w:i/>
          <w:iCs/>
        </w:rPr>
        <w:t>The effects of high inflation and monetary tightening on the real economy Compilation of papers</w:t>
      </w:r>
      <w:r>
        <w:t>. [online] Available at: https://www.europarl.europa.eu/RegData/etudes/STUD/2023/741495/IPOL_STU(2023)741495_EN.pdf.</w:t>
      </w:r>
    </w:p>
    <w:p w14:paraId="2FD205D8" w14:textId="77777777" w:rsidR="009257F9" w:rsidRDefault="009257F9" w:rsidP="009257F9">
      <w:pPr>
        <w:pStyle w:val="NormalWeb"/>
        <w:spacing w:before="0" w:beforeAutospacing="0" w:after="240" w:afterAutospacing="0" w:line="360" w:lineRule="auto"/>
        <w:jc w:val="both"/>
      </w:pPr>
      <w:r>
        <w:t xml:space="preserve">Fairbrother, A. (2022). </w:t>
      </w:r>
      <w:r>
        <w:rPr>
          <w:i/>
          <w:iCs/>
        </w:rPr>
        <w:t>Business Travel by the Numbers</w:t>
      </w:r>
      <w:r>
        <w:t>. [online] Engine.com. Available at: https://engine.com/business-travel-guide/business-travel-stats.</w:t>
      </w:r>
    </w:p>
    <w:p w14:paraId="2736FD2C" w14:textId="77777777" w:rsidR="009257F9" w:rsidRDefault="009257F9" w:rsidP="009257F9">
      <w:pPr>
        <w:pStyle w:val="NormalWeb"/>
        <w:spacing w:before="0" w:beforeAutospacing="0" w:after="240" w:afterAutospacing="0" w:line="360" w:lineRule="auto"/>
        <w:jc w:val="both"/>
      </w:pPr>
      <w:r>
        <w:lastRenderedPageBreak/>
        <w:t xml:space="preserve">Gallo, A. (2015). </w:t>
      </w:r>
      <w:r>
        <w:rPr>
          <w:i/>
          <w:iCs/>
        </w:rPr>
        <w:t>A Refresher on Current Ratio</w:t>
      </w:r>
      <w:r>
        <w:t>. [online] Harvard Business Review. Available at: https://hbr.org/2015/09/a-refresher-on-current-ratio.</w:t>
      </w:r>
    </w:p>
    <w:p w14:paraId="039B4253" w14:textId="77777777" w:rsidR="009257F9" w:rsidRDefault="009257F9" w:rsidP="009257F9">
      <w:pPr>
        <w:pStyle w:val="NormalWeb"/>
        <w:spacing w:before="0" w:beforeAutospacing="0" w:after="240" w:afterAutospacing="0" w:line="360" w:lineRule="auto"/>
        <w:jc w:val="both"/>
      </w:pPr>
      <w:r>
        <w:t xml:space="preserve">Guttentag, D. (2019). Progress on Airbnb: a Literature Review. </w:t>
      </w:r>
      <w:r>
        <w:rPr>
          <w:i/>
          <w:iCs/>
        </w:rPr>
        <w:t>Journal of Hospitality and Tourism Technology</w:t>
      </w:r>
      <w:r>
        <w:t>, 10(4).</w:t>
      </w:r>
    </w:p>
    <w:p w14:paraId="764C2C9C" w14:textId="77777777" w:rsidR="009257F9" w:rsidRDefault="009257F9" w:rsidP="009257F9">
      <w:pPr>
        <w:pStyle w:val="NormalWeb"/>
        <w:spacing w:before="0" w:beforeAutospacing="0" w:after="240" w:afterAutospacing="0" w:line="360" w:lineRule="auto"/>
        <w:jc w:val="both"/>
      </w:pPr>
      <w:r>
        <w:t xml:space="preserve">Ha, J., Ohnsorge, F., Mercer Blackman, V., Ruch, F. and Jeong, D. (2024). </w:t>
      </w:r>
      <w:r>
        <w:rPr>
          <w:i/>
          <w:iCs/>
        </w:rPr>
        <w:t>The Economic Effects of Global Inflation Uncertainty</w:t>
      </w:r>
      <w:r>
        <w:t>. [online] Available at: https://www.ijcb.org/journal/ijcb24q2a3.pdf.</w:t>
      </w:r>
    </w:p>
    <w:p w14:paraId="6358614B" w14:textId="77777777" w:rsidR="009257F9" w:rsidRDefault="009257F9" w:rsidP="009257F9">
      <w:pPr>
        <w:pStyle w:val="NormalWeb"/>
        <w:spacing w:before="0" w:beforeAutospacing="0" w:after="240" w:afterAutospacing="0" w:line="360" w:lineRule="auto"/>
        <w:jc w:val="both"/>
      </w:pPr>
      <w:r>
        <w:t xml:space="preserve">Hidalgo, A., Martín-Barroso, D., Nuñez-Serrano, J.A., Turrión, J. and Velázquez, F.J. (2022). Does hotel management matter to overcoming the COVID-19 crisis? The Spanish case. </w:t>
      </w:r>
      <w:r>
        <w:rPr>
          <w:i/>
          <w:iCs/>
        </w:rPr>
        <w:t>Tourism Management</w:t>
      </w:r>
      <w:r>
        <w:t>, 88(7), p.104395. doi:https://doi.org/10.1016/j.tourman.2021.104395.</w:t>
      </w:r>
    </w:p>
    <w:p w14:paraId="50996791" w14:textId="77777777" w:rsidR="009257F9" w:rsidRDefault="009257F9" w:rsidP="009257F9">
      <w:pPr>
        <w:pStyle w:val="NormalWeb"/>
        <w:spacing w:before="0" w:beforeAutospacing="0" w:after="240" w:afterAutospacing="0" w:line="360" w:lineRule="auto"/>
        <w:jc w:val="both"/>
      </w:pPr>
      <w:r>
        <w:t xml:space="preserve">Horngren, C., Sundem, L., Schatzberg, J. and Burgstahler , D. (2022). </w:t>
      </w:r>
      <w:r>
        <w:rPr>
          <w:i/>
          <w:iCs/>
        </w:rPr>
        <w:t>Introduction To Management Accounting [Global Edition].</w:t>
      </w:r>
      <w:r>
        <w:t xml:space="preserve"> S.L.: Pearson Education Limited.</w:t>
      </w:r>
    </w:p>
    <w:p w14:paraId="2827000B" w14:textId="77777777" w:rsidR="009257F9" w:rsidRDefault="009257F9" w:rsidP="009257F9">
      <w:pPr>
        <w:pStyle w:val="NormalWeb"/>
        <w:spacing w:before="0" w:beforeAutospacing="0" w:after="240" w:afterAutospacing="0" w:line="360" w:lineRule="auto"/>
        <w:jc w:val="both"/>
      </w:pPr>
      <w:r>
        <w:t xml:space="preserve">Nguyen, C.P., Thanh, S.D. and Nguyen, B. (2020). Economic uncertainty and tourism consumption. </w:t>
      </w:r>
      <w:r>
        <w:rPr>
          <w:i/>
          <w:iCs/>
        </w:rPr>
        <w:t>Tourism Economics</w:t>
      </w:r>
      <w:r>
        <w:t>, 28(4), pp.920–941. doi:https://doi.org/10.1177/1354816620981519.</w:t>
      </w:r>
    </w:p>
    <w:p w14:paraId="7B395BB7" w14:textId="77777777" w:rsidR="009257F9" w:rsidRDefault="009257F9" w:rsidP="009257F9">
      <w:pPr>
        <w:pStyle w:val="NormalWeb"/>
        <w:spacing w:before="0" w:beforeAutospacing="0" w:after="240" w:afterAutospacing="0" w:line="360" w:lineRule="auto"/>
        <w:jc w:val="both"/>
      </w:pPr>
      <w:r>
        <w:t xml:space="preserve">Peco-Torres, F., Polo-Peña, A.I. and Frías-Jamilena, D.M. (2021). The effect of COVID-19 on tourists’ intention to resume hotel consumption: The role of resilience. </w:t>
      </w:r>
      <w:r>
        <w:rPr>
          <w:i/>
          <w:iCs/>
        </w:rPr>
        <w:t>International Journal of Hospitality Management</w:t>
      </w:r>
      <w:r>
        <w:t>, 99(7), p.103075. doi:https://doi.org/10.1016/j.ijhm.2021.103075.</w:t>
      </w:r>
    </w:p>
    <w:p w14:paraId="628084BF" w14:textId="77777777" w:rsidR="009257F9" w:rsidRDefault="009257F9" w:rsidP="009257F9">
      <w:pPr>
        <w:pStyle w:val="NormalWeb"/>
        <w:spacing w:before="0" w:beforeAutospacing="0" w:after="240" w:afterAutospacing="0" w:line="360" w:lineRule="auto"/>
        <w:jc w:val="both"/>
      </w:pPr>
      <w:r>
        <w:t xml:space="preserve">Sauvage, M. (2023). </w:t>
      </w:r>
      <w:r>
        <w:rPr>
          <w:i/>
          <w:iCs/>
        </w:rPr>
        <w:t>The Impact of Inflation on the Hospitality Industry in 2023</w:t>
      </w:r>
      <w:r>
        <w:t>. [online] LHC International. Available at: https://lhc-international.com/en/the-impact-inflation-on-the-hospitality-industry/.</w:t>
      </w:r>
    </w:p>
    <w:p w14:paraId="77718A98" w14:textId="77777777" w:rsidR="009257F9" w:rsidRDefault="009257F9" w:rsidP="009257F9">
      <w:pPr>
        <w:pStyle w:val="NormalWeb"/>
        <w:spacing w:before="0" w:beforeAutospacing="0" w:after="240" w:afterAutospacing="0" w:line="360" w:lineRule="auto"/>
        <w:jc w:val="both"/>
      </w:pPr>
      <w:r>
        <w:t xml:space="preserve">Shapoval, V., Hägglund, P., Pizam, A., Abraham, V., Carlbäck, M., Nygren, T. and Smith, R.M. (2021). The COVID-19 pandemic effects on the hospitality industry using social systems theory: A multi-country comparison. </w:t>
      </w:r>
      <w:r>
        <w:rPr>
          <w:i/>
          <w:iCs/>
        </w:rPr>
        <w:t>International Journal of Hospitality Management</w:t>
      </w:r>
      <w:r>
        <w:t>, [online] 94(102813), p.102813. Available at: https://www.ncbi.nlm.nih.gov/pmc/articles/PMC8631802/.</w:t>
      </w:r>
    </w:p>
    <w:p w14:paraId="59DEE90C" w14:textId="77777777" w:rsidR="006E54DF" w:rsidRDefault="009257F9" w:rsidP="009257F9">
      <w:pPr>
        <w:pStyle w:val="NormalWeb"/>
        <w:spacing w:before="0" w:beforeAutospacing="0" w:after="240" w:afterAutospacing="0" w:line="360" w:lineRule="auto"/>
        <w:jc w:val="both"/>
      </w:pPr>
      <w:r>
        <w:lastRenderedPageBreak/>
        <w:t xml:space="preserve">Shiwen, L., Kwon, J. and Ahn, J. (2021). Self-Service Technology in the Hospitality and Tourism Settings: A Critical Review of the Literature. </w:t>
      </w:r>
      <w:r>
        <w:rPr>
          <w:i/>
          <w:iCs/>
        </w:rPr>
        <w:t>Journal of Hospitality &amp; Tourism Research</w:t>
      </w:r>
      <w:r>
        <w:t>, 46(6), p.109634802098763. doi:https://doi.org/10.1177/1096348020987633.</w:t>
      </w:r>
    </w:p>
    <w:sectPr w:rsidR="006E54DF" w:rsidSect="0030150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5122AE" w14:textId="77777777" w:rsidR="00F13359" w:rsidRDefault="00F13359" w:rsidP="00DD5E31">
      <w:pPr>
        <w:spacing w:line="240" w:lineRule="auto"/>
      </w:pPr>
      <w:r>
        <w:separator/>
      </w:r>
    </w:p>
  </w:endnote>
  <w:endnote w:type="continuationSeparator" w:id="0">
    <w:p w14:paraId="2567B5CA" w14:textId="77777777" w:rsidR="00F13359" w:rsidRDefault="00F13359" w:rsidP="00DD5E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89577598"/>
      <w:docPartObj>
        <w:docPartGallery w:val="Page Numbers (Bottom of Page)"/>
        <w:docPartUnique/>
      </w:docPartObj>
    </w:sdtPr>
    <w:sdtEndPr>
      <w:rPr>
        <w:rStyle w:val="PageNumber"/>
      </w:rPr>
    </w:sdtEndPr>
    <w:sdtContent>
      <w:p w14:paraId="27120876" w14:textId="77777777" w:rsidR="003047DE" w:rsidRDefault="003047DE" w:rsidP="00743E1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C2D30">
          <w:rPr>
            <w:rStyle w:val="PageNumber"/>
            <w:noProof/>
          </w:rPr>
          <w:t>77</w:t>
        </w:r>
        <w:r>
          <w:rPr>
            <w:rStyle w:val="PageNumber"/>
          </w:rPr>
          <w:fldChar w:fldCharType="end"/>
        </w:r>
      </w:p>
    </w:sdtContent>
  </w:sdt>
  <w:p w14:paraId="79DB5E1F" w14:textId="77777777" w:rsidR="003047DE" w:rsidRDefault="003047DE" w:rsidP="00DD5E3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29779F" w14:textId="77777777" w:rsidR="00F13359" w:rsidRDefault="00F13359" w:rsidP="00DD5E31">
      <w:pPr>
        <w:spacing w:line="240" w:lineRule="auto"/>
      </w:pPr>
      <w:r>
        <w:separator/>
      </w:r>
    </w:p>
  </w:footnote>
  <w:footnote w:type="continuationSeparator" w:id="0">
    <w:p w14:paraId="30CB38F1" w14:textId="77777777" w:rsidR="00F13359" w:rsidRDefault="00F13359" w:rsidP="00DD5E3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D1BA9"/>
    <w:multiLevelType w:val="multilevel"/>
    <w:tmpl w:val="CFB4B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40FC7"/>
    <w:multiLevelType w:val="multilevel"/>
    <w:tmpl w:val="F2D2F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A63F8"/>
    <w:multiLevelType w:val="hybridMultilevel"/>
    <w:tmpl w:val="C9FC504A"/>
    <w:lvl w:ilvl="0" w:tplc="B69AC3C6">
      <w:numFmt w:val="bullet"/>
      <w:lvlText w:val=""/>
      <w:lvlJc w:val="left"/>
      <w:pPr>
        <w:ind w:left="585" w:hanging="360"/>
      </w:pPr>
      <w:rPr>
        <w:rFonts w:ascii="Symbol" w:eastAsia="Symbol" w:hAnsi="Symbol" w:cs="Symbol" w:hint="default"/>
        <w:b w:val="0"/>
        <w:bCs w:val="0"/>
        <w:i w:val="0"/>
        <w:iCs w:val="0"/>
        <w:spacing w:val="0"/>
        <w:w w:val="100"/>
        <w:sz w:val="24"/>
        <w:szCs w:val="24"/>
        <w:lang w:val="en-US" w:eastAsia="en-US" w:bidi="ar-SA"/>
      </w:rPr>
    </w:lvl>
    <w:lvl w:ilvl="1" w:tplc="2E90D190">
      <w:numFmt w:val="bullet"/>
      <w:lvlText w:val="•"/>
      <w:lvlJc w:val="left"/>
      <w:pPr>
        <w:ind w:left="991" w:hanging="360"/>
      </w:pPr>
      <w:rPr>
        <w:rFonts w:hint="default"/>
        <w:lang w:val="en-US" w:eastAsia="en-US" w:bidi="ar-SA"/>
      </w:rPr>
    </w:lvl>
    <w:lvl w:ilvl="2" w:tplc="2D767AE0">
      <w:numFmt w:val="bullet"/>
      <w:lvlText w:val="•"/>
      <w:lvlJc w:val="left"/>
      <w:pPr>
        <w:ind w:left="1403" w:hanging="360"/>
      </w:pPr>
      <w:rPr>
        <w:rFonts w:hint="default"/>
        <w:lang w:val="en-US" w:eastAsia="en-US" w:bidi="ar-SA"/>
      </w:rPr>
    </w:lvl>
    <w:lvl w:ilvl="3" w:tplc="5908FD30">
      <w:numFmt w:val="bullet"/>
      <w:lvlText w:val="•"/>
      <w:lvlJc w:val="left"/>
      <w:pPr>
        <w:ind w:left="1814" w:hanging="360"/>
      </w:pPr>
      <w:rPr>
        <w:rFonts w:hint="default"/>
        <w:lang w:val="en-US" w:eastAsia="en-US" w:bidi="ar-SA"/>
      </w:rPr>
    </w:lvl>
    <w:lvl w:ilvl="4" w:tplc="B7B07DD8">
      <w:numFmt w:val="bullet"/>
      <w:lvlText w:val="•"/>
      <w:lvlJc w:val="left"/>
      <w:pPr>
        <w:ind w:left="2226" w:hanging="360"/>
      </w:pPr>
      <w:rPr>
        <w:rFonts w:hint="default"/>
        <w:lang w:val="en-US" w:eastAsia="en-US" w:bidi="ar-SA"/>
      </w:rPr>
    </w:lvl>
    <w:lvl w:ilvl="5" w:tplc="351E16B8">
      <w:numFmt w:val="bullet"/>
      <w:lvlText w:val="•"/>
      <w:lvlJc w:val="left"/>
      <w:pPr>
        <w:ind w:left="2637" w:hanging="360"/>
      </w:pPr>
      <w:rPr>
        <w:rFonts w:hint="default"/>
        <w:lang w:val="en-US" w:eastAsia="en-US" w:bidi="ar-SA"/>
      </w:rPr>
    </w:lvl>
    <w:lvl w:ilvl="6" w:tplc="FABA6C5A">
      <w:numFmt w:val="bullet"/>
      <w:lvlText w:val="•"/>
      <w:lvlJc w:val="left"/>
      <w:pPr>
        <w:ind w:left="3049" w:hanging="360"/>
      </w:pPr>
      <w:rPr>
        <w:rFonts w:hint="default"/>
        <w:lang w:val="en-US" w:eastAsia="en-US" w:bidi="ar-SA"/>
      </w:rPr>
    </w:lvl>
    <w:lvl w:ilvl="7" w:tplc="43A8EA20">
      <w:numFmt w:val="bullet"/>
      <w:lvlText w:val="•"/>
      <w:lvlJc w:val="left"/>
      <w:pPr>
        <w:ind w:left="3460" w:hanging="360"/>
      </w:pPr>
      <w:rPr>
        <w:rFonts w:hint="default"/>
        <w:lang w:val="en-US" w:eastAsia="en-US" w:bidi="ar-SA"/>
      </w:rPr>
    </w:lvl>
    <w:lvl w:ilvl="8" w:tplc="8BAA998A">
      <w:numFmt w:val="bullet"/>
      <w:lvlText w:val="•"/>
      <w:lvlJc w:val="left"/>
      <w:pPr>
        <w:ind w:left="3872" w:hanging="360"/>
      </w:pPr>
      <w:rPr>
        <w:rFonts w:hint="default"/>
        <w:lang w:val="en-US" w:eastAsia="en-US" w:bidi="ar-SA"/>
      </w:rPr>
    </w:lvl>
  </w:abstractNum>
  <w:abstractNum w:abstractNumId="3" w15:restartNumberingAfterBreak="0">
    <w:nsid w:val="131F3E39"/>
    <w:multiLevelType w:val="multilevel"/>
    <w:tmpl w:val="9348A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B7147"/>
    <w:multiLevelType w:val="hybridMultilevel"/>
    <w:tmpl w:val="2682B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82AD2"/>
    <w:multiLevelType w:val="multilevel"/>
    <w:tmpl w:val="D81C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711779"/>
    <w:multiLevelType w:val="multilevel"/>
    <w:tmpl w:val="866A2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91E5A"/>
    <w:multiLevelType w:val="hybridMultilevel"/>
    <w:tmpl w:val="12DE2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2674F"/>
    <w:multiLevelType w:val="multilevel"/>
    <w:tmpl w:val="2272C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FE3FCD"/>
    <w:multiLevelType w:val="multilevel"/>
    <w:tmpl w:val="B400E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9618C7"/>
    <w:multiLevelType w:val="multilevel"/>
    <w:tmpl w:val="A2C84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3456CA"/>
    <w:multiLevelType w:val="hybridMultilevel"/>
    <w:tmpl w:val="94ECA092"/>
    <w:lvl w:ilvl="0" w:tplc="7CD442DC">
      <w:numFmt w:val="bullet"/>
      <w:lvlText w:val=""/>
      <w:lvlJc w:val="left"/>
      <w:pPr>
        <w:ind w:left="585" w:hanging="360"/>
      </w:pPr>
      <w:rPr>
        <w:rFonts w:ascii="Symbol" w:eastAsia="Symbol" w:hAnsi="Symbol" w:cs="Symbol" w:hint="default"/>
        <w:b w:val="0"/>
        <w:bCs w:val="0"/>
        <w:i w:val="0"/>
        <w:iCs w:val="0"/>
        <w:spacing w:val="0"/>
        <w:w w:val="100"/>
        <w:sz w:val="24"/>
        <w:szCs w:val="24"/>
        <w:lang w:val="en-US" w:eastAsia="en-US" w:bidi="ar-SA"/>
      </w:rPr>
    </w:lvl>
    <w:lvl w:ilvl="1" w:tplc="62C23760">
      <w:numFmt w:val="bullet"/>
      <w:lvlText w:val="•"/>
      <w:lvlJc w:val="left"/>
      <w:pPr>
        <w:ind w:left="991" w:hanging="360"/>
      </w:pPr>
      <w:rPr>
        <w:rFonts w:hint="default"/>
        <w:lang w:val="en-US" w:eastAsia="en-US" w:bidi="ar-SA"/>
      </w:rPr>
    </w:lvl>
    <w:lvl w:ilvl="2" w:tplc="D1264A8E">
      <w:numFmt w:val="bullet"/>
      <w:lvlText w:val="•"/>
      <w:lvlJc w:val="left"/>
      <w:pPr>
        <w:ind w:left="1403" w:hanging="360"/>
      </w:pPr>
      <w:rPr>
        <w:rFonts w:hint="default"/>
        <w:lang w:val="en-US" w:eastAsia="en-US" w:bidi="ar-SA"/>
      </w:rPr>
    </w:lvl>
    <w:lvl w:ilvl="3" w:tplc="768A28AC">
      <w:numFmt w:val="bullet"/>
      <w:lvlText w:val="•"/>
      <w:lvlJc w:val="left"/>
      <w:pPr>
        <w:ind w:left="1814" w:hanging="360"/>
      </w:pPr>
      <w:rPr>
        <w:rFonts w:hint="default"/>
        <w:lang w:val="en-US" w:eastAsia="en-US" w:bidi="ar-SA"/>
      </w:rPr>
    </w:lvl>
    <w:lvl w:ilvl="4" w:tplc="A30CA6EE">
      <w:numFmt w:val="bullet"/>
      <w:lvlText w:val="•"/>
      <w:lvlJc w:val="left"/>
      <w:pPr>
        <w:ind w:left="2226" w:hanging="360"/>
      </w:pPr>
      <w:rPr>
        <w:rFonts w:hint="default"/>
        <w:lang w:val="en-US" w:eastAsia="en-US" w:bidi="ar-SA"/>
      </w:rPr>
    </w:lvl>
    <w:lvl w:ilvl="5" w:tplc="7144BDE6">
      <w:numFmt w:val="bullet"/>
      <w:lvlText w:val="•"/>
      <w:lvlJc w:val="left"/>
      <w:pPr>
        <w:ind w:left="2637" w:hanging="360"/>
      </w:pPr>
      <w:rPr>
        <w:rFonts w:hint="default"/>
        <w:lang w:val="en-US" w:eastAsia="en-US" w:bidi="ar-SA"/>
      </w:rPr>
    </w:lvl>
    <w:lvl w:ilvl="6" w:tplc="CB7E1B88">
      <w:numFmt w:val="bullet"/>
      <w:lvlText w:val="•"/>
      <w:lvlJc w:val="left"/>
      <w:pPr>
        <w:ind w:left="3049" w:hanging="360"/>
      </w:pPr>
      <w:rPr>
        <w:rFonts w:hint="default"/>
        <w:lang w:val="en-US" w:eastAsia="en-US" w:bidi="ar-SA"/>
      </w:rPr>
    </w:lvl>
    <w:lvl w:ilvl="7" w:tplc="9AEE3CF2">
      <w:numFmt w:val="bullet"/>
      <w:lvlText w:val="•"/>
      <w:lvlJc w:val="left"/>
      <w:pPr>
        <w:ind w:left="3460" w:hanging="360"/>
      </w:pPr>
      <w:rPr>
        <w:rFonts w:hint="default"/>
        <w:lang w:val="en-US" w:eastAsia="en-US" w:bidi="ar-SA"/>
      </w:rPr>
    </w:lvl>
    <w:lvl w:ilvl="8" w:tplc="65F01918">
      <w:numFmt w:val="bullet"/>
      <w:lvlText w:val="•"/>
      <w:lvlJc w:val="left"/>
      <w:pPr>
        <w:ind w:left="3872" w:hanging="360"/>
      </w:pPr>
      <w:rPr>
        <w:rFonts w:hint="default"/>
        <w:lang w:val="en-US" w:eastAsia="en-US" w:bidi="ar-SA"/>
      </w:rPr>
    </w:lvl>
  </w:abstractNum>
  <w:abstractNum w:abstractNumId="12" w15:restartNumberingAfterBreak="0">
    <w:nsid w:val="4F7172AF"/>
    <w:multiLevelType w:val="hybridMultilevel"/>
    <w:tmpl w:val="BBF41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522CAD"/>
    <w:multiLevelType w:val="multilevel"/>
    <w:tmpl w:val="397E2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D462B2"/>
    <w:multiLevelType w:val="multilevel"/>
    <w:tmpl w:val="32B6C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5903A3"/>
    <w:multiLevelType w:val="hybridMultilevel"/>
    <w:tmpl w:val="8AE60E90"/>
    <w:lvl w:ilvl="0" w:tplc="F12CBCA0">
      <w:numFmt w:val="bullet"/>
      <w:lvlText w:val=""/>
      <w:lvlJc w:val="left"/>
      <w:pPr>
        <w:ind w:left="585" w:hanging="360"/>
      </w:pPr>
      <w:rPr>
        <w:rFonts w:ascii="Symbol" w:eastAsia="Symbol" w:hAnsi="Symbol" w:cs="Symbol" w:hint="default"/>
        <w:b w:val="0"/>
        <w:bCs w:val="0"/>
        <w:i w:val="0"/>
        <w:iCs w:val="0"/>
        <w:spacing w:val="0"/>
        <w:w w:val="100"/>
        <w:sz w:val="24"/>
        <w:szCs w:val="24"/>
        <w:lang w:val="en-US" w:eastAsia="en-US" w:bidi="ar-SA"/>
      </w:rPr>
    </w:lvl>
    <w:lvl w:ilvl="1" w:tplc="F1E0C106">
      <w:numFmt w:val="bullet"/>
      <w:lvlText w:val="•"/>
      <w:lvlJc w:val="left"/>
      <w:pPr>
        <w:ind w:left="991" w:hanging="360"/>
      </w:pPr>
      <w:rPr>
        <w:rFonts w:hint="default"/>
        <w:lang w:val="en-US" w:eastAsia="en-US" w:bidi="ar-SA"/>
      </w:rPr>
    </w:lvl>
    <w:lvl w:ilvl="2" w:tplc="A5424ACA">
      <w:numFmt w:val="bullet"/>
      <w:lvlText w:val="•"/>
      <w:lvlJc w:val="left"/>
      <w:pPr>
        <w:ind w:left="1403" w:hanging="360"/>
      </w:pPr>
      <w:rPr>
        <w:rFonts w:hint="default"/>
        <w:lang w:val="en-US" w:eastAsia="en-US" w:bidi="ar-SA"/>
      </w:rPr>
    </w:lvl>
    <w:lvl w:ilvl="3" w:tplc="930E060A">
      <w:numFmt w:val="bullet"/>
      <w:lvlText w:val="•"/>
      <w:lvlJc w:val="left"/>
      <w:pPr>
        <w:ind w:left="1814" w:hanging="360"/>
      </w:pPr>
      <w:rPr>
        <w:rFonts w:hint="default"/>
        <w:lang w:val="en-US" w:eastAsia="en-US" w:bidi="ar-SA"/>
      </w:rPr>
    </w:lvl>
    <w:lvl w:ilvl="4" w:tplc="2A0EB824">
      <w:numFmt w:val="bullet"/>
      <w:lvlText w:val="•"/>
      <w:lvlJc w:val="left"/>
      <w:pPr>
        <w:ind w:left="2226" w:hanging="360"/>
      </w:pPr>
      <w:rPr>
        <w:rFonts w:hint="default"/>
        <w:lang w:val="en-US" w:eastAsia="en-US" w:bidi="ar-SA"/>
      </w:rPr>
    </w:lvl>
    <w:lvl w:ilvl="5" w:tplc="C3EE39DC">
      <w:numFmt w:val="bullet"/>
      <w:lvlText w:val="•"/>
      <w:lvlJc w:val="left"/>
      <w:pPr>
        <w:ind w:left="2637" w:hanging="360"/>
      </w:pPr>
      <w:rPr>
        <w:rFonts w:hint="default"/>
        <w:lang w:val="en-US" w:eastAsia="en-US" w:bidi="ar-SA"/>
      </w:rPr>
    </w:lvl>
    <w:lvl w:ilvl="6" w:tplc="3CB690BE">
      <w:numFmt w:val="bullet"/>
      <w:lvlText w:val="•"/>
      <w:lvlJc w:val="left"/>
      <w:pPr>
        <w:ind w:left="3049" w:hanging="360"/>
      </w:pPr>
      <w:rPr>
        <w:rFonts w:hint="default"/>
        <w:lang w:val="en-US" w:eastAsia="en-US" w:bidi="ar-SA"/>
      </w:rPr>
    </w:lvl>
    <w:lvl w:ilvl="7" w:tplc="334E827E">
      <w:numFmt w:val="bullet"/>
      <w:lvlText w:val="•"/>
      <w:lvlJc w:val="left"/>
      <w:pPr>
        <w:ind w:left="3460" w:hanging="360"/>
      </w:pPr>
      <w:rPr>
        <w:rFonts w:hint="default"/>
        <w:lang w:val="en-US" w:eastAsia="en-US" w:bidi="ar-SA"/>
      </w:rPr>
    </w:lvl>
    <w:lvl w:ilvl="8" w:tplc="A59A94F4">
      <w:numFmt w:val="bullet"/>
      <w:lvlText w:val="•"/>
      <w:lvlJc w:val="left"/>
      <w:pPr>
        <w:ind w:left="3872" w:hanging="360"/>
      </w:pPr>
      <w:rPr>
        <w:rFonts w:hint="default"/>
        <w:lang w:val="en-US" w:eastAsia="en-US" w:bidi="ar-SA"/>
      </w:rPr>
    </w:lvl>
  </w:abstractNum>
  <w:abstractNum w:abstractNumId="16" w15:restartNumberingAfterBreak="0">
    <w:nsid w:val="55F25C97"/>
    <w:multiLevelType w:val="multilevel"/>
    <w:tmpl w:val="C49C2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D7E6407"/>
    <w:multiLevelType w:val="hybridMultilevel"/>
    <w:tmpl w:val="EEEEC48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EF77527"/>
    <w:multiLevelType w:val="multilevel"/>
    <w:tmpl w:val="41A4B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1F317C"/>
    <w:multiLevelType w:val="hybridMultilevel"/>
    <w:tmpl w:val="53F08A08"/>
    <w:lvl w:ilvl="0" w:tplc="D94E0698">
      <w:numFmt w:val="bullet"/>
      <w:lvlText w:val=""/>
      <w:lvlJc w:val="left"/>
      <w:pPr>
        <w:ind w:left="585" w:hanging="360"/>
      </w:pPr>
      <w:rPr>
        <w:rFonts w:ascii="Symbol" w:eastAsia="Symbol" w:hAnsi="Symbol" w:cs="Symbol" w:hint="default"/>
        <w:b w:val="0"/>
        <w:bCs w:val="0"/>
        <w:i w:val="0"/>
        <w:iCs w:val="0"/>
        <w:spacing w:val="0"/>
        <w:w w:val="100"/>
        <w:sz w:val="24"/>
        <w:szCs w:val="24"/>
        <w:lang w:val="en-US" w:eastAsia="en-US" w:bidi="ar-SA"/>
      </w:rPr>
    </w:lvl>
    <w:lvl w:ilvl="1" w:tplc="6E38DFB4">
      <w:numFmt w:val="bullet"/>
      <w:lvlText w:val="•"/>
      <w:lvlJc w:val="left"/>
      <w:pPr>
        <w:ind w:left="991" w:hanging="360"/>
      </w:pPr>
      <w:rPr>
        <w:rFonts w:hint="default"/>
        <w:lang w:val="en-US" w:eastAsia="en-US" w:bidi="ar-SA"/>
      </w:rPr>
    </w:lvl>
    <w:lvl w:ilvl="2" w:tplc="AFB0658E">
      <w:numFmt w:val="bullet"/>
      <w:lvlText w:val="•"/>
      <w:lvlJc w:val="left"/>
      <w:pPr>
        <w:ind w:left="1403" w:hanging="360"/>
      </w:pPr>
      <w:rPr>
        <w:rFonts w:hint="default"/>
        <w:lang w:val="en-US" w:eastAsia="en-US" w:bidi="ar-SA"/>
      </w:rPr>
    </w:lvl>
    <w:lvl w:ilvl="3" w:tplc="7F5A34CE">
      <w:numFmt w:val="bullet"/>
      <w:lvlText w:val="•"/>
      <w:lvlJc w:val="left"/>
      <w:pPr>
        <w:ind w:left="1814" w:hanging="360"/>
      </w:pPr>
      <w:rPr>
        <w:rFonts w:hint="default"/>
        <w:lang w:val="en-US" w:eastAsia="en-US" w:bidi="ar-SA"/>
      </w:rPr>
    </w:lvl>
    <w:lvl w:ilvl="4" w:tplc="54EAEEC2">
      <w:numFmt w:val="bullet"/>
      <w:lvlText w:val="•"/>
      <w:lvlJc w:val="left"/>
      <w:pPr>
        <w:ind w:left="2226" w:hanging="360"/>
      </w:pPr>
      <w:rPr>
        <w:rFonts w:hint="default"/>
        <w:lang w:val="en-US" w:eastAsia="en-US" w:bidi="ar-SA"/>
      </w:rPr>
    </w:lvl>
    <w:lvl w:ilvl="5" w:tplc="0E98410E">
      <w:numFmt w:val="bullet"/>
      <w:lvlText w:val="•"/>
      <w:lvlJc w:val="left"/>
      <w:pPr>
        <w:ind w:left="2637" w:hanging="360"/>
      </w:pPr>
      <w:rPr>
        <w:rFonts w:hint="default"/>
        <w:lang w:val="en-US" w:eastAsia="en-US" w:bidi="ar-SA"/>
      </w:rPr>
    </w:lvl>
    <w:lvl w:ilvl="6" w:tplc="3DEE46BC">
      <w:numFmt w:val="bullet"/>
      <w:lvlText w:val="•"/>
      <w:lvlJc w:val="left"/>
      <w:pPr>
        <w:ind w:left="3049" w:hanging="360"/>
      </w:pPr>
      <w:rPr>
        <w:rFonts w:hint="default"/>
        <w:lang w:val="en-US" w:eastAsia="en-US" w:bidi="ar-SA"/>
      </w:rPr>
    </w:lvl>
    <w:lvl w:ilvl="7" w:tplc="0BAE6D96">
      <w:numFmt w:val="bullet"/>
      <w:lvlText w:val="•"/>
      <w:lvlJc w:val="left"/>
      <w:pPr>
        <w:ind w:left="3460" w:hanging="360"/>
      </w:pPr>
      <w:rPr>
        <w:rFonts w:hint="default"/>
        <w:lang w:val="en-US" w:eastAsia="en-US" w:bidi="ar-SA"/>
      </w:rPr>
    </w:lvl>
    <w:lvl w:ilvl="8" w:tplc="AD1466AE">
      <w:numFmt w:val="bullet"/>
      <w:lvlText w:val="•"/>
      <w:lvlJc w:val="left"/>
      <w:pPr>
        <w:ind w:left="3872" w:hanging="360"/>
      </w:pPr>
      <w:rPr>
        <w:rFonts w:hint="default"/>
        <w:lang w:val="en-US" w:eastAsia="en-US" w:bidi="ar-SA"/>
      </w:rPr>
    </w:lvl>
  </w:abstractNum>
  <w:abstractNum w:abstractNumId="20" w15:restartNumberingAfterBreak="0">
    <w:nsid w:val="6D4969F4"/>
    <w:multiLevelType w:val="hybridMultilevel"/>
    <w:tmpl w:val="0ECCF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B00FC3"/>
    <w:multiLevelType w:val="hybridMultilevel"/>
    <w:tmpl w:val="A2D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FE2233"/>
    <w:multiLevelType w:val="multilevel"/>
    <w:tmpl w:val="86A63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D4A87"/>
    <w:multiLevelType w:val="hybridMultilevel"/>
    <w:tmpl w:val="D2B04B30"/>
    <w:lvl w:ilvl="0" w:tplc="D4D69276">
      <w:numFmt w:val="bullet"/>
      <w:lvlText w:val=""/>
      <w:lvlJc w:val="left"/>
      <w:pPr>
        <w:ind w:left="585" w:hanging="360"/>
      </w:pPr>
      <w:rPr>
        <w:rFonts w:ascii="Symbol" w:eastAsia="Symbol" w:hAnsi="Symbol" w:cs="Symbol" w:hint="default"/>
        <w:b w:val="0"/>
        <w:bCs w:val="0"/>
        <w:i w:val="0"/>
        <w:iCs w:val="0"/>
        <w:spacing w:val="0"/>
        <w:w w:val="100"/>
        <w:sz w:val="24"/>
        <w:szCs w:val="24"/>
        <w:lang w:val="en-US" w:eastAsia="en-US" w:bidi="ar-SA"/>
      </w:rPr>
    </w:lvl>
    <w:lvl w:ilvl="1" w:tplc="50DA5248">
      <w:numFmt w:val="bullet"/>
      <w:lvlText w:val="•"/>
      <w:lvlJc w:val="left"/>
      <w:pPr>
        <w:ind w:left="991" w:hanging="360"/>
      </w:pPr>
      <w:rPr>
        <w:rFonts w:hint="default"/>
        <w:lang w:val="en-US" w:eastAsia="en-US" w:bidi="ar-SA"/>
      </w:rPr>
    </w:lvl>
    <w:lvl w:ilvl="2" w:tplc="FEDCFE00">
      <w:numFmt w:val="bullet"/>
      <w:lvlText w:val="•"/>
      <w:lvlJc w:val="left"/>
      <w:pPr>
        <w:ind w:left="1403" w:hanging="360"/>
      </w:pPr>
      <w:rPr>
        <w:rFonts w:hint="default"/>
        <w:lang w:val="en-US" w:eastAsia="en-US" w:bidi="ar-SA"/>
      </w:rPr>
    </w:lvl>
    <w:lvl w:ilvl="3" w:tplc="E6281322">
      <w:numFmt w:val="bullet"/>
      <w:lvlText w:val="•"/>
      <w:lvlJc w:val="left"/>
      <w:pPr>
        <w:ind w:left="1814" w:hanging="360"/>
      </w:pPr>
      <w:rPr>
        <w:rFonts w:hint="default"/>
        <w:lang w:val="en-US" w:eastAsia="en-US" w:bidi="ar-SA"/>
      </w:rPr>
    </w:lvl>
    <w:lvl w:ilvl="4" w:tplc="7BB44822">
      <w:numFmt w:val="bullet"/>
      <w:lvlText w:val="•"/>
      <w:lvlJc w:val="left"/>
      <w:pPr>
        <w:ind w:left="2226" w:hanging="360"/>
      </w:pPr>
      <w:rPr>
        <w:rFonts w:hint="default"/>
        <w:lang w:val="en-US" w:eastAsia="en-US" w:bidi="ar-SA"/>
      </w:rPr>
    </w:lvl>
    <w:lvl w:ilvl="5" w:tplc="A372C130">
      <w:numFmt w:val="bullet"/>
      <w:lvlText w:val="•"/>
      <w:lvlJc w:val="left"/>
      <w:pPr>
        <w:ind w:left="2637" w:hanging="360"/>
      </w:pPr>
      <w:rPr>
        <w:rFonts w:hint="default"/>
        <w:lang w:val="en-US" w:eastAsia="en-US" w:bidi="ar-SA"/>
      </w:rPr>
    </w:lvl>
    <w:lvl w:ilvl="6" w:tplc="F3767D24">
      <w:numFmt w:val="bullet"/>
      <w:lvlText w:val="•"/>
      <w:lvlJc w:val="left"/>
      <w:pPr>
        <w:ind w:left="3049" w:hanging="360"/>
      </w:pPr>
      <w:rPr>
        <w:rFonts w:hint="default"/>
        <w:lang w:val="en-US" w:eastAsia="en-US" w:bidi="ar-SA"/>
      </w:rPr>
    </w:lvl>
    <w:lvl w:ilvl="7" w:tplc="58F8B74C">
      <w:numFmt w:val="bullet"/>
      <w:lvlText w:val="•"/>
      <w:lvlJc w:val="left"/>
      <w:pPr>
        <w:ind w:left="3460" w:hanging="360"/>
      </w:pPr>
      <w:rPr>
        <w:rFonts w:hint="default"/>
        <w:lang w:val="en-US" w:eastAsia="en-US" w:bidi="ar-SA"/>
      </w:rPr>
    </w:lvl>
    <w:lvl w:ilvl="8" w:tplc="4DF65232">
      <w:numFmt w:val="bullet"/>
      <w:lvlText w:val="•"/>
      <w:lvlJc w:val="left"/>
      <w:pPr>
        <w:ind w:left="3872" w:hanging="360"/>
      </w:pPr>
      <w:rPr>
        <w:rFonts w:hint="default"/>
        <w:lang w:val="en-US" w:eastAsia="en-US" w:bidi="ar-SA"/>
      </w:rPr>
    </w:lvl>
  </w:abstractNum>
  <w:abstractNum w:abstractNumId="24" w15:restartNumberingAfterBreak="0">
    <w:nsid w:val="7CA34958"/>
    <w:multiLevelType w:val="multilevel"/>
    <w:tmpl w:val="CE0C38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6201249">
    <w:abstractNumId w:val="24"/>
  </w:num>
  <w:num w:numId="2" w16cid:durableId="1869173703">
    <w:abstractNumId w:val="5"/>
  </w:num>
  <w:num w:numId="3" w16cid:durableId="313071262">
    <w:abstractNumId w:val="1"/>
  </w:num>
  <w:num w:numId="4" w16cid:durableId="1677531659">
    <w:abstractNumId w:val="20"/>
  </w:num>
  <w:num w:numId="5" w16cid:durableId="1511800440">
    <w:abstractNumId w:val="7"/>
  </w:num>
  <w:num w:numId="6" w16cid:durableId="621350526">
    <w:abstractNumId w:val="0"/>
  </w:num>
  <w:num w:numId="7" w16cid:durableId="419108866">
    <w:abstractNumId w:val="22"/>
  </w:num>
  <w:num w:numId="8" w16cid:durableId="1972050554">
    <w:abstractNumId w:val="3"/>
  </w:num>
  <w:num w:numId="9" w16cid:durableId="193662113">
    <w:abstractNumId w:val="13"/>
  </w:num>
  <w:num w:numId="10" w16cid:durableId="1563057305">
    <w:abstractNumId w:val="10"/>
  </w:num>
  <w:num w:numId="11" w16cid:durableId="980424356">
    <w:abstractNumId w:val="21"/>
  </w:num>
  <w:num w:numId="12" w16cid:durableId="1507280542">
    <w:abstractNumId w:val="4"/>
  </w:num>
  <w:num w:numId="13" w16cid:durableId="616523212">
    <w:abstractNumId w:val="17"/>
  </w:num>
  <w:num w:numId="14" w16cid:durableId="808209893">
    <w:abstractNumId w:val="12"/>
  </w:num>
  <w:num w:numId="15" w16cid:durableId="1343975545">
    <w:abstractNumId w:val="23"/>
  </w:num>
  <w:num w:numId="16" w16cid:durableId="560557592">
    <w:abstractNumId w:val="11"/>
  </w:num>
  <w:num w:numId="17" w16cid:durableId="1647202911">
    <w:abstractNumId w:val="19"/>
  </w:num>
  <w:num w:numId="18" w16cid:durableId="1427068229">
    <w:abstractNumId w:val="15"/>
  </w:num>
  <w:num w:numId="19" w16cid:durableId="1897812476">
    <w:abstractNumId w:val="2"/>
  </w:num>
  <w:num w:numId="20" w16cid:durableId="917519584">
    <w:abstractNumId w:val="8"/>
  </w:num>
  <w:num w:numId="21" w16cid:durableId="525295781">
    <w:abstractNumId w:val="9"/>
  </w:num>
  <w:num w:numId="22" w16cid:durableId="420109574">
    <w:abstractNumId w:val="14"/>
  </w:num>
  <w:num w:numId="23" w16cid:durableId="1913587402">
    <w:abstractNumId w:val="16"/>
  </w:num>
  <w:num w:numId="24" w16cid:durableId="1491605442">
    <w:abstractNumId w:val="6"/>
  </w:num>
  <w:num w:numId="25" w16cid:durableId="203896346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E31"/>
    <w:rsid w:val="00002CE1"/>
    <w:rsid w:val="000148E5"/>
    <w:rsid w:val="00022F9D"/>
    <w:rsid w:val="0002757C"/>
    <w:rsid w:val="0003409E"/>
    <w:rsid w:val="000418D8"/>
    <w:rsid w:val="00074E51"/>
    <w:rsid w:val="00075BD3"/>
    <w:rsid w:val="000863DB"/>
    <w:rsid w:val="000A28F4"/>
    <w:rsid w:val="000B7E70"/>
    <w:rsid w:val="000C72A7"/>
    <w:rsid w:val="000D1A0E"/>
    <w:rsid w:val="000D4200"/>
    <w:rsid w:val="00104F01"/>
    <w:rsid w:val="00107A88"/>
    <w:rsid w:val="00115247"/>
    <w:rsid w:val="00115897"/>
    <w:rsid w:val="00131D2F"/>
    <w:rsid w:val="0015555C"/>
    <w:rsid w:val="00156CBD"/>
    <w:rsid w:val="00192860"/>
    <w:rsid w:val="001B7B84"/>
    <w:rsid w:val="001D1AE9"/>
    <w:rsid w:val="001E5936"/>
    <w:rsid w:val="001F65FD"/>
    <w:rsid w:val="002163EE"/>
    <w:rsid w:val="00226811"/>
    <w:rsid w:val="00242581"/>
    <w:rsid w:val="00254613"/>
    <w:rsid w:val="00263373"/>
    <w:rsid w:val="00286EE5"/>
    <w:rsid w:val="002938F2"/>
    <w:rsid w:val="00294967"/>
    <w:rsid w:val="002C2D30"/>
    <w:rsid w:val="002D4660"/>
    <w:rsid w:val="002E64CF"/>
    <w:rsid w:val="002E6730"/>
    <w:rsid w:val="002F4EFA"/>
    <w:rsid w:val="002F56BF"/>
    <w:rsid w:val="00301506"/>
    <w:rsid w:val="003047DE"/>
    <w:rsid w:val="00306B74"/>
    <w:rsid w:val="0033070D"/>
    <w:rsid w:val="0033615F"/>
    <w:rsid w:val="00340663"/>
    <w:rsid w:val="00346E8E"/>
    <w:rsid w:val="00354B6B"/>
    <w:rsid w:val="0035779D"/>
    <w:rsid w:val="0039439E"/>
    <w:rsid w:val="003D4CC0"/>
    <w:rsid w:val="003D789F"/>
    <w:rsid w:val="003E0D06"/>
    <w:rsid w:val="003E4E70"/>
    <w:rsid w:val="003E6180"/>
    <w:rsid w:val="003F2FC2"/>
    <w:rsid w:val="003F5F7C"/>
    <w:rsid w:val="0040174A"/>
    <w:rsid w:val="004117FA"/>
    <w:rsid w:val="0042252C"/>
    <w:rsid w:val="0042260B"/>
    <w:rsid w:val="004456AB"/>
    <w:rsid w:val="00460152"/>
    <w:rsid w:val="00477390"/>
    <w:rsid w:val="004A30A7"/>
    <w:rsid w:val="004B4A91"/>
    <w:rsid w:val="004B5022"/>
    <w:rsid w:val="004C425B"/>
    <w:rsid w:val="004E310E"/>
    <w:rsid w:val="005104DA"/>
    <w:rsid w:val="00512144"/>
    <w:rsid w:val="00562537"/>
    <w:rsid w:val="00574532"/>
    <w:rsid w:val="00585405"/>
    <w:rsid w:val="005D7AE7"/>
    <w:rsid w:val="005E0913"/>
    <w:rsid w:val="005F14D6"/>
    <w:rsid w:val="005F459D"/>
    <w:rsid w:val="005F6907"/>
    <w:rsid w:val="00601D4C"/>
    <w:rsid w:val="006170F2"/>
    <w:rsid w:val="00624C20"/>
    <w:rsid w:val="00640F82"/>
    <w:rsid w:val="006B0CAF"/>
    <w:rsid w:val="006B467E"/>
    <w:rsid w:val="006B510F"/>
    <w:rsid w:val="006C7E43"/>
    <w:rsid w:val="006D0A45"/>
    <w:rsid w:val="006D2EB8"/>
    <w:rsid w:val="006D3079"/>
    <w:rsid w:val="006D436C"/>
    <w:rsid w:val="006E29BF"/>
    <w:rsid w:val="006E50CA"/>
    <w:rsid w:val="006E54DF"/>
    <w:rsid w:val="006F6A06"/>
    <w:rsid w:val="0070495C"/>
    <w:rsid w:val="00706F0D"/>
    <w:rsid w:val="00710FFB"/>
    <w:rsid w:val="007153B5"/>
    <w:rsid w:val="00717894"/>
    <w:rsid w:val="00736A88"/>
    <w:rsid w:val="0075003D"/>
    <w:rsid w:val="00753F76"/>
    <w:rsid w:val="00764EC5"/>
    <w:rsid w:val="00786AF4"/>
    <w:rsid w:val="007909A0"/>
    <w:rsid w:val="007913B8"/>
    <w:rsid w:val="007B2768"/>
    <w:rsid w:val="007E0927"/>
    <w:rsid w:val="007E777F"/>
    <w:rsid w:val="00805147"/>
    <w:rsid w:val="008109E0"/>
    <w:rsid w:val="00816E3D"/>
    <w:rsid w:val="00820F27"/>
    <w:rsid w:val="00861BA0"/>
    <w:rsid w:val="008827A7"/>
    <w:rsid w:val="008903EE"/>
    <w:rsid w:val="008952E1"/>
    <w:rsid w:val="008C7DCC"/>
    <w:rsid w:val="008E2F15"/>
    <w:rsid w:val="009020A9"/>
    <w:rsid w:val="00917B71"/>
    <w:rsid w:val="009257F9"/>
    <w:rsid w:val="00934028"/>
    <w:rsid w:val="00944328"/>
    <w:rsid w:val="009455E9"/>
    <w:rsid w:val="009531A5"/>
    <w:rsid w:val="00954CAB"/>
    <w:rsid w:val="00955025"/>
    <w:rsid w:val="00957D14"/>
    <w:rsid w:val="00990318"/>
    <w:rsid w:val="00995836"/>
    <w:rsid w:val="009A4490"/>
    <w:rsid w:val="009B1CA4"/>
    <w:rsid w:val="009D669D"/>
    <w:rsid w:val="009F7D87"/>
    <w:rsid w:val="00A3627B"/>
    <w:rsid w:val="00A41A95"/>
    <w:rsid w:val="00A60569"/>
    <w:rsid w:val="00A82D83"/>
    <w:rsid w:val="00A83F1B"/>
    <w:rsid w:val="00A87BA3"/>
    <w:rsid w:val="00A9754D"/>
    <w:rsid w:val="00AA79AD"/>
    <w:rsid w:val="00AB0581"/>
    <w:rsid w:val="00AC5446"/>
    <w:rsid w:val="00AD42C9"/>
    <w:rsid w:val="00B1078F"/>
    <w:rsid w:val="00B13AE6"/>
    <w:rsid w:val="00B23381"/>
    <w:rsid w:val="00B262A3"/>
    <w:rsid w:val="00B47DB8"/>
    <w:rsid w:val="00B500F2"/>
    <w:rsid w:val="00B64BCB"/>
    <w:rsid w:val="00B824AC"/>
    <w:rsid w:val="00B86486"/>
    <w:rsid w:val="00BA17AD"/>
    <w:rsid w:val="00BD43CD"/>
    <w:rsid w:val="00BE65E8"/>
    <w:rsid w:val="00BF1450"/>
    <w:rsid w:val="00BF31DC"/>
    <w:rsid w:val="00BF6D67"/>
    <w:rsid w:val="00C118C6"/>
    <w:rsid w:val="00C14A82"/>
    <w:rsid w:val="00C15AC0"/>
    <w:rsid w:val="00C47846"/>
    <w:rsid w:val="00C66541"/>
    <w:rsid w:val="00C707BF"/>
    <w:rsid w:val="00C9195E"/>
    <w:rsid w:val="00C93A04"/>
    <w:rsid w:val="00C95AE3"/>
    <w:rsid w:val="00CA15BB"/>
    <w:rsid w:val="00CB7695"/>
    <w:rsid w:val="00CF088A"/>
    <w:rsid w:val="00CF38AB"/>
    <w:rsid w:val="00D04951"/>
    <w:rsid w:val="00D215E9"/>
    <w:rsid w:val="00D348FD"/>
    <w:rsid w:val="00D45D3E"/>
    <w:rsid w:val="00D5492E"/>
    <w:rsid w:val="00D55414"/>
    <w:rsid w:val="00D71D83"/>
    <w:rsid w:val="00D76FE6"/>
    <w:rsid w:val="00D90927"/>
    <w:rsid w:val="00DB1901"/>
    <w:rsid w:val="00DD4A97"/>
    <w:rsid w:val="00DD54CE"/>
    <w:rsid w:val="00DD5E31"/>
    <w:rsid w:val="00DD7B94"/>
    <w:rsid w:val="00DE7BFC"/>
    <w:rsid w:val="00E046CD"/>
    <w:rsid w:val="00E15940"/>
    <w:rsid w:val="00E21877"/>
    <w:rsid w:val="00E3185F"/>
    <w:rsid w:val="00E336D3"/>
    <w:rsid w:val="00E372D1"/>
    <w:rsid w:val="00E4786A"/>
    <w:rsid w:val="00E556D9"/>
    <w:rsid w:val="00E557B9"/>
    <w:rsid w:val="00E85249"/>
    <w:rsid w:val="00E94268"/>
    <w:rsid w:val="00EA03FA"/>
    <w:rsid w:val="00EE0464"/>
    <w:rsid w:val="00EF56AE"/>
    <w:rsid w:val="00F00C76"/>
    <w:rsid w:val="00F1101B"/>
    <w:rsid w:val="00F13359"/>
    <w:rsid w:val="00F166C5"/>
    <w:rsid w:val="00F26160"/>
    <w:rsid w:val="00F360B4"/>
    <w:rsid w:val="00F503CC"/>
    <w:rsid w:val="00F5655D"/>
    <w:rsid w:val="00F93438"/>
    <w:rsid w:val="00FA6F93"/>
    <w:rsid w:val="00FB73A8"/>
    <w:rsid w:val="00FE39C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33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30"/>
        <w:lang w:val="en-US"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D87"/>
    <w:pPr>
      <w:spacing w:line="360" w:lineRule="auto"/>
      <w:jc w:val="both"/>
    </w:pPr>
    <w:rPr>
      <w:rFonts w:ascii="Times New Roman" w:eastAsia="Times New Roman" w:hAnsi="Times New Roman" w:cs="Times New Roman"/>
      <w:szCs w:val="24"/>
      <w:lang w:eastAsia="en-GB"/>
    </w:rPr>
  </w:style>
  <w:style w:type="paragraph" w:styleId="Heading1">
    <w:name w:val="heading 1"/>
    <w:basedOn w:val="Normal"/>
    <w:next w:val="Normal"/>
    <w:link w:val="Heading1Char"/>
    <w:uiPriority w:val="9"/>
    <w:qFormat/>
    <w:rsid w:val="00DD5E31"/>
    <w:pPr>
      <w:keepNext/>
      <w:keepLines/>
      <w:spacing w:before="24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DD5E31"/>
    <w:pPr>
      <w:keepNext/>
      <w:keepLines/>
      <w:spacing w:before="40"/>
      <w:outlineLvl w:val="1"/>
    </w:pPr>
    <w:rPr>
      <w:rFonts w:eastAsiaTheme="majorEastAsia" w:cstheme="majorBidi"/>
      <w:b/>
      <w:color w:val="000000" w:themeColor="text1"/>
      <w:sz w:val="28"/>
      <w:szCs w:val="33"/>
    </w:rPr>
  </w:style>
  <w:style w:type="paragraph" w:styleId="Heading3">
    <w:name w:val="heading 3"/>
    <w:basedOn w:val="Normal"/>
    <w:next w:val="Normal"/>
    <w:link w:val="Heading3Char"/>
    <w:uiPriority w:val="9"/>
    <w:unhideWhenUsed/>
    <w:qFormat/>
    <w:rsid w:val="0042252C"/>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42252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5E31"/>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DD5E31"/>
    <w:rPr>
      <w:rFonts w:ascii="Times New Roman" w:eastAsiaTheme="majorEastAsia" w:hAnsi="Times New Roman" w:cstheme="majorBidi"/>
      <w:b/>
      <w:color w:val="000000" w:themeColor="text1"/>
      <w:sz w:val="28"/>
      <w:szCs w:val="33"/>
    </w:rPr>
  </w:style>
  <w:style w:type="paragraph" w:styleId="TOCHeading">
    <w:name w:val="TOC Heading"/>
    <w:basedOn w:val="Heading1"/>
    <w:next w:val="Normal"/>
    <w:uiPriority w:val="39"/>
    <w:unhideWhenUsed/>
    <w:qFormat/>
    <w:rsid w:val="00DD5E31"/>
    <w:pPr>
      <w:spacing w:before="480" w:line="276" w:lineRule="auto"/>
      <w:jc w:val="left"/>
      <w:outlineLvl w:val="9"/>
    </w:pPr>
    <w:rPr>
      <w:rFonts w:asciiTheme="majorHAnsi" w:hAnsiTheme="majorHAnsi"/>
      <w:bCs/>
      <w:color w:val="2F5496" w:themeColor="accent1" w:themeShade="BF"/>
      <w:sz w:val="28"/>
      <w:szCs w:val="28"/>
      <w:lang w:bidi="ar-SA"/>
    </w:rPr>
  </w:style>
  <w:style w:type="paragraph" w:styleId="TOC1">
    <w:name w:val="toc 1"/>
    <w:basedOn w:val="Normal"/>
    <w:next w:val="Normal"/>
    <w:autoRedefine/>
    <w:uiPriority w:val="39"/>
    <w:unhideWhenUsed/>
    <w:rsid w:val="00DD5E31"/>
    <w:pPr>
      <w:spacing w:before="120" w:after="120"/>
      <w:jc w:val="left"/>
    </w:pPr>
    <w:rPr>
      <w:rFonts w:asciiTheme="minorHAnsi" w:hAnsiTheme="minorHAnsi" w:cs="Vrinda"/>
      <w:b/>
      <w:bCs/>
      <w:caps/>
      <w:sz w:val="20"/>
      <w:szCs w:val="20"/>
    </w:rPr>
  </w:style>
  <w:style w:type="paragraph" w:styleId="TOC2">
    <w:name w:val="toc 2"/>
    <w:basedOn w:val="Normal"/>
    <w:next w:val="Normal"/>
    <w:autoRedefine/>
    <w:uiPriority w:val="39"/>
    <w:unhideWhenUsed/>
    <w:rsid w:val="00DD5E31"/>
    <w:pPr>
      <w:ind w:left="240"/>
      <w:jc w:val="left"/>
    </w:pPr>
    <w:rPr>
      <w:rFonts w:asciiTheme="minorHAnsi" w:hAnsiTheme="minorHAnsi" w:cs="Vrinda"/>
      <w:smallCaps/>
      <w:sz w:val="20"/>
      <w:szCs w:val="20"/>
    </w:rPr>
  </w:style>
  <w:style w:type="paragraph" w:styleId="TOC3">
    <w:name w:val="toc 3"/>
    <w:basedOn w:val="Normal"/>
    <w:next w:val="Normal"/>
    <w:autoRedefine/>
    <w:uiPriority w:val="39"/>
    <w:unhideWhenUsed/>
    <w:rsid w:val="00DD5E31"/>
    <w:pPr>
      <w:ind w:left="480"/>
      <w:jc w:val="left"/>
    </w:pPr>
    <w:rPr>
      <w:rFonts w:asciiTheme="minorHAnsi" w:hAnsiTheme="minorHAnsi" w:cs="Vrinda"/>
      <w:i/>
      <w:iCs/>
      <w:sz w:val="20"/>
      <w:szCs w:val="20"/>
    </w:rPr>
  </w:style>
  <w:style w:type="paragraph" w:styleId="TOC4">
    <w:name w:val="toc 4"/>
    <w:basedOn w:val="Normal"/>
    <w:next w:val="Normal"/>
    <w:autoRedefine/>
    <w:uiPriority w:val="39"/>
    <w:semiHidden/>
    <w:unhideWhenUsed/>
    <w:rsid w:val="00DD5E31"/>
    <w:pPr>
      <w:ind w:left="720"/>
      <w:jc w:val="left"/>
    </w:pPr>
    <w:rPr>
      <w:rFonts w:asciiTheme="minorHAnsi" w:hAnsiTheme="minorHAnsi" w:cs="Vrinda"/>
      <w:sz w:val="18"/>
      <w:szCs w:val="18"/>
    </w:rPr>
  </w:style>
  <w:style w:type="paragraph" w:styleId="TOC5">
    <w:name w:val="toc 5"/>
    <w:basedOn w:val="Normal"/>
    <w:next w:val="Normal"/>
    <w:autoRedefine/>
    <w:uiPriority w:val="39"/>
    <w:semiHidden/>
    <w:unhideWhenUsed/>
    <w:rsid w:val="00DD5E31"/>
    <w:pPr>
      <w:ind w:left="960"/>
      <w:jc w:val="left"/>
    </w:pPr>
    <w:rPr>
      <w:rFonts w:asciiTheme="minorHAnsi" w:hAnsiTheme="minorHAnsi" w:cs="Vrinda"/>
      <w:sz w:val="18"/>
      <w:szCs w:val="18"/>
    </w:rPr>
  </w:style>
  <w:style w:type="paragraph" w:styleId="TOC6">
    <w:name w:val="toc 6"/>
    <w:basedOn w:val="Normal"/>
    <w:next w:val="Normal"/>
    <w:autoRedefine/>
    <w:uiPriority w:val="39"/>
    <w:semiHidden/>
    <w:unhideWhenUsed/>
    <w:rsid w:val="00DD5E31"/>
    <w:pPr>
      <w:ind w:left="1200"/>
      <w:jc w:val="left"/>
    </w:pPr>
    <w:rPr>
      <w:rFonts w:asciiTheme="minorHAnsi" w:hAnsiTheme="minorHAnsi" w:cs="Vrinda"/>
      <w:sz w:val="18"/>
      <w:szCs w:val="18"/>
    </w:rPr>
  </w:style>
  <w:style w:type="paragraph" w:styleId="TOC7">
    <w:name w:val="toc 7"/>
    <w:basedOn w:val="Normal"/>
    <w:next w:val="Normal"/>
    <w:autoRedefine/>
    <w:uiPriority w:val="39"/>
    <w:semiHidden/>
    <w:unhideWhenUsed/>
    <w:rsid w:val="00DD5E31"/>
    <w:pPr>
      <w:ind w:left="1440"/>
      <w:jc w:val="left"/>
    </w:pPr>
    <w:rPr>
      <w:rFonts w:asciiTheme="minorHAnsi" w:hAnsiTheme="minorHAnsi" w:cs="Vrinda"/>
      <w:sz w:val="18"/>
      <w:szCs w:val="18"/>
    </w:rPr>
  </w:style>
  <w:style w:type="paragraph" w:styleId="TOC8">
    <w:name w:val="toc 8"/>
    <w:basedOn w:val="Normal"/>
    <w:next w:val="Normal"/>
    <w:autoRedefine/>
    <w:uiPriority w:val="39"/>
    <w:semiHidden/>
    <w:unhideWhenUsed/>
    <w:rsid w:val="00DD5E31"/>
    <w:pPr>
      <w:ind w:left="1680"/>
      <w:jc w:val="left"/>
    </w:pPr>
    <w:rPr>
      <w:rFonts w:asciiTheme="minorHAnsi" w:hAnsiTheme="minorHAnsi" w:cs="Vrinda"/>
      <w:sz w:val="18"/>
      <w:szCs w:val="18"/>
    </w:rPr>
  </w:style>
  <w:style w:type="paragraph" w:styleId="TOC9">
    <w:name w:val="toc 9"/>
    <w:basedOn w:val="Normal"/>
    <w:next w:val="Normal"/>
    <w:autoRedefine/>
    <w:uiPriority w:val="39"/>
    <w:semiHidden/>
    <w:unhideWhenUsed/>
    <w:rsid w:val="00DD5E31"/>
    <w:pPr>
      <w:ind w:left="1920"/>
      <w:jc w:val="left"/>
    </w:pPr>
    <w:rPr>
      <w:rFonts w:asciiTheme="minorHAnsi" w:hAnsiTheme="minorHAnsi" w:cs="Vrinda"/>
      <w:sz w:val="18"/>
      <w:szCs w:val="18"/>
    </w:rPr>
  </w:style>
  <w:style w:type="paragraph" w:styleId="Footer">
    <w:name w:val="footer"/>
    <w:basedOn w:val="Normal"/>
    <w:link w:val="FooterChar"/>
    <w:uiPriority w:val="99"/>
    <w:unhideWhenUsed/>
    <w:rsid w:val="00DD5E31"/>
    <w:pPr>
      <w:tabs>
        <w:tab w:val="center" w:pos="4513"/>
        <w:tab w:val="right" w:pos="9026"/>
      </w:tabs>
      <w:spacing w:line="240" w:lineRule="auto"/>
    </w:pPr>
  </w:style>
  <w:style w:type="character" w:customStyle="1" w:styleId="FooterChar">
    <w:name w:val="Footer Char"/>
    <w:basedOn w:val="DefaultParagraphFont"/>
    <w:link w:val="Footer"/>
    <w:uiPriority w:val="99"/>
    <w:rsid w:val="00DD5E31"/>
    <w:rPr>
      <w:rFonts w:ascii="Times New Roman" w:hAnsi="Times New Roman" w:cs="Vrinda"/>
    </w:rPr>
  </w:style>
  <w:style w:type="character" w:styleId="PageNumber">
    <w:name w:val="page number"/>
    <w:basedOn w:val="DefaultParagraphFont"/>
    <w:uiPriority w:val="99"/>
    <w:semiHidden/>
    <w:unhideWhenUsed/>
    <w:rsid w:val="00DD5E31"/>
  </w:style>
  <w:style w:type="paragraph" w:customStyle="1" w:styleId="mb15">
    <w:name w:val="mb15"/>
    <w:basedOn w:val="Normal"/>
    <w:rsid w:val="00820F27"/>
    <w:pPr>
      <w:spacing w:before="100" w:beforeAutospacing="1" w:after="100" w:afterAutospacing="1" w:line="240" w:lineRule="auto"/>
      <w:jc w:val="left"/>
    </w:pPr>
  </w:style>
  <w:style w:type="character" w:styleId="Hyperlink">
    <w:name w:val="Hyperlink"/>
    <w:basedOn w:val="DefaultParagraphFont"/>
    <w:uiPriority w:val="99"/>
    <w:unhideWhenUsed/>
    <w:rsid w:val="00820F27"/>
    <w:rPr>
      <w:color w:val="0000FF"/>
      <w:u w:val="single"/>
    </w:rPr>
  </w:style>
  <w:style w:type="paragraph" w:customStyle="1" w:styleId="mb0">
    <w:name w:val="mb0"/>
    <w:basedOn w:val="Normal"/>
    <w:rsid w:val="00820F27"/>
    <w:pPr>
      <w:spacing w:before="100" w:beforeAutospacing="1" w:after="100" w:afterAutospacing="1" w:line="240" w:lineRule="auto"/>
      <w:jc w:val="left"/>
    </w:pPr>
  </w:style>
  <w:style w:type="paragraph" w:styleId="NormalWeb">
    <w:name w:val="Normal (Web)"/>
    <w:basedOn w:val="Normal"/>
    <w:uiPriority w:val="99"/>
    <w:unhideWhenUsed/>
    <w:rsid w:val="007909A0"/>
    <w:pPr>
      <w:spacing w:before="100" w:beforeAutospacing="1" w:after="100" w:afterAutospacing="1" w:line="240" w:lineRule="auto"/>
      <w:jc w:val="left"/>
    </w:pPr>
  </w:style>
  <w:style w:type="character" w:customStyle="1" w:styleId="UnresolvedMention1">
    <w:name w:val="Unresolved Mention1"/>
    <w:basedOn w:val="DefaultParagraphFont"/>
    <w:uiPriority w:val="99"/>
    <w:semiHidden/>
    <w:unhideWhenUsed/>
    <w:rsid w:val="00E3185F"/>
    <w:rPr>
      <w:color w:val="605E5C"/>
      <w:shd w:val="clear" w:color="auto" w:fill="E1DFDD"/>
    </w:rPr>
  </w:style>
  <w:style w:type="character" w:customStyle="1" w:styleId="Heading4Char">
    <w:name w:val="Heading 4 Char"/>
    <w:basedOn w:val="DefaultParagraphFont"/>
    <w:link w:val="Heading4"/>
    <w:uiPriority w:val="9"/>
    <w:rsid w:val="0042252C"/>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42252C"/>
    <w:rPr>
      <w:b/>
      <w:bCs/>
    </w:rPr>
  </w:style>
  <w:style w:type="character" w:customStyle="1" w:styleId="Heading3Char">
    <w:name w:val="Heading 3 Char"/>
    <w:basedOn w:val="DefaultParagraphFont"/>
    <w:link w:val="Heading3"/>
    <w:uiPriority w:val="9"/>
    <w:rsid w:val="0042252C"/>
    <w:rPr>
      <w:rFonts w:ascii="Times New Roman" w:eastAsiaTheme="majorEastAsia" w:hAnsi="Times New Roman" w:cstheme="majorBidi"/>
      <w:b/>
      <w:color w:val="000000" w:themeColor="text1"/>
    </w:rPr>
  </w:style>
  <w:style w:type="paragraph" w:styleId="Caption">
    <w:name w:val="caption"/>
    <w:basedOn w:val="Normal"/>
    <w:next w:val="Normal"/>
    <w:uiPriority w:val="35"/>
    <w:unhideWhenUsed/>
    <w:qFormat/>
    <w:rsid w:val="00D71D83"/>
    <w:pPr>
      <w:spacing w:after="200" w:line="240" w:lineRule="auto"/>
    </w:pPr>
    <w:rPr>
      <w:i/>
      <w:iCs/>
      <w:color w:val="44546A" w:themeColor="text2"/>
      <w:sz w:val="18"/>
      <w:szCs w:val="22"/>
    </w:rPr>
  </w:style>
  <w:style w:type="character" w:styleId="FollowedHyperlink">
    <w:name w:val="FollowedHyperlink"/>
    <w:basedOn w:val="DefaultParagraphFont"/>
    <w:uiPriority w:val="99"/>
    <w:semiHidden/>
    <w:unhideWhenUsed/>
    <w:rsid w:val="00706F0D"/>
    <w:rPr>
      <w:color w:val="954F72" w:themeColor="followedHyperlink"/>
      <w:u w:val="single"/>
    </w:rPr>
  </w:style>
  <w:style w:type="paragraph" w:styleId="TableofFigures">
    <w:name w:val="table of figures"/>
    <w:basedOn w:val="Normal"/>
    <w:next w:val="Normal"/>
    <w:uiPriority w:val="99"/>
    <w:unhideWhenUsed/>
    <w:rsid w:val="00816E3D"/>
  </w:style>
  <w:style w:type="paragraph" w:styleId="ListParagraph">
    <w:name w:val="List Paragraph"/>
    <w:basedOn w:val="Normal"/>
    <w:link w:val="ListParagraphChar"/>
    <w:uiPriority w:val="34"/>
    <w:qFormat/>
    <w:rsid w:val="003E4E70"/>
    <w:pPr>
      <w:spacing w:line="240" w:lineRule="auto"/>
      <w:ind w:left="720"/>
      <w:contextualSpacing/>
      <w:jc w:val="left"/>
    </w:pPr>
    <w:rPr>
      <w:rFonts w:asciiTheme="minorHAnsi" w:hAnsiTheme="minorHAnsi"/>
    </w:rPr>
  </w:style>
  <w:style w:type="character" w:styleId="Emphasis">
    <w:name w:val="Emphasis"/>
    <w:basedOn w:val="DefaultParagraphFont"/>
    <w:uiPriority w:val="20"/>
    <w:qFormat/>
    <w:rsid w:val="00075BD3"/>
    <w:rPr>
      <w:i/>
      <w:iCs/>
    </w:rPr>
  </w:style>
  <w:style w:type="table" w:styleId="TableGrid">
    <w:name w:val="Table Grid"/>
    <w:aliases w:val="Course handbook table"/>
    <w:basedOn w:val="TableNormal"/>
    <w:uiPriority w:val="39"/>
    <w:rsid w:val="00BA1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BA17A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uiPriority w:val="1"/>
    <w:qFormat/>
    <w:rsid w:val="006C7E43"/>
    <w:pPr>
      <w:jc w:val="both"/>
    </w:pPr>
    <w:rPr>
      <w:rFonts w:ascii="Times New Roman" w:hAnsi="Times New Roman" w:cs="Vrinda"/>
    </w:rPr>
  </w:style>
  <w:style w:type="character" w:customStyle="1" w:styleId="overflow-hidden">
    <w:name w:val="overflow-hidden"/>
    <w:basedOn w:val="DefaultParagraphFont"/>
    <w:rsid w:val="00512144"/>
  </w:style>
  <w:style w:type="paragraph" w:styleId="Header">
    <w:name w:val="header"/>
    <w:basedOn w:val="Normal"/>
    <w:link w:val="HeaderChar"/>
    <w:uiPriority w:val="99"/>
    <w:unhideWhenUsed/>
    <w:rsid w:val="006E29BF"/>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6E29BF"/>
    <w:rPr>
      <w:rFonts w:ascii="Times New Roman" w:eastAsia="Times New Roman" w:hAnsi="Times New Roman" w:cs="Times New Roman"/>
      <w:lang w:eastAsia="en-GB"/>
    </w:rPr>
  </w:style>
  <w:style w:type="character" w:customStyle="1" w:styleId="ListParagraphChar">
    <w:name w:val="List Paragraph Char"/>
    <w:basedOn w:val="DefaultParagraphFont"/>
    <w:link w:val="ListParagraph"/>
    <w:uiPriority w:val="34"/>
    <w:rsid w:val="00E046CD"/>
    <w:rPr>
      <w:rFonts w:eastAsia="Times New Roman" w:cs="Times New Roman"/>
      <w:szCs w:val="24"/>
      <w:lang w:eastAsia="en-GB"/>
    </w:rPr>
  </w:style>
  <w:style w:type="table" w:customStyle="1" w:styleId="TableGridLight1">
    <w:name w:val="Table Grid Light1"/>
    <w:basedOn w:val="TableNormal"/>
    <w:uiPriority w:val="40"/>
    <w:rsid w:val="00E046CD"/>
    <w:rPr>
      <w:rFonts w:eastAsiaTheme="minorEastAsia"/>
      <w:sz w:val="22"/>
      <w:szCs w:val="22"/>
      <w:lang w:val="en-GB" w:eastAsia="zh-CN"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E046CD"/>
    <w:pPr>
      <w:widowControl w:val="0"/>
      <w:autoSpaceDE w:val="0"/>
      <w:autoSpaceDN w:val="0"/>
      <w:spacing w:line="240" w:lineRule="auto"/>
      <w:ind w:left="585"/>
      <w:jc w:val="left"/>
    </w:pPr>
    <w:rPr>
      <w:sz w:val="22"/>
      <w:szCs w:val="22"/>
      <w:lang w:eastAsia="en-US" w:bidi="ar-SA"/>
    </w:rPr>
  </w:style>
  <w:style w:type="character" w:customStyle="1" w:styleId="katex-mathml">
    <w:name w:val="katex-mathml"/>
    <w:basedOn w:val="DefaultParagraphFont"/>
    <w:rsid w:val="009F7D87"/>
  </w:style>
  <w:style w:type="character" w:customStyle="1" w:styleId="mord">
    <w:name w:val="mord"/>
    <w:basedOn w:val="DefaultParagraphFont"/>
    <w:rsid w:val="009F7D87"/>
  </w:style>
  <w:style w:type="character" w:customStyle="1" w:styleId="mpunct">
    <w:name w:val="mpunct"/>
    <w:basedOn w:val="DefaultParagraphFont"/>
    <w:rsid w:val="009F7D87"/>
  </w:style>
  <w:style w:type="character" w:customStyle="1" w:styleId="mrel">
    <w:name w:val="mrel"/>
    <w:basedOn w:val="DefaultParagraphFont"/>
    <w:rsid w:val="009F7D87"/>
  </w:style>
  <w:style w:type="character" w:customStyle="1" w:styleId="mopen">
    <w:name w:val="mopen"/>
    <w:basedOn w:val="DefaultParagraphFont"/>
    <w:rsid w:val="009F7D87"/>
  </w:style>
  <w:style w:type="character" w:customStyle="1" w:styleId="mbin">
    <w:name w:val="mbin"/>
    <w:basedOn w:val="DefaultParagraphFont"/>
    <w:rsid w:val="009F7D87"/>
  </w:style>
  <w:style w:type="character" w:customStyle="1" w:styleId="mclose">
    <w:name w:val="mclose"/>
    <w:basedOn w:val="DefaultParagraphFont"/>
    <w:rsid w:val="009F7D87"/>
  </w:style>
  <w:style w:type="character" w:styleId="UnresolvedMention">
    <w:name w:val="Unresolved Mention"/>
    <w:basedOn w:val="DefaultParagraphFont"/>
    <w:uiPriority w:val="99"/>
    <w:semiHidden/>
    <w:unhideWhenUsed/>
    <w:rsid w:val="009257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659359">
      <w:bodyDiv w:val="1"/>
      <w:marLeft w:val="0"/>
      <w:marRight w:val="0"/>
      <w:marTop w:val="0"/>
      <w:marBottom w:val="0"/>
      <w:divBdr>
        <w:top w:val="none" w:sz="0" w:space="0" w:color="auto"/>
        <w:left w:val="none" w:sz="0" w:space="0" w:color="auto"/>
        <w:bottom w:val="none" w:sz="0" w:space="0" w:color="auto"/>
        <w:right w:val="none" w:sz="0" w:space="0" w:color="auto"/>
      </w:divBdr>
    </w:div>
    <w:div w:id="95639213">
      <w:bodyDiv w:val="1"/>
      <w:marLeft w:val="0"/>
      <w:marRight w:val="0"/>
      <w:marTop w:val="0"/>
      <w:marBottom w:val="0"/>
      <w:divBdr>
        <w:top w:val="none" w:sz="0" w:space="0" w:color="auto"/>
        <w:left w:val="none" w:sz="0" w:space="0" w:color="auto"/>
        <w:bottom w:val="none" w:sz="0" w:space="0" w:color="auto"/>
        <w:right w:val="none" w:sz="0" w:space="0" w:color="auto"/>
      </w:divBdr>
    </w:div>
    <w:div w:id="105076272">
      <w:bodyDiv w:val="1"/>
      <w:marLeft w:val="0"/>
      <w:marRight w:val="0"/>
      <w:marTop w:val="0"/>
      <w:marBottom w:val="0"/>
      <w:divBdr>
        <w:top w:val="none" w:sz="0" w:space="0" w:color="auto"/>
        <w:left w:val="none" w:sz="0" w:space="0" w:color="auto"/>
        <w:bottom w:val="none" w:sz="0" w:space="0" w:color="auto"/>
        <w:right w:val="none" w:sz="0" w:space="0" w:color="auto"/>
      </w:divBdr>
      <w:divsChild>
        <w:div w:id="475950198">
          <w:marLeft w:val="0"/>
          <w:marRight w:val="0"/>
          <w:marTop w:val="0"/>
          <w:marBottom w:val="0"/>
          <w:divBdr>
            <w:top w:val="none" w:sz="0" w:space="0" w:color="auto"/>
            <w:left w:val="none" w:sz="0" w:space="0" w:color="auto"/>
            <w:bottom w:val="none" w:sz="0" w:space="0" w:color="auto"/>
            <w:right w:val="none" w:sz="0" w:space="0" w:color="auto"/>
          </w:divBdr>
          <w:divsChild>
            <w:div w:id="209995581">
              <w:marLeft w:val="0"/>
              <w:marRight w:val="0"/>
              <w:marTop w:val="0"/>
              <w:marBottom w:val="0"/>
              <w:divBdr>
                <w:top w:val="none" w:sz="0" w:space="0" w:color="auto"/>
                <w:left w:val="none" w:sz="0" w:space="0" w:color="auto"/>
                <w:bottom w:val="none" w:sz="0" w:space="0" w:color="auto"/>
                <w:right w:val="none" w:sz="0" w:space="0" w:color="auto"/>
              </w:divBdr>
              <w:divsChild>
                <w:div w:id="687828830">
                  <w:marLeft w:val="0"/>
                  <w:marRight w:val="0"/>
                  <w:marTop w:val="0"/>
                  <w:marBottom w:val="0"/>
                  <w:divBdr>
                    <w:top w:val="none" w:sz="0" w:space="0" w:color="auto"/>
                    <w:left w:val="none" w:sz="0" w:space="0" w:color="auto"/>
                    <w:bottom w:val="none" w:sz="0" w:space="0" w:color="auto"/>
                    <w:right w:val="none" w:sz="0" w:space="0" w:color="auto"/>
                  </w:divBdr>
                  <w:divsChild>
                    <w:div w:id="45078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714744">
          <w:marLeft w:val="0"/>
          <w:marRight w:val="0"/>
          <w:marTop w:val="0"/>
          <w:marBottom w:val="0"/>
          <w:divBdr>
            <w:top w:val="none" w:sz="0" w:space="0" w:color="auto"/>
            <w:left w:val="none" w:sz="0" w:space="0" w:color="auto"/>
            <w:bottom w:val="none" w:sz="0" w:space="0" w:color="auto"/>
            <w:right w:val="none" w:sz="0" w:space="0" w:color="auto"/>
          </w:divBdr>
          <w:divsChild>
            <w:div w:id="1948660769">
              <w:marLeft w:val="0"/>
              <w:marRight w:val="0"/>
              <w:marTop w:val="0"/>
              <w:marBottom w:val="0"/>
              <w:divBdr>
                <w:top w:val="none" w:sz="0" w:space="0" w:color="auto"/>
                <w:left w:val="none" w:sz="0" w:space="0" w:color="auto"/>
                <w:bottom w:val="none" w:sz="0" w:space="0" w:color="auto"/>
                <w:right w:val="none" w:sz="0" w:space="0" w:color="auto"/>
              </w:divBdr>
              <w:divsChild>
                <w:div w:id="2054765949">
                  <w:marLeft w:val="0"/>
                  <w:marRight w:val="0"/>
                  <w:marTop w:val="0"/>
                  <w:marBottom w:val="0"/>
                  <w:divBdr>
                    <w:top w:val="none" w:sz="0" w:space="0" w:color="auto"/>
                    <w:left w:val="none" w:sz="0" w:space="0" w:color="auto"/>
                    <w:bottom w:val="none" w:sz="0" w:space="0" w:color="auto"/>
                    <w:right w:val="none" w:sz="0" w:space="0" w:color="auto"/>
                  </w:divBdr>
                  <w:divsChild>
                    <w:div w:id="17970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66724">
      <w:bodyDiv w:val="1"/>
      <w:marLeft w:val="0"/>
      <w:marRight w:val="0"/>
      <w:marTop w:val="0"/>
      <w:marBottom w:val="0"/>
      <w:divBdr>
        <w:top w:val="none" w:sz="0" w:space="0" w:color="auto"/>
        <w:left w:val="none" w:sz="0" w:space="0" w:color="auto"/>
        <w:bottom w:val="none" w:sz="0" w:space="0" w:color="auto"/>
        <w:right w:val="none" w:sz="0" w:space="0" w:color="auto"/>
      </w:divBdr>
      <w:divsChild>
        <w:div w:id="372073689">
          <w:marLeft w:val="0"/>
          <w:marRight w:val="0"/>
          <w:marTop w:val="0"/>
          <w:marBottom w:val="0"/>
          <w:divBdr>
            <w:top w:val="none" w:sz="0" w:space="0" w:color="auto"/>
            <w:left w:val="none" w:sz="0" w:space="0" w:color="auto"/>
            <w:bottom w:val="none" w:sz="0" w:space="0" w:color="auto"/>
            <w:right w:val="none" w:sz="0" w:space="0" w:color="auto"/>
          </w:divBdr>
          <w:divsChild>
            <w:div w:id="89742480">
              <w:marLeft w:val="0"/>
              <w:marRight w:val="0"/>
              <w:marTop w:val="0"/>
              <w:marBottom w:val="0"/>
              <w:divBdr>
                <w:top w:val="none" w:sz="0" w:space="0" w:color="auto"/>
                <w:left w:val="none" w:sz="0" w:space="0" w:color="auto"/>
                <w:bottom w:val="none" w:sz="0" w:space="0" w:color="auto"/>
                <w:right w:val="none" w:sz="0" w:space="0" w:color="auto"/>
              </w:divBdr>
              <w:divsChild>
                <w:div w:id="1969973899">
                  <w:marLeft w:val="0"/>
                  <w:marRight w:val="0"/>
                  <w:marTop w:val="0"/>
                  <w:marBottom w:val="0"/>
                  <w:divBdr>
                    <w:top w:val="none" w:sz="0" w:space="0" w:color="auto"/>
                    <w:left w:val="none" w:sz="0" w:space="0" w:color="auto"/>
                    <w:bottom w:val="none" w:sz="0" w:space="0" w:color="auto"/>
                    <w:right w:val="none" w:sz="0" w:space="0" w:color="auto"/>
                  </w:divBdr>
                  <w:divsChild>
                    <w:div w:id="56407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76753">
          <w:marLeft w:val="0"/>
          <w:marRight w:val="0"/>
          <w:marTop w:val="0"/>
          <w:marBottom w:val="0"/>
          <w:divBdr>
            <w:top w:val="none" w:sz="0" w:space="0" w:color="auto"/>
            <w:left w:val="none" w:sz="0" w:space="0" w:color="auto"/>
            <w:bottom w:val="none" w:sz="0" w:space="0" w:color="auto"/>
            <w:right w:val="none" w:sz="0" w:space="0" w:color="auto"/>
          </w:divBdr>
          <w:divsChild>
            <w:div w:id="1907955990">
              <w:marLeft w:val="0"/>
              <w:marRight w:val="0"/>
              <w:marTop w:val="0"/>
              <w:marBottom w:val="0"/>
              <w:divBdr>
                <w:top w:val="none" w:sz="0" w:space="0" w:color="auto"/>
                <w:left w:val="none" w:sz="0" w:space="0" w:color="auto"/>
                <w:bottom w:val="none" w:sz="0" w:space="0" w:color="auto"/>
                <w:right w:val="none" w:sz="0" w:space="0" w:color="auto"/>
              </w:divBdr>
              <w:divsChild>
                <w:div w:id="619072160">
                  <w:marLeft w:val="0"/>
                  <w:marRight w:val="0"/>
                  <w:marTop w:val="0"/>
                  <w:marBottom w:val="0"/>
                  <w:divBdr>
                    <w:top w:val="none" w:sz="0" w:space="0" w:color="auto"/>
                    <w:left w:val="none" w:sz="0" w:space="0" w:color="auto"/>
                    <w:bottom w:val="none" w:sz="0" w:space="0" w:color="auto"/>
                    <w:right w:val="none" w:sz="0" w:space="0" w:color="auto"/>
                  </w:divBdr>
                  <w:divsChild>
                    <w:div w:id="4097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888110">
      <w:bodyDiv w:val="1"/>
      <w:marLeft w:val="0"/>
      <w:marRight w:val="0"/>
      <w:marTop w:val="0"/>
      <w:marBottom w:val="0"/>
      <w:divBdr>
        <w:top w:val="none" w:sz="0" w:space="0" w:color="auto"/>
        <w:left w:val="none" w:sz="0" w:space="0" w:color="auto"/>
        <w:bottom w:val="none" w:sz="0" w:space="0" w:color="auto"/>
        <w:right w:val="none" w:sz="0" w:space="0" w:color="auto"/>
      </w:divBdr>
      <w:divsChild>
        <w:div w:id="1599943538">
          <w:marLeft w:val="0"/>
          <w:marRight w:val="0"/>
          <w:marTop w:val="0"/>
          <w:marBottom w:val="120"/>
          <w:divBdr>
            <w:top w:val="none" w:sz="0" w:space="0" w:color="auto"/>
            <w:left w:val="none" w:sz="0" w:space="0" w:color="auto"/>
            <w:bottom w:val="none" w:sz="0" w:space="0" w:color="auto"/>
            <w:right w:val="none" w:sz="0" w:space="0" w:color="auto"/>
          </w:divBdr>
        </w:div>
        <w:div w:id="717583094">
          <w:marLeft w:val="0"/>
          <w:marRight w:val="0"/>
          <w:marTop w:val="0"/>
          <w:marBottom w:val="120"/>
          <w:divBdr>
            <w:top w:val="none" w:sz="0" w:space="0" w:color="auto"/>
            <w:left w:val="none" w:sz="0" w:space="0" w:color="auto"/>
            <w:bottom w:val="none" w:sz="0" w:space="0" w:color="auto"/>
            <w:right w:val="none" w:sz="0" w:space="0" w:color="auto"/>
          </w:divBdr>
        </w:div>
        <w:div w:id="2045136696">
          <w:marLeft w:val="0"/>
          <w:marRight w:val="0"/>
          <w:marTop w:val="0"/>
          <w:marBottom w:val="120"/>
          <w:divBdr>
            <w:top w:val="none" w:sz="0" w:space="0" w:color="auto"/>
            <w:left w:val="none" w:sz="0" w:space="0" w:color="auto"/>
            <w:bottom w:val="none" w:sz="0" w:space="0" w:color="auto"/>
            <w:right w:val="none" w:sz="0" w:space="0" w:color="auto"/>
          </w:divBdr>
        </w:div>
        <w:div w:id="1124345369">
          <w:marLeft w:val="0"/>
          <w:marRight w:val="0"/>
          <w:marTop w:val="0"/>
          <w:marBottom w:val="120"/>
          <w:divBdr>
            <w:top w:val="none" w:sz="0" w:space="0" w:color="auto"/>
            <w:left w:val="none" w:sz="0" w:space="0" w:color="auto"/>
            <w:bottom w:val="none" w:sz="0" w:space="0" w:color="auto"/>
            <w:right w:val="none" w:sz="0" w:space="0" w:color="auto"/>
          </w:divBdr>
        </w:div>
      </w:divsChild>
    </w:div>
    <w:div w:id="236019701">
      <w:bodyDiv w:val="1"/>
      <w:marLeft w:val="0"/>
      <w:marRight w:val="0"/>
      <w:marTop w:val="0"/>
      <w:marBottom w:val="0"/>
      <w:divBdr>
        <w:top w:val="none" w:sz="0" w:space="0" w:color="auto"/>
        <w:left w:val="none" w:sz="0" w:space="0" w:color="auto"/>
        <w:bottom w:val="none" w:sz="0" w:space="0" w:color="auto"/>
        <w:right w:val="none" w:sz="0" w:space="0" w:color="auto"/>
      </w:divBdr>
    </w:div>
    <w:div w:id="258148363">
      <w:bodyDiv w:val="1"/>
      <w:marLeft w:val="0"/>
      <w:marRight w:val="0"/>
      <w:marTop w:val="0"/>
      <w:marBottom w:val="0"/>
      <w:divBdr>
        <w:top w:val="none" w:sz="0" w:space="0" w:color="auto"/>
        <w:left w:val="none" w:sz="0" w:space="0" w:color="auto"/>
        <w:bottom w:val="none" w:sz="0" w:space="0" w:color="auto"/>
        <w:right w:val="none" w:sz="0" w:space="0" w:color="auto"/>
      </w:divBdr>
    </w:div>
    <w:div w:id="271981027">
      <w:bodyDiv w:val="1"/>
      <w:marLeft w:val="0"/>
      <w:marRight w:val="0"/>
      <w:marTop w:val="0"/>
      <w:marBottom w:val="0"/>
      <w:divBdr>
        <w:top w:val="none" w:sz="0" w:space="0" w:color="auto"/>
        <w:left w:val="none" w:sz="0" w:space="0" w:color="auto"/>
        <w:bottom w:val="none" w:sz="0" w:space="0" w:color="auto"/>
        <w:right w:val="none" w:sz="0" w:space="0" w:color="auto"/>
      </w:divBdr>
    </w:div>
    <w:div w:id="295844482">
      <w:bodyDiv w:val="1"/>
      <w:marLeft w:val="0"/>
      <w:marRight w:val="0"/>
      <w:marTop w:val="0"/>
      <w:marBottom w:val="0"/>
      <w:divBdr>
        <w:top w:val="none" w:sz="0" w:space="0" w:color="auto"/>
        <w:left w:val="none" w:sz="0" w:space="0" w:color="auto"/>
        <w:bottom w:val="none" w:sz="0" w:space="0" w:color="auto"/>
        <w:right w:val="none" w:sz="0" w:space="0" w:color="auto"/>
      </w:divBdr>
    </w:div>
    <w:div w:id="335574839">
      <w:bodyDiv w:val="1"/>
      <w:marLeft w:val="0"/>
      <w:marRight w:val="0"/>
      <w:marTop w:val="0"/>
      <w:marBottom w:val="0"/>
      <w:divBdr>
        <w:top w:val="none" w:sz="0" w:space="0" w:color="auto"/>
        <w:left w:val="none" w:sz="0" w:space="0" w:color="auto"/>
        <w:bottom w:val="none" w:sz="0" w:space="0" w:color="auto"/>
        <w:right w:val="none" w:sz="0" w:space="0" w:color="auto"/>
      </w:divBdr>
      <w:divsChild>
        <w:div w:id="433787949">
          <w:marLeft w:val="0"/>
          <w:marRight w:val="0"/>
          <w:marTop w:val="0"/>
          <w:marBottom w:val="0"/>
          <w:divBdr>
            <w:top w:val="none" w:sz="0" w:space="0" w:color="auto"/>
            <w:left w:val="none" w:sz="0" w:space="0" w:color="auto"/>
            <w:bottom w:val="none" w:sz="0" w:space="0" w:color="auto"/>
            <w:right w:val="none" w:sz="0" w:space="0" w:color="auto"/>
          </w:divBdr>
          <w:divsChild>
            <w:div w:id="152263360">
              <w:marLeft w:val="0"/>
              <w:marRight w:val="0"/>
              <w:marTop w:val="0"/>
              <w:marBottom w:val="0"/>
              <w:divBdr>
                <w:top w:val="none" w:sz="0" w:space="0" w:color="auto"/>
                <w:left w:val="none" w:sz="0" w:space="0" w:color="auto"/>
                <w:bottom w:val="none" w:sz="0" w:space="0" w:color="auto"/>
                <w:right w:val="none" w:sz="0" w:space="0" w:color="auto"/>
              </w:divBdr>
              <w:divsChild>
                <w:div w:id="129132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675089">
      <w:bodyDiv w:val="1"/>
      <w:marLeft w:val="0"/>
      <w:marRight w:val="0"/>
      <w:marTop w:val="0"/>
      <w:marBottom w:val="0"/>
      <w:divBdr>
        <w:top w:val="none" w:sz="0" w:space="0" w:color="auto"/>
        <w:left w:val="none" w:sz="0" w:space="0" w:color="auto"/>
        <w:bottom w:val="none" w:sz="0" w:space="0" w:color="auto"/>
        <w:right w:val="none" w:sz="0" w:space="0" w:color="auto"/>
      </w:divBdr>
    </w:div>
    <w:div w:id="387849745">
      <w:bodyDiv w:val="1"/>
      <w:marLeft w:val="0"/>
      <w:marRight w:val="0"/>
      <w:marTop w:val="0"/>
      <w:marBottom w:val="0"/>
      <w:divBdr>
        <w:top w:val="none" w:sz="0" w:space="0" w:color="auto"/>
        <w:left w:val="none" w:sz="0" w:space="0" w:color="auto"/>
        <w:bottom w:val="none" w:sz="0" w:space="0" w:color="auto"/>
        <w:right w:val="none" w:sz="0" w:space="0" w:color="auto"/>
      </w:divBdr>
    </w:div>
    <w:div w:id="413092005">
      <w:bodyDiv w:val="1"/>
      <w:marLeft w:val="0"/>
      <w:marRight w:val="0"/>
      <w:marTop w:val="0"/>
      <w:marBottom w:val="0"/>
      <w:divBdr>
        <w:top w:val="none" w:sz="0" w:space="0" w:color="auto"/>
        <w:left w:val="none" w:sz="0" w:space="0" w:color="auto"/>
        <w:bottom w:val="none" w:sz="0" w:space="0" w:color="auto"/>
        <w:right w:val="none" w:sz="0" w:space="0" w:color="auto"/>
      </w:divBdr>
      <w:divsChild>
        <w:div w:id="1808164585">
          <w:marLeft w:val="0"/>
          <w:marRight w:val="0"/>
          <w:marTop w:val="0"/>
          <w:marBottom w:val="0"/>
          <w:divBdr>
            <w:top w:val="none" w:sz="0" w:space="0" w:color="auto"/>
            <w:left w:val="none" w:sz="0" w:space="0" w:color="auto"/>
            <w:bottom w:val="none" w:sz="0" w:space="0" w:color="auto"/>
            <w:right w:val="none" w:sz="0" w:space="0" w:color="auto"/>
          </w:divBdr>
          <w:divsChild>
            <w:div w:id="2136676730">
              <w:marLeft w:val="0"/>
              <w:marRight w:val="0"/>
              <w:marTop w:val="0"/>
              <w:marBottom w:val="0"/>
              <w:divBdr>
                <w:top w:val="none" w:sz="0" w:space="0" w:color="auto"/>
                <w:left w:val="none" w:sz="0" w:space="0" w:color="auto"/>
                <w:bottom w:val="none" w:sz="0" w:space="0" w:color="auto"/>
                <w:right w:val="none" w:sz="0" w:space="0" w:color="auto"/>
              </w:divBdr>
              <w:divsChild>
                <w:div w:id="1551571076">
                  <w:marLeft w:val="0"/>
                  <w:marRight w:val="0"/>
                  <w:marTop w:val="0"/>
                  <w:marBottom w:val="0"/>
                  <w:divBdr>
                    <w:top w:val="none" w:sz="0" w:space="0" w:color="auto"/>
                    <w:left w:val="none" w:sz="0" w:space="0" w:color="auto"/>
                    <w:bottom w:val="none" w:sz="0" w:space="0" w:color="auto"/>
                    <w:right w:val="none" w:sz="0" w:space="0" w:color="auto"/>
                  </w:divBdr>
                  <w:divsChild>
                    <w:div w:id="107755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17455">
          <w:marLeft w:val="0"/>
          <w:marRight w:val="0"/>
          <w:marTop w:val="0"/>
          <w:marBottom w:val="0"/>
          <w:divBdr>
            <w:top w:val="none" w:sz="0" w:space="0" w:color="auto"/>
            <w:left w:val="none" w:sz="0" w:space="0" w:color="auto"/>
            <w:bottom w:val="none" w:sz="0" w:space="0" w:color="auto"/>
            <w:right w:val="none" w:sz="0" w:space="0" w:color="auto"/>
          </w:divBdr>
          <w:divsChild>
            <w:div w:id="605649656">
              <w:marLeft w:val="0"/>
              <w:marRight w:val="0"/>
              <w:marTop w:val="0"/>
              <w:marBottom w:val="0"/>
              <w:divBdr>
                <w:top w:val="none" w:sz="0" w:space="0" w:color="auto"/>
                <w:left w:val="none" w:sz="0" w:space="0" w:color="auto"/>
                <w:bottom w:val="none" w:sz="0" w:space="0" w:color="auto"/>
                <w:right w:val="none" w:sz="0" w:space="0" w:color="auto"/>
              </w:divBdr>
              <w:divsChild>
                <w:div w:id="144780642">
                  <w:marLeft w:val="0"/>
                  <w:marRight w:val="0"/>
                  <w:marTop w:val="0"/>
                  <w:marBottom w:val="0"/>
                  <w:divBdr>
                    <w:top w:val="none" w:sz="0" w:space="0" w:color="auto"/>
                    <w:left w:val="none" w:sz="0" w:space="0" w:color="auto"/>
                    <w:bottom w:val="none" w:sz="0" w:space="0" w:color="auto"/>
                    <w:right w:val="none" w:sz="0" w:space="0" w:color="auto"/>
                  </w:divBdr>
                  <w:divsChild>
                    <w:div w:id="66928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517563">
      <w:bodyDiv w:val="1"/>
      <w:marLeft w:val="0"/>
      <w:marRight w:val="0"/>
      <w:marTop w:val="0"/>
      <w:marBottom w:val="0"/>
      <w:divBdr>
        <w:top w:val="none" w:sz="0" w:space="0" w:color="auto"/>
        <w:left w:val="none" w:sz="0" w:space="0" w:color="auto"/>
        <w:bottom w:val="none" w:sz="0" w:space="0" w:color="auto"/>
        <w:right w:val="none" w:sz="0" w:space="0" w:color="auto"/>
      </w:divBdr>
    </w:div>
    <w:div w:id="474839361">
      <w:bodyDiv w:val="1"/>
      <w:marLeft w:val="0"/>
      <w:marRight w:val="0"/>
      <w:marTop w:val="0"/>
      <w:marBottom w:val="0"/>
      <w:divBdr>
        <w:top w:val="none" w:sz="0" w:space="0" w:color="auto"/>
        <w:left w:val="none" w:sz="0" w:space="0" w:color="auto"/>
        <w:bottom w:val="none" w:sz="0" w:space="0" w:color="auto"/>
        <w:right w:val="none" w:sz="0" w:space="0" w:color="auto"/>
      </w:divBdr>
    </w:div>
    <w:div w:id="486629523">
      <w:bodyDiv w:val="1"/>
      <w:marLeft w:val="0"/>
      <w:marRight w:val="0"/>
      <w:marTop w:val="0"/>
      <w:marBottom w:val="0"/>
      <w:divBdr>
        <w:top w:val="none" w:sz="0" w:space="0" w:color="auto"/>
        <w:left w:val="none" w:sz="0" w:space="0" w:color="auto"/>
        <w:bottom w:val="none" w:sz="0" w:space="0" w:color="auto"/>
        <w:right w:val="none" w:sz="0" w:space="0" w:color="auto"/>
      </w:divBdr>
      <w:divsChild>
        <w:div w:id="2085955750">
          <w:marLeft w:val="0"/>
          <w:marRight w:val="0"/>
          <w:marTop w:val="0"/>
          <w:marBottom w:val="0"/>
          <w:divBdr>
            <w:top w:val="none" w:sz="0" w:space="0" w:color="auto"/>
            <w:left w:val="none" w:sz="0" w:space="0" w:color="auto"/>
            <w:bottom w:val="none" w:sz="0" w:space="0" w:color="auto"/>
            <w:right w:val="none" w:sz="0" w:space="0" w:color="auto"/>
          </w:divBdr>
          <w:divsChild>
            <w:div w:id="796025633">
              <w:marLeft w:val="0"/>
              <w:marRight w:val="0"/>
              <w:marTop w:val="0"/>
              <w:marBottom w:val="0"/>
              <w:divBdr>
                <w:top w:val="none" w:sz="0" w:space="0" w:color="auto"/>
                <w:left w:val="none" w:sz="0" w:space="0" w:color="auto"/>
                <w:bottom w:val="none" w:sz="0" w:space="0" w:color="auto"/>
                <w:right w:val="none" w:sz="0" w:space="0" w:color="auto"/>
              </w:divBdr>
              <w:divsChild>
                <w:div w:id="1481574281">
                  <w:marLeft w:val="0"/>
                  <w:marRight w:val="0"/>
                  <w:marTop w:val="0"/>
                  <w:marBottom w:val="0"/>
                  <w:divBdr>
                    <w:top w:val="none" w:sz="0" w:space="0" w:color="auto"/>
                    <w:left w:val="none" w:sz="0" w:space="0" w:color="auto"/>
                    <w:bottom w:val="none" w:sz="0" w:space="0" w:color="auto"/>
                    <w:right w:val="none" w:sz="0" w:space="0" w:color="auto"/>
                  </w:divBdr>
                  <w:divsChild>
                    <w:div w:id="14230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95529">
          <w:marLeft w:val="0"/>
          <w:marRight w:val="0"/>
          <w:marTop w:val="0"/>
          <w:marBottom w:val="0"/>
          <w:divBdr>
            <w:top w:val="none" w:sz="0" w:space="0" w:color="auto"/>
            <w:left w:val="none" w:sz="0" w:space="0" w:color="auto"/>
            <w:bottom w:val="none" w:sz="0" w:space="0" w:color="auto"/>
            <w:right w:val="none" w:sz="0" w:space="0" w:color="auto"/>
          </w:divBdr>
          <w:divsChild>
            <w:div w:id="264922231">
              <w:marLeft w:val="0"/>
              <w:marRight w:val="0"/>
              <w:marTop w:val="0"/>
              <w:marBottom w:val="0"/>
              <w:divBdr>
                <w:top w:val="none" w:sz="0" w:space="0" w:color="auto"/>
                <w:left w:val="none" w:sz="0" w:space="0" w:color="auto"/>
                <w:bottom w:val="none" w:sz="0" w:space="0" w:color="auto"/>
                <w:right w:val="none" w:sz="0" w:space="0" w:color="auto"/>
              </w:divBdr>
              <w:divsChild>
                <w:div w:id="1123813100">
                  <w:marLeft w:val="0"/>
                  <w:marRight w:val="0"/>
                  <w:marTop w:val="0"/>
                  <w:marBottom w:val="0"/>
                  <w:divBdr>
                    <w:top w:val="none" w:sz="0" w:space="0" w:color="auto"/>
                    <w:left w:val="none" w:sz="0" w:space="0" w:color="auto"/>
                    <w:bottom w:val="none" w:sz="0" w:space="0" w:color="auto"/>
                    <w:right w:val="none" w:sz="0" w:space="0" w:color="auto"/>
                  </w:divBdr>
                  <w:divsChild>
                    <w:div w:id="23960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967979">
      <w:bodyDiv w:val="1"/>
      <w:marLeft w:val="0"/>
      <w:marRight w:val="0"/>
      <w:marTop w:val="0"/>
      <w:marBottom w:val="0"/>
      <w:divBdr>
        <w:top w:val="none" w:sz="0" w:space="0" w:color="auto"/>
        <w:left w:val="none" w:sz="0" w:space="0" w:color="auto"/>
        <w:bottom w:val="none" w:sz="0" w:space="0" w:color="auto"/>
        <w:right w:val="none" w:sz="0" w:space="0" w:color="auto"/>
      </w:divBdr>
      <w:divsChild>
        <w:div w:id="1863476161">
          <w:marLeft w:val="0"/>
          <w:marRight w:val="0"/>
          <w:marTop w:val="0"/>
          <w:marBottom w:val="0"/>
          <w:divBdr>
            <w:top w:val="none" w:sz="0" w:space="0" w:color="auto"/>
            <w:left w:val="none" w:sz="0" w:space="0" w:color="auto"/>
            <w:bottom w:val="none" w:sz="0" w:space="0" w:color="auto"/>
            <w:right w:val="none" w:sz="0" w:space="0" w:color="auto"/>
          </w:divBdr>
          <w:divsChild>
            <w:div w:id="705300980">
              <w:marLeft w:val="0"/>
              <w:marRight w:val="0"/>
              <w:marTop w:val="0"/>
              <w:marBottom w:val="0"/>
              <w:divBdr>
                <w:top w:val="none" w:sz="0" w:space="0" w:color="auto"/>
                <w:left w:val="none" w:sz="0" w:space="0" w:color="auto"/>
                <w:bottom w:val="none" w:sz="0" w:space="0" w:color="auto"/>
                <w:right w:val="none" w:sz="0" w:space="0" w:color="auto"/>
              </w:divBdr>
              <w:divsChild>
                <w:div w:id="1893493221">
                  <w:marLeft w:val="0"/>
                  <w:marRight w:val="0"/>
                  <w:marTop w:val="0"/>
                  <w:marBottom w:val="0"/>
                  <w:divBdr>
                    <w:top w:val="none" w:sz="0" w:space="0" w:color="auto"/>
                    <w:left w:val="none" w:sz="0" w:space="0" w:color="auto"/>
                    <w:bottom w:val="none" w:sz="0" w:space="0" w:color="auto"/>
                    <w:right w:val="none" w:sz="0" w:space="0" w:color="auto"/>
                  </w:divBdr>
                  <w:divsChild>
                    <w:div w:id="139161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061276">
      <w:bodyDiv w:val="1"/>
      <w:marLeft w:val="0"/>
      <w:marRight w:val="0"/>
      <w:marTop w:val="0"/>
      <w:marBottom w:val="0"/>
      <w:divBdr>
        <w:top w:val="none" w:sz="0" w:space="0" w:color="auto"/>
        <w:left w:val="none" w:sz="0" w:space="0" w:color="auto"/>
        <w:bottom w:val="none" w:sz="0" w:space="0" w:color="auto"/>
        <w:right w:val="none" w:sz="0" w:space="0" w:color="auto"/>
      </w:divBdr>
      <w:divsChild>
        <w:div w:id="69236638">
          <w:marLeft w:val="0"/>
          <w:marRight w:val="0"/>
          <w:marTop w:val="0"/>
          <w:marBottom w:val="0"/>
          <w:divBdr>
            <w:top w:val="none" w:sz="0" w:space="0" w:color="auto"/>
            <w:left w:val="none" w:sz="0" w:space="0" w:color="auto"/>
            <w:bottom w:val="none" w:sz="0" w:space="0" w:color="auto"/>
            <w:right w:val="none" w:sz="0" w:space="0" w:color="auto"/>
          </w:divBdr>
          <w:divsChild>
            <w:div w:id="1270162181">
              <w:marLeft w:val="0"/>
              <w:marRight w:val="0"/>
              <w:marTop w:val="0"/>
              <w:marBottom w:val="0"/>
              <w:divBdr>
                <w:top w:val="none" w:sz="0" w:space="0" w:color="auto"/>
                <w:left w:val="none" w:sz="0" w:space="0" w:color="auto"/>
                <w:bottom w:val="none" w:sz="0" w:space="0" w:color="auto"/>
                <w:right w:val="none" w:sz="0" w:space="0" w:color="auto"/>
              </w:divBdr>
              <w:divsChild>
                <w:div w:id="526724758">
                  <w:marLeft w:val="0"/>
                  <w:marRight w:val="0"/>
                  <w:marTop w:val="0"/>
                  <w:marBottom w:val="0"/>
                  <w:divBdr>
                    <w:top w:val="none" w:sz="0" w:space="0" w:color="auto"/>
                    <w:left w:val="none" w:sz="0" w:space="0" w:color="auto"/>
                    <w:bottom w:val="none" w:sz="0" w:space="0" w:color="auto"/>
                    <w:right w:val="none" w:sz="0" w:space="0" w:color="auto"/>
                  </w:divBdr>
                  <w:divsChild>
                    <w:div w:id="603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941721">
          <w:marLeft w:val="0"/>
          <w:marRight w:val="0"/>
          <w:marTop w:val="0"/>
          <w:marBottom w:val="0"/>
          <w:divBdr>
            <w:top w:val="none" w:sz="0" w:space="0" w:color="auto"/>
            <w:left w:val="none" w:sz="0" w:space="0" w:color="auto"/>
            <w:bottom w:val="none" w:sz="0" w:space="0" w:color="auto"/>
            <w:right w:val="none" w:sz="0" w:space="0" w:color="auto"/>
          </w:divBdr>
          <w:divsChild>
            <w:div w:id="1780949763">
              <w:marLeft w:val="0"/>
              <w:marRight w:val="0"/>
              <w:marTop w:val="0"/>
              <w:marBottom w:val="0"/>
              <w:divBdr>
                <w:top w:val="none" w:sz="0" w:space="0" w:color="auto"/>
                <w:left w:val="none" w:sz="0" w:space="0" w:color="auto"/>
                <w:bottom w:val="none" w:sz="0" w:space="0" w:color="auto"/>
                <w:right w:val="none" w:sz="0" w:space="0" w:color="auto"/>
              </w:divBdr>
              <w:divsChild>
                <w:div w:id="1331057065">
                  <w:marLeft w:val="0"/>
                  <w:marRight w:val="0"/>
                  <w:marTop w:val="0"/>
                  <w:marBottom w:val="0"/>
                  <w:divBdr>
                    <w:top w:val="none" w:sz="0" w:space="0" w:color="auto"/>
                    <w:left w:val="none" w:sz="0" w:space="0" w:color="auto"/>
                    <w:bottom w:val="none" w:sz="0" w:space="0" w:color="auto"/>
                    <w:right w:val="none" w:sz="0" w:space="0" w:color="auto"/>
                  </w:divBdr>
                  <w:divsChild>
                    <w:div w:id="37139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847917">
      <w:bodyDiv w:val="1"/>
      <w:marLeft w:val="0"/>
      <w:marRight w:val="0"/>
      <w:marTop w:val="0"/>
      <w:marBottom w:val="0"/>
      <w:divBdr>
        <w:top w:val="none" w:sz="0" w:space="0" w:color="auto"/>
        <w:left w:val="none" w:sz="0" w:space="0" w:color="auto"/>
        <w:bottom w:val="none" w:sz="0" w:space="0" w:color="auto"/>
        <w:right w:val="none" w:sz="0" w:space="0" w:color="auto"/>
      </w:divBdr>
      <w:divsChild>
        <w:div w:id="1468401765">
          <w:marLeft w:val="0"/>
          <w:marRight w:val="0"/>
          <w:marTop w:val="0"/>
          <w:marBottom w:val="0"/>
          <w:divBdr>
            <w:top w:val="none" w:sz="0" w:space="0" w:color="auto"/>
            <w:left w:val="none" w:sz="0" w:space="0" w:color="auto"/>
            <w:bottom w:val="none" w:sz="0" w:space="0" w:color="auto"/>
            <w:right w:val="none" w:sz="0" w:space="0" w:color="auto"/>
          </w:divBdr>
          <w:divsChild>
            <w:div w:id="1675107455">
              <w:marLeft w:val="0"/>
              <w:marRight w:val="0"/>
              <w:marTop w:val="0"/>
              <w:marBottom w:val="0"/>
              <w:divBdr>
                <w:top w:val="none" w:sz="0" w:space="0" w:color="auto"/>
                <w:left w:val="none" w:sz="0" w:space="0" w:color="auto"/>
                <w:bottom w:val="none" w:sz="0" w:space="0" w:color="auto"/>
                <w:right w:val="none" w:sz="0" w:space="0" w:color="auto"/>
              </w:divBdr>
              <w:divsChild>
                <w:div w:id="66264549">
                  <w:marLeft w:val="0"/>
                  <w:marRight w:val="0"/>
                  <w:marTop w:val="0"/>
                  <w:marBottom w:val="0"/>
                  <w:divBdr>
                    <w:top w:val="none" w:sz="0" w:space="0" w:color="auto"/>
                    <w:left w:val="none" w:sz="0" w:space="0" w:color="auto"/>
                    <w:bottom w:val="none" w:sz="0" w:space="0" w:color="auto"/>
                    <w:right w:val="none" w:sz="0" w:space="0" w:color="auto"/>
                  </w:divBdr>
                  <w:divsChild>
                    <w:div w:id="66547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7200017">
      <w:bodyDiv w:val="1"/>
      <w:marLeft w:val="0"/>
      <w:marRight w:val="0"/>
      <w:marTop w:val="0"/>
      <w:marBottom w:val="0"/>
      <w:divBdr>
        <w:top w:val="none" w:sz="0" w:space="0" w:color="auto"/>
        <w:left w:val="none" w:sz="0" w:space="0" w:color="auto"/>
        <w:bottom w:val="none" w:sz="0" w:space="0" w:color="auto"/>
        <w:right w:val="none" w:sz="0" w:space="0" w:color="auto"/>
      </w:divBdr>
    </w:div>
    <w:div w:id="664091471">
      <w:bodyDiv w:val="1"/>
      <w:marLeft w:val="0"/>
      <w:marRight w:val="0"/>
      <w:marTop w:val="0"/>
      <w:marBottom w:val="0"/>
      <w:divBdr>
        <w:top w:val="none" w:sz="0" w:space="0" w:color="auto"/>
        <w:left w:val="none" w:sz="0" w:space="0" w:color="auto"/>
        <w:bottom w:val="none" w:sz="0" w:space="0" w:color="auto"/>
        <w:right w:val="none" w:sz="0" w:space="0" w:color="auto"/>
      </w:divBdr>
    </w:div>
    <w:div w:id="667901595">
      <w:bodyDiv w:val="1"/>
      <w:marLeft w:val="0"/>
      <w:marRight w:val="0"/>
      <w:marTop w:val="0"/>
      <w:marBottom w:val="0"/>
      <w:divBdr>
        <w:top w:val="none" w:sz="0" w:space="0" w:color="auto"/>
        <w:left w:val="none" w:sz="0" w:space="0" w:color="auto"/>
        <w:bottom w:val="none" w:sz="0" w:space="0" w:color="auto"/>
        <w:right w:val="none" w:sz="0" w:space="0" w:color="auto"/>
      </w:divBdr>
      <w:divsChild>
        <w:div w:id="1867329604">
          <w:marLeft w:val="0"/>
          <w:marRight w:val="0"/>
          <w:marTop w:val="0"/>
          <w:marBottom w:val="0"/>
          <w:divBdr>
            <w:top w:val="none" w:sz="0" w:space="0" w:color="auto"/>
            <w:left w:val="none" w:sz="0" w:space="0" w:color="auto"/>
            <w:bottom w:val="none" w:sz="0" w:space="0" w:color="auto"/>
            <w:right w:val="none" w:sz="0" w:space="0" w:color="auto"/>
          </w:divBdr>
          <w:divsChild>
            <w:div w:id="2007243731">
              <w:marLeft w:val="0"/>
              <w:marRight w:val="0"/>
              <w:marTop w:val="0"/>
              <w:marBottom w:val="0"/>
              <w:divBdr>
                <w:top w:val="none" w:sz="0" w:space="0" w:color="auto"/>
                <w:left w:val="none" w:sz="0" w:space="0" w:color="auto"/>
                <w:bottom w:val="none" w:sz="0" w:space="0" w:color="auto"/>
                <w:right w:val="none" w:sz="0" w:space="0" w:color="auto"/>
              </w:divBdr>
              <w:divsChild>
                <w:div w:id="105724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63584">
      <w:bodyDiv w:val="1"/>
      <w:marLeft w:val="0"/>
      <w:marRight w:val="0"/>
      <w:marTop w:val="0"/>
      <w:marBottom w:val="0"/>
      <w:divBdr>
        <w:top w:val="none" w:sz="0" w:space="0" w:color="auto"/>
        <w:left w:val="none" w:sz="0" w:space="0" w:color="auto"/>
        <w:bottom w:val="none" w:sz="0" w:space="0" w:color="auto"/>
        <w:right w:val="none" w:sz="0" w:space="0" w:color="auto"/>
      </w:divBdr>
    </w:div>
    <w:div w:id="698969364">
      <w:bodyDiv w:val="1"/>
      <w:marLeft w:val="0"/>
      <w:marRight w:val="0"/>
      <w:marTop w:val="0"/>
      <w:marBottom w:val="0"/>
      <w:divBdr>
        <w:top w:val="none" w:sz="0" w:space="0" w:color="auto"/>
        <w:left w:val="none" w:sz="0" w:space="0" w:color="auto"/>
        <w:bottom w:val="none" w:sz="0" w:space="0" w:color="auto"/>
        <w:right w:val="none" w:sz="0" w:space="0" w:color="auto"/>
      </w:divBdr>
      <w:divsChild>
        <w:div w:id="1543443245">
          <w:marLeft w:val="0"/>
          <w:marRight w:val="0"/>
          <w:marTop w:val="0"/>
          <w:marBottom w:val="0"/>
          <w:divBdr>
            <w:top w:val="none" w:sz="0" w:space="0" w:color="auto"/>
            <w:left w:val="none" w:sz="0" w:space="0" w:color="auto"/>
            <w:bottom w:val="none" w:sz="0" w:space="0" w:color="auto"/>
            <w:right w:val="none" w:sz="0" w:space="0" w:color="auto"/>
          </w:divBdr>
          <w:divsChild>
            <w:div w:id="1264802825">
              <w:marLeft w:val="0"/>
              <w:marRight w:val="0"/>
              <w:marTop w:val="0"/>
              <w:marBottom w:val="0"/>
              <w:divBdr>
                <w:top w:val="none" w:sz="0" w:space="0" w:color="auto"/>
                <w:left w:val="none" w:sz="0" w:space="0" w:color="auto"/>
                <w:bottom w:val="none" w:sz="0" w:space="0" w:color="auto"/>
                <w:right w:val="none" w:sz="0" w:space="0" w:color="auto"/>
              </w:divBdr>
              <w:divsChild>
                <w:div w:id="147290950">
                  <w:marLeft w:val="0"/>
                  <w:marRight w:val="0"/>
                  <w:marTop w:val="0"/>
                  <w:marBottom w:val="0"/>
                  <w:divBdr>
                    <w:top w:val="none" w:sz="0" w:space="0" w:color="auto"/>
                    <w:left w:val="none" w:sz="0" w:space="0" w:color="auto"/>
                    <w:bottom w:val="none" w:sz="0" w:space="0" w:color="auto"/>
                    <w:right w:val="none" w:sz="0" w:space="0" w:color="auto"/>
                  </w:divBdr>
                  <w:divsChild>
                    <w:div w:id="200300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62056">
          <w:marLeft w:val="0"/>
          <w:marRight w:val="0"/>
          <w:marTop w:val="0"/>
          <w:marBottom w:val="0"/>
          <w:divBdr>
            <w:top w:val="none" w:sz="0" w:space="0" w:color="auto"/>
            <w:left w:val="none" w:sz="0" w:space="0" w:color="auto"/>
            <w:bottom w:val="none" w:sz="0" w:space="0" w:color="auto"/>
            <w:right w:val="none" w:sz="0" w:space="0" w:color="auto"/>
          </w:divBdr>
          <w:divsChild>
            <w:div w:id="2117097303">
              <w:marLeft w:val="0"/>
              <w:marRight w:val="0"/>
              <w:marTop w:val="0"/>
              <w:marBottom w:val="0"/>
              <w:divBdr>
                <w:top w:val="none" w:sz="0" w:space="0" w:color="auto"/>
                <w:left w:val="none" w:sz="0" w:space="0" w:color="auto"/>
                <w:bottom w:val="none" w:sz="0" w:space="0" w:color="auto"/>
                <w:right w:val="none" w:sz="0" w:space="0" w:color="auto"/>
              </w:divBdr>
              <w:divsChild>
                <w:div w:id="1971133829">
                  <w:marLeft w:val="0"/>
                  <w:marRight w:val="0"/>
                  <w:marTop w:val="0"/>
                  <w:marBottom w:val="0"/>
                  <w:divBdr>
                    <w:top w:val="none" w:sz="0" w:space="0" w:color="auto"/>
                    <w:left w:val="none" w:sz="0" w:space="0" w:color="auto"/>
                    <w:bottom w:val="none" w:sz="0" w:space="0" w:color="auto"/>
                    <w:right w:val="none" w:sz="0" w:space="0" w:color="auto"/>
                  </w:divBdr>
                  <w:divsChild>
                    <w:div w:id="68991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143041">
      <w:bodyDiv w:val="1"/>
      <w:marLeft w:val="0"/>
      <w:marRight w:val="0"/>
      <w:marTop w:val="0"/>
      <w:marBottom w:val="0"/>
      <w:divBdr>
        <w:top w:val="none" w:sz="0" w:space="0" w:color="auto"/>
        <w:left w:val="none" w:sz="0" w:space="0" w:color="auto"/>
        <w:bottom w:val="none" w:sz="0" w:space="0" w:color="auto"/>
        <w:right w:val="none" w:sz="0" w:space="0" w:color="auto"/>
      </w:divBdr>
    </w:div>
    <w:div w:id="736438096">
      <w:bodyDiv w:val="1"/>
      <w:marLeft w:val="0"/>
      <w:marRight w:val="0"/>
      <w:marTop w:val="0"/>
      <w:marBottom w:val="0"/>
      <w:divBdr>
        <w:top w:val="none" w:sz="0" w:space="0" w:color="auto"/>
        <w:left w:val="none" w:sz="0" w:space="0" w:color="auto"/>
        <w:bottom w:val="none" w:sz="0" w:space="0" w:color="auto"/>
        <w:right w:val="none" w:sz="0" w:space="0" w:color="auto"/>
      </w:divBdr>
      <w:divsChild>
        <w:div w:id="1814906598">
          <w:marLeft w:val="0"/>
          <w:marRight w:val="0"/>
          <w:marTop w:val="0"/>
          <w:marBottom w:val="0"/>
          <w:divBdr>
            <w:top w:val="none" w:sz="0" w:space="0" w:color="auto"/>
            <w:left w:val="none" w:sz="0" w:space="0" w:color="auto"/>
            <w:bottom w:val="none" w:sz="0" w:space="0" w:color="auto"/>
            <w:right w:val="none" w:sz="0" w:space="0" w:color="auto"/>
          </w:divBdr>
          <w:divsChild>
            <w:div w:id="964192506">
              <w:marLeft w:val="0"/>
              <w:marRight w:val="0"/>
              <w:marTop w:val="0"/>
              <w:marBottom w:val="0"/>
              <w:divBdr>
                <w:top w:val="none" w:sz="0" w:space="0" w:color="auto"/>
                <w:left w:val="none" w:sz="0" w:space="0" w:color="auto"/>
                <w:bottom w:val="none" w:sz="0" w:space="0" w:color="auto"/>
                <w:right w:val="none" w:sz="0" w:space="0" w:color="auto"/>
              </w:divBdr>
              <w:divsChild>
                <w:div w:id="82147254">
                  <w:marLeft w:val="0"/>
                  <w:marRight w:val="0"/>
                  <w:marTop w:val="0"/>
                  <w:marBottom w:val="0"/>
                  <w:divBdr>
                    <w:top w:val="none" w:sz="0" w:space="0" w:color="auto"/>
                    <w:left w:val="none" w:sz="0" w:space="0" w:color="auto"/>
                    <w:bottom w:val="none" w:sz="0" w:space="0" w:color="auto"/>
                    <w:right w:val="none" w:sz="0" w:space="0" w:color="auto"/>
                  </w:divBdr>
                  <w:divsChild>
                    <w:div w:id="102770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46341">
          <w:marLeft w:val="0"/>
          <w:marRight w:val="0"/>
          <w:marTop w:val="0"/>
          <w:marBottom w:val="0"/>
          <w:divBdr>
            <w:top w:val="none" w:sz="0" w:space="0" w:color="auto"/>
            <w:left w:val="none" w:sz="0" w:space="0" w:color="auto"/>
            <w:bottom w:val="none" w:sz="0" w:space="0" w:color="auto"/>
            <w:right w:val="none" w:sz="0" w:space="0" w:color="auto"/>
          </w:divBdr>
          <w:divsChild>
            <w:div w:id="1457407017">
              <w:marLeft w:val="0"/>
              <w:marRight w:val="0"/>
              <w:marTop w:val="0"/>
              <w:marBottom w:val="0"/>
              <w:divBdr>
                <w:top w:val="none" w:sz="0" w:space="0" w:color="auto"/>
                <w:left w:val="none" w:sz="0" w:space="0" w:color="auto"/>
                <w:bottom w:val="none" w:sz="0" w:space="0" w:color="auto"/>
                <w:right w:val="none" w:sz="0" w:space="0" w:color="auto"/>
              </w:divBdr>
              <w:divsChild>
                <w:div w:id="1868985414">
                  <w:marLeft w:val="0"/>
                  <w:marRight w:val="0"/>
                  <w:marTop w:val="0"/>
                  <w:marBottom w:val="0"/>
                  <w:divBdr>
                    <w:top w:val="none" w:sz="0" w:space="0" w:color="auto"/>
                    <w:left w:val="none" w:sz="0" w:space="0" w:color="auto"/>
                    <w:bottom w:val="none" w:sz="0" w:space="0" w:color="auto"/>
                    <w:right w:val="none" w:sz="0" w:space="0" w:color="auto"/>
                  </w:divBdr>
                  <w:divsChild>
                    <w:div w:id="806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210854">
      <w:bodyDiv w:val="1"/>
      <w:marLeft w:val="0"/>
      <w:marRight w:val="0"/>
      <w:marTop w:val="0"/>
      <w:marBottom w:val="0"/>
      <w:divBdr>
        <w:top w:val="none" w:sz="0" w:space="0" w:color="auto"/>
        <w:left w:val="none" w:sz="0" w:space="0" w:color="auto"/>
        <w:bottom w:val="none" w:sz="0" w:space="0" w:color="auto"/>
        <w:right w:val="none" w:sz="0" w:space="0" w:color="auto"/>
      </w:divBdr>
    </w:div>
    <w:div w:id="743576482">
      <w:bodyDiv w:val="1"/>
      <w:marLeft w:val="0"/>
      <w:marRight w:val="0"/>
      <w:marTop w:val="0"/>
      <w:marBottom w:val="0"/>
      <w:divBdr>
        <w:top w:val="none" w:sz="0" w:space="0" w:color="auto"/>
        <w:left w:val="none" w:sz="0" w:space="0" w:color="auto"/>
        <w:bottom w:val="none" w:sz="0" w:space="0" w:color="auto"/>
        <w:right w:val="none" w:sz="0" w:space="0" w:color="auto"/>
      </w:divBdr>
    </w:div>
    <w:div w:id="787117961">
      <w:bodyDiv w:val="1"/>
      <w:marLeft w:val="0"/>
      <w:marRight w:val="0"/>
      <w:marTop w:val="0"/>
      <w:marBottom w:val="0"/>
      <w:divBdr>
        <w:top w:val="none" w:sz="0" w:space="0" w:color="auto"/>
        <w:left w:val="none" w:sz="0" w:space="0" w:color="auto"/>
        <w:bottom w:val="none" w:sz="0" w:space="0" w:color="auto"/>
        <w:right w:val="none" w:sz="0" w:space="0" w:color="auto"/>
      </w:divBdr>
      <w:divsChild>
        <w:div w:id="970866938">
          <w:marLeft w:val="0"/>
          <w:marRight w:val="0"/>
          <w:marTop w:val="0"/>
          <w:marBottom w:val="0"/>
          <w:divBdr>
            <w:top w:val="none" w:sz="0" w:space="0" w:color="auto"/>
            <w:left w:val="none" w:sz="0" w:space="0" w:color="auto"/>
            <w:bottom w:val="none" w:sz="0" w:space="0" w:color="auto"/>
            <w:right w:val="none" w:sz="0" w:space="0" w:color="auto"/>
          </w:divBdr>
          <w:divsChild>
            <w:div w:id="1821916893">
              <w:marLeft w:val="0"/>
              <w:marRight w:val="0"/>
              <w:marTop w:val="0"/>
              <w:marBottom w:val="0"/>
              <w:divBdr>
                <w:top w:val="none" w:sz="0" w:space="0" w:color="auto"/>
                <w:left w:val="none" w:sz="0" w:space="0" w:color="auto"/>
                <w:bottom w:val="none" w:sz="0" w:space="0" w:color="auto"/>
                <w:right w:val="none" w:sz="0" w:space="0" w:color="auto"/>
              </w:divBdr>
              <w:divsChild>
                <w:div w:id="1144614652">
                  <w:marLeft w:val="0"/>
                  <w:marRight w:val="0"/>
                  <w:marTop w:val="0"/>
                  <w:marBottom w:val="0"/>
                  <w:divBdr>
                    <w:top w:val="none" w:sz="0" w:space="0" w:color="auto"/>
                    <w:left w:val="none" w:sz="0" w:space="0" w:color="auto"/>
                    <w:bottom w:val="none" w:sz="0" w:space="0" w:color="auto"/>
                    <w:right w:val="none" w:sz="0" w:space="0" w:color="auto"/>
                  </w:divBdr>
                  <w:divsChild>
                    <w:div w:id="11332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46823">
          <w:marLeft w:val="0"/>
          <w:marRight w:val="0"/>
          <w:marTop w:val="0"/>
          <w:marBottom w:val="0"/>
          <w:divBdr>
            <w:top w:val="none" w:sz="0" w:space="0" w:color="auto"/>
            <w:left w:val="none" w:sz="0" w:space="0" w:color="auto"/>
            <w:bottom w:val="none" w:sz="0" w:space="0" w:color="auto"/>
            <w:right w:val="none" w:sz="0" w:space="0" w:color="auto"/>
          </w:divBdr>
          <w:divsChild>
            <w:div w:id="913854540">
              <w:marLeft w:val="0"/>
              <w:marRight w:val="0"/>
              <w:marTop w:val="0"/>
              <w:marBottom w:val="0"/>
              <w:divBdr>
                <w:top w:val="none" w:sz="0" w:space="0" w:color="auto"/>
                <w:left w:val="none" w:sz="0" w:space="0" w:color="auto"/>
                <w:bottom w:val="none" w:sz="0" w:space="0" w:color="auto"/>
                <w:right w:val="none" w:sz="0" w:space="0" w:color="auto"/>
              </w:divBdr>
              <w:divsChild>
                <w:div w:id="126702562">
                  <w:marLeft w:val="0"/>
                  <w:marRight w:val="0"/>
                  <w:marTop w:val="0"/>
                  <w:marBottom w:val="0"/>
                  <w:divBdr>
                    <w:top w:val="none" w:sz="0" w:space="0" w:color="auto"/>
                    <w:left w:val="none" w:sz="0" w:space="0" w:color="auto"/>
                    <w:bottom w:val="none" w:sz="0" w:space="0" w:color="auto"/>
                    <w:right w:val="none" w:sz="0" w:space="0" w:color="auto"/>
                  </w:divBdr>
                  <w:divsChild>
                    <w:div w:id="106090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340172">
      <w:bodyDiv w:val="1"/>
      <w:marLeft w:val="0"/>
      <w:marRight w:val="0"/>
      <w:marTop w:val="0"/>
      <w:marBottom w:val="0"/>
      <w:divBdr>
        <w:top w:val="none" w:sz="0" w:space="0" w:color="auto"/>
        <w:left w:val="none" w:sz="0" w:space="0" w:color="auto"/>
        <w:bottom w:val="none" w:sz="0" w:space="0" w:color="auto"/>
        <w:right w:val="none" w:sz="0" w:space="0" w:color="auto"/>
      </w:divBdr>
    </w:div>
    <w:div w:id="831482423">
      <w:bodyDiv w:val="1"/>
      <w:marLeft w:val="0"/>
      <w:marRight w:val="0"/>
      <w:marTop w:val="0"/>
      <w:marBottom w:val="0"/>
      <w:divBdr>
        <w:top w:val="none" w:sz="0" w:space="0" w:color="auto"/>
        <w:left w:val="none" w:sz="0" w:space="0" w:color="auto"/>
        <w:bottom w:val="none" w:sz="0" w:space="0" w:color="auto"/>
        <w:right w:val="none" w:sz="0" w:space="0" w:color="auto"/>
      </w:divBdr>
    </w:div>
    <w:div w:id="887303275">
      <w:bodyDiv w:val="1"/>
      <w:marLeft w:val="0"/>
      <w:marRight w:val="0"/>
      <w:marTop w:val="0"/>
      <w:marBottom w:val="0"/>
      <w:divBdr>
        <w:top w:val="none" w:sz="0" w:space="0" w:color="auto"/>
        <w:left w:val="none" w:sz="0" w:space="0" w:color="auto"/>
        <w:bottom w:val="none" w:sz="0" w:space="0" w:color="auto"/>
        <w:right w:val="none" w:sz="0" w:space="0" w:color="auto"/>
      </w:divBdr>
    </w:div>
    <w:div w:id="1001397490">
      <w:bodyDiv w:val="1"/>
      <w:marLeft w:val="0"/>
      <w:marRight w:val="0"/>
      <w:marTop w:val="0"/>
      <w:marBottom w:val="0"/>
      <w:divBdr>
        <w:top w:val="none" w:sz="0" w:space="0" w:color="auto"/>
        <w:left w:val="none" w:sz="0" w:space="0" w:color="auto"/>
        <w:bottom w:val="none" w:sz="0" w:space="0" w:color="auto"/>
        <w:right w:val="none" w:sz="0" w:space="0" w:color="auto"/>
      </w:divBdr>
      <w:divsChild>
        <w:div w:id="234052422">
          <w:marLeft w:val="0"/>
          <w:marRight w:val="0"/>
          <w:marTop w:val="0"/>
          <w:marBottom w:val="0"/>
          <w:divBdr>
            <w:top w:val="none" w:sz="0" w:space="0" w:color="auto"/>
            <w:left w:val="none" w:sz="0" w:space="0" w:color="auto"/>
            <w:bottom w:val="none" w:sz="0" w:space="0" w:color="auto"/>
            <w:right w:val="none" w:sz="0" w:space="0" w:color="auto"/>
          </w:divBdr>
        </w:div>
      </w:divsChild>
    </w:div>
    <w:div w:id="1028608491">
      <w:bodyDiv w:val="1"/>
      <w:marLeft w:val="0"/>
      <w:marRight w:val="0"/>
      <w:marTop w:val="0"/>
      <w:marBottom w:val="0"/>
      <w:divBdr>
        <w:top w:val="none" w:sz="0" w:space="0" w:color="auto"/>
        <w:left w:val="none" w:sz="0" w:space="0" w:color="auto"/>
        <w:bottom w:val="none" w:sz="0" w:space="0" w:color="auto"/>
        <w:right w:val="none" w:sz="0" w:space="0" w:color="auto"/>
      </w:divBdr>
      <w:divsChild>
        <w:div w:id="895093434">
          <w:marLeft w:val="0"/>
          <w:marRight w:val="0"/>
          <w:marTop w:val="0"/>
          <w:marBottom w:val="120"/>
          <w:divBdr>
            <w:top w:val="none" w:sz="0" w:space="0" w:color="auto"/>
            <w:left w:val="none" w:sz="0" w:space="0" w:color="auto"/>
            <w:bottom w:val="none" w:sz="0" w:space="0" w:color="auto"/>
            <w:right w:val="none" w:sz="0" w:space="0" w:color="auto"/>
          </w:divBdr>
        </w:div>
        <w:div w:id="26106081">
          <w:marLeft w:val="0"/>
          <w:marRight w:val="0"/>
          <w:marTop w:val="0"/>
          <w:marBottom w:val="120"/>
          <w:divBdr>
            <w:top w:val="none" w:sz="0" w:space="0" w:color="auto"/>
            <w:left w:val="none" w:sz="0" w:space="0" w:color="auto"/>
            <w:bottom w:val="none" w:sz="0" w:space="0" w:color="auto"/>
            <w:right w:val="none" w:sz="0" w:space="0" w:color="auto"/>
          </w:divBdr>
        </w:div>
        <w:div w:id="1068918616">
          <w:marLeft w:val="0"/>
          <w:marRight w:val="0"/>
          <w:marTop w:val="0"/>
          <w:marBottom w:val="120"/>
          <w:divBdr>
            <w:top w:val="none" w:sz="0" w:space="0" w:color="auto"/>
            <w:left w:val="none" w:sz="0" w:space="0" w:color="auto"/>
            <w:bottom w:val="none" w:sz="0" w:space="0" w:color="auto"/>
            <w:right w:val="none" w:sz="0" w:space="0" w:color="auto"/>
          </w:divBdr>
        </w:div>
        <w:div w:id="945188870">
          <w:marLeft w:val="0"/>
          <w:marRight w:val="0"/>
          <w:marTop w:val="0"/>
          <w:marBottom w:val="120"/>
          <w:divBdr>
            <w:top w:val="none" w:sz="0" w:space="0" w:color="auto"/>
            <w:left w:val="none" w:sz="0" w:space="0" w:color="auto"/>
            <w:bottom w:val="none" w:sz="0" w:space="0" w:color="auto"/>
            <w:right w:val="none" w:sz="0" w:space="0" w:color="auto"/>
          </w:divBdr>
        </w:div>
      </w:divsChild>
    </w:div>
    <w:div w:id="1046950230">
      <w:bodyDiv w:val="1"/>
      <w:marLeft w:val="0"/>
      <w:marRight w:val="0"/>
      <w:marTop w:val="0"/>
      <w:marBottom w:val="0"/>
      <w:divBdr>
        <w:top w:val="none" w:sz="0" w:space="0" w:color="auto"/>
        <w:left w:val="none" w:sz="0" w:space="0" w:color="auto"/>
        <w:bottom w:val="none" w:sz="0" w:space="0" w:color="auto"/>
        <w:right w:val="none" w:sz="0" w:space="0" w:color="auto"/>
      </w:divBdr>
    </w:div>
    <w:div w:id="1064525188">
      <w:bodyDiv w:val="1"/>
      <w:marLeft w:val="0"/>
      <w:marRight w:val="0"/>
      <w:marTop w:val="0"/>
      <w:marBottom w:val="0"/>
      <w:divBdr>
        <w:top w:val="none" w:sz="0" w:space="0" w:color="auto"/>
        <w:left w:val="none" w:sz="0" w:space="0" w:color="auto"/>
        <w:bottom w:val="none" w:sz="0" w:space="0" w:color="auto"/>
        <w:right w:val="none" w:sz="0" w:space="0" w:color="auto"/>
      </w:divBdr>
    </w:div>
    <w:div w:id="1110473361">
      <w:bodyDiv w:val="1"/>
      <w:marLeft w:val="0"/>
      <w:marRight w:val="0"/>
      <w:marTop w:val="0"/>
      <w:marBottom w:val="0"/>
      <w:divBdr>
        <w:top w:val="none" w:sz="0" w:space="0" w:color="auto"/>
        <w:left w:val="none" w:sz="0" w:space="0" w:color="auto"/>
        <w:bottom w:val="none" w:sz="0" w:space="0" w:color="auto"/>
        <w:right w:val="none" w:sz="0" w:space="0" w:color="auto"/>
      </w:divBdr>
    </w:div>
    <w:div w:id="1114325629">
      <w:bodyDiv w:val="1"/>
      <w:marLeft w:val="0"/>
      <w:marRight w:val="0"/>
      <w:marTop w:val="0"/>
      <w:marBottom w:val="0"/>
      <w:divBdr>
        <w:top w:val="none" w:sz="0" w:space="0" w:color="auto"/>
        <w:left w:val="none" w:sz="0" w:space="0" w:color="auto"/>
        <w:bottom w:val="none" w:sz="0" w:space="0" w:color="auto"/>
        <w:right w:val="none" w:sz="0" w:space="0" w:color="auto"/>
      </w:divBdr>
    </w:div>
    <w:div w:id="1118372721">
      <w:bodyDiv w:val="1"/>
      <w:marLeft w:val="0"/>
      <w:marRight w:val="0"/>
      <w:marTop w:val="0"/>
      <w:marBottom w:val="0"/>
      <w:divBdr>
        <w:top w:val="none" w:sz="0" w:space="0" w:color="auto"/>
        <w:left w:val="none" w:sz="0" w:space="0" w:color="auto"/>
        <w:bottom w:val="none" w:sz="0" w:space="0" w:color="auto"/>
        <w:right w:val="none" w:sz="0" w:space="0" w:color="auto"/>
      </w:divBdr>
    </w:div>
    <w:div w:id="1155798135">
      <w:bodyDiv w:val="1"/>
      <w:marLeft w:val="0"/>
      <w:marRight w:val="0"/>
      <w:marTop w:val="0"/>
      <w:marBottom w:val="0"/>
      <w:divBdr>
        <w:top w:val="none" w:sz="0" w:space="0" w:color="auto"/>
        <w:left w:val="none" w:sz="0" w:space="0" w:color="auto"/>
        <w:bottom w:val="none" w:sz="0" w:space="0" w:color="auto"/>
        <w:right w:val="none" w:sz="0" w:space="0" w:color="auto"/>
      </w:divBdr>
      <w:divsChild>
        <w:div w:id="1716344703">
          <w:marLeft w:val="0"/>
          <w:marRight w:val="0"/>
          <w:marTop w:val="0"/>
          <w:marBottom w:val="0"/>
          <w:divBdr>
            <w:top w:val="none" w:sz="0" w:space="0" w:color="auto"/>
            <w:left w:val="none" w:sz="0" w:space="0" w:color="auto"/>
            <w:bottom w:val="none" w:sz="0" w:space="0" w:color="auto"/>
            <w:right w:val="none" w:sz="0" w:space="0" w:color="auto"/>
          </w:divBdr>
          <w:divsChild>
            <w:div w:id="1316253496">
              <w:marLeft w:val="0"/>
              <w:marRight w:val="0"/>
              <w:marTop w:val="0"/>
              <w:marBottom w:val="0"/>
              <w:divBdr>
                <w:top w:val="none" w:sz="0" w:space="0" w:color="auto"/>
                <w:left w:val="none" w:sz="0" w:space="0" w:color="auto"/>
                <w:bottom w:val="none" w:sz="0" w:space="0" w:color="auto"/>
                <w:right w:val="none" w:sz="0" w:space="0" w:color="auto"/>
              </w:divBdr>
              <w:divsChild>
                <w:div w:id="306054543">
                  <w:marLeft w:val="0"/>
                  <w:marRight w:val="0"/>
                  <w:marTop w:val="0"/>
                  <w:marBottom w:val="0"/>
                  <w:divBdr>
                    <w:top w:val="none" w:sz="0" w:space="0" w:color="auto"/>
                    <w:left w:val="none" w:sz="0" w:space="0" w:color="auto"/>
                    <w:bottom w:val="none" w:sz="0" w:space="0" w:color="auto"/>
                    <w:right w:val="none" w:sz="0" w:space="0" w:color="auto"/>
                  </w:divBdr>
                  <w:divsChild>
                    <w:div w:id="9388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661454">
      <w:bodyDiv w:val="1"/>
      <w:marLeft w:val="0"/>
      <w:marRight w:val="0"/>
      <w:marTop w:val="0"/>
      <w:marBottom w:val="0"/>
      <w:divBdr>
        <w:top w:val="none" w:sz="0" w:space="0" w:color="auto"/>
        <w:left w:val="none" w:sz="0" w:space="0" w:color="auto"/>
        <w:bottom w:val="none" w:sz="0" w:space="0" w:color="auto"/>
        <w:right w:val="none" w:sz="0" w:space="0" w:color="auto"/>
      </w:divBdr>
    </w:div>
    <w:div w:id="1204252314">
      <w:bodyDiv w:val="1"/>
      <w:marLeft w:val="0"/>
      <w:marRight w:val="0"/>
      <w:marTop w:val="0"/>
      <w:marBottom w:val="0"/>
      <w:divBdr>
        <w:top w:val="none" w:sz="0" w:space="0" w:color="auto"/>
        <w:left w:val="none" w:sz="0" w:space="0" w:color="auto"/>
        <w:bottom w:val="none" w:sz="0" w:space="0" w:color="auto"/>
        <w:right w:val="none" w:sz="0" w:space="0" w:color="auto"/>
      </w:divBdr>
      <w:divsChild>
        <w:div w:id="936131433">
          <w:marLeft w:val="0"/>
          <w:marRight w:val="0"/>
          <w:marTop w:val="0"/>
          <w:marBottom w:val="0"/>
          <w:divBdr>
            <w:top w:val="none" w:sz="0" w:space="0" w:color="auto"/>
            <w:left w:val="none" w:sz="0" w:space="0" w:color="auto"/>
            <w:bottom w:val="none" w:sz="0" w:space="0" w:color="auto"/>
            <w:right w:val="none" w:sz="0" w:space="0" w:color="auto"/>
          </w:divBdr>
          <w:divsChild>
            <w:div w:id="1419329198">
              <w:marLeft w:val="0"/>
              <w:marRight w:val="0"/>
              <w:marTop w:val="0"/>
              <w:marBottom w:val="0"/>
              <w:divBdr>
                <w:top w:val="none" w:sz="0" w:space="0" w:color="auto"/>
                <w:left w:val="none" w:sz="0" w:space="0" w:color="auto"/>
                <w:bottom w:val="none" w:sz="0" w:space="0" w:color="auto"/>
                <w:right w:val="none" w:sz="0" w:space="0" w:color="auto"/>
              </w:divBdr>
              <w:divsChild>
                <w:div w:id="748770512">
                  <w:marLeft w:val="0"/>
                  <w:marRight w:val="0"/>
                  <w:marTop w:val="0"/>
                  <w:marBottom w:val="0"/>
                  <w:divBdr>
                    <w:top w:val="none" w:sz="0" w:space="0" w:color="auto"/>
                    <w:left w:val="none" w:sz="0" w:space="0" w:color="auto"/>
                    <w:bottom w:val="none" w:sz="0" w:space="0" w:color="auto"/>
                    <w:right w:val="none" w:sz="0" w:space="0" w:color="auto"/>
                  </w:divBdr>
                  <w:divsChild>
                    <w:div w:id="89832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160875">
          <w:marLeft w:val="0"/>
          <w:marRight w:val="0"/>
          <w:marTop w:val="0"/>
          <w:marBottom w:val="0"/>
          <w:divBdr>
            <w:top w:val="none" w:sz="0" w:space="0" w:color="auto"/>
            <w:left w:val="none" w:sz="0" w:space="0" w:color="auto"/>
            <w:bottom w:val="none" w:sz="0" w:space="0" w:color="auto"/>
            <w:right w:val="none" w:sz="0" w:space="0" w:color="auto"/>
          </w:divBdr>
          <w:divsChild>
            <w:div w:id="1334799257">
              <w:marLeft w:val="0"/>
              <w:marRight w:val="0"/>
              <w:marTop w:val="0"/>
              <w:marBottom w:val="0"/>
              <w:divBdr>
                <w:top w:val="none" w:sz="0" w:space="0" w:color="auto"/>
                <w:left w:val="none" w:sz="0" w:space="0" w:color="auto"/>
                <w:bottom w:val="none" w:sz="0" w:space="0" w:color="auto"/>
                <w:right w:val="none" w:sz="0" w:space="0" w:color="auto"/>
              </w:divBdr>
              <w:divsChild>
                <w:div w:id="1909730649">
                  <w:marLeft w:val="0"/>
                  <w:marRight w:val="0"/>
                  <w:marTop w:val="0"/>
                  <w:marBottom w:val="0"/>
                  <w:divBdr>
                    <w:top w:val="none" w:sz="0" w:space="0" w:color="auto"/>
                    <w:left w:val="none" w:sz="0" w:space="0" w:color="auto"/>
                    <w:bottom w:val="none" w:sz="0" w:space="0" w:color="auto"/>
                    <w:right w:val="none" w:sz="0" w:space="0" w:color="auto"/>
                  </w:divBdr>
                  <w:divsChild>
                    <w:div w:id="107852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467254">
      <w:bodyDiv w:val="1"/>
      <w:marLeft w:val="0"/>
      <w:marRight w:val="0"/>
      <w:marTop w:val="0"/>
      <w:marBottom w:val="0"/>
      <w:divBdr>
        <w:top w:val="none" w:sz="0" w:space="0" w:color="auto"/>
        <w:left w:val="none" w:sz="0" w:space="0" w:color="auto"/>
        <w:bottom w:val="none" w:sz="0" w:space="0" w:color="auto"/>
        <w:right w:val="none" w:sz="0" w:space="0" w:color="auto"/>
      </w:divBdr>
      <w:divsChild>
        <w:div w:id="587882871">
          <w:marLeft w:val="0"/>
          <w:marRight w:val="0"/>
          <w:marTop w:val="0"/>
          <w:marBottom w:val="0"/>
          <w:divBdr>
            <w:top w:val="none" w:sz="0" w:space="0" w:color="auto"/>
            <w:left w:val="none" w:sz="0" w:space="0" w:color="auto"/>
            <w:bottom w:val="none" w:sz="0" w:space="0" w:color="auto"/>
            <w:right w:val="none" w:sz="0" w:space="0" w:color="auto"/>
          </w:divBdr>
          <w:divsChild>
            <w:div w:id="884759239">
              <w:marLeft w:val="0"/>
              <w:marRight w:val="0"/>
              <w:marTop w:val="0"/>
              <w:marBottom w:val="0"/>
              <w:divBdr>
                <w:top w:val="none" w:sz="0" w:space="0" w:color="auto"/>
                <w:left w:val="none" w:sz="0" w:space="0" w:color="auto"/>
                <w:bottom w:val="none" w:sz="0" w:space="0" w:color="auto"/>
                <w:right w:val="none" w:sz="0" w:space="0" w:color="auto"/>
              </w:divBdr>
              <w:divsChild>
                <w:div w:id="2139256735">
                  <w:marLeft w:val="0"/>
                  <w:marRight w:val="0"/>
                  <w:marTop w:val="0"/>
                  <w:marBottom w:val="0"/>
                  <w:divBdr>
                    <w:top w:val="none" w:sz="0" w:space="0" w:color="auto"/>
                    <w:left w:val="none" w:sz="0" w:space="0" w:color="auto"/>
                    <w:bottom w:val="none" w:sz="0" w:space="0" w:color="auto"/>
                    <w:right w:val="none" w:sz="0" w:space="0" w:color="auto"/>
                  </w:divBdr>
                  <w:divsChild>
                    <w:div w:id="126742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8954031">
      <w:bodyDiv w:val="1"/>
      <w:marLeft w:val="0"/>
      <w:marRight w:val="0"/>
      <w:marTop w:val="0"/>
      <w:marBottom w:val="0"/>
      <w:divBdr>
        <w:top w:val="none" w:sz="0" w:space="0" w:color="auto"/>
        <w:left w:val="none" w:sz="0" w:space="0" w:color="auto"/>
        <w:bottom w:val="none" w:sz="0" w:space="0" w:color="auto"/>
        <w:right w:val="none" w:sz="0" w:space="0" w:color="auto"/>
      </w:divBdr>
      <w:divsChild>
        <w:div w:id="1598900988">
          <w:marLeft w:val="0"/>
          <w:marRight w:val="0"/>
          <w:marTop w:val="0"/>
          <w:marBottom w:val="0"/>
          <w:divBdr>
            <w:top w:val="none" w:sz="0" w:space="0" w:color="auto"/>
            <w:left w:val="none" w:sz="0" w:space="0" w:color="auto"/>
            <w:bottom w:val="none" w:sz="0" w:space="0" w:color="auto"/>
            <w:right w:val="none" w:sz="0" w:space="0" w:color="auto"/>
          </w:divBdr>
        </w:div>
      </w:divsChild>
    </w:div>
    <w:div w:id="1307053103">
      <w:bodyDiv w:val="1"/>
      <w:marLeft w:val="0"/>
      <w:marRight w:val="0"/>
      <w:marTop w:val="0"/>
      <w:marBottom w:val="0"/>
      <w:divBdr>
        <w:top w:val="none" w:sz="0" w:space="0" w:color="auto"/>
        <w:left w:val="none" w:sz="0" w:space="0" w:color="auto"/>
        <w:bottom w:val="none" w:sz="0" w:space="0" w:color="auto"/>
        <w:right w:val="none" w:sz="0" w:space="0" w:color="auto"/>
      </w:divBdr>
    </w:div>
    <w:div w:id="1337272195">
      <w:bodyDiv w:val="1"/>
      <w:marLeft w:val="0"/>
      <w:marRight w:val="0"/>
      <w:marTop w:val="0"/>
      <w:marBottom w:val="0"/>
      <w:divBdr>
        <w:top w:val="none" w:sz="0" w:space="0" w:color="auto"/>
        <w:left w:val="none" w:sz="0" w:space="0" w:color="auto"/>
        <w:bottom w:val="none" w:sz="0" w:space="0" w:color="auto"/>
        <w:right w:val="none" w:sz="0" w:space="0" w:color="auto"/>
      </w:divBdr>
    </w:div>
    <w:div w:id="1349258542">
      <w:bodyDiv w:val="1"/>
      <w:marLeft w:val="0"/>
      <w:marRight w:val="0"/>
      <w:marTop w:val="0"/>
      <w:marBottom w:val="0"/>
      <w:divBdr>
        <w:top w:val="none" w:sz="0" w:space="0" w:color="auto"/>
        <w:left w:val="none" w:sz="0" w:space="0" w:color="auto"/>
        <w:bottom w:val="none" w:sz="0" w:space="0" w:color="auto"/>
        <w:right w:val="none" w:sz="0" w:space="0" w:color="auto"/>
      </w:divBdr>
    </w:div>
    <w:div w:id="1381857108">
      <w:bodyDiv w:val="1"/>
      <w:marLeft w:val="0"/>
      <w:marRight w:val="0"/>
      <w:marTop w:val="0"/>
      <w:marBottom w:val="0"/>
      <w:divBdr>
        <w:top w:val="none" w:sz="0" w:space="0" w:color="auto"/>
        <w:left w:val="none" w:sz="0" w:space="0" w:color="auto"/>
        <w:bottom w:val="none" w:sz="0" w:space="0" w:color="auto"/>
        <w:right w:val="none" w:sz="0" w:space="0" w:color="auto"/>
      </w:divBdr>
      <w:divsChild>
        <w:div w:id="1824273579">
          <w:marLeft w:val="0"/>
          <w:marRight w:val="0"/>
          <w:marTop w:val="0"/>
          <w:marBottom w:val="0"/>
          <w:divBdr>
            <w:top w:val="none" w:sz="0" w:space="0" w:color="auto"/>
            <w:left w:val="none" w:sz="0" w:space="0" w:color="auto"/>
            <w:bottom w:val="none" w:sz="0" w:space="0" w:color="auto"/>
            <w:right w:val="none" w:sz="0" w:space="0" w:color="auto"/>
          </w:divBdr>
          <w:divsChild>
            <w:div w:id="252709885">
              <w:marLeft w:val="0"/>
              <w:marRight w:val="0"/>
              <w:marTop w:val="0"/>
              <w:marBottom w:val="0"/>
              <w:divBdr>
                <w:top w:val="none" w:sz="0" w:space="0" w:color="auto"/>
                <w:left w:val="none" w:sz="0" w:space="0" w:color="auto"/>
                <w:bottom w:val="none" w:sz="0" w:space="0" w:color="auto"/>
                <w:right w:val="none" w:sz="0" w:space="0" w:color="auto"/>
              </w:divBdr>
              <w:divsChild>
                <w:div w:id="814831552">
                  <w:marLeft w:val="0"/>
                  <w:marRight w:val="0"/>
                  <w:marTop w:val="0"/>
                  <w:marBottom w:val="0"/>
                  <w:divBdr>
                    <w:top w:val="none" w:sz="0" w:space="0" w:color="auto"/>
                    <w:left w:val="none" w:sz="0" w:space="0" w:color="auto"/>
                    <w:bottom w:val="none" w:sz="0" w:space="0" w:color="auto"/>
                    <w:right w:val="none" w:sz="0" w:space="0" w:color="auto"/>
                  </w:divBdr>
                  <w:divsChild>
                    <w:div w:id="10228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49758">
          <w:marLeft w:val="0"/>
          <w:marRight w:val="0"/>
          <w:marTop w:val="0"/>
          <w:marBottom w:val="0"/>
          <w:divBdr>
            <w:top w:val="none" w:sz="0" w:space="0" w:color="auto"/>
            <w:left w:val="none" w:sz="0" w:space="0" w:color="auto"/>
            <w:bottom w:val="none" w:sz="0" w:space="0" w:color="auto"/>
            <w:right w:val="none" w:sz="0" w:space="0" w:color="auto"/>
          </w:divBdr>
          <w:divsChild>
            <w:div w:id="1017997610">
              <w:marLeft w:val="0"/>
              <w:marRight w:val="0"/>
              <w:marTop w:val="0"/>
              <w:marBottom w:val="0"/>
              <w:divBdr>
                <w:top w:val="none" w:sz="0" w:space="0" w:color="auto"/>
                <w:left w:val="none" w:sz="0" w:space="0" w:color="auto"/>
                <w:bottom w:val="none" w:sz="0" w:space="0" w:color="auto"/>
                <w:right w:val="none" w:sz="0" w:space="0" w:color="auto"/>
              </w:divBdr>
              <w:divsChild>
                <w:div w:id="1531652057">
                  <w:marLeft w:val="0"/>
                  <w:marRight w:val="0"/>
                  <w:marTop w:val="0"/>
                  <w:marBottom w:val="0"/>
                  <w:divBdr>
                    <w:top w:val="none" w:sz="0" w:space="0" w:color="auto"/>
                    <w:left w:val="none" w:sz="0" w:space="0" w:color="auto"/>
                    <w:bottom w:val="none" w:sz="0" w:space="0" w:color="auto"/>
                    <w:right w:val="none" w:sz="0" w:space="0" w:color="auto"/>
                  </w:divBdr>
                  <w:divsChild>
                    <w:div w:id="30547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014495">
      <w:bodyDiv w:val="1"/>
      <w:marLeft w:val="0"/>
      <w:marRight w:val="0"/>
      <w:marTop w:val="0"/>
      <w:marBottom w:val="0"/>
      <w:divBdr>
        <w:top w:val="none" w:sz="0" w:space="0" w:color="auto"/>
        <w:left w:val="none" w:sz="0" w:space="0" w:color="auto"/>
        <w:bottom w:val="none" w:sz="0" w:space="0" w:color="auto"/>
        <w:right w:val="none" w:sz="0" w:space="0" w:color="auto"/>
      </w:divBdr>
    </w:div>
    <w:div w:id="1391272735">
      <w:bodyDiv w:val="1"/>
      <w:marLeft w:val="0"/>
      <w:marRight w:val="0"/>
      <w:marTop w:val="0"/>
      <w:marBottom w:val="0"/>
      <w:divBdr>
        <w:top w:val="none" w:sz="0" w:space="0" w:color="auto"/>
        <w:left w:val="none" w:sz="0" w:space="0" w:color="auto"/>
        <w:bottom w:val="none" w:sz="0" w:space="0" w:color="auto"/>
        <w:right w:val="none" w:sz="0" w:space="0" w:color="auto"/>
      </w:divBdr>
      <w:divsChild>
        <w:div w:id="430903583">
          <w:marLeft w:val="0"/>
          <w:marRight w:val="0"/>
          <w:marTop w:val="0"/>
          <w:marBottom w:val="0"/>
          <w:divBdr>
            <w:top w:val="none" w:sz="0" w:space="0" w:color="auto"/>
            <w:left w:val="none" w:sz="0" w:space="0" w:color="auto"/>
            <w:bottom w:val="none" w:sz="0" w:space="0" w:color="auto"/>
            <w:right w:val="none" w:sz="0" w:space="0" w:color="auto"/>
          </w:divBdr>
          <w:divsChild>
            <w:div w:id="1407650857">
              <w:marLeft w:val="0"/>
              <w:marRight w:val="0"/>
              <w:marTop w:val="0"/>
              <w:marBottom w:val="0"/>
              <w:divBdr>
                <w:top w:val="none" w:sz="0" w:space="0" w:color="auto"/>
                <w:left w:val="none" w:sz="0" w:space="0" w:color="auto"/>
                <w:bottom w:val="none" w:sz="0" w:space="0" w:color="auto"/>
                <w:right w:val="none" w:sz="0" w:space="0" w:color="auto"/>
              </w:divBdr>
              <w:divsChild>
                <w:div w:id="722018782">
                  <w:marLeft w:val="0"/>
                  <w:marRight w:val="0"/>
                  <w:marTop w:val="0"/>
                  <w:marBottom w:val="0"/>
                  <w:divBdr>
                    <w:top w:val="none" w:sz="0" w:space="0" w:color="auto"/>
                    <w:left w:val="none" w:sz="0" w:space="0" w:color="auto"/>
                    <w:bottom w:val="none" w:sz="0" w:space="0" w:color="auto"/>
                    <w:right w:val="none" w:sz="0" w:space="0" w:color="auto"/>
                  </w:divBdr>
                  <w:divsChild>
                    <w:div w:id="6614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0804539">
      <w:bodyDiv w:val="1"/>
      <w:marLeft w:val="0"/>
      <w:marRight w:val="0"/>
      <w:marTop w:val="0"/>
      <w:marBottom w:val="0"/>
      <w:divBdr>
        <w:top w:val="none" w:sz="0" w:space="0" w:color="auto"/>
        <w:left w:val="none" w:sz="0" w:space="0" w:color="auto"/>
        <w:bottom w:val="none" w:sz="0" w:space="0" w:color="auto"/>
        <w:right w:val="none" w:sz="0" w:space="0" w:color="auto"/>
      </w:divBdr>
    </w:div>
    <w:div w:id="1479497374">
      <w:bodyDiv w:val="1"/>
      <w:marLeft w:val="0"/>
      <w:marRight w:val="0"/>
      <w:marTop w:val="0"/>
      <w:marBottom w:val="0"/>
      <w:divBdr>
        <w:top w:val="none" w:sz="0" w:space="0" w:color="auto"/>
        <w:left w:val="none" w:sz="0" w:space="0" w:color="auto"/>
        <w:bottom w:val="none" w:sz="0" w:space="0" w:color="auto"/>
        <w:right w:val="none" w:sz="0" w:space="0" w:color="auto"/>
      </w:divBdr>
    </w:div>
    <w:div w:id="1488738994">
      <w:bodyDiv w:val="1"/>
      <w:marLeft w:val="0"/>
      <w:marRight w:val="0"/>
      <w:marTop w:val="0"/>
      <w:marBottom w:val="0"/>
      <w:divBdr>
        <w:top w:val="none" w:sz="0" w:space="0" w:color="auto"/>
        <w:left w:val="none" w:sz="0" w:space="0" w:color="auto"/>
        <w:bottom w:val="none" w:sz="0" w:space="0" w:color="auto"/>
        <w:right w:val="none" w:sz="0" w:space="0" w:color="auto"/>
      </w:divBdr>
    </w:div>
    <w:div w:id="1518079649">
      <w:bodyDiv w:val="1"/>
      <w:marLeft w:val="0"/>
      <w:marRight w:val="0"/>
      <w:marTop w:val="0"/>
      <w:marBottom w:val="0"/>
      <w:divBdr>
        <w:top w:val="none" w:sz="0" w:space="0" w:color="auto"/>
        <w:left w:val="none" w:sz="0" w:space="0" w:color="auto"/>
        <w:bottom w:val="none" w:sz="0" w:space="0" w:color="auto"/>
        <w:right w:val="none" w:sz="0" w:space="0" w:color="auto"/>
      </w:divBdr>
      <w:divsChild>
        <w:div w:id="1714307763">
          <w:marLeft w:val="0"/>
          <w:marRight w:val="0"/>
          <w:marTop w:val="0"/>
          <w:marBottom w:val="0"/>
          <w:divBdr>
            <w:top w:val="none" w:sz="0" w:space="0" w:color="auto"/>
            <w:left w:val="none" w:sz="0" w:space="0" w:color="auto"/>
            <w:bottom w:val="none" w:sz="0" w:space="0" w:color="auto"/>
            <w:right w:val="none" w:sz="0" w:space="0" w:color="auto"/>
          </w:divBdr>
          <w:divsChild>
            <w:div w:id="1195191275">
              <w:marLeft w:val="0"/>
              <w:marRight w:val="0"/>
              <w:marTop w:val="0"/>
              <w:marBottom w:val="0"/>
              <w:divBdr>
                <w:top w:val="none" w:sz="0" w:space="0" w:color="auto"/>
                <w:left w:val="none" w:sz="0" w:space="0" w:color="auto"/>
                <w:bottom w:val="none" w:sz="0" w:space="0" w:color="auto"/>
                <w:right w:val="none" w:sz="0" w:space="0" w:color="auto"/>
              </w:divBdr>
              <w:divsChild>
                <w:div w:id="118424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95577">
      <w:bodyDiv w:val="1"/>
      <w:marLeft w:val="0"/>
      <w:marRight w:val="0"/>
      <w:marTop w:val="0"/>
      <w:marBottom w:val="0"/>
      <w:divBdr>
        <w:top w:val="none" w:sz="0" w:space="0" w:color="auto"/>
        <w:left w:val="none" w:sz="0" w:space="0" w:color="auto"/>
        <w:bottom w:val="none" w:sz="0" w:space="0" w:color="auto"/>
        <w:right w:val="none" w:sz="0" w:space="0" w:color="auto"/>
      </w:divBdr>
    </w:div>
    <w:div w:id="1554152545">
      <w:bodyDiv w:val="1"/>
      <w:marLeft w:val="0"/>
      <w:marRight w:val="0"/>
      <w:marTop w:val="0"/>
      <w:marBottom w:val="0"/>
      <w:divBdr>
        <w:top w:val="none" w:sz="0" w:space="0" w:color="auto"/>
        <w:left w:val="none" w:sz="0" w:space="0" w:color="auto"/>
        <w:bottom w:val="none" w:sz="0" w:space="0" w:color="auto"/>
        <w:right w:val="none" w:sz="0" w:space="0" w:color="auto"/>
      </w:divBdr>
      <w:divsChild>
        <w:div w:id="452940255">
          <w:marLeft w:val="0"/>
          <w:marRight w:val="0"/>
          <w:marTop w:val="0"/>
          <w:marBottom w:val="0"/>
          <w:divBdr>
            <w:top w:val="none" w:sz="0" w:space="0" w:color="auto"/>
            <w:left w:val="none" w:sz="0" w:space="0" w:color="auto"/>
            <w:bottom w:val="none" w:sz="0" w:space="0" w:color="auto"/>
            <w:right w:val="none" w:sz="0" w:space="0" w:color="auto"/>
          </w:divBdr>
          <w:divsChild>
            <w:div w:id="1069840737">
              <w:marLeft w:val="0"/>
              <w:marRight w:val="0"/>
              <w:marTop w:val="0"/>
              <w:marBottom w:val="0"/>
              <w:divBdr>
                <w:top w:val="none" w:sz="0" w:space="0" w:color="auto"/>
                <w:left w:val="none" w:sz="0" w:space="0" w:color="auto"/>
                <w:bottom w:val="none" w:sz="0" w:space="0" w:color="auto"/>
                <w:right w:val="none" w:sz="0" w:space="0" w:color="auto"/>
              </w:divBdr>
              <w:divsChild>
                <w:div w:id="152065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348280">
          <w:marLeft w:val="0"/>
          <w:marRight w:val="0"/>
          <w:marTop w:val="0"/>
          <w:marBottom w:val="0"/>
          <w:divBdr>
            <w:top w:val="none" w:sz="0" w:space="0" w:color="auto"/>
            <w:left w:val="none" w:sz="0" w:space="0" w:color="auto"/>
            <w:bottom w:val="none" w:sz="0" w:space="0" w:color="auto"/>
            <w:right w:val="none" w:sz="0" w:space="0" w:color="auto"/>
          </w:divBdr>
          <w:divsChild>
            <w:div w:id="2122600528">
              <w:marLeft w:val="0"/>
              <w:marRight w:val="0"/>
              <w:marTop w:val="0"/>
              <w:marBottom w:val="0"/>
              <w:divBdr>
                <w:top w:val="none" w:sz="0" w:space="0" w:color="auto"/>
                <w:left w:val="none" w:sz="0" w:space="0" w:color="auto"/>
                <w:bottom w:val="none" w:sz="0" w:space="0" w:color="auto"/>
                <w:right w:val="none" w:sz="0" w:space="0" w:color="auto"/>
              </w:divBdr>
              <w:divsChild>
                <w:div w:id="197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7249">
      <w:bodyDiv w:val="1"/>
      <w:marLeft w:val="0"/>
      <w:marRight w:val="0"/>
      <w:marTop w:val="0"/>
      <w:marBottom w:val="0"/>
      <w:divBdr>
        <w:top w:val="none" w:sz="0" w:space="0" w:color="auto"/>
        <w:left w:val="none" w:sz="0" w:space="0" w:color="auto"/>
        <w:bottom w:val="none" w:sz="0" w:space="0" w:color="auto"/>
        <w:right w:val="none" w:sz="0" w:space="0" w:color="auto"/>
      </w:divBdr>
    </w:div>
    <w:div w:id="1563905190">
      <w:bodyDiv w:val="1"/>
      <w:marLeft w:val="0"/>
      <w:marRight w:val="0"/>
      <w:marTop w:val="0"/>
      <w:marBottom w:val="0"/>
      <w:divBdr>
        <w:top w:val="none" w:sz="0" w:space="0" w:color="auto"/>
        <w:left w:val="none" w:sz="0" w:space="0" w:color="auto"/>
        <w:bottom w:val="none" w:sz="0" w:space="0" w:color="auto"/>
        <w:right w:val="none" w:sz="0" w:space="0" w:color="auto"/>
      </w:divBdr>
    </w:div>
    <w:div w:id="1667898417">
      <w:bodyDiv w:val="1"/>
      <w:marLeft w:val="0"/>
      <w:marRight w:val="0"/>
      <w:marTop w:val="0"/>
      <w:marBottom w:val="0"/>
      <w:divBdr>
        <w:top w:val="none" w:sz="0" w:space="0" w:color="auto"/>
        <w:left w:val="none" w:sz="0" w:space="0" w:color="auto"/>
        <w:bottom w:val="none" w:sz="0" w:space="0" w:color="auto"/>
        <w:right w:val="none" w:sz="0" w:space="0" w:color="auto"/>
      </w:divBdr>
    </w:div>
    <w:div w:id="1692798611">
      <w:bodyDiv w:val="1"/>
      <w:marLeft w:val="0"/>
      <w:marRight w:val="0"/>
      <w:marTop w:val="0"/>
      <w:marBottom w:val="0"/>
      <w:divBdr>
        <w:top w:val="none" w:sz="0" w:space="0" w:color="auto"/>
        <w:left w:val="none" w:sz="0" w:space="0" w:color="auto"/>
        <w:bottom w:val="none" w:sz="0" w:space="0" w:color="auto"/>
        <w:right w:val="none" w:sz="0" w:space="0" w:color="auto"/>
      </w:divBdr>
    </w:div>
    <w:div w:id="1768883323">
      <w:bodyDiv w:val="1"/>
      <w:marLeft w:val="0"/>
      <w:marRight w:val="0"/>
      <w:marTop w:val="0"/>
      <w:marBottom w:val="0"/>
      <w:divBdr>
        <w:top w:val="none" w:sz="0" w:space="0" w:color="auto"/>
        <w:left w:val="none" w:sz="0" w:space="0" w:color="auto"/>
        <w:bottom w:val="none" w:sz="0" w:space="0" w:color="auto"/>
        <w:right w:val="none" w:sz="0" w:space="0" w:color="auto"/>
      </w:divBdr>
    </w:div>
    <w:div w:id="1777863790">
      <w:bodyDiv w:val="1"/>
      <w:marLeft w:val="0"/>
      <w:marRight w:val="0"/>
      <w:marTop w:val="0"/>
      <w:marBottom w:val="0"/>
      <w:divBdr>
        <w:top w:val="none" w:sz="0" w:space="0" w:color="auto"/>
        <w:left w:val="none" w:sz="0" w:space="0" w:color="auto"/>
        <w:bottom w:val="none" w:sz="0" w:space="0" w:color="auto"/>
        <w:right w:val="none" w:sz="0" w:space="0" w:color="auto"/>
      </w:divBdr>
    </w:div>
    <w:div w:id="1810592682">
      <w:bodyDiv w:val="1"/>
      <w:marLeft w:val="0"/>
      <w:marRight w:val="0"/>
      <w:marTop w:val="0"/>
      <w:marBottom w:val="0"/>
      <w:divBdr>
        <w:top w:val="none" w:sz="0" w:space="0" w:color="auto"/>
        <w:left w:val="none" w:sz="0" w:space="0" w:color="auto"/>
        <w:bottom w:val="none" w:sz="0" w:space="0" w:color="auto"/>
        <w:right w:val="none" w:sz="0" w:space="0" w:color="auto"/>
      </w:divBdr>
    </w:div>
    <w:div w:id="1814564735">
      <w:bodyDiv w:val="1"/>
      <w:marLeft w:val="0"/>
      <w:marRight w:val="0"/>
      <w:marTop w:val="0"/>
      <w:marBottom w:val="0"/>
      <w:divBdr>
        <w:top w:val="none" w:sz="0" w:space="0" w:color="auto"/>
        <w:left w:val="none" w:sz="0" w:space="0" w:color="auto"/>
        <w:bottom w:val="none" w:sz="0" w:space="0" w:color="auto"/>
        <w:right w:val="none" w:sz="0" w:space="0" w:color="auto"/>
      </w:divBdr>
      <w:divsChild>
        <w:div w:id="1617328333">
          <w:marLeft w:val="0"/>
          <w:marRight w:val="0"/>
          <w:marTop w:val="0"/>
          <w:marBottom w:val="0"/>
          <w:divBdr>
            <w:top w:val="none" w:sz="0" w:space="0" w:color="auto"/>
            <w:left w:val="none" w:sz="0" w:space="0" w:color="auto"/>
            <w:bottom w:val="none" w:sz="0" w:space="0" w:color="auto"/>
            <w:right w:val="none" w:sz="0" w:space="0" w:color="auto"/>
          </w:divBdr>
          <w:divsChild>
            <w:div w:id="193083091">
              <w:marLeft w:val="0"/>
              <w:marRight w:val="0"/>
              <w:marTop w:val="0"/>
              <w:marBottom w:val="0"/>
              <w:divBdr>
                <w:top w:val="none" w:sz="0" w:space="0" w:color="auto"/>
                <w:left w:val="none" w:sz="0" w:space="0" w:color="auto"/>
                <w:bottom w:val="none" w:sz="0" w:space="0" w:color="auto"/>
                <w:right w:val="none" w:sz="0" w:space="0" w:color="auto"/>
              </w:divBdr>
              <w:divsChild>
                <w:div w:id="869759165">
                  <w:marLeft w:val="0"/>
                  <w:marRight w:val="0"/>
                  <w:marTop w:val="0"/>
                  <w:marBottom w:val="0"/>
                  <w:divBdr>
                    <w:top w:val="none" w:sz="0" w:space="0" w:color="auto"/>
                    <w:left w:val="none" w:sz="0" w:space="0" w:color="auto"/>
                    <w:bottom w:val="none" w:sz="0" w:space="0" w:color="auto"/>
                    <w:right w:val="none" w:sz="0" w:space="0" w:color="auto"/>
                  </w:divBdr>
                  <w:divsChild>
                    <w:div w:id="4495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402971">
          <w:marLeft w:val="0"/>
          <w:marRight w:val="0"/>
          <w:marTop w:val="0"/>
          <w:marBottom w:val="0"/>
          <w:divBdr>
            <w:top w:val="none" w:sz="0" w:space="0" w:color="auto"/>
            <w:left w:val="none" w:sz="0" w:space="0" w:color="auto"/>
            <w:bottom w:val="none" w:sz="0" w:space="0" w:color="auto"/>
            <w:right w:val="none" w:sz="0" w:space="0" w:color="auto"/>
          </w:divBdr>
          <w:divsChild>
            <w:div w:id="1882286111">
              <w:marLeft w:val="0"/>
              <w:marRight w:val="0"/>
              <w:marTop w:val="0"/>
              <w:marBottom w:val="0"/>
              <w:divBdr>
                <w:top w:val="none" w:sz="0" w:space="0" w:color="auto"/>
                <w:left w:val="none" w:sz="0" w:space="0" w:color="auto"/>
                <w:bottom w:val="none" w:sz="0" w:space="0" w:color="auto"/>
                <w:right w:val="none" w:sz="0" w:space="0" w:color="auto"/>
              </w:divBdr>
              <w:divsChild>
                <w:div w:id="1852065326">
                  <w:marLeft w:val="0"/>
                  <w:marRight w:val="0"/>
                  <w:marTop w:val="0"/>
                  <w:marBottom w:val="0"/>
                  <w:divBdr>
                    <w:top w:val="none" w:sz="0" w:space="0" w:color="auto"/>
                    <w:left w:val="none" w:sz="0" w:space="0" w:color="auto"/>
                    <w:bottom w:val="none" w:sz="0" w:space="0" w:color="auto"/>
                    <w:right w:val="none" w:sz="0" w:space="0" w:color="auto"/>
                  </w:divBdr>
                  <w:divsChild>
                    <w:div w:id="172259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556959">
      <w:bodyDiv w:val="1"/>
      <w:marLeft w:val="0"/>
      <w:marRight w:val="0"/>
      <w:marTop w:val="0"/>
      <w:marBottom w:val="0"/>
      <w:divBdr>
        <w:top w:val="none" w:sz="0" w:space="0" w:color="auto"/>
        <w:left w:val="none" w:sz="0" w:space="0" w:color="auto"/>
        <w:bottom w:val="none" w:sz="0" w:space="0" w:color="auto"/>
        <w:right w:val="none" w:sz="0" w:space="0" w:color="auto"/>
      </w:divBdr>
      <w:divsChild>
        <w:div w:id="1582718368">
          <w:marLeft w:val="0"/>
          <w:marRight w:val="0"/>
          <w:marTop w:val="0"/>
          <w:marBottom w:val="0"/>
          <w:divBdr>
            <w:top w:val="none" w:sz="0" w:space="0" w:color="auto"/>
            <w:left w:val="none" w:sz="0" w:space="0" w:color="auto"/>
            <w:bottom w:val="none" w:sz="0" w:space="0" w:color="auto"/>
            <w:right w:val="none" w:sz="0" w:space="0" w:color="auto"/>
          </w:divBdr>
        </w:div>
      </w:divsChild>
    </w:div>
    <w:div w:id="1884291241">
      <w:bodyDiv w:val="1"/>
      <w:marLeft w:val="0"/>
      <w:marRight w:val="0"/>
      <w:marTop w:val="0"/>
      <w:marBottom w:val="0"/>
      <w:divBdr>
        <w:top w:val="none" w:sz="0" w:space="0" w:color="auto"/>
        <w:left w:val="none" w:sz="0" w:space="0" w:color="auto"/>
        <w:bottom w:val="none" w:sz="0" w:space="0" w:color="auto"/>
        <w:right w:val="none" w:sz="0" w:space="0" w:color="auto"/>
      </w:divBdr>
      <w:divsChild>
        <w:div w:id="1875342237">
          <w:marLeft w:val="0"/>
          <w:marRight w:val="0"/>
          <w:marTop w:val="0"/>
          <w:marBottom w:val="0"/>
          <w:divBdr>
            <w:top w:val="none" w:sz="0" w:space="0" w:color="auto"/>
            <w:left w:val="none" w:sz="0" w:space="0" w:color="auto"/>
            <w:bottom w:val="none" w:sz="0" w:space="0" w:color="auto"/>
            <w:right w:val="none" w:sz="0" w:space="0" w:color="auto"/>
          </w:divBdr>
        </w:div>
      </w:divsChild>
    </w:div>
    <w:div w:id="1900482368">
      <w:bodyDiv w:val="1"/>
      <w:marLeft w:val="0"/>
      <w:marRight w:val="0"/>
      <w:marTop w:val="0"/>
      <w:marBottom w:val="0"/>
      <w:divBdr>
        <w:top w:val="none" w:sz="0" w:space="0" w:color="auto"/>
        <w:left w:val="none" w:sz="0" w:space="0" w:color="auto"/>
        <w:bottom w:val="none" w:sz="0" w:space="0" w:color="auto"/>
        <w:right w:val="none" w:sz="0" w:space="0" w:color="auto"/>
      </w:divBdr>
    </w:div>
    <w:div w:id="1924146137">
      <w:bodyDiv w:val="1"/>
      <w:marLeft w:val="0"/>
      <w:marRight w:val="0"/>
      <w:marTop w:val="0"/>
      <w:marBottom w:val="0"/>
      <w:divBdr>
        <w:top w:val="none" w:sz="0" w:space="0" w:color="auto"/>
        <w:left w:val="none" w:sz="0" w:space="0" w:color="auto"/>
        <w:bottom w:val="none" w:sz="0" w:space="0" w:color="auto"/>
        <w:right w:val="none" w:sz="0" w:space="0" w:color="auto"/>
      </w:divBdr>
    </w:div>
    <w:div w:id="1948191615">
      <w:bodyDiv w:val="1"/>
      <w:marLeft w:val="0"/>
      <w:marRight w:val="0"/>
      <w:marTop w:val="0"/>
      <w:marBottom w:val="0"/>
      <w:divBdr>
        <w:top w:val="none" w:sz="0" w:space="0" w:color="auto"/>
        <w:left w:val="none" w:sz="0" w:space="0" w:color="auto"/>
        <w:bottom w:val="none" w:sz="0" w:space="0" w:color="auto"/>
        <w:right w:val="none" w:sz="0" w:space="0" w:color="auto"/>
      </w:divBdr>
    </w:div>
    <w:div w:id="1964920862">
      <w:bodyDiv w:val="1"/>
      <w:marLeft w:val="0"/>
      <w:marRight w:val="0"/>
      <w:marTop w:val="0"/>
      <w:marBottom w:val="0"/>
      <w:divBdr>
        <w:top w:val="none" w:sz="0" w:space="0" w:color="auto"/>
        <w:left w:val="none" w:sz="0" w:space="0" w:color="auto"/>
        <w:bottom w:val="none" w:sz="0" w:space="0" w:color="auto"/>
        <w:right w:val="none" w:sz="0" w:space="0" w:color="auto"/>
      </w:divBdr>
    </w:div>
    <w:div w:id="1997682390">
      <w:bodyDiv w:val="1"/>
      <w:marLeft w:val="0"/>
      <w:marRight w:val="0"/>
      <w:marTop w:val="0"/>
      <w:marBottom w:val="0"/>
      <w:divBdr>
        <w:top w:val="none" w:sz="0" w:space="0" w:color="auto"/>
        <w:left w:val="none" w:sz="0" w:space="0" w:color="auto"/>
        <w:bottom w:val="none" w:sz="0" w:space="0" w:color="auto"/>
        <w:right w:val="none" w:sz="0" w:space="0" w:color="auto"/>
      </w:divBdr>
    </w:div>
    <w:div w:id="2020424284">
      <w:bodyDiv w:val="1"/>
      <w:marLeft w:val="0"/>
      <w:marRight w:val="0"/>
      <w:marTop w:val="0"/>
      <w:marBottom w:val="0"/>
      <w:divBdr>
        <w:top w:val="none" w:sz="0" w:space="0" w:color="auto"/>
        <w:left w:val="none" w:sz="0" w:space="0" w:color="auto"/>
        <w:bottom w:val="none" w:sz="0" w:space="0" w:color="auto"/>
        <w:right w:val="none" w:sz="0" w:space="0" w:color="auto"/>
      </w:divBdr>
    </w:div>
    <w:div w:id="2058435880">
      <w:bodyDiv w:val="1"/>
      <w:marLeft w:val="0"/>
      <w:marRight w:val="0"/>
      <w:marTop w:val="0"/>
      <w:marBottom w:val="0"/>
      <w:divBdr>
        <w:top w:val="none" w:sz="0" w:space="0" w:color="auto"/>
        <w:left w:val="none" w:sz="0" w:space="0" w:color="auto"/>
        <w:bottom w:val="none" w:sz="0" w:space="0" w:color="auto"/>
        <w:right w:val="none" w:sz="0" w:space="0" w:color="auto"/>
      </w:divBdr>
      <w:divsChild>
        <w:div w:id="770665242">
          <w:marLeft w:val="0"/>
          <w:marRight w:val="0"/>
          <w:marTop w:val="0"/>
          <w:marBottom w:val="720"/>
          <w:divBdr>
            <w:top w:val="single" w:sz="6" w:space="18" w:color="C5E0F4"/>
            <w:left w:val="single" w:sz="6" w:space="18" w:color="C5E0F4"/>
            <w:bottom w:val="single" w:sz="6" w:space="18" w:color="C5E0F4"/>
            <w:right w:val="single" w:sz="6" w:space="18" w:color="C5E0F4"/>
          </w:divBdr>
        </w:div>
      </w:divsChild>
    </w:div>
    <w:div w:id="2065719364">
      <w:bodyDiv w:val="1"/>
      <w:marLeft w:val="0"/>
      <w:marRight w:val="0"/>
      <w:marTop w:val="0"/>
      <w:marBottom w:val="0"/>
      <w:divBdr>
        <w:top w:val="none" w:sz="0" w:space="0" w:color="auto"/>
        <w:left w:val="none" w:sz="0" w:space="0" w:color="auto"/>
        <w:bottom w:val="none" w:sz="0" w:space="0" w:color="auto"/>
        <w:right w:val="none" w:sz="0" w:space="0" w:color="auto"/>
      </w:divBdr>
      <w:divsChild>
        <w:div w:id="782379395">
          <w:marLeft w:val="0"/>
          <w:marRight w:val="0"/>
          <w:marTop w:val="0"/>
          <w:marBottom w:val="0"/>
          <w:divBdr>
            <w:top w:val="none" w:sz="0" w:space="0" w:color="auto"/>
            <w:left w:val="none" w:sz="0" w:space="0" w:color="auto"/>
            <w:bottom w:val="none" w:sz="0" w:space="0" w:color="auto"/>
            <w:right w:val="none" w:sz="0" w:space="0" w:color="auto"/>
          </w:divBdr>
          <w:divsChild>
            <w:div w:id="268510685">
              <w:marLeft w:val="0"/>
              <w:marRight w:val="0"/>
              <w:marTop w:val="0"/>
              <w:marBottom w:val="0"/>
              <w:divBdr>
                <w:top w:val="none" w:sz="0" w:space="0" w:color="auto"/>
                <w:left w:val="none" w:sz="0" w:space="0" w:color="auto"/>
                <w:bottom w:val="none" w:sz="0" w:space="0" w:color="auto"/>
                <w:right w:val="none" w:sz="0" w:space="0" w:color="auto"/>
              </w:divBdr>
              <w:divsChild>
                <w:div w:id="1324894640">
                  <w:marLeft w:val="0"/>
                  <w:marRight w:val="0"/>
                  <w:marTop w:val="0"/>
                  <w:marBottom w:val="0"/>
                  <w:divBdr>
                    <w:top w:val="none" w:sz="0" w:space="0" w:color="auto"/>
                    <w:left w:val="none" w:sz="0" w:space="0" w:color="auto"/>
                    <w:bottom w:val="none" w:sz="0" w:space="0" w:color="auto"/>
                    <w:right w:val="none" w:sz="0" w:space="0" w:color="auto"/>
                  </w:divBdr>
                  <w:divsChild>
                    <w:div w:id="139658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259059">
          <w:marLeft w:val="0"/>
          <w:marRight w:val="0"/>
          <w:marTop w:val="0"/>
          <w:marBottom w:val="0"/>
          <w:divBdr>
            <w:top w:val="none" w:sz="0" w:space="0" w:color="auto"/>
            <w:left w:val="none" w:sz="0" w:space="0" w:color="auto"/>
            <w:bottom w:val="none" w:sz="0" w:space="0" w:color="auto"/>
            <w:right w:val="none" w:sz="0" w:space="0" w:color="auto"/>
          </w:divBdr>
          <w:divsChild>
            <w:div w:id="399056903">
              <w:marLeft w:val="0"/>
              <w:marRight w:val="0"/>
              <w:marTop w:val="0"/>
              <w:marBottom w:val="0"/>
              <w:divBdr>
                <w:top w:val="none" w:sz="0" w:space="0" w:color="auto"/>
                <w:left w:val="none" w:sz="0" w:space="0" w:color="auto"/>
                <w:bottom w:val="none" w:sz="0" w:space="0" w:color="auto"/>
                <w:right w:val="none" w:sz="0" w:space="0" w:color="auto"/>
              </w:divBdr>
              <w:divsChild>
                <w:div w:id="1043096727">
                  <w:marLeft w:val="0"/>
                  <w:marRight w:val="0"/>
                  <w:marTop w:val="0"/>
                  <w:marBottom w:val="0"/>
                  <w:divBdr>
                    <w:top w:val="none" w:sz="0" w:space="0" w:color="auto"/>
                    <w:left w:val="none" w:sz="0" w:space="0" w:color="auto"/>
                    <w:bottom w:val="none" w:sz="0" w:space="0" w:color="auto"/>
                    <w:right w:val="none" w:sz="0" w:space="0" w:color="auto"/>
                  </w:divBdr>
                  <w:divsChild>
                    <w:div w:id="5487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596268">
      <w:bodyDiv w:val="1"/>
      <w:marLeft w:val="0"/>
      <w:marRight w:val="0"/>
      <w:marTop w:val="0"/>
      <w:marBottom w:val="0"/>
      <w:divBdr>
        <w:top w:val="none" w:sz="0" w:space="0" w:color="auto"/>
        <w:left w:val="none" w:sz="0" w:space="0" w:color="auto"/>
        <w:bottom w:val="none" w:sz="0" w:space="0" w:color="auto"/>
        <w:right w:val="none" w:sz="0" w:space="0" w:color="auto"/>
      </w:divBdr>
    </w:div>
    <w:div w:id="21223338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8FF9A-89DA-4236-BA2C-B1BF6D198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2895</Words>
  <Characters>16503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2024-11-14T20:46:00Z</dcterms:created>
  <dcterms:modified xsi:type="dcterms:W3CDTF">2024-11-14T20:46:00Z</dcterms:modified>
</cp:coreProperties>
</file>