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body>
    <w:p w14:paraId="00000005">
      <w:pPr>
        <w:rPr>
          <w:b/>
          <w:bCs/>
          <w:sz w:val="28"/>
          <w:szCs w:val="28"/>
        </w:rPr>
      </w:pPr>
      <w:r>
        <w:t xml:space="preserve">        </w:t>
      </w:r>
      <w:r>
        <w:rPr>
          <w:b/>
          <w:bCs/>
          <w:sz w:val="28"/>
          <w:szCs w:val="28"/>
        </w:rPr>
        <w:t xml:space="preserve">      International Meetings Management for the Hotel Industry     </w:t>
      </w:r>
    </w:p>
    <w:p w14:paraId="00000006">
      <w:pPr>
        <w:rPr>
          <w:b/>
          <w:bCs/>
          <w:sz w:val="28"/>
          <w:szCs w:val="28"/>
        </w:rPr>
      </w:pPr>
    </w:p>
    <w:p w14:paraId="00000007">
      <w:pPr>
        <w:rPr>
          <w:b/>
          <w:bCs/>
          <w:i/>
          <w:iCs/>
          <w:sz w:val="28"/>
          <w:szCs w:val="28"/>
        </w:rPr>
      </w:pPr>
      <w:r>
        <w:rPr>
          <w:b/>
          <w:bCs/>
          <w:i/>
          <w:iCs/>
          <w:sz w:val="28"/>
          <w:szCs w:val="28"/>
        </w:rPr>
        <w:t>Event strategic Planning and Delivery Considerations for an International</w:t>
      </w:r>
    </w:p>
    <w:p w14:paraId="00000008">
      <w:pPr>
        <w:rPr>
          <w:b/>
          <w:bCs/>
          <w:i/>
          <w:iCs/>
          <w:sz w:val="28"/>
          <w:szCs w:val="28"/>
        </w:rPr>
      </w:pPr>
      <w:r>
        <w:rPr>
          <w:b/>
          <w:bCs/>
          <w:i/>
          <w:iCs/>
          <w:sz w:val="28"/>
          <w:szCs w:val="28"/>
        </w:rPr>
        <w:t xml:space="preserve">                                        Meeting/Event </w:t>
      </w:r>
    </w:p>
    <w:p w14:paraId="00000009">
      <w:pPr>
        <w:rPr>
          <w:b/>
          <w:bCs/>
          <w:i/>
          <w:iCs/>
          <w:sz w:val="28"/>
          <w:szCs w:val="28"/>
        </w:rPr>
      </w:pPr>
    </w:p>
    <w:p w14:paraId="0000000A">
      <w:pPr>
        <w:rPr>
          <w:b/>
          <w:bCs/>
          <w:sz w:val="28"/>
          <w:szCs w:val="28"/>
        </w:rPr>
      </w:pPr>
      <w:r>
        <w:rPr>
          <w:b/>
          <w:bCs/>
          <w:sz w:val="28"/>
          <w:szCs w:val="28"/>
        </w:rPr>
        <w:t xml:space="preserve">                                              -Report-</w:t>
      </w:r>
    </w:p>
    <w:p w14:paraId="0000000B">
      <w:pPr>
        <w:rPr>
          <w:b/>
          <w:bCs/>
          <w:sz w:val="28"/>
          <w:szCs w:val="28"/>
        </w:rPr>
      </w:pPr>
    </w:p>
    <w:p w14:paraId="0000000C">
      <w:pPr>
        <w:rPr>
          <w:b/>
          <w:bCs/>
          <w:sz w:val="28"/>
          <w:szCs w:val="28"/>
        </w:rPr>
      </w:pPr>
    </w:p>
    <w:p w14:paraId="0000000D">
      <w:pPr>
        <w:rPr>
          <w:b/>
          <w:bCs/>
          <w:sz w:val="28"/>
          <w:szCs w:val="28"/>
        </w:rPr>
      </w:pPr>
    </w:p>
    <w:p w14:paraId="0000000E">
      <w:pPr>
        <w:rPr>
          <w:b/>
          <w:bCs/>
          <w:sz w:val="28"/>
          <w:szCs w:val="28"/>
        </w:rPr>
      </w:pPr>
    </w:p>
    <w:p w14:paraId="0000000F">
      <w:pPr>
        <w:rPr>
          <w:b/>
          <w:bCs/>
          <w:sz w:val="28"/>
          <w:szCs w:val="28"/>
        </w:rPr>
      </w:pPr>
    </w:p>
    <w:p w14:paraId="00000010">
      <w:pPr>
        <w:rPr>
          <w:b/>
          <w:bCs/>
          <w:sz w:val="28"/>
          <w:szCs w:val="28"/>
        </w:rPr>
      </w:pPr>
    </w:p>
    <w:p w14:paraId="00000011">
      <w:pPr>
        <w:widowControl w:val="on"/>
        <w:spacing w:after="200" w:line="276" w:lineRule="auto"/>
        <w:rPr>
          <w:rFonts w:ascii="Arial Black" w:hAnsi="Arial Black"/>
          <w:b/>
          <w:bCs/>
        </w:rPr>
      </w:pPr>
      <w:r>
        <w:rPr>
          <w:rFonts w:ascii="Arial Black" w:hAnsi="Arial Black"/>
          <w:b/>
          <w:bCs/>
        </w:rPr>
        <w:t xml:space="preserve"> </w:t>
      </w:r>
    </w:p>
    <w:p w14:paraId="00000012">
      <w:pPr>
        <w:widowControl w:val="on"/>
        <w:spacing w:after="200" w:line="276" w:lineRule="auto"/>
        <w:rPr>
          <w:rFonts w:ascii="Arial Black" w:hAnsi="Arial Black"/>
          <w:b/>
          <w:bCs/>
        </w:rPr>
      </w:pPr>
      <w:r>
        <w:rPr>
          <w:rFonts w:ascii="Arial Black" w:hAnsi="Arial Black"/>
          <w:b/>
          <w:bCs/>
        </w:rPr>
        <w:t>Student name: Claudia Zaharia</w:t>
      </w:r>
    </w:p>
    <w:p w14:paraId="00000013">
      <w:pPr>
        <w:widowControl w:val="on"/>
        <w:spacing w:after="200" w:line="276" w:lineRule="auto"/>
        <w:ind w:firstLine="0"/>
        <w:rPr>
          <w:rFonts w:ascii="Arial Black" w:hAnsi="Arial Black"/>
          <w:b/>
          <w:bCs/>
        </w:rPr>
      </w:pPr>
      <w:r>
        <w:rPr>
          <w:rFonts w:ascii="Arial Black" w:hAnsi="Arial Black"/>
          <w:b/>
          <w:bCs/>
        </w:rPr>
        <w:t>Student ID: 2246452</w:t>
      </w:r>
    </w:p>
    <w:p w14:paraId="00000014">
      <w:pPr>
        <w:widowControl w:val="on"/>
        <w:spacing w:after="200" w:line="276" w:lineRule="auto"/>
        <w:ind w:firstLine="0"/>
        <w:rPr>
          <w:rFonts w:ascii="Arial Black" w:hAnsi="Arial Black"/>
          <w:b/>
          <w:bCs/>
        </w:rPr>
      </w:pPr>
      <w:r>
        <w:rPr>
          <w:rFonts w:ascii="Arial Black" w:hAnsi="Arial Black"/>
          <w:b/>
          <w:bCs/>
        </w:rPr>
        <w:t>Module : BMIH6007</w:t>
      </w:r>
    </w:p>
    <w:p w14:paraId="00000015">
      <w:pPr>
        <w:widowControl w:val="on"/>
        <w:spacing w:after="200" w:line="276" w:lineRule="auto"/>
        <w:ind w:firstLine="0"/>
        <w:rPr>
          <w:rFonts w:ascii="Arial Black" w:hAnsi="Arial Black"/>
          <w:b/>
          <w:bCs/>
        </w:rPr>
      </w:pPr>
      <w:r>
        <w:rPr>
          <w:rFonts w:ascii="Arial Black" w:hAnsi="Arial Black"/>
          <w:b/>
          <w:bCs/>
        </w:rPr>
        <w:t xml:space="preserve">Module Lead: Kathryn Flynn </w:t>
      </w:r>
    </w:p>
    <w:p w14:paraId="00000016">
      <w:pPr>
        <w:widowControl w:val="on"/>
        <w:spacing w:after="200" w:line="276" w:lineRule="auto"/>
        <w:ind w:firstLine="0"/>
        <w:rPr>
          <w:rFonts w:ascii="Arial Black" w:hAnsi="Arial Black"/>
          <w:b/>
          <w:bCs/>
        </w:rPr>
      </w:pPr>
      <w:r>
        <w:rPr>
          <w:rFonts w:ascii="Arial Black" w:hAnsi="Arial Black"/>
          <w:b/>
          <w:bCs/>
        </w:rPr>
        <w:t xml:space="preserve">Words </w:t>
      </w:r>
      <w:r>
        <w:rPr>
          <w:rFonts w:ascii="Arial Black" w:hAnsi="Arial Black"/>
          <w:b/>
          <w:bCs/>
        </w:rPr>
        <w:t>count: 2620</w:t>
      </w:r>
    </w:p>
    <w:p w14:paraId="00000017">
      <w:pPr>
        <w:widowControl w:val="on"/>
        <w:spacing w:after="200" w:line="276" w:lineRule="auto"/>
        <w:ind w:firstLine="0"/>
        <w:rPr>
          <w:rFonts w:ascii="Arial Black" w:hAnsi="Arial Black"/>
        </w:rPr>
      </w:pPr>
    </w:p>
    <w:p w14:paraId="00000018">
      <w:pPr>
        <w:widowControl w:val="on"/>
        <w:spacing w:after="200" w:line="276" w:lineRule="auto"/>
        <w:ind w:firstLine="0"/>
        <w:rPr>
          <w:rFonts w:ascii="Arial Black" w:hAnsi="Arial Black"/>
        </w:rPr>
      </w:pPr>
    </w:p>
    <w:p w14:paraId="00000019">
      <w:pPr>
        <w:widowControl w:val="on"/>
        <w:spacing w:after="200" w:line="276" w:lineRule="auto"/>
        <w:ind w:firstLine="0"/>
        <w:rPr>
          <w:rFonts w:ascii="Arial Black" w:hAnsi="Arial Black"/>
        </w:rPr>
      </w:pPr>
    </w:p>
    <w:p w14:paraId="0000001A">
      <w:pPr>
        <w:widowControl w:val="on"/>
        <w:spacing w:after="200" w:line="276" w:lineRule="auto"/>
        <w:ind w:firstLine="0"/>
        <w:rPr>
          <w:rFonts w:ascii="Arial Black" w:hAnsi="Arial Black"/>
        </w:rPr>
      </w:pPr>
    </w:p>
    <w:p w14:paraId="0000001B">
      <w:pPr>
        <w:widowControl w:val="on"/>
        <w:spacing w:after="200" w:line="276" w:lineRule="auto"/>
        <w:ind w:firstLine="0"/>
        <w:rPr>
          <w:rFonts w:ascii="Arial" w:cs="Arial" w:hAnsi="Arial"/>
          <w:b/>
          <w:bCs/>
        </w:rPr>
      </w:pPr>
      <w:r>
        <w:rPr>
          <w:rFonts w:ascii="Arial Black" w:hAnsi="Arial Black"/>
          <w:b/>
          <w:bCs/>
        </w:rPr>
        <w:t xml:space="preserve">AI Statement: </w:t>
      </w:r>
      <w:r>
        <w:rPr>
          <w:rFonts w:ascii="Arial" w:cs="Arial" w:hAnsi="Arial"/>
          <w:b/>
          <w:bCs/>
        </w:rPr>
        <w:t xml:space="preserve"> “I conform that </w:t>
      </w:r>
      <w:r>
        <w:rPr>
          <w:rFonts w:ascii="Arial" w:cs="Arial" w:hAnsi="Arial"/>
          <w:b/>
          <w:bCs/>
        </w:rPr>
        <w:t>I</w:t>
      </w:r>
      <w:r>
        <w:rPr>
          <w:rFonts w:ascii="Arial" w:cs="Arial" w:hAnsi="Arial"/>
          <w:b/>
          <w:bCs/>
        </w:rPr>
        <w:t xml:space="preserve"> have not used any AI tools in the research and creation of this assignment. I confirm that </w:t>
      </w:r>
      <w:r>
        <w:rPr>
          <w:rFonts w:ascii="Arial" w:cs="Arial" w:hAnsi="Arial"/>
          <w:b/>
          <w:bCs/>
        </w:rPr>
        <w:t>I</w:t>
      </w:r>
      <w:r>
        <w:rPr>
          <w:rFonts w:ascii="Arial" w:cs="Arial" w:hAnsi="Arial"/>
          <w:b/>
          <w:bCs/>
        </w:rPr>
        <w:t xml:space="preserve"> have not presented any AI generated materials as my own work. I confirm that </w:t>
      </w:r>
      <w:r>
        <w:rPr>
          <w:rFonts w:ascii="Arial" w:cs="Arial" w:hAnsi="Arial"/>
          <w:b/>
          <w:bCs/>
        </w:rPr>
        <w:t>I</w:t>
      </w:r>
      <w:r>
        <w:rPr>
          <w:rFonts w:ascii="Arial" w:cs="Arial" w:hAnsi="Arial"/>
          <w:b/>
          <w:bCs/>
        </w:rPr>
        <w:t xml:space="preserve"> have copies of my drafts, notes, and other resources I used, which may be asked to provide in evidence.”</w:t>
      </w:r>
    </w:p>
    <w:p w14:paraId="0000001C">
      <w:pPr>
        <w:widowControl w:val="on"/>
        <w:spacing w:after="200" w:line="276" w:lineRule="auto"/>
        <w:rPr/>
      </w:pPr>
    </w:p>
    <w:p w14:paraId="0000001D">
      <w:pPr>
        <w:widowControl w:val="on"/>
        <w:spacing w:after="200" w:line="360" w:lineRule="auto"/>
        <w:rPr/>
      </w:pPr>
    </w:p>
    <w:p w14:paraId="0000001E">
      <w:pPr>
        <w:pStyle w:val="TOCHeading"/>
        <w:rPr>
          <w:rFonts w:ascii="Arial" w:cs="Arial" w:hAnsi="Arial"/>
          <w:b/>
          <w:bCs/>
          <w:sz w:val="28"/>
          <w:szCs w:val="28"/>
        </w:rPr>
      </w:pPr>
      <w:r>
        <w:rPr>
          <w:rFonts w:ascii="Arial" w:cs="Arial" w:hAnsi="Arial"/>
          <w:b/>
          <w:bCs/>
          <w:sz w:val="28"/>
          <w:szCs w:val="28"/>
        </w:rPr>
        <w:t>Table of Contents</w:t>
      </w:r>
    </w:p>
    <w:p w14:paraId="0000001F">
      <w:pPr>
        <w:pStyle w:val="Normal"/>
        <w:rPr/>
      </w:pPr>
    </w:p>
    <w:p w14:paraId="00000020">
      <w:pPr>
        <w:pStyle w:val="Normal"/>
        <w:rPr/>
      </w:pPr>
    </w:p>
    <w:p w14:paraId="00000021">
      <w:pPr>
        <w:pStyle w:val="Normal"/>
        <w:rPr/>
      </w:pPr>
    </w:p>
    <w:p w14:paraId="00000022">
      <w:pPr>
        <w:pStyle w:val="Toc1"/>
        <w:tabs>
          <w:tab w:val="right" w:leader="dot" w:pos="9350"/>
        </w:tabs>
        <w:rPr>
          <w:rFonts w:asciiTheme="minorHAnsi" w:cstheme="minorBidi" w:eastAsiaTheme="minorEastAsia" w:hAnsiTheme="minorHAnsi"/>
          <w:sz w:val="28"/>
          <w:szCs w:val="28"/>
        </w:rPr>
      </w:pPr>
      <w:r>
        <w:rPr>
          <w:rStyle w:val="Hyperlink"/>
          <w:rFonts w:ascii="Arial" w:cs="Arial" w:hAnsi="Arial"/>
          <w:color w:val="000000" w:themeColor="dk1"/>
          <w:sz w:val="28"/>
          <w:szCs w:val="28"/>
          <w:u w:val="none"/>
        </w:rPr>
        <w:fldChar w:fldCharType="begin"/>
      </w:r>
      <w:r>
        <w:rPr>
          <w:rStyle w:val="Hyperlink"/>
          <w:rFonts w:ascii="Arial" w:cs="Arial" w:hAnsi="Arial"/>
          <w:color w:val="000000" w:themeColor="dk1"/>
          <w:sz w:val="28"/>
          <w:szCs w:val="28"/>
          <w:u w:val="none"/>
        </w:rPr>
        <w:instrText xml:space="preserve">HYPERLINK \l "_Toc198828655" </w:instrText>
      </w:r>
      <w:r>
        <w:rPr>
          <w:rStyle w:val="Hyperlink"/>
          <w:rFonts w:ascii="Arial" w:cs="Arial" w:hAnsi="Arial"/>
          <w:color w:val="000000" w:themeColor="dk1"/>
          <w:sz w:val="28"/>
          <w:szCs w:val="28"/>
          <w:u w:val="none"/>
        </w:rPr>
        <w:fldChar w:fldCharType="separate"/>
      </w:r>
      <w:r>
        <w:rPr>
          <w:rStyle w:val="Hyperlink"/>
          <w:rFonts w:ascii="Arial" w:cs="Arial" w:hAnsi="Arial"/>
          <w:color w:val="000000" w:themeColor="dk1"/>
          <w:sz w:val="28"/>
          <w:szCs w:val="28"/>
          <w:u w:val="none"/>
        </w:rPr>
        <w:t>Introduction</w:t>
      </w:r>
      <w:r>
        <w:rPr>
          <w:sz w:val="28"/>
          <w:szCs w:val="28"/>
        </w:rPr>
        <w:tab/>
      </w:r>
      <w:r>
        <w:rPr>
          <w:sz w:val="28"/>
          <w:szCs w:val="28"/>
        </w:rPr>
        <w:fldChar w:fldCharType="begin"/>
      </w:r>
      <w:r>
        <w:rPr>
          <w:sz w:val="28"/>
          <w:szCs w:val="28"/>
        </w:rPr>
        <w:instrText xml:space="preserve"> PAGEREF _Toc198828655 \h </w:instrText>
      </w:r>
      <w:r>
        <w:rPr>
          <w:sz w:val="28"/>
          <w:szCs w:val="28"/>
        </w:rPr>
        <w:fldChar w:fldCharType="separate"/>
      </w:r>
      <w:r>
        <w:rPr>
          <w:sz w:val="28"/>
          <w:szCs w:val="28"/>
        </w:rPr>
        <w:t>3</w:t>
      </w:r>
      <w:r>
        <w:rPr>
          <w:rFonts w:asciiTheme="minorHAnsi" w:cstheme="minorBidi" w:eastAsiaTheme="minorEastAsia" w:hAnsiTheme="minorHAnsi"/>
          <w:sz w:val="28"/>
          <w:szCs w:val="28"/>
        </w:rPr>
        <w:fldChar w:fldCharType="end"/>
      </w:r>
      <w:r>
        <w:rPr>
          <w:rFonts w:asciiTheme="minorHAnsi" w:cstheme="minorBidi" w:eastAsiaTheme="minorEastAsia" w:hAnsiTheme="minorHAnsi"/>
          <w:sz w:val="28"/>
          <w:szCs w:val="28"/>
        </w:rPr>
        <w:fldChar w:fldCharType="end"/>
      </w:r>
    </w:p>
    <w:p w14:paraId="00000023">
      <w:pPr>
        <w:pStyle w:val="Toc1"/>
        <w:tabs>
          <w:tab w:val="right" w:leader="dot" w:pos="9350"/>
        </w:tabs>
        <w:rPr>
          <w:rFonts w:asciiTheme="minorHAnsi" w:cstheme="minorBidi" w:eastAsiaTheme="minorEastAsia" w:hAnsiTheme="minorHAnsi"/>
          <w:sz w:val="28"/>
          <w:szCs w:val="28"/>
        </w:rPr>
      </w:pPr>
      <w:r>
        <w:rPr>
          <w:rStyle w:val="Hyperlink"/>
          <w:sz w:val="28"/>
          <w:szCs w:val="28"/>
        </w:rPr>
        <w:fldChar w:fldCharType="begin"/>
      </w:r>
      <w:r>
        <w:rPr>
          <w:rStyle w:val="Hyperlink"/>
          <w:sz w:val="28"/>
          <w:szCs w:val="28"/>
        </w:rPr>
        <w:instrText xml:space="preserve"> TOC \o "1-3" \h \z \u </w:instrText>
      </w:r>
      <w:r>
        <w:rPr>
          <w:rStyle w:val="Hyperlink"/>
          <w:sz w:val="28"/>
          <w:szCs w:val="28"/>
        </w:rPr>
        <w:fldChar w:fldCharType="separate"/>
      </w:r>
      <w:r>
        <w:rPr>
          <w:rStyle w:val="Hyperlink"/>
          <w:sz w:val="28"/>
          <w:szCs w:val="28"/>
        </w:rPr>
        <w:fldChar w:fldCharType="begin"/>
      </w:r>
      <w:r>
        <w:rPr>
          <w:rStyle w:val="Hyperlink"/>
          <w:sz w:val="28"/>
          <w:szCs w:val="28"/>
        </w:rPr>
        <w:instrText xml:space="preserve">HYPERLINK \l "_Toc198828656" </w:instrText>
      </w:r>
      <w:r>
        <w:rPr>
          <w:rStyle w:val="Hyperlink"/>
          <w:sz w:val="28"/>
          <w:szCs w:val="28"/>
        </w:rPr>
        <w:fldChar w:fldCharType="separate"/>
      </w:r>
      <w:r>
        <w:rPr>
          <w:rStyle w:val="Hyperlink"/>
          <w:sz w:val="28"/>
          <w:szCs w:val="28"/>
        </w:rPr>
        <w:t>The Event Cycle</w:t>
      </w:r>
      <w:r>
        <w:rPr>
          <w:sz w:val="28"/>
          <w:szCs w:val="28"/>
        </w:rPr>
        <w:tab/>
      </w:r>
      <w:r>
        <w:rPr>
          <w:sz w:val="28"/>
          <w:szCs w:val="28"/>
        </w:rPr>
        <w:fldChar w:fldCharType="begin"/>
      </w:r>
      <w:r>
        <w:rPr>
          <w:sz w:val="28"/>
          <w:szCs w:val="28"/>
        </w:rPr>
        <w:instrText xml:space="preserve"> PAGEREF _Toc198828656 \h </w:instrText>
      </w:r>
      <w:r>
        <w:rPr>
          <w:sz w:val="28"/>
          <w:szCs w:val="28"/>
        </w:rPr>
        <w:fldChar w:fldCharType="separate"/>
      </w:r>
      <w:r>
        <w:rPr>
          <w:sz w:val="28"/>
          <w:szCs w:val="28"/>
        </w:rPr>
        <w:t>3</w:t>
      </w:r>
      <w:r>
        <w:rPr>
          <w:rFonts w:asciiTheme="minorHAnsi" w:cstheme="minorBidi" w:eastAsiaTheme="minorEastAsia" w:hAnsiTheme="minorHAnsi"/>
          <w:sz w:val="28"/>
          <w:szCs w:val="28"/>
        </w:rPr>
        <w:fldChar w:fldCharType="end"/>
      </w:r>
      <w:r>
        <w:rPr>
          <w:rFonts w:asciiTheme="minorHAnsi" w:cstheme="minorBidi" w:eastAsiaTheme="minorEastAsia" w:hAnsiTheme="minorHAnsi"/>
          <w:sz w:val="28"/>
          <w:szCs w:val="28"/>
        </w:rPr>
        <w:fldChar w:fldCharType="end"/>
      </w:r>
    </w:p>
    <w:p w14:paraId="00000024">
      <w:pPr>
        <w:pStyle w:val="Toc1"/>
        <w:tabs>
          <w:tab w:val="right" w:leader="dot" w:pos="9350"/>
        </w:tabs>
        <w:rPr>
          <w:rFonts w:asciiTheme="minorHAnsi" w:cstheme="minorBidi" w:eastAsiaTheme="minorEastAsia" w:hAnsiTheme="minorHAnsi"/>
          <w:sz w:val="28"/>
          <w:szCs w:val="28"/>
        </w:rPr>
      </w:pPr>
      <w:r>
        <w:rPr>
          <w:rStyle w:val="Hyperlink"/>
          <w:sz w:val="28"/>
          <w:szCs w:val="28"/>
        </w:rPr>
        <w:fldChar w:fldCharType="begin"/>
      </w:r>
      <w:r>
        <w:rPr>
          <w:rStyle w:val="Hyperlink"/>
          <w:sz w:val="28"/>
          <w:szCs w:val="28"/>
        </w:rPr>
        <w:instrText xml:space="preserve">HYPERLINK \l "_Toc198828657" </w:instrText>
      </w:r>
      <w:r>
        <w:rPr>
          <w:rStyle w:val="Hyperlink"/>
          <w:sz w:val="28"/>
          <w:szCs w:val="28"/>
        </w:rPr>
        <w:fldChar w:fldCharType="separate"/>
      </w:r>
      <w:r>
        <w:rPr>
          <w:rStyle w:val="Hyperlink"/>
          <w:sz w:val="28"/>
          <w:szCs w:val="28"/>
        </w:rPr>
        <w:t>Event Concept and Itinerary</w:t>
      </w:r>
      <w:r>
        <w:rPr>
          <w:sz w:val="28"/>
          <w:szCs w:val="28"/>
        </w:rPr>
        <w:tab/>
      </w:r>
      <w:r>
        <w:rPr>
          <w:sz w:val="28"/>
          <w:szCs w:val="28"/>
        </w:rPr>
        <w:fldChar w:fldCharType="begin"/>
      </w:r>
      <w:r>
        <w:rPr>
          <w:sz w:val="28"/>
          <w:szCs w:val="28"/>
        </w:rPr>
        <w:instrText xml:space="preserve"> PAGEREF _Toc198828657 \h </w:instrText>
      </w:r>
      <w:r>
        <w:rPr>
          <w:sz w:val="28"/>
          <w:szCs w:val="28"/>
        </w:rPr>
        <w:fldChar w:fldCharType="separate"/>
      </w:r>
      <w:r>
        <w:rPr>
          <w:sz w:val="28"/>
          <w:szCs w:val="28"/>
        </w:rPr>
        <w:t>5</w:t>
      </w:r>
      <w:r>
        <w:rPr>
          <w:rFonts w:asciiTheme="minorHAnsi" w:cstheme="minorBidi" w:eastAsiaTheme="minorEastAsia" w:hAnsiTheme="minorHAnsi"/>
          <w:sz w:val="28"/>
          <w:szCs w:val="28"/>
        </w:rPr>
        <w:fldChar w:fldCharType="end"/>
      </w:r>
      <w:r>
        <w:rPr>
          <w:rFonts w:asciiTheme="minorHAnsi" w:cstheme="minorBidi" w:eastAsiaTheme="minorEastAsia" w:hAnsiTheme="minorHAnsi"/>
          <w:sz w:val="28"/>
          <w:szCs w:val="28"/>
        </w:rPr>
        <w:fldChar w:fldCharType="end"/>
      </w:r>
    </w:p>
    <w:p w14:paraId="00000025">
      <w:pPr>
        <w:pStyle w:val="Toc1"/>
        <w:tabs>
          <w:tab w:val="right" w:leader="dot" w:pos="9350"/>
        </w:tabs>
        <w:rPr>
          <w:rFonts w:asciiTheme="minorHAnsi" w:cstheme="minorBidi" w:eastAsiaTheme="minorEastAsia" w:hAnsiTheme="minorHAnsi"/>
          <w:sz w:val="28"/>
          <w:szCs w:val="28"/>
        </w:rPr>
      </w:pPr>
      <w:r>
        <w:rPr>
          <w:rStyle w:val="Hyperlink"/>
          <w:sz w:val="28"/>
          <w:szCs w:val="28"/>
        </w:rPr>
        <w:fldChar w:fldCharType="begin"/>
      </w:r>
      <w:r>
        <w:rPr>
          <w:rStyle w:val="Hyperlink"/>
          <w:sz w:val="28"/>
          <w:szCs w:val="28"/>
        </w:rPr>
        <w:instrText xml:space="preserve">HYPERLINK \l "_Toc198828658" </w:instrText>
      </w:r>
      <w:r>
        <w:rPr>
          <w:rStyle w:val="Hyperlink"/>
          <w:sz w:val="28"/>
          <w:szCs w:val="28"/>
        </w:rPr>
        <w:fldChar w:fldCharType="separate"/>
      </w:r>
      <w:r>
        <w:rPr>
          <w:rStyle w:val="Hyperlink"/>
          <w:sz w:val="28"/>
          <w:szCs w:val="28"/>
        </w:rPr>
        <w:t>Aim and SMART Objectives</w:t>
      </w:r>
      <w:r>
        <w:rPr>
          <w:sz w:val="28"/>
          <w:szCs w:val="28"/>
        </w:rPr>
        <w:tab/>
      </w:r>
      <w:r>
        <w:rPr>
          <w:sz w:val="28"/>
          <w:szCs w:val="28"/>
        </w:rPr>
        <w:fldChar w:fldCharType="begin"/>
      </w:r>
      <w:r>
        <w:rPr>
          <w:sz w:val="28"/>
          <w:szCs w:val="28"/>
        </w:rPr>
        <w:instrText xml:space="preserve"> PAGEREF _Toc198828658 \h </w:instrText>
      </w:r>
      <w:r>
        <w:rPr>
          <w:sz w:val="28"/>
          <w:szCs w:val="28"/>
        </w:rPr>
        <w:fldChar w:fldCharType="separate"/>
      </w:r>
      <w:r>
        <w:rPr>
          <w:sz w:val="28"/>
          <w:szCs w:val="28"/>
        </w:rPr>
        <w:t>6</w:t>
      </w:r>
      <w:r>
        <w:rPr>
          <w:rFonts w:asciiTheme="minorHAnsi" w:cstheme="minorBidi" w:eastAsiaTheme="minorEastAsia" w:hAnsiTheme="minorHAnsi"/>
          <w:sz w:val="28"/>
          <w:szCs w:val="28"/>
        </w:rPr>
        <w:fldChar w:fldCharType="end"/>
      </w:r>
      <w:r>
        <w:rPr>
          <w:rFonts w:asciiTheme="minorHAnsi" w:cstheme="minorBidi" w:eastAsiaTheme="minorEastAsia" w:hAnsiTheme="minorHAnsi"/>
          <w:sz w:val="28"/>
          <w:szCs w:val="28"/>
        </w:rPr>
        <w:fldChar w:fldCharType="end"/>
      </w:r>
    </w:p>
    <w:p w14:paraId="00000026">
      <w:pPr>
        <w:pStyle w:val="Toc1"/>
        <w:tabs>
          <w:tab w:val="right" w:leader="dot" w:pos="9350"/>
        </w:tabs>
        <w:rPr>
          <w:rFonts w:asciiTheme="minorHAnsi" w:cstheme="minorBidi" w:eastAsiaTheme="minorEastAsia" w:hAnsiTheme="minorHAnsi"/>
          <w:sz w:val="28"/>
          <w:szCs w:val="28"/>
        </w:rPr>
      </w:pPr>
      <w:r>
        <w:rPr>
          <w:rStyle w:val="Hyperlink"/>
          <w:sz w:val="28"/>
          <w:szCs w:val="28"/>
        </w:rPr>
        <w:fldChar w:fldCharType="begin"/>
      </w:r>
      <w:r>
        <w:rPr>
          <w:rStyle w:val="Hyperlink"/>
          <w:sz w:val="28"/>
          <w:szCs w:val="28"/>
        </w:rPr>
        <w:instrText xml:space="preserve">HYPERLINK \l "_Toc198828659" </w:instrText>
      </w:r>
      <w:r>
        <w:rPr>
          <w:rStyle w:val="Hyperlink"/>
          <w:sz w:val="28"/>
          <w:szCs w:val="28"/>
        </w:rPr>
        <w:fldChar w:fldCharType="separate"/>
      </w:r>
      <w:r>
        <w:rPr>
          <w:rStyle w:val="Hyperlink"/>
          <w:sz w:val="28"/>
          <w:szCs w:val="28"/>
        </w:rPr>
        <w:t>Event Management: Skills and Resources</w:t>
      </w:r>
      <w:r>
        <w:rPr>
          <w:sz w:val="28"/>
          <w:szCs w:val="28"/>
        </w:rPr>
        <w:tab/>
      </w:r>
      <w:r>
        <w:rPr>
          <w:sz w:val="28"/>
          <w:szCs w:val="28"/>
        </w:rPr>
        <w:fldChar w:fldCharType="begin"/>
      </w:r>
      <w:r>
        <w:rPr>
          <w:sz w:val="28"/>
          <w:szCs w:val="28"/>
        </w:rPr>
        <w:instrText xml:space="preserve"> PAGEREF _Toc198828659 \h </w:instrText>
      </w:r>
      <w:r>
        <w:rPr>
          <w:sz w:val="28"/>
          <w:szCs w:val="28"/>
        </w:rPr>
        <w:fldChar w:fldCharType="separate"/>
      </w:r>
      <w:r>
        <w:rPr>
          <w:sz w:val="28"/>
          <w:szCs w:val="28"/>
        </w:rPr>
        <w:t>6</w:t>
      </w:r>
      <w:r>
        <w:rPr>
          <w:rFonts w:asciiTheme="minorHAnsi" w:cstheme="minorBidi" w:eastAsiaTheme="minorEastAsia" w:hAnsiTheme="minorHAnsi"/>
          <w:sz w:val="28"/>
          <w:szCs w:val="28"/>
        </w:rPr>
        <w:fldChar w:fldCharType="end"/>
      </w:r>
      <w:r>
        <w:rPr>
          <w:rFonts w:asciiTheme="minorHAnsi" w:cstheme="minorBidi" w:eastAsiaTheme="minorEastAsia" w:hAnsiTheme="minorHAnsi"/>
          <w:sz w:val="28"/>
          <w:szCs w:val="28"/>
        </w:rPr>
        <w:fldChar w:fldCharType="end"/>
      </w:r>
    </w:p>
    <w:p w14:paraId="00000027">
      <w:pPr>
        <w:pStyle w:val="Toc1"/>
        <w:tabs>
          <w:tab w:val="right" w:leader="dot" w:pos="9350"/>
        </w:tabs>
        <w:rPr>
          <w:rFonts w:asciiTheme="minorHAnsi" w:cstheme="minorBidi" w:eastAsiaTheme="minorEastAsia" w:hAnsiTheme="minorHAnsi"/>
          <w:sz w:val="28"/>
          <w:szCs w:val="28"/>
        </w:rPr>
      </w:pPr>
      <w:r>
        <w:rPr>
          <w:rStyle w:val="Hyperlink"/>
          <w:sz w:val="28"/>
          <w:szCs w:val="28"/>
        </w:rPr>
        <w:fldChar w:fldCharType="begin"/>
      </w:r>
      <w:r>
        <w:rPr>
          <w:rStyle w:val="Hyperlink"/>
          <w:sz w:val="28"/>
          <w:szCs w:val="28"/>
        </w:rPr>
        <w:instrText xml:space="preserve">HYPERLINK \l "_Toc198828660" </w:instrText>
      </w:r>
      <w:r>
        <w:rPr>
          <w:rStyle w:val="Hyperlink"/>
          <w:sz w:val="28"/>
          <w:szCs w:val="28"/>
        </w:rPr>
        <w:fldChar w:fldCharType="separate"/>
      </w:r>
      <w:r>
        <w:rPr>
          <w:rStyle w:val="Hyperlink"/>
          <w:sz w:val="28"/>
          <w:szCs w:val="28"/>
        </w:rPr>
        <w:t>Event Budget</w:t>
      </w:r>
      <w:r>
        <w:rPr>
          <w:sz w:val="28"/>
          <w:szCs w:val="28"/>
        </w:rPr>
        <w:tab/>
      </w:r>
      <w:r>
        <w:rPr>
          <w:sz w:val="28"/>
          <w:szCs w:val="28"/>
        </w:rPr>
        <w:fldChar w:fldCharType="begin"/>
      </w:r>
      <w:r>
        <w:rPr>
          <w:sz w:val="28"/>
          <w:szCs w:val="28"/>
        </w:rPr>
        <w:instrText xml:space="preserve"> PAGEREF _Toc198828660 \h </w:instrText>
      </w:r>
      <w:r>
        <w:rPr>
          <w:sz w:val="28"/>
          <w:szCs w:val="28"/>
        </w:rPr>
        <w:fldChar w:fldCharType="separate"/>
      </w:r>
      <w:r>
        <w:rPr>
          <w:sz w:val="28"/>
          <w:szCs w:val="28"/>
        </w:rPr>
        <w:t>8</w:t>
      </w:r>
      <w:r>
        <w:rPr>
          <w:rFonts w:asciiTheme="minorHAnsi" w:cstheme="minorBidi" w:eastAsiaTheme="minorEastAsia" w:hAnsiTheme="minorHAnsi"/>
          <w:sz w:val="28"/>
          <w:szCs w:val="28"/>
        </w:rPr>
        <w:fldChar w:fldCharType="end"/>
      </w:r>
      <w:r>
        <w:rPr>
          <w:rFonts w:asciiTheme="minorHAnsi" w:cstheme="minorBidi" w:eastAsiaTheme="minorEastAsia" w:hAnsiTheme="minorHAnsi"/>
          <w:sz w:val="28"/>
          <w:szCs w:val="28"/>
        </w:rPr>
        <w:fldChar w:fldCharType="end"/>
      </w:r>
    </w:p>
    <w:p w14:paraId="00000028">
      <w:pPr>
        <w:pStyle w:val="Toc1"/>
        <w:tabs>
          <w:tab w:val="right" w:leader="dot" w:pos="9350"/>
        </w:tabs>
        <w:rPr>
          <w:rFonts w:asciiTheme="minorHAnsi" w:cstheme="minorBidi" w:eastAsiaTheme="minorEastAsia" w:hAnsiTheme="minorHAnsi"/>
          <w:sz w:val="28"/>
          <w:szCs w:val="28"/>
        </w:rPr>
      </w:pPr>
      <w:r>
        <w:rPr>
          <w:rStyle w:val="Hyperlink"/>
          <w:sz w:val="28"/>
          <w:szCs w:val="28"/>
        </w:rPr>
        <w:fldChar w:fldCharType="begin"/>
      </w:r>
      <w:r>
        <w:rPr>
          <w:rStyle w:val="Hyperlink"/>
          <w:sz w:val="28"/>
          <w:szCs w:val="28"/>
        </w:rPr>
        <w:instrText xml:space="preserve">HYPERLINK \l "_Toc198828661" </w:instrText>
      </w:r>
      <w:r>
        <w:rPr>
          <w:rStyle w:val="Hyperlink"/>
          <w:sz w:val="28"/>
          <w:szCs w:val="28"/>
        </w:rPr>
        <w:fldChar w:fldCharType="separate"/>
      </w:r>
      <w:r>
        <w:rPr>
          <w:rStyle w:val="Hyperlink"/>
          <w:sz w:val="28"/>
          <w:szCs w:val="28"/>
        </w:rPr>
        <w:t>Industry Trends, Issues and Impacts</w:t>
      </w:r>
      <w:r>
        <w:rPr>
          <w:sz w:val="28"/>
          <w:szCs w:val="28"/>
        </w:rPr>
        <w:tab/>
      </w:r>
      <w:r>
        <w:rPr>
          <w:rFonts w:asciiTheme="minorHAnsi" w:cstheme="minorBidi" w:eastAsiaTheme="minorEastAsia" w:hAnsiTheme="minorHAnsi"/>
          <w:sz w:val="28"/>
          <w:szCs w:val="28"/>
        </w:rPr>
        <w:fldChar w:fldCharType="end"/>
      </w:r>
      <w:r>
        <w:rPr>
          <w:rFonts w:asciiTheme="minorHAnsi" w:cstheme="minorBidi" w:eastAsiaTheme="minorEastAsia" w:hAnsiTheme="minorHAnsi"/>
          <w:sz w:val="28"/>
          <w:szCs w:val="28"/>
        </w:rPr>
        <w:t>10</w:t>
      </w:r>
    </w:p>
    <w:p w14:paraId="00000029">
      <w:pPr>
        <w:pStyle w:val="Toc1"/>
        <w:tabs>
          <w:tab w:val="right" w:leader="dot" w:pos="9350"/>
        </w:tabs>
        <w:rPr>
          <w:rFonts w:asciiTheme="minorHAnsi" w:cstheme="minorBidi" w:eastAsiaTheme="minorEastAsia" w:hAnsiTheme="minorHAnsi"/>
          <w:sz w:val="28"/>
          <w:szCs w:val="28"/>
        </w:rPr>
      </w:pPr>
      <w:r>
        <w:rPr>
          <w:rStyle w:val="Hyperlink"/>
          <w:sz w:val="28"/>
          <w:szCs w:val="28"/>
        </w:rPr>
        <w:fldChar w:fldCharType="begin"/>
      </w:r>
      <w:r>
        <w:rPr>
          <w:rStyle w:val="Hyperlink"/>
          <w:sz w:val="28"/>
          <w:szCs w:val="28"/>
        </w:rPr>
        <w:instrText xml:space="preserve">HYPERLINK \l "_Toc198828662" </w:instrText>
      </w:r>
      <w:r>
        <w:rPr>
          <w:rStyle w:val="Hyperlink"/>
          <w:sz w:val="28"/>
          <w:szCs w:val="28"/>
        </w:rPr>
        <w:fldChar w:fldCharType="separate"/>
      </w:r>
      <w:r>
        <w:rPr>
          <w:rStyle w:val="Hyperlink"/>
          <w:sz w:val="28"/>
          <w:szCs w:val="28"/>
        </w:rPr>
        <w:t>Situational and Cultural Considerations</w:t>
      </w:r>
      <w:r>
        <w:rPr>
          <w:sz w:val="28"/>
          <w:szCs w:val="28"/>
        </w:rPr>
        <w:tab/>
      </w:r>
      <w:r>
        <w:rPr>
          <w:sz w:val="28"/>
          <w:szCs w:val="28"/>
        </w:rPr>
        <w:fldChar w:fldCharType="begin"/>
      </w:r>
      <w:r>
        <w:rPr>
          <w:sz w:val="28"/>
          <w:szCs w:val="28"/>
        </w:rPr>
        <w:instrText xml:space="preserve"> PAGEREF _Toc198828662 \h </w:instrText>
      </w:r>
      <w:r>
        <w:rPr>
          <w:sz w:val="28"/>
          <w:szCs w:val="28"/>
        </w:rPr>
        <w:fldChar w:fldCharType="separate"/>
      </w:r>
      <w:r>
        <w:rPr>
          <w:sz w:val="28"/>
          <w:szCs w:val="28"/>
        </w:rPr>
        <w:t>1</w:t>
      </w:r>
      <w:r>
        <w:rPr>
          <w:rFonts w:asciiTheme="minorHAnsi" w:cstheme="minorBidi" w:eastAsiaTheme="minorEastAsia" w:hAnsiTheme="minorHAnsi"/>
          <w:sz w:val="28"/>
          <w:szCs w:val="28"/>
        </w:rPr>
        <w:fldChar w:fldCharType="end"/>
      </w:r>
      <w:r>
        <w:rPr>
          <w:rFonts w:asciiTheme="minorHAnsi" w:cstheme="minorBidi" w:eastAsiaTheme="minorEastAsia" w:hAnsiTheme="minorHAnsi"/>
          <w:sz w:val="28"/>
          <w:szCs w:val="28"/>
        </w:rPr>
        <w:fldChar w:fldCharType="end"/>
      </w:r>
      <w:r>
        <w:rPr>
          <w:rFonts w:asciiTheme="minorHAnsi" w:cstheme="minorBidi" w:eastAsiaTheme="minorEastAsia" w:hAnsiTheme="minorHAnsi"/>
          <w:sz w:val="28"/>
          <w:szCs w:val="28"/>
        </w:rPr>
        <w:t>1</w:t>
      </w:r>
    </w:p>
    <w:p w14:paraId="0000002A">
      <w:pPr>
        <w:pStyle w:val="Toc1"/>
        <w:tabs>
          <w:tab w:val="right" w:leader="dot" w:pos="9350"/>
        </w:tabs>
        <w:rPr>
          <w:rFonts w:asciiTheme="minorHAnsi" w:cstheme="minorBidi" w:eastAsiaTheme="minorEastAsia" w:hAnsiTheme="minorHAnsi"/>
          <w:sz w:val="28"/>
          <w:szCs w:val="28"/>
        </w:rPr>
      </w:pPr>
      <w:r>
        <w:rPr>
          <w:rStyle w:val="Hyperlink"/>
          <w:sz w:val="28"/>
          <w:szCs w:val="28"/>
        </w:rPr>
        <w:fldChar w:fldCharType="begin"/>
      </w:r>
      <w:r>
        <w:rPr>
          <w:rStyle w:val="Hyperlink"/>
          <w:sz w:val="28"/>
          <w:szCs w:val="28"/>
        </w:rPr>
        <w:instrText xml:space="preserve">HYPERLINK \l "_Toc198828663" </w:instrText>
      </w:r>
      <w:r>
        <w:rPr>
          <w:rStyle w:val="Hyperlink"/>
          <w:sz w:val="28"/>
          <w:szCs w:val="28"/>
        </w:rPr>
        <w:fldChar w:fldCharType="separate"/>
      </w:r>
      <w:r>
        <w:rPr>
          <w:rStyle w:val="Hyperlink"/>
          <w:sz w:val="28"/>
          <w:szCs w:val="28"/>
        </w:rPr>
        <w:t>Conclusion</w:t>
      </w:r>
      <w:r>
        <w:rPr>
          <w:sz w:val="28"/>
          <w:szCs w:val="28"/>
        </w:rPr>
        <w:tab/>
      </w:r>
      <w:r>
        <w:rPr>
          <w:sz w:val="28"/>
          <w:szCs w:val="28"/>
        </w:rPr>
        <w:fldChar w:fldCharType="begin"/>
      </w:r>
      <w:r>
        <w:rPr>
          <w:sz w:val="28"/>
          <w:szCs w:val="28"/>
        </w:rPr>
        <w:instrText xml:space="preserve"> PAGEREF _Toc198828663 \h </w:instrText>
      </w:r>
      <w:r>
        <w:rPr>
          <w:sz w:val="28"/>
          <w:szCs w:val="28"/>
        </w:rPr>
        <w:fldChar w:fldCharType="separate"/>
      </w:r>
      <w:r>
        <w:rPr>
          <w:sz w:val="28"/>
          <w:szCs w:val="28"/>
        </w:rPr>
        <w:t>1</w:t>
      </w:r>
      <w:r>
        <w:rPr>
          <w:rFonts w:asciiTheme="minorHAnsi" w:cstheme="minorBidi" w:eastAsiaTheme="minorEastAsia" w:hAnsiTheme="minorHAnsi"/>
          <w:sz w:val="28"/>
          <w:szCs w:val="28"/>
        </w:rPr>
        <w:fldChar w:fldCharType="end"/>
      </w:r>
      <w:r>
        <w:rPr>
          <w:rFonts w:asciiTheme="minorHAnsi" w:cstheme="minorBidi" w:eastAsiaTheme="minorEastAsia" w:hAnsiTheme="minorHAnsi"/>
          <w:sz w:val="28"/>
          <w:szCs w:val="28"/>
        </w:rPr>
        <w:fldChar w:fldCharType="end"/>
      </w:r>
      <w:r>
        <w:rPr>
          <w:rFonts w:asciiTheme="minorHAnsi" w:cstheme="minorBidi" w:eastAsiaTheme="minorEastAsia" w:hAnsiTheme="minorHAnsi"/>
          <w:sz w:val="28"/>
          <w:szCs w:val="28"/>
        </w:rPr>
        <w:t>3</w:t>
      </w:r>
    </w:p>
    <w:p w14:paraId="0000002B">
      <w:pPr>
        <w:pStyle w:val="Toc1"/>
        <w:tabs>
          <w:tab w:val="right" w:leader="dot" w:pos="9350"/>
        </w:tabs>
        <w:rPr>
          <w:rFonts w:asciiTheme="minorHAnsi" w:cstheme="minorBidi" w:eastAsiaTheme="minorEastAsia" w:hAnsiTheme="minorHAnsi"/>
          <w:sz w:val="28"/>
          <w:szCs w:val="28"/>
        </w:rPr>
      </w:pPr>
      <w:r>
        <w:rPr>
          <w:sz w:val="28"/>
          <w:szCs w:val="28"/>
        </w:rPr>
        <w:t>Refer</w:t>
      </w:r>
      <w:r>
        <w:rPr>
          <w:rStyle w:val="Hyperlink"/>
          <w:sz w:val="28"/>
          <w:szCs w:val="28"/>
        </w:rPr>
        <w:fldChar w:fldCharType="begin"/>
      </w:r>
      <w:r>
        <w:rPr>
          <w:rStyle w:val="Hyperlink"/>
          <w:sz w:val="28"/>
          <w:szCs w:val="28"/>
        </w:rPr>
        <w:instrText xml:space="preserve">HYPERLINK \l "_Toc198828664" </w:instrText>
      </w:r>
      <w:r>
        <w:rPr>
          <w:rStyle w:val="Hyperlink"/>
          <w:sz w:val="28"/>
          <w:szCs w:val="28"/>
        </w:rPr>
        <w:fldChar w:fldCharType="separate"/>
      </w:r>
      <w:r>
        <w:rPr>
          <w:rStyle w:val="Hyperlink"/>
          <w:sz w:val="28"/>
          <w:szCs w:val="28"/>
        </w:rPr>
        <w:t>ences list</w:t>
      </w:r>
      <w:r>
        <w:rPr>
          <w:sz w:val="28"/>
          <w:szCs w:val="28"/>
        </w:rPr>
        <w:tab/>
      </w:r>
      <w:r>
        <w:rPr>
          <w:sz w:val="28"/>
          <w:szCs w:val="28"/>
        </w:rPr>
        <w:fldChar w:fldCharType="begin"/>
      </w:r>
      <w:r>
        <w:rPr>
          <w:sz w:val="28"/>
          <w:szCs w:val="28"/>
        </w:rPr>
        <w:instrText xml:space="preserve"> PAGEREF _Toc198828664 \h </w:instrText>
      </w:r>
      <w:r>
        <w:rPr>
          <w:sz w:val="28"/>
          <w:szCs w:val="28"/>
        </w:rPr>
        <w:fldChar w:fldCharType="separate"/>
      </w:r>
      <w:r>
        <w:rPr>
          <w:sz w:val="28"/>
          <w:szCs w:val="28"/>
        </w:rPr>
        <w:t>1</w:t>
      </w:r>
      <w:r>
        <w:rPr>
          <w:rFonts w:asciiTheme="minorHAnsi" w:cstheme="minorBidi" w:eastAsiaTheme="minorEastAsia" w:hAnsiTheme="minorHAnsi"/>
          <w:sz w:val="28"/>
          <w:szCs w:val="28"/>
        </w:rPr>
        <w:fldChar w:fldCharType="end"/>
      </w:r>
      <w:r>
        <w:rPr>
          <w:rFonts w:asciiTheme="minorHAnsi" w:cstheme="minorBidi" w:eastAsiaTheme="minorEastAsia" w:hAnsiTheme="minorHAnsi"/>
          <w:sz w:val="28"/>
          <w:szCs w:val="28"/>
        </w:rPr>
        <w:fldChar w:fldCharType="end"/>
      </w:r>
      <w:r>
        <w:rPr>
          <w:rFonts w:asciiTheme="minorHAnsi" w:cstheme="minorBidi" w:eastAsiaTheme="minorEastAsia" w:hAnsiTheme="minorHAnsi"/>
          <w:sz w:val="28"/>
          <w:szCs w:val="28"/>
        </w:rPr>
        <w:t>4</w:t>
      </w:r>
    </w:p>
    <w:p w14:paraId="0000002C">
      <w:pPr>
        <w:pStyle w:val="Heading1"/>
        <w:rPr/>
      </w:pPr>
      <w:r>
        <w:fldChar w:fldCharType="end"/>
      </w:r>
      <w:bookmarkStart w:id="0" w:name="_Toc198828655"/>
    </w:p>
    <w:p w14:paraId="0000002D">
      <w:pPr>
        <w:pStyle w:val="Normal"/>
        <w:rPr/>
      </w:pPr>
    </w:p>
    <w:p w14:paraId="0000002E">
      <w:pPr>
        <w:pStyle w:val="Normal"/>
        <w:rPr/>
      </w:pPr>
    </w:p>
    <w:p w14:paraId="0000002F">
      <w:pPr>
        <w:pStyle w:val="Normal"/>
        <w:rPr/>
      </w:pPr>
    </w:p>
    <w:p w14:paraId="00000030">
      <w:pPr>
        <w:pStyle w:val="Normal"/>
        <w:rPr/>
      </w:pPr>
    </w:p>
    <w:p w14:paraId="00000031">
      <w:pPr>
        <w:pStyle w:val="Normal"/>
        <w:rPr/>
      </w:pPr>
    </w:p>
    <w:p w14:paraId="00000032">
      <w:pPr>
        <w:pStyle w:val="Heading1"/>
        <w:rPr/>
      </w:pPr>
    </w:p>
    <w:p w14:paraId="00000033">
      <w:pPr>
        <w:pStyle w:val="Heading1"/>
        <w:rPr/>
      </w:pPr>
    </w:p>
    <w:p w14:paraId="00000034">
      <w:pPr>
        <w:pStyle w:val="Heading1"/>
        <w:rPr/>
      </w:pPr>
    </w:p>
    <w:p w14:paraId="00000035">
      <w:pPr>
        <w:pStyle w:val="Heading1"/>
        <w:rPr/>
      </w:pPr>
    </w:p>
    <w:p w14:paraId="00000036">
      <w:pPr>
        <w:pStyle w:val="Heading1"/>
        <w:rPr/>
      </w:pPr>
    </w:p>
    <w:p w14:paraId="00000037">
      <w:pPr>
        <w:pStyle w:val="Normal"/>
        <w:rPr/>
      </w:pPr>
    </w:p>
    <w:p w14:paraId="00000038">
      <w:pPr>
        <w:pStyle w:val="Heading1"/>
        <w:spacing w:before="0" w:line="360"/>
        <w:rPr/>
      </w:pPr>
      <w:r>
        <w:t>Introduction</w:t>
      </w:r>
      <w:bookmarkEnd w:id="0"/>
    </w:p>
    <w:p w14:paraId="00000039">
      <w:pPr>
        <w:spacing w:line="360" w:lineRule="auto"/>
        <w:rPr>
          <w:rFonts w:ascii="Arial" w:cs="Arial" w:hAnsi="Arial"/>
        </w:rPr>
      </w:pPr>
      <w:r>
        <w:rPr>
          <w:rFonts w:ascii="Arial" w:cs="Arial" w:hAnsi="Arial"/>
        </w:rPr>
        <w:t xml:space="preserve">Visit Wales launched the Year of </w:t>
      </w:r>
      <w:r>
        <w:rPr>
          <w:rFonts w:ascii="Arial" w:cs="Arial" w:hAnsi="Arial"/>
        </w:rPr>
        <w:t>Croeso</w:t>
      </w:r>
      <w:r>
        <w:rPr>
          <w:rFonts w:ascii="Arial" w:cs="Arial" w:hAnsi="Arial"/>
        </w:rPr>
        <w:t xml:space="preserve"> 2025, a nationwide initiative to honor the distinctively Welsh values of warmth, culture, and welcome. Originating from the Welsh word "</w:t>
      </w:r>
      <w:r>
        <w:rPr>
          <w:rFonts w:ascii="Arial" w:cs="Arial" w:hAnsi="Arial"/>
        </w:rPr>
        <w:t>Croeso</w:t>
      </w:r>
      <w:r>
        <w:rPr>
          <w:rFonts w:ascii="Arial" w:cs="Arial" w:hAnsi="Arial"/>
        </w:rPr>
        <w:t>," which means "welcome," the program seeks to establish Wales as a premier location for place-based, experiential tourism</w:t>
      </w:r>
      <w:r>
        <w:rPr>
          <w:rFonts w:ascii="Arial" w:cs="Arial" w:hAnsi="Arial"/>
        </w:rPr>
        <w:t xml:space="preserve"> </w:t>
      </w:r>
      <w:r>
        <w:rPr>
          <w:rFonts w:ascii="Arial" w:cs="Arial" w:hAnsi="Arial"/>
        </w:rPr>
        <w:t>(</w:t>
      </w:r>
      <w:r>
        <w:rPr>
          <w:rFonts w:ascii="Arial" w:cs="Arial" w:hAnsi="Arial"/>
        </w:rPr>
        <w:t>Bowdin</w:t>
      </w:r>
      <w:r>
        <w:rPr>
          <w:rFonts w:ascii="Arial" w:cs="Arial" w:hAnsi="Arial"/>
        </w:rPr>
        <w:t xml:space="preserve"> et al., 2011)</w:t>
      </w:r>
      <w:r>
        <w:rPr>
          <w:rFonts w:ascii="Arial" w:cs="Arial" w:hAnsi="Arial"/>
        </w:rPr>
        <w:t>. The campaign uses market findings and industry input to promote cultural heritage, language, and local identity as essential components of the Welsh tourism experience</w:t>
      </w:r>
      <w:r>
        <w:rPr>
          <w:rFonts w:ascii="Arial" w:cs="Arial" w:hAnsi="Arial"/>
        </w:rPr>
        <w:t xml:space="preserve"> </w:t>
      </w:r>
      <w:r>
        <w:rPr>
          <w:rFonts w:ascii="Arial" w:cs="Arial" w:hAnsi="Arial"/>
        </w:rPr>
        <w:t>(Pritchard and Morgan, 2001)</w:t>
      </w:r>
      <w:r>
        <w:rPr>
          <w:rFonts w:ascii="Arial" w:cs="Arial" w:hAnsi="Arial"/>
        </w:rPr>
        <w:t>.</w:t>
      </w:r>
    </w:p>
    <w:p w14:paraId="0000003A">
      <w:pPr>
        <w:spacing w:line="360" w:lineRule="auto"/>
        <w:rPr>
          <w:rFonts w:ascii="Arial" w:cs="Arial" w:hAnsi="Arial"/>
          <w:sz w:val="24"/>
          <w:szCs w:val="24"/>
        </w:rPr>
      </w:pPr>
      <w:r>
        <w:rPr>
          <w:rFonts w:ascii="Arial" w:cs="Arial" w:hAnsi="Arial"/>
        </w:rPr>
        <w:t xml:space="preserve"> A high-level MICE (Meetings, Incentives, Conferences, and Exhibitions) business event, the Wales Global Heritage Business Summit 2025, is being proposed as part of this effort. It will take place at </w:t>
      </w:r>
      <w:r>
        <w:rPr>
          <w:rFonts w:ascii="Arial" w:cs="Arial" w:hAnsi="Arial"/>
        </w:rPr>
        <w:t>Caernarfon</w:t>
      </w:r>
      <w:r>
        <w:rPr>
          <w:rFonts w:ascii="Arial" w:cs="Arial" w:hAnsi="Arial"/>
        </w:rPr>
        <w:t xml:space="preserve"> Castle in </w:t>
      </w:r>
      <w:r>
        <w:rPr>
          <w:rFonts w:ascii="Arial" w:cs="Arial" w:hAnsi="Arial"/>
        </w:rPr>
        <w:t>Gwynedd</w:t>
      </w:r>
      <w:r>
        <w:rPr>
          <w:rFonts w:ascii="Arial" w:cs="Arial" w:hAnsi="Arial"/>
        </w:rPr>
        <w:t xml:space="preserve">. Incorporating corporate networking with cultural immersion, this three-day summit will provide attendees with Welsh heritage experiences, exhibitions, and keynote addresses. "Celebrating Welsh </w:t>
      </w:r>
      <w:r>
        <w:rPr>
          <w:rFonts w:ascii="Arial" w:cs="Arial" w:hAnsi="Arial"/>
          <w:sz w:val="24"/>
          <w:szCs w:val="24"/>
        </w:rPr>
        <w:t xml:space="preserve">Culture through Global Hospitality and Sustainable Business Partnerships" is the event's theme, and it strategically aligns with the Year </w:t>
      </w:r>
      <w:r>
        <w:rPr>
          <w:rFonts w:ascii="Arial" w:cs="Arial" w:hAnsi="Arial"/>
          <w:sz w:val="24"/>
          <w:szCs w:val="24"/>
        </w:rPr>
        <w:t xml:space="preserve">of </w:t>
      </w:r>
      <w:r>
        <w:rPr>
          <w:rFonts w:ascii="Arial" w:cs="Arial" w:hAnsi="Arial"/>
          <w:sz w:val="24"/>
          <w:szCs w:val="24"/>
        </w:rPr>
        <w:t>Croeso</w:t>
      </w:r>
      <w:r>
        <w:rPr>
          <w:rFonts w:ascii="Arial" w:cs="Arial" w:hAnsi="Arial"/>
          <w:sz w:val="24"/>
          <w:szCs w:val="24"/>
        </w:rPr>
        <w:t xml:space="preserve"> campaign's principles.</w:t>
      </w:r>
    </w:p>
    <w:p w14:paraId="0000003B">
      <w:pPr>
        <w:spacing w:line="360" w:lineRule="auto"/>
        <w:rPr>
          <w:rFonts w:ascii="Arial" w:cs="Arial" w:hAnsi="Arial"/>
          <w:sz w:val="24"/>
          <w:szCs w:val="24"/>
        </w:rPr>
      </w:pPr>
      <w:r>
        <w:rPr>
          <w:rFonts w:ascii="Arial" w:cs="Arial" w:hAnsi="Arial"/>
          <w:sz w:val="24"/>
          <w:szCs w:val="24"/>
        </w:rPr>
        <w:t xml:space="preserve"> This is an important national strategic event. It boosts Wales' global standing as a sustainable, culturally unique MICE destination and promotes the country's tourist industry. Global demand for sustainable, culturally integrated corporate events is increasing, according to</w:t>
      </w:r>
      <w:r>
        <w:rPr>
          <w:rFonts w:ascii="Arial" w:cs="Arial" w:hAnsi="Arial"/>
          <w:sz w:val="24"/>
          <w:szCs w:val="24"/>
        </w:rPr>
        <w:t xml:space="preserve"> </w:t>
      </w:r>
      <w:r>
        <w:rPr>
          <w:rFonts w:ascii="Arial" w:cs="Arial" w:hAnsi="Arial"/>
          <w:sz w:val="24"/>
          <w:szCs w:val="24"/>
        </w:rPr>
        <w:t>UN Tourism</w:t>
      </w:r>
      <w:r>
        <w:rPr>
          <w:rFonts w:ascii="Arial" w:cs="Arial" w:hAnsi="Arial"/>
          <w:sz w:val="24"/>
          <w:szCs w:val="24"/>
        </w:rPr>
        <w:t xml:space="preserve"> </w:t>
      </w:r>
      <w:r>
        <w:rPr>
          <w:rFonts w:ascii="Arial" w:cs="Arial" w:hAnsi="Arial"/>
          <w:sz w:val="24"/>
          <w:szCs w:val="24"/>
        </w:rPr>
        <w:t>(</w:t>
      </w:r>
      <w:r>
        <w:rPr>
          <w:rFonts w:ascii="Arial" w:cs="Arial" w:hAnsi="Arial"/>
          <w:sz w:val="24"/>
          <w:szCs w:val="24"/>
        </w:rPr>
        <w:t>2024)</w:t>
      </w:r>
      <w:r>
        <w:rPr>
          <w:rFonts w:ascii="Arial" w:cs="Arial" w:hAnsi="Arial"/>
          <w:sz w:val="24"/>
          <w:szCs w:val="24"/>
        </w:rPr>
        <w:t>, making this project both competitive and relevant. In order to successfully execute the summit in the future, this paper aims to examine strategic planning and delivery procedures critically. Based on preliminary feasibility studies, it evaluates the event's operational, financial, cultural, and environmental planning requirements using theoretical models.</w:t>
      </w:r>
    </w:p>
    <w:p w14:paraId="0000003C">
      <w:pPr>
        <w:pStyle w:val="Heading1"/>
        <w:rPr>
          <w:rFonts w:ascii="Arial" w:cs="Arial" w:hAnsi="Arial"/>
          <w:sz w:val="24"/>
          <w:szCs w:val="24"/>
        </w:rPr>
      </w:pPr>
      <w:bookmarkStart w:id="1" w:name="_Toc198828656"/>
      <w:r>
        <w:rPr>
          <w:rFonts w:ascii="Arial" w:cs="Arial" w:hAnsi="Arial"/>
          <w:sz w:val="24"/>
          <w:szCs w:val="24"/>
        </w:rPr>
        <w:t>The Event Cycle</w:t>
      </w:r>
      <w:bookmarkEnd w:id="1"/>
    </w:p>
    <w:p w14:paraId="0000003D">
      <w:pPr>
        <w:spacing w:line="360" w:lineRule="auto"/>
        <w:rPr>
          <w:rFonts w:ascii="Arial" w:cs="Arial" w:hAnsi="Arial"/>
          <w:sz w:val="24"/>
          <w:szCs w:val="24"/>
        </w:rPr>
      </w:pPr>
      <w:r>
        <w:rPr>
          <w:rFonts w:ascii="Arial" w:cs="Arial" w:hAnsi="Arial"/>
          <w:sz w:val="24"/>
          <w:szCs w:val="24"/>
        </w:rPr>
        <w:t>An event cycle represents the several stages involved in creating, organizing, carrying out, and assessing an event. Five essential phases are listed in a commonly used model by</w:t>
      </w:r>
      <w:r>
        <w:rPr>
          <w:rFonts w:ascii="Arial" w:cs="Arial" w:hAnsi="Arial"/>
          <w:sz w:val="24"/>
          <w:szCs w:val="24"/>
        </w:rPr>
        <w:t xml:space="preserve"> </w:t>
      </w:r>
      <w:r>
        <w:rPr>
          <w:rFonts w:ascii="Arial" w:cs="Arial" w:hAnsi="Arial"/>
          <w:sz w:val="24"/>
          <w:szCs w:val="24"/>
        </w:rPr>
        <w:t xml:space="preserve">Bladen et al., </w:t>
      </w:r>
      <w:r>
        <w:rPr>
          <w:rFonts w:ascii="Arial" w:cs="Arial" w:hAnsi="Arial"/>
          <w:sz w:val="24"/>
          <w:szCs w:val="24"/>
        </w:rPr>
        <w:t>(</w:t>
      </w:r>
      <w:r>
        <w:rPr>
          <w:rFonts w:ascii="Arial" w:cs="Arial" w:hAnsi="Arial"/>
          <w:sz w:val="24"/>
          <w:szCs w:val="24"/>
        </w:rPr>
        <w:t>2022)</w:t>
      </w:r>
      <w:r>
        <w:rPr>
          <w:rFonts w:ascii="Arial" w:cs="Arial" w:hAnsi="Arial"/>
          <w:sz w:val="24"/>
          <w:szCs w:val="24"/>
        </w:rPr>
        <w:t>: planning, execution, evaluation, feasibility, and event execution. To guarantee the successful delivery of a polished and goal-oriented event, each stage strategically connects with the others. The model helps planners manage stakeholder expectations, risk, resources, and post-event effects</w:t>
      </w:r>
      <w:r>
        <w:rPr>
          <w:rFonts w:ascii="Arial" w:cs="Arial" w:hAnsi="Arial"/>
          <w:sz w:val="24"/>
          <w:szCs w:val="24"/>
        </w:rPr>
        <w:t xml:space="preserve"> </w:t>
      </w:r>
      <w:r>
        <w:rPr>
          <w:rFonts w:ascii="Arial" w:cs="Arial" w:hAnsi="Arial"/>
          <w:sz w:val="24"/>
          <w:szCs w:val="24"/>
        </w:rPr>
        <w:t>(Wale et al., 2010)</w:t>
      </w:r>
      <w:r>
        <w:rPr>
          <w:rFonts w:ascii="Arial" w:cs="Arial" w:hAnsi="Arial"/>
          <w:sz w:val="24"/>
          <w:szCs w:val="24"/>
        </w:rPr>
        <w:t>.</w:t>
      </w:r>
    </w:p>
    <w:p w14:paraId="0000003E">
      <w:pPr>
        <w:spacing w:line="360" w:lineRule="auto"/>
        <w:rPr>
          <w:rFonts w:ascii="Arial" w:cs="Arial" w:hAnsi="Arial"/>
          <w:sz w:val="24"/>
          <w:szCs w:val="24"/>
        </w:rPr>
      </w:pPr>
    </w:p>
    <w:p w14:paraId="0000003F">
      <w:pPr>
        <w:spacing w:line="360" w:lineRule="auto"/>
        <w:rPr>
          <w:rFonts w:ascii="Arial" w:cs="Arial" w:hAnsi="Arial"/>
          <w:sz w:val="24"/>
          <w:szCs w:val="24"/>
        </w:rPr>
      </w:pPr>
      <w:r>
        <w:rPr>
          <w:rFonts w:ascii="Arial" w:cs="Arial" w:hAnsi="Arial"/>
          <w:sz w:val="24"/>
          <w:szCs w:val="24"/>
        </w:rPr>
        <w:t xml:space="preserve"> </w:t>
      </w:r>
      <w:r>
        <w:rPr>
          <w:rFonts w:ascii="Arial" w:cs="Arial" w:hAnsi="Arial"/>
          <w:sz w:val="24"/>
          <w:szCs w:val="24"/>
        </w:rPr>
        <w:t xml:space="preserve">At the feasibility stage, this looked at whether the Wales Global Heritage Business Summit 2025 idea was viable. Interest from the stakeholder, suitability of the venue, financial sustainability and the strategic fit to Visit Wales' Year of </w:t>
      </w:r>
      <w:r>
        <w:rPr>
          <w:rFonts w:ascii="Arial" w:cs="Arial" w:hAnsi="Arial"/>
          <w:sz w:val="24"/>
          <w:szCs w:val="24"/>
        </w:rPr>
        <w:t>Croeso</w:t>
      </w:r>
      <w:r>
        <w:rPr>
          <w:rFonts w:ascii="Arial" w:cs="Arial" w:hAnsi="Arial"/>
          <w:sz w:val="24"/>
          <w:szCs w:val="24"/>
        </w:rPr>
        <w:t xml:space="preserve"> 2025 were investigated in this process. </w:t>
      </w:r>
      <w:r>
        <w:rPr>
          <w:rFonts w:ascii="Arial" w:cs="Arial" w:hAnsi="Arial"/>
          <w:sz w:val="24"/>
          <w:szCs w:val="24"/>
        </w:rPr>
        <w:t>Caernarfon</w:t>
      </w:r>
      <w:r>
        <w:rPr>
          <w:rFonts w:ascii="Arial" w:cs="Arial" w:hAnsi="Arial"/>
          <w:sz w:val="24"/>
          <w:szCs w:val="24"/>
        </w:rPr>
        <w:t xml:space="preserve"> Castle and a temporary pavilion were chosen based on each castle’s popularity with audiences, their geographical accessibility and their historical grandeur (Getz and Page, 2016).</w:t>
      </w:r>
    </w:p>
    <w:p w14:paraId="00000040">
      <w:pPr>
        <w:spacing w:line="360" w:lineRule="auto"/>
        <w:rPr>
          <w:rFonts w:ascii="Arial" w:cs="Arial" w:hAnsi="Arial"/>
          <w:sz w:val="24"/>
          <w:szCs w:val="24"/>
        </w:rPr>
      </w:pPr>
    </w:p>
    <w:p w14:paraId="00000041">
      <w:pPr>
        <w:spacing w:line="360" w:lineRule="auto"/>
        <w:rPr>
          <w:rFonts w:ascii="Arial" w:cs="Arial" w:hAnsi="Arial"/>
          <w:sz w:val="24"/>
          <w:szCs w:val="24"/>
        </w:rPr>
      </w:pPr>
      <w:r>
        <w:rPr>
          <w:rFonts w:ascii="Arial" w:cs="Arial" w:hAnsi="Arial"/>
          <w:sz w:val="24"/>
          <w:szCs w:val="24"/>
        </w:rPr>
        <w:t xml:space="preserve">The development of specific logistics was done in the planning phase—for example development of program development, supplier acquisition, risk management planning and marketing strategy formation was in place during the planning phase. </w:t>
      </w:r>
      <w:r>
        <w:rPr>
          <w:rFonts w:ascii="Arial" w:cs="Arial" w:hAnsi="Arial"/>
          <w:sz w:val="24"/>
          <w:szCs w:val="24"/>
        </w:rPr>
        <w:t>Because this event entailed foreign travel, cultural performances and heritage site operations (</w:t>
      </w:r>
      <w:r>
        <w:rPr>
          <w:rFonts w:ascii="Arial" w:cs="Arial" w:hAnsi="Arial"/>
          <w:sz w:val="24"/>
          <w:szCs w:val="24"/>
        </w:rPr>
        <w:t>Chiabai</w:t>
      </w:r>
      <w:r>
        <w:rPr>
          <w:rFonts w:ascii="Arial" w:cs="Arial" w:hAnsi="Arial"/>
          <w:sz w:val="24"/>
          <w:szCs w:val="24"/>
        </w:rPr>
        <w:t xml:space="preserve"> et al., 2011), this phase required explicit coordination across the event stakeholders and contingency frameworks had to be developed.</w:t>
      </w:r>
    </w:p>
    <w:p w14:paraId="00000042">
      <w:pPr>
        <w:spacing w:line="360" w:lineRule="auto"/>
        <w:rPr>
          <w:rFonts w:ascii="Arial" w:cs="Arial" w:hAnsi="Arial"/>
          <w:sz w:val="24"/>
          <w:szCs w:val="24"/>
        </w:rPr>
      </w:pPr>
    </w:p>
    <w:p w14:paraId="00000043">
      <w:pPr>
        <w:spacing w:line="360" w:lineRule="auto"/>
        <w:rPr>
          <w:rFonts w:ascii="Arial" w:cs="Arial" w:hAnsi="Arial"/>
          <w:sz w:val="24"/>
          <w:szCs w:val="24"/>
        </w:rPr>
      </w:pPr>
      <w:r>
        <w:rPr>
          <w:rFonts w:ascii="Arial" w:cs="Arial" w:hAnsi="Arial"/>
          <w:sz w:val="24"/>
          <w:szCs w:val="24"/>
        </w:rPr>
        <w:t>Starting the implementation means turning on the company processes, checking all vendor agreements, assigning staff and launching promotion plans. It is when the plan puts into action and leaders and managers should be adaptable. This means that attendees at the summit have an experience that lives up to their expectations because the event is delivered live (Liu et al., 2017). All exhibits, cultural tours, bilingual programs and tents should be given accurately and expertly. Evaluation covers both statistics and descriptions, applying media analysis, reviewing financials and collecting feedback questionnaires. It is important for comparing the results with the set goals and for creating future advancements, Allen et al. (2011) note.</w:t>
      </w:r>
    </w:p>
    <w:p w14:paraId="00000044">
      <w:pPr>
        <w:widowControl w:val="on"/>
        <w:spacing w:after="200" w:line="276" w:lineRule="auto"/>
        <w:jc w:val="left"/>
        <w:rPr>
          <w:rFonts w:ascii="Arial" w:cs="Arial" w:hAnsi="Arial"/>
          <w:sz w:val="24"/>
          <w:szCs w:val="24"/>
        </w:rPr>
      </w:pPr>
      <w:r>
        <w:rPr>
          <w:rFonts w:ascii="Arial" w:cs="Arial" w:hAnsi="Arial"/>
          <w:sz w:val="24"/>
          <w:szCs w:val="24"/>
        </w:rPr>
        <w:br w:type="page"/>
      </w:r>
    </w:p>
    <w:p w14:paraId="00000045">
      <w:pPr>
        <w:pStyle w:val="Heading1"/>
        <w:rPr>
          <w:rFonts w:ascii="Arial" w:cs="Arial" w:hAnsi="Arial"/>
          <w:sz w:val="24"/>
          <w:szCs w:val="24"/>
        </w:rPr>
      </w:pPr>
      <w:bookmarkStart w:id="2" w:name="_Toc198828657"/>
      <w:r>
        <w:rPr>
          <w:rFonts w:ascii="Arial" w:cs="Arial" w:hAnsi="Arial"/>
          <w:sz w:val="24"/>
          <w:szCs w:val="24"/>
        </w:rPr>
        <w:t>Event Concept and Itinerary</w:t>
      </w:r>
      <w:bookmarkEnd w:id="2"/>
    </w:p>
    <w:p w14:paraId="00000046">
      <w:pPr>
        <w:pStyle w:val="Normal"/>
        <w:rPr>
          <w:rFonts w:ascii="Arial" w:cs="Arial" w:hAnsi="Arial"/>
          <w:sz w:val="24"/>
          <w:szCs w:val="24"/>
        </w:rPr>
      </w:pPr>
    </w:p>
    <w:p w14:paraId="00000047">
      <w:pPr>
        <w:spacing w:line="360" w:lineRule="auto"/>
        <w:rPr>
          <w:rFonts w:ascii="Arial" w:cs="Arial" w:hAnsi="Arial"/>
          <w:sz w:val="24"/>
          <w:szCs w:val="24"/>
        </w:rPr>
      </w:pPr>
      <w:r>
        <w:rPr>
          <w:rFonts w:ascii="Arial" w:cs="Arial" w:hAnsi="Arial"/>
          <w:sz w:val="24"/>
          <w:szCs w:val="24"/>
        </w:rPr>
        <w:t xml:space="preserve">The Wales Global Heritage Business Summit 2025 is part of the Year of </w:t>
      </w:r>
      <w:r>
        <w:rPr>
          <w:rFonts w:ascii="Arial" w:cs="Arial" w:hAnsi="Arial"/>
          <w:sz w:val="24"/>
          <w:szCs w:val="24"/>
        </w:rPr>
        <w:t>Croeso</w:t>
      </w:r>
      <w:r>
        <w:rPr>
          <w:rFonts w:ascii="Arial" w:cs="Arial" w:hAnsi="Arial"/>
          <w:sz w:val="24"/>
          <w:szCs w:val="24"/>
        </w:rPr>
        <w:t xml:space="preserve"> with careful preparation to offer interaction in business settings and experiences of culture. At the summit, foreign people gain a specific feel for the region by meeting with Welsh companies, joining learning activities and participating in diplomacy. It stands inside </w:t>
      </w:r>
      <w:r>
        <w:rPr>
          <w:rFonts w:ascii="Arial" w:cs="Arial" w:hAnsi="Arial"/>
          <w:sz w:val="24"/>
          <w:szCs w:val="24"/>
        </w:rPr>
        <w:t>Caernarfon</w:t>
      </w:r>
      <w:r>
        <w:rPr>
          <w:rFonts w:ascii="Arial" w:cs="Arial" w:hAnsi="Arial"/>
          <w:sz w:val="24"/>
          <w:szCs w:val="24"/>
        </w:rPr>
        <w:t xml:space="preserve"> Castle and is joined to a brand new pavilion.</w:t>
      </w:r>
    </w:p>
    <w:p w14:paraId="00000048">
      <w:pPr>
        <w:spacing w:line="360" w:lineRule="auto"/>
        <w:rPr>
          <w:rFonts w:ascii="Arial" w:cs="Arial" w:hAnsi="Arial"/>
          <w:sz w:val="24"/>
          <w:szCs w:val="24"/>
        </w:rPr>
      </w:pPr>
    </w:p>
    <w:p w14:paraId="00000049">
      <w:pPr>
        <w:spacing w:line="360" w:lineRule="auto"/>
        <w:rPr>
          <w:rFonts w:ascii="Arial" w:cs="Arial" w:hAnsi="Arial"/>
          <w:sz w:val="24"/>
          <w:szCs w:val="24"/>
        </w:rPr>
      </w:pPr>
      <w:r>
        <w:rPr>
          <w:rFonts w:ascii="Arial" w:cs="Arial" w:hAnsi="Arial"/>
          <w:sz w:val="24"/>
          <w:szCs w:val="24"/>
        </w:rPr>
        <w:t xml:space="preserve">The physical and metaphorical surroundings have a significant impact on participant happiness, according to </w:t>
      </w:r>
      <w:r>
        <w:rPr>
          <w:rFonts w:ascii="Arial" w:cs="Arial" w:hAnsi="Arial"/>
          <w:sz w:val="24"/>
          <w:szCs w:val="24"/>
        </w:rPr>
        <w:t>Kotler's</w:t>
      </w:r>
      <w:r>
        <w:rPr>
          <w:rFonts w:ascii="Arial" w:cs="Arial" w:hAnsi="Arial"/>
          <w:sz w:val="24"/>
          <w:szCs w:val="24"/>
        </w:rPr>
        <w:t xml:space="preserve"> </w:t>
      </w:r>
      <w:r>
        <w:rPr>
          <w:rFonts w:ascii="Arial" w:cs="Arial" w:hAnsi="Arial"/>
          <w:sz w:val="24"/>
          <w:szCs w:val="24"/>
        </w:rPr>
        <w:t>servicescape</w:t>
      </w:r>
      <w:r>
        <w:rPr>
          <w:rFonts w:ascii="Arial" w:cs="Arial" w:hAnsi="Arial"/>
          <w:sz w:val="24"/>
          <w:szCs w:val="24"/>
        </w:rPr>
        <w:t xml:space="preserve"> theory (1997). When combined with contemporary conveniences, the castle's historic grandeur improves emotional and cognitive reactions, increasing engagement and memory retention</w:t>
      </w:r>
      <w:r>
        <w:rPr>
          <w:rFonts w:ascii="Arial" w:cs="Arial" w:hAnsi="Arial"/>
          <w:sz w:val="24"/>
          <w:szCs w:val="24"/>
        </w:rPr>
        <w:t xml:space="preserve"> </w:t>
      </w:r>
      <w:r>
        <w:rPr>
          <w:rFonts w:ascii="Arial" w:cs="Arial" w:hAnsi="Arial"/>
          <w:sz w:val="24"/>
          <w:szCs w:val="24"/>
        </w:rPr>
        <w:t>(</w:t>
      </w:r>
      <w:r>
        <w:rPr>
          <w:rFonts w:ascii="Arial" w:cs="Arial" w:hAnsi="Arial"/>
          <w:sz w:val="24"/>
          <w:szCs w:val="24"/>
        </w:rPr>
        <w:t>Ezeh</w:t>
      </w:r>
      <w:r>
        <w:rPr>
          <w:rFonts w:ascii="Arial" w:cs="Arial" w:hAnsi="Arial"/>
          <w:sz w:val="24"/>
          <w:szCs w:val="24"/>
        </w:rPr>
        <w:t xml:space="preserve"> and Harris, 2007)</w:t>
      </w:r>
      <w:r>
        <w:rPr>
          <w:rFonts w:ascii="Arial" w:cs="Arial" w:hAnsi="Arial"/>
          <w:sz w:val="24"/>
          <w:szCs w:val="24"/>
        </w:rPr>
        <w:t xml:space="preserve">. A multi-sensory, immersive experience that transcends commercial encounters is produced by environmental signals, including Welsh-language signs, traditional décor, and cuisine that </w:t>
      </w:r>
      <w:r>
        <w:rPr>
          <w:rFonts w:ascii="Arial" w:cs="Arial" w:hAnsi="Arial"/>
          <w:sz w:val="24"/>
          <w:szCs w:val="24"/>
        </w:rPr>
        <w:t>uses</w:t>
      </w:r>
      <w:r>
        <w:rPr>
          <w:rFonts w:ascii="Arial" w:cs="Arial" w:hAnsi="Arial"/>
          <w:sz w:val="24"/>
          <w:szCs w:val="24"/>
        </w:rPr>
        <w:t xml:space="preserve"> local produce</w:t>
      </w:r>
      <w:r>
        <w:rPr>
          <w:rFonts w:ascii="Arial" w:cs="Arial" w:hAnsi="Arial"/>
          <w:sz w:val="24"/>
          <w:szCs w:val="24"/>
        </w:rPr>
        <w:t xml:space="preserve"> </w:t>
      </w:r>
      <w:r>
        <w:rPr>
          <w:rFonts w:ascii="Arial" w:cs="Arial" w:hAnsi="Arial"/>
          <w:sz w:val="24"/>
          <w:szCs w:val="24"/>
        </w:rPr>
        <w:t>(Quick, 2020)</w:t>
      </w:r>
      <w:r>
        <w:rPr>
          <w:rFonts w:ascii="Arial" w:cs="Arial" w:hAnsi="Arial"/>
          <w:sz w:val="24"/>
          <w:szCs w:val="24"/>
        </w:rPr>
        <w:t>.</w:t>
      </w:r>
    </w:p>
    <w:p w14:paraId="0000004A">
      <w:pPr>
        <w:spacing w:line="360" w:lineRule="auto"/>
        <w:rPr>
          <w:rFonts w:ascii="Arial" w:cs="Arial" w:hAnsi="Arial"/>
          <w:sz w:val="24"/>
          <w:szCs w:val="24"/>
        </w:rPr>
      </w:pPr>
    </w:p>
    <w:p w14:paraId="0000004B">
      <w:pPr>
        <w:spacing w:line="360" w:lineRule="auto"/>
        <w:rPr>
          <w:rFonts w:ascii="Arial" w:cs="Arial" w:hAnsi="Arial"/>
          <w:b/>
          <w:i/>
          <w:sz w:val="24"/>
          <w:szCs w:val="24"/>
        </w:rPr>
      </w:pPr>
      <w:r>
        <w:rPr>
          <w:rFonts w:ascii="Arial" w:cs="Arial" w:hAnsi="Arial"/>
          <w:b/>
          <w:i/>
          <w:sz w:val="24"/>
          <w:szCs w:val="24"/>
        </w:rPr>
        <w:t>The three-day itinerary is structured as follows:</w:t>
      </w:r>
    </w:p>
    <w:tbl>
      <w:tblPr>
        <w:tblStyle w:val="TableGrid"/>
        <w:tblW w:w="0" w:type="auto"/>
        <w:tblLook w:val="04A0"/>
      </w:tblPr>
      <w:tblGrid>
        <w:gridCol w:w="1188"/>
        <w:gridCol w:w="8388"/>
      </w:tblGrid>
      <w:tr>
        <w:trPr/>
        <w:tc>
          <w:tcPr>
            <w:cnfStyle w:val="101000000000"/>
            <w:tcW w:w="1188" w:type="dxa"/>
            <w:shd w:val="clear" w:color="auto" w:fill="8db4e3" w:themeFill="text2" w:themeFillTint="66"/>
          </w:tcPr>
          <w:p w14:paraId="0000004C">
            <w:pPr>
              <w:spacing w:line="360" w:lineRule="auto"/>
              <w:rPr>
                <w:rFonts w:ascii="Arial" w:cs="Arial" w:hAnsi="Arial"/>
                <w:sz w:val="24"/>
                <w:szCs w:val="24"/>
              </w:rPr>
            </w:pPr>
            <w:r>
              <w:rPr>
                <w:rFonts w:ascii="Arial" w:cs="Arial" w:hAnsi="Arial"/>
                <w:sz w:val="24"/>
                <w:szCs w:val="24"/>
              </w:rPr>
              <w:t>Day 1</w:t>
            </w:r>
          </w:p>
        </w:tc>
        <w:tc>
          <w:tcPr>
            <w:cnfStyle w:val="100000000000"/>
            <w:tcW w:w="8388" w:type="dxa"/>
          </w:tcPr>
          <w:p w14:paraId="0000004D">
            <w:pPr>
              <w:spacing w:line="360" w:lineRule="auto"/>
              <w:rPr>
                <w:rFonts w:ascii="Arial" w:cs="Arial" w:hAnsi="Arial"/>
                <w:sz w:val="24"/>
                <w:szCs w:val="24"/>
              </w:rPr>
            </w:pPr>
            <w:r>
              <w:rPr>
                <w:rFonts w:ascii="Arial" w:cs="Arial" w:hAnsi="Arial"/>
                <w:sz w:val="24"/>
                <w:szCs w:val="24"/>
              </w:rPr>
              <w:t>A worldwide thought leader in sustainable tourism will give the keynote lecture after the summit begins with a formal ceremony that includes a multilingual address by Welsh Government representatives. A welcome meal with Welsh food and live music (such as harp and folk groups) will round off the evening.</w:t>
            </w:r>
          </w:p>
        </w:tc>
      </w:tr>
      <w:tr>
        <w:trPr/>
        <w:tc>
          <w:tcPr>
            <w:cnfStyle w:val="001000100000"/>
            <w:tcW w:w="1188" w:type="dxa"/>
            <w:shd w:val="clear" w:color="auto" w:fill="8db4e3" w:themeFill="text2" w:themeFillTint="66"/>
          </w:tcPr>
          <w:p w14:paraId="0000004E">
            <w:pPr>
              <w:spacing w:line="360" w:lineRule="auto"/>
              <w:rPr>
                <w:rFonts w:ascii="Arial" w:cs="Arial" w:hAnsi="Arial"/>
                <w:sz w:val="24"/>
                <w:szCs w:val="24"/>
              </w:rPr>
            </w:pPr>
            <w:r>
              <w:rPr>
                <w:rFonts w:ascii="Arial" w:cs="Arial" w:hAnsi="Arial"/>
                <w:sz w:val="24"/>
                <w:szCs w:val="24"/>
              </w:rPr>
              <w:t>Day 2</w:t>
            </w:r>
          </w:p>
        </w:tc>
        <w:tc>
          <w:tcPr>
            <w:cnfStyle w:val="000000100000"/>
            <w:tcW w:w="8388" w:type="dxa"/>
          </w:tcPr>
          <w:p w14:paraId="0000004F">
            <w:pPr>
              <w:spacing w:line="360" w:lineRule="auto"/>
              <w:rPr>
                <w:rFonts w:ascii="Arial" w:cs="Arial" w:hAnsi="Arial"/>
                <w:sz w:val="24"/>
                <w:szCs w:val="24"/>
              </w:rPr>
            </w:pPr>
            <w:r>
              <w:rPr>
                <w:rFonts w:ascii="Arial" w:cs="Arial" w:hAnsi="Arial"/>
                <w:sz w:val="24"/>
                <w:szCs w:val="24"/>
              </w:rPr>
              <w:t xml:space="preserve">Participants attend breakout workshops on sustainability, international collaborations, and hospitality led by heritage. Artisan fairs, slate museums, and guided cultural excursions of </w:t>
            </w:r>
            <w:r>
              <w:rPr>
                <w:rFonts w:ascii="Arial" w:cs="Arial" w:hAnsi="Arial"/>
                <w:sz w:val="24"/>
                <w:szCs w:val="24"/>
              </w:rPr>
              <w:t>Caernarfon</w:t>
            </w:r>
            <w:r>
              <w:rPr>
                <w:rFonts w:ascii="Arial" w:cs="Arial" w:hAnsi="Arial"/>
                <w:sz w:val="24"/>
                <w:szCs w:val="24"/>
              </w:rPr>
              <w:t xml:space="preserve"> punctuate these. Panel talks with foreign partners and local leaders round off the day.</w:t>
            </w:r>
          </w:p>
        </w:tc>
      </w:tr>
      <w:tr>
        <w:trPr/>
        <w:tc>
          <w:tcPr>
            <w:cnfStyle w:val="001000010000"/>
            <w:tcW w:w="1188" w:type="dxa"/>
            <w:shd w:val="clear" w:color="auto" w:fill="8db4e3" w:themeFill="text2" w:themeFillTint="66"/>
          </w:tcPr>
          <w:p w14:paraId="00000050">
            <w:pPr>
              <w:spacing w:line="360" w:lineRule="auto"/>
              <w:rPr>
                <w:rFonts w:ascii="Arial" w:cs="Arial" w:hAnsi="Arial"/>
                <w:sz w:val="24"/>
                <w:szCs w:val="24"/>
              </w:rPr>
            </w:pPr>
            <w:r>
              <w:rPr>
                <w:rFonts w:ascii="Arial" w:cs="Arial" w:hAnsi="Arial"/>
                <w:sz w:val="24"/>
                <w:szCs w:val="24"/>
              </w:rPr>
              <w:t>Day 3</w:t>
            </w:r>
          </w:p>
        </w:tc>
        <w:tc>
          <w:tcPr>
            <w:cnfStyle w:val="000000010000"/>
            <w:tcW w:w="8388" w:type="dxa"/>
          </w:tcPr>
          <w:p w14:paraId="00000051">
            <w:pPr>
              <w:spacing w:line="360" w:lineRule="auto"/>
              <w:rPr>
                <w:rFonts w:ascii="Arial" w:cs="Arial" w:hAnsi="Arial"/>
                <w:sz w:val="24"/>
                <w:szCs w:val="24"/>
              </w:rPr>
            </w:pPr>
            <w:r>
              <w:rPr>
                <w:rFonts w:ascii="Arial" w:cs="Arial" w:hAnsi="Arial"/>
                <w:sz w:val="24"/>
                <w:szCs w:val="24"/>
              </w:rPr>
              <w:t>On the last day, a press/media conference and closing gala are held after the displays of Welsh companies and tourist stakeholders. Delegates take part in a goodbye toast in Welsh, using digital interpretation equipment.</w:t>
            </w:r>
          </w:p>
        </w:tc>
      </w:tr>
    </w:tbl>
    <w:p w14:paraId="00000052">
      <w:pPr>
        <w:spacing w:line="360" w:lineRule="auto"/>
        <w:rPr>
          <w:rFonts w:ascii="Arial" w:cs="Arial" w:hAnsi="Arial"/>
          <w:sz w:val="24"/>
          <w:szCs w:val="24"/>
        </w:rPr>
      </w:pPr>
    </w:p>
    <w:p w14:paraId="00000053">
      <w:pPr>
        <w:widowControl w:val="on"/>
        <w:spacing w:after="200" w:line="276" w:lineRule="auto"/>
        <w:jc w:val="left"/>
        <w:rPr>
          <w:rFonts w:ascii="Arial" w:cs="Arial" w:hAnsi="Arial"/>
          <w:sz w:val="24"/>
          <w:szCs w:val="24"/>
        </w:rPr>
      </w:pPr>
      <w:r>
        <w:rPr>
          <w:rFonts w:ascii="Arial" w:cs="Arial" w:hAnsi="Arial"/>
          <w:sz w:val="24"/>
          <w:szCs w:val="24"/>
        </w:rPr>
        <w:br w:type="page"/>
      </w:r>
    </w:p>
    <w:p w14:paraId="00000054">
      <w:pPr>
        <w:pStyle w:val="Heading1"/>
        <w:rPr>
          <w:rFonts w:ascii="Arial" w:cs="Arial" w:hAnsi="Arial"/>
          <w:sz w:val="24"/>
          <w:szCs w:val="24"/>
        </w:rPr>
      </w:pPr>
      <w:bookmarkStart w:id="3" w:name="_Toc198828658"/>
      <w:r>
        <w:rPr>
          <w:rFonts w:ascii="Arial" w:cs="Arial" w:hAnsi="Arial"/>
          <w:sz w:val="24"/>
          <w:szCs w:val="24"/>
        </w:rPr>
        <w:t>Aim and SMART Objectives</w:t>
      </w:r>
      <w:bookmarkEnd w:id="3"/>
    </w:p>
    <w:p w14:paraId="00000055">
      <w:pPr>
        <w:pStyle w:val="Heading1"/>
        <w:rPr>
          <w:rFonts w:ascii="Arial" w:cs="Arial" w:hAnsi="Arial"/>
          <w:sz w:val="24"/>
          <w:szCs w:val="24"/>
        </w:rPr>
      </w:pPr>
      <w:r>
        <w:rPr>
          <w:rFonts w:ascii="Arial" w:cs="Arial" w:hAnsi="Arial"/>
          <w:sz w:val="24"/>
          <w:szCs w:val="24"/>
        </w:rPr>
        <w:t xml:space="preserve">The overarching strategic aim of the </w:t>
      </w:r>
      <w:r>
        <w:rPr>
          <w:rFonts w:ascii="Arial" w:cs="Arial" w:hAnsi="Arial"/>
          <w:i/>
          <w:iCs/>
          <w:sz w:val="24"/>
          <w:szCs w:val="24"/>
        </w:rPr>
        <w:t>Wales Global Heritage Business Summit 2025</w:t>
      </w:r>
      <w:r>
        <w:rPr>
          <w:rFonts w:ascii="Arial" w:cs="Arial" w:hAnsi="Arial"/>
          <w:sz w:val="24"/>
          <w:szCs w:val="24"/>
        </w:rPr>
        <w:t xml:space="preserve"> is:</w:t>
      </w:r>
    </w:p>
    <w:p w14:paraId="00000056">
      <w:pPr>
        <w:pStyle w:val="Normal"/>
        <w:rPr>
          <w:rFonts w:ascii="Arial" w:cs="Arial" w:hAnsi="Arial"/>
          <w:sz w:val="24"/>
          <w:szCs w:val="24"/>
        </w:rPr>
      </w:pPr>
    </w:p>
    <w:p w14:paraId="00000057">
      <w:pPr>
        <w:pStyle w:val="ListParagraph"/>
        <w:numPr>
          <w:ilvl w:val="0"/>
          <w:numId w:val="2"/>
        </w:numPr>
        <w:spacing w:line="360" w:lineRule="auto"/>
        <w:rPr>
          <w:rFonts w:ascii="Arial" w:cs="Arial" w:hAnsi="Arial"/>
          <w:sz w:val="24"/>
          <w:szCs w:val="24"/>
        </w:rPr>
      </w:pPr>
      <w:r>
        <w:rPr>
          <w:rFonts w:ascii="Arial" w:cs="Arial" w:hAnsi="Arial"/>
          <w:sz w:val="24"/>
          <w:szCs w:val="24"/>
        </w:rPr>
        <w:t xml:space="preserve">To position Wales as a top-tier MICE destination by leveraging its cultural heritage and hospitality strengths through an internationally </w:t>
      </w:r>
      <w:r>
        <w:rPr>
          <w:rFonts w:ascii="Arial" w:cs="Arial" w:hAnsi="Arial"/>
          <w:sz w:val="24"/>
          <w:szCs w:val="24"/>
        </w:rPr>
        <w:t>recognised</w:t>
      </w:r>
      <w:r>
        <w:rPr>
          <w:rFonts w:ascii="Arial" w:cs="Arial" w:hAnsi="Arial"/>
          <w:sz w:val="24"/>
          <w:szCs w:val="24"/>
        </w:rPr>
        <w:t xml:space="preserve"> business event.</w:t>
      </w:r>
    </w:p>
    <w:p w14:paraId="00000058">
      <w:pPr>
        <w:spacing w:line="360" w:lineRule="auto"/>
        <w:rPr>
          <w:rFonts w:ascii="Arial" w:cs="Arial" w:hAnsi="Arial"/>
          <w:sz w:val="24"/>
          <w:szCs w:val="24"/>
        </w:rPr>
      </w:pPr>
      <w:r>
        <w:rPr>
          <w:rFonts w:ascii="Arial" w:cs="Arial" w:hAnsi="Arial"/>
          <w:sz w:val="24"/>
          <w:szCs w:val="24"/>
        </w:rPr>
        <w:t xml:space="preserve">This aim aligns with the strategic objectives of the </w:t>
      </w:r>
      <w:r>
        <w:rPr>
          <w:rFonts w:ascii="Arial" w:cs="Arial" w:hAnsi="Arial"/>
          <w:i/>
          <w:iCs/>
          <w:sz w:val="24"/>
          <w:szCs w:val="24"/>
        </w:rPr>
        <w:t xml:space="preserve">Year of </w:t>
      </w:r>
      <w:r>
        <w:rPr>
          <w:rFonts w:ascii="Arial" w:cs="Arial" w:hAnsi="Arial"/>
          <w:i/>
          <w:iCs/>
          <w:sz w:val="24"/>
          <w:szCs w:val="24"/>
        </w:rPr>
        <w:t>Croeso</w:t>
      </w:r>
      <w:r>
        <w:rPr>
          <w:rFonts w:ascii="Arial" w:cs="Arial" w:hAnsi="Arial"/>
          <w:i/>
          <w:iCs/>
          <w:sz w:val="24"/>
          <w:szCs w:val="24"/>
        </w:rPr>
        <w:t xml:space="preserve"> 2025</w:t>
      </w:r>
      <w:r>
        <w:rPr>
          <w:rFonts w:ascii="Arial" w:cs="Arial" w:hAnsi="Arial"/>
          <w:sz w:val="24"/>
          <w:szCs w:val="24"/>
        </w:rPr>
        <w:t xml:space="preserve"> by promoting Wales as a place where global business can meet local identity, reinforcing its competitive edge in the international events market.</w:t>
      </w:r>
    </w:p>
    <w:p w14:paraId="00000059">
      <w:pPr>
        <w:spacing w:line="360" w:lineRule="auto"/>
        <w:rPr>
          <w:rFonts w:ascii="Arial" w:cs="Arial" w:hAnsi="Arial"/>
          <w:sz w:val="24"/>
          <w:szCs w:val="24"/>
        </w:rPr>
      </w:pPr>
      <w:r>
        <w:rPr>
          <w:rFonts w:ascii="Arial" w:cs="Arial" w:hAnsi="Arial"/>
          <w:sz w:val="24"/>
          <w:szCs w:val="24"/>
        </w:rPr>
        <w:t>To achieve this aim, the following SMART objectives are proposed:</w:t>
      </w:r>
    </w:p>
    <w:p w14:paraId="0000005A">
      <w:pPr>
        <w:numPr>
          <w:ilvl w:val="0"/>
          <w:numId w:val="1"/>
        </w:numPr>
        <w:spacing w:line="360" w:lineRule="auto"/>
        <w:rPr>
          <w:rFonts w:ascii="Arial" w:cs="Arial" w:hAnsi="Arial"/>
          <w:sz w:val="24"/>
          <w:szCs w:val="24"/>
        </w:rPr>
      </w:pPr>
      <w:r>
        <w:rPr>
          <w:rFonts w:ascii="Arial" w:cs="Arial" w:hAnsi="Arial"/>
          <w:sz w:val="24"/>
          <w:szCs w:val="24"/>
        </w:rPr>
        <w:t>To attract a minimum of 250 international delegates representing at least 10 different countries, ensuring a diverse, global professional audience that enhances international networking and knowledge exchange.</w:t>
      </w:r>
    </w:p>
    <w:p w14:paraId="0000005B">
      <w:pPr>
        <w:numPr>
          <w:ilvl w:val="0"/>
          <w:numId w:val="1"/>
        </w:numPr>
        <w:spacing w:line="360" w:lineRule="auto"/>
        <w:rPr>
          <w:rFonts w:ascii="Arial" w:cs="Arial" w:hAnsi="Arial"/>
          <w:sz w:val="24"/>
          <w:szCs w:val="24"/>
        </w:rPr>
      </w:pPr>
      <w:r>
        <w:rPr>
          <w:rFonts w:ascii="Arial" w:cs="Arial" w:hAnsi="Arial"/>
          <w:sz w:val="24"/>
          <w:szCs w:val="24"/>
        </w:rPr>
        <w:t>To secure at least five strategic partnership agreements with global hospitality, tourism, or cultural institutions, supporting long-term destination marketing and collaborative innovation.</w:t>
      </w:r>
    </w:p>
    <w:p w14:paraId="0000005C">
      <w:pPr>
        <w:numPr>
          <w:ilvl w:val="0"/>
          <w:numId w:val="1"/>
        </w:numPr>
        <w:spacing w:line="360" w:lineRule="auto"/>
        <w:rPr>
          <w:rFonts w:ascii="Arial" w:cs="Arial" w:hAnsi="Arial"/>
          <w:sz w:val="24"/>
          <w:szCs w:val="24"/>
        </w:rPr>
      </w:pPr>
      <w:r>
        <w:rPr>
          <w:rFonts w:ascii="Arial" w:cs="Arial" w:hAnsi="Arial"/>
          <w:sz w:val="24"/>
          <w:szCs w:val="24"/>
        </w:rPr>
        <w:t>To achieve a 90% delegate satisfaction rate, as measured through bilingual post-event surveys, focusing on content quality, cultural engagement, and overall event delivery experience.</w:t>
      </w:r>
    </w:p>
    <w:p w14:paraId="0000005D">
      <w:pPr>
        <w:pStyle w:val="Heading1"/>
        <w:rPr>
          <w:rFonts w:ascii="Arial" w:cs="Arial" w:hAnsi="Arial"/>
          <w:sz w:val="24"/>
          <w:szCs w:val="24"/>
        </w:rPr>
      </w:pPr>
      <w:bookmarkStart w:id="4" w:name="_Toc198828659"/>
      <w:r>
        <w:rPr>
          <w:rFonts w:ascii="Arial" w:cs="Arial" w:hAnsi="Arial"/>
          <w:sz w:val="24"/>
          <w:szCs w:val="24"/>
        </w:rPr>
        <w:t>Event Management: Skills and Resources</w:t>
      </w:r>
      <w:bookmarkEnd w:id="4"/>
    </w:p>
    <w:p w14:paraId="0000005E">
      <w:pPr>
        <w:pStyle w:val="Normal"/>
        <w:rPr>
          <w:rFonts w:ascii="Arial" w:cs="Arial" w:hAnsi="Arial"/>
          <w:sz w:val="24"/>
          <w:szCs w:val="24"/>
        </w:rPr>
      </w:pPr>
    </w:p>
    <w:p w14:paraId="0000005F">
      <w:pPr>
        <w:spacing w:line="360" w:lineRule="auto"/>
        <w:rPr>
          <w:rFonts w:ascii="Arial" w:cs="Arial" w:hAnsi="Arial"/>
          <w:sz w:val="24"/>
          <w:szCs w:val="24"/>
        </w:rPr>
      </w:pPr>
      <w:r>
        <w:rPr>
          <w:rFonts w:ascii="Arial" w:cs="Arial" w:hAnsi="Arial"/>
          <w:sz w:val="24"/>
          <w:szCs w:val="24"/>
        </w:rPr>
        <w:t>For the Wales Global Heritage Business Summit 2025 to be delivered successfully, a disciplined approach to event management that integrates operational accuracy, strategic planning, and culturally appropriate marketing is necessary. A multidisciplinary team has to be led by theoretical frameworks that improve coordination and leadership and have the necessary abilities</w:t>
      </w:r>
      <w:r>
        <w:rPr>
          <w:rFonts w:ascii="Arial" w:cs="Arial" w:hAnsi="Arial"/>
          <w:sz w:val="24"/>
          <w:szCs w:val="24"/>
        </w:rPr>
        <w:t xml:space="preserve"> </w:t>
      </w:r>
      <w:r>
        <w:rPr>
          <w:rFonts w:ascii="Arial" w:cs="Arial" w:hAnsi="Arial"/>
          <w:sz w:val="24"/>
          <w:szCs w:val="24"/>
        </w:rPr>
        <w:t xml:space="preserve">(None </w:t>
      </w:r>
      <w:r>
        <w:rPr>
          <w:rFonts w:ascii="Arial" w:cs="Arial" w:hAnsi="Arial"/>
          <w:sz w:val="24"/>
          <w:szCs w:val="24"/>
        </w:rPr>
        <w:t>Emmanuella</w:t>
      </w:r>
      <w:r>
        <w:rPr>
          <w:rFonts w:ascii="Arial" w:cs="Arial" w:hAnsi="Arial"/>
          <w:sz w:val="24"/>
          <w:szCs w:val="24"/>
        </w:rPr>
        <w:t xml:space="preserve"> </w:t>
      </w:r>
      <w:r>
        <w:rPr>
          <w:rFonts w:ascii="Arial" w:cs="Arial" w:hAnsi="Arial"/>
          <w:sz w:val="24"/>
          <w:szCs w:val="24"/>
        </w:rPr>
        <w:t>Onyinye</w:t>
      </w:r>
      <w:r>
        <w:rPr>
          <w:rFonts w:ascii="Arial" w:cs="Arial" w:hAnsi="Arial"/>
          <w:sz w:val="24"/>
          <w:szCs w:val="24"/>
        </w:rPr>
        <w:t xml:space="preserve"> </w:t>
      </w:r>
      <w:r>
        <w:rPr>
          <w:rFonts w:ascii="Arial" w:cs="Arial" w:hAnsi="Arial"/>
          <w:sz w:val="24"/>
          <w:szCs w:val="24"/>
        </w:rPr>
        <w:t>Nwulu</w:t>
      </w:r>
      <w:r>
        <w:rPr>
          <w:rFonts w:ascii="Arial" w:cs="Arial" w:hAnsi="Arial"/>
          <w:sz w:val="24"/>
          <w:szCs w:val="24"/>
        </w:rPr>
        <w:t xml:space="preserve"> et al., 2022)</w:t>
      </w:r>
      <w:r>
        <w:rPr>
          <w:rFonts w:ascii="Arial" w:cs="Arial" w:hAnsi="Arial"/>
          <w:sz w:val="24"/>
          <w:szCs w:val="24"/>
        </w:rPr>
        <w:t>.</w:t>
      </w:r>
    </w:p>
    <w:p w14:paraId="00000060">
      <w:pPr>
        <w:spacing w:line="360" w:lineRule="auto"/>
        <w:rPr>
          <w:rFonts w:ascii="Arial" w:cs="Arial" w:hAnsi="Arial"/>
          <w:sz w:val="24"/>
          <w:szCs w:val="24"/>
        </w:rPr>
      </w:pPr>
      <w:r>
        <w:rPr>
          <w:rFonts w:ascii="Arial" w:cs="Arial" w:hAnsi="Arial"/>
          <w:sz w:val="24"/>
          <w:szCs w:val="24"/>
        </w:rPr>
        <w:t xml:space="preserve"> Due to the dual usage of </w:t>
      </w:r>
      <w:r>
        <w:rPr>
          <w:rFonts w:ascii="Arial" w:cs="Arial" w:hAnsi="Arial"/>
          <w:sz w:val="24"/>
          <w:szCs w:val="24"/>
        </w:rPr>
        <w:t>Caernarfon</w:t>
      </w:r>
      <w:r>
        <w:rPr>
          <w:rFonts w:ascii="Arial" w:cs="Arial" w:hAnsi="Arial"/>
          <w:sz w:val="24"/>
          <w:szCs w:val="24"/>
        </w:rPr>
        <w:t xml:space="preserve"> Castle and a temporary conference pavilion, site logistics are complicated from an operational standpoint.  In order to comply with preservation requirements and public access rules, coordination with local authorities and heritage site managers will be crucial. </w:t>
      </w:r>
    </w:p>
    <w:p w14:paraId="00000061">
      <w:pPr>
        <w:spacing w:line="360" w:lineRule="auto"/>
        <w:rPr>
          <w:rFonts w:ascii="Arial" w:cs="Arial" w:hAnsi="Arial"/>
          <w:sz w:val="24"/>
          <w:szCs w:val="24"/>
        </w:rPr>
      </w:pPr>
      <w:r>
        <w:rPr>
          <w:rFonts w:ascii="Arial" w:cs="Arial" w:hAnsi="Arial"/>
          <w:sz w:val="24"/>
          <w:szCs w:val="24"/>
        </w:rPr>
        <w:t xml:space="preserve"> To support multilingual programming and multimedia presentations, equipment has to include lighting, staging, sound systems, and interpretation tools.  Event managers, translators, security guards, and hospitality teams will all be part of the staffing.  </w:t>
      </w:r>
      <w:r>
        <w:rPr>
          <w:rFonts w:ascii="Arial" w:cs="Arial" w:hAnsi="Arial"/>
          <w:sz w:val="24"/>
          <w:szCs w:val="24"/>
        </w:rPr>
        <w:t>Crowd management and security must adhere to GDPR and health and safety regulations.  Weather-related delays, problems with overseas travel, and even technical malfunctions will all be covered by risk management.</w:t>
      </w:r>
    </w:p>
    <w:p w14:paraId="00000062">
      <w:pPr>
        <w:spacing w:line="360" w:lineRule="auto"/>
        <w:rPr>
          <w:rFonts w:ascii="Arial" w:cs="Arial" w:hAnsi="Arial"/>
          <w:sz w:val="24"/>
          <w:szCs w:val="24"/>
        </w:rPr>
      </w:pPr>
    </w:p>
    <w:p w14:paraId="00000063">
      <w:pPr>
        <w:spacing w:line="360" w:lineRule="auto"/>
        <w:rPr>
          <w:rFonts w:ascii="Arial" w:cs="Arial" w:hAnsi="Arial"/>
          <w:sz w:val="24"/>
          <w:szCs w:val="24"/>
        </w:rPr>
      </w:pPr>
      <w:r>
        <w:rPr>
          <w:rFonts w:ascii="Arial" w:cs="Arial" w:hAnsi="Arial"/>
          <w:sz w:val="24"/>
          <w:szCs w:val="24"/>
        </w:rPr>
        <w:t>Another aspect of risk assessment is assessing the quality of the venue's infrastructure, such as the structural soundness of the temporary pavilions, the seating arrangements for unobstructed sightlines, and the management of the sound systems to prevent acoustic feedback</w:t>
      </w:r>
      <w:r>
        <w:rPr>
          <w:rFonts w:ascii="Arial" w:cs="Arial" w:hAnsi="Arial"/>
          <w:sz w:val="24"/>
          <w:szCs w:val="24"/>
        </w:rPr>
        <w:t xml:space="preserve"> </w:t>
      </w:r>
      <w:r>
        <w:rPr>
          <w:rFonts w:ascii="Arial" w:cs="Arial" w:hAnsi="Arial"/>
          <w:sz w:val="24"/>
          <w:szCs w:val="24"/>
        </w:rPr>
        <w:t>(</w:t>
      </w:r>
      <w:r>
        <w:rPr>
          <w:rFonts w:ascii="Arial" w:cs="Arial" w:hAnsi="Arial"/>
          <w:sz w:val="24"/>
          <w:szCs w:val="24"/>
        </w:rPr>
        <w:t>Iyer</w:t>
      </w:r>
      <w:r>
        <w:rPr>
          <w:rFonts w:ascii="Arial" w:cs="Arial" w:hAnsi="Arial"/>
          <w:sz w:val="24"/>
          <w:szCs w:val="24"/>
        </w:rPr>
        <w:t>, 2022)</w:t>
      </w:r>
      <w:r>
        <w:rPr>
          <w:rFonts w:ascii="Arial" w:cs="Arial" w:hAnsi="Arial"/>
          <w:sz w:val="24"/>
          <w:szCs w:val="24"/>
        </w:rPr>
        <w:t>. Functional extinguishers, well-marked exits, and trained safety stewards stationed in strategic areas are all part of the fire safety procedures. Clear routes, appropriate signage, and clear roadmaps that are available both online and on-site will guarantee accessibility fluidity.</w:t>
      </w:r>
    </w:p>
    <w:p w14:paraId="00000064">
      <w:pPr>
        <w:spacing w:line="360" w:lineRule="auto"/>
        <w:rPr>
          <w:rFonts w:ascii="Arial" w:cs="Arial" w:hAnsi="Arial"/>
          <w:sz w:val="24"/>
          <w:szCs w:val="24"/>
        </w:rPr>
      </w:pPr>
    </w:p>
    <w:p w14:paraId="00000065">
      <w:pPr>
        <w:spacing w:line="360" w:lineRule="auto"/>
        <w:rPr>
          <w:rFonts w:ascii="Arial" w:cs="Arial" w:hAnsi="Arial"/>
          <w:sz w:val="24"/>
          <w:szCs w:val="24"/>
        </w:rPr>
      </w:pPr>
      <w:r>
        <w:rPr>
          <w:rFonts w:ascii="Arial" w:cs="Arial" w:hAnsi="Arial"/>
          <w:sz w:val="24"/>
          <w:szCs w:val="24"/>
        </w:rPr>
        <w:t xml:space="preserve"> Internet connectivity is a key component of risk reduction, particularly in light of hybrid components and digital interpretation tools. A committed IT specialist will be in charge of guaranteeing consistent Wi-Fi bandwidth and promptly resolving technical issues. Failure in this area might result in a negative delegate experience and reputational harm </w:t>
      </w:r>
      <w:r>
        <w:rPr>
          <w:rFonts w:ascii="Arial" w:cs="Arial" w:hAnsi="Arial"/>
          <w:sz w:val="24"/>
          <w:szCs w:val="24"/>
        </w:rPr>
        <w:t>(</w:t>
      </w:r>
      <w:r>
        <w:rPr>
          <w:rFonts w:ascii="Arial" w:cs="Arial" w:hAnsi="Arial"/>
          <w:sz w:val="24"/>
          <w:szCs w:val="24"/>
        </w:rPr>
        <w:t>Dwivedi</w:t>
      </w:r>
      <w:r>
        <w:rPr>
          <w:rFonts w:ascii="Arial" w:cs="Arial" w:hAnsi="Arial"/>
          <w:sz w:val="24"/>
          <w:szCs w:val="24"/>
        </w:rPr>
        <w:t xml:space="preserve"> et al., 2021)</w:t>
      </w:r>
      <w:r>
        <w:rPr>
          <w:rFonts w:ascii="Arial" w:cs="Arial" w:hAnsi="Arial"/>
          <w:sz w:val="24"/>
          <w:szCs w:val="24"/>
        </w:rPr>
        <w:t>.</w:t>
      </w:r>
    </w:p>
    <w:p w14:paraId="00000066">
      <w:pPr>
        <w:spacing w:line="360" w:lineRule="auto"/>
        <w:rPr>
          <w:rFonts w:ascii="Arial" w:cs="Arial" w:hAnsi="Arial"/>
          <w:sz w:val="24"/>
          <w:szCs w:val="24"/>
        </w:rPr>
      </w:pPr>
    </w:p>
    <w:p w14:paraId="00000067">
      <w:pPr>
        <w:spacing w:line="360" w:lineRule="auto"/>
        <w:rPr>
          <w:rFonts w:ascii="Arial" w:cs="Arial" w:hAnsi="Arial"/>
          <w:sz w:val="24"/>
          <w:szCs w:val="24"/>
        </w:rPr>
      </w:pPr>
      <w:r>
        <w:rPr>
          <w:rFonts w:ascii="Arial" w:cs="Arial" w:hAnsi="Arial"/>
          <w:sz w:val="24"/>
          <w:szCs w:val="24"/>
        </w:rPr>
        <w:t xml:space="preserve"> Before the event begins, a risk operations team headed by the event risk coordinator will supervise in-the-moment safety inspections, coordinate with nearby emergency services, and lead stakeholder walkthroughs. For safety, assigned staff will be in each zone (registration, pavilion, catering, and breakout spaces), along with daily checklists and communication guidelines.</w:t>
      </w:r>
    </w:p>
    <w:p w14:paraId="00000068">
      <w:pPr>
        <w:spacing w:line="360" w:lineRule="auto"/>
        <w:rPr>
          <w:rFonts w:ascii="Arial" w:cs="Arial" w:hAnsi="Arial"/>
          <w:sz w:val="24"/>
          <w:szCs w:val="24"/>
        </w:rPr>
      </w:pPr>
    </w:p>
    <w:p w14:paraId="00000069">
      <w:pPr>
        <w:spacing w:line="360" w:lineRule="auto"/>
        <w:rPr>
          <w:rFonts w:ascii="Arial" w:cs="Arial" w:hAnsi="Arial"/>
          <w:sz w:val="24"/>
          <w:szCs w:val="24"/>
        </w:rPr>
      </w:pPr>
      <w:r>
        <w:rPr>
          <w:rFonts w:ascii="Arial" w:cs="Arial" w:hAnsi="Arial"/>
          <w:sz w:val="24"/>
          <w:szCs w:val="24"/>
        </w:rPr>
        <w:t xml:space="preserve"> As part of the planning process, a critical path timetable that maps all of the important phases—site reservations, vendor agreements, program preparation, and rehearsals—will be created. The Welsh Government, Visit Wales, tourism boards, regional vendors, and foreign sponsors will all be included in the stakeholder engagement process. To maintain resilience against disruption, contingency planning is essential; backup locations, IT support, and substitute speakers must be scheduled in advance.</w:t>
      </w:r>
    </w:p>
    <w:p w14:paraId="0000006A">
      <w:pPr>
        <w:spacing w:line="360" w:lineRule="auto"/>
        <w:rPr>
          <w:rFonts w:ascii="Arial" w:cs="Arial" w:hAnsi="Arial"/>
          <w:sz w:val="24"/>
          <w:szCs w:val="24"/>
        </w:rPr>
      </w:pPr>
    </w:p>
    <w:p w14:paraId="0000006B">
      <w:pPr>
        <w:spacing w:line="360" w:lineRule="auto"/>
        <w:rPr>
          <w:rFonts w:ascii="Arial" w:cs="Arial" w:hAnsi="Arial"/>
          <w:sz w:val="24"/>
          <w:szCs w:val="24"/>
        </w:rPr>
      </w:pPr>
      <w:r>
        <w:rPr>
          <w:rFonts w:ascii="Arial" w:cs="Arial" w:hAnsi="Arial"/>
          <w:sz w:val="24"/>
          <w:szCs w:val="24"/>
        </w:rPr>
        <w:t xml:space="preserve"> A robust branding strategy in line with the "Year of </w:t>
      </w:r>
      <w:r>
        <w:rPr>
          <w:rFonts w:ascii="Arial" w:cs="Arial" w:hAnsi="Arial"/>
          <w:sz w:val="24"/>
          <w:szCs w:val="24"/>
        </w:rPr>
        <w:t>Croeso</w:t>
      </w:r>
      <w:r>
        <w:rPr>
          <w:rFonts w:ascii="Arial" w:cs="Arial" w:hAnsi="Arial"/>
          <w:sz w:val="24"/>
          <w:szCs w:val="24"/>
        </w:rPr>
        <w:t xml:space="preserve">" identity will direct marketing initiatives. The campaign will use international trade media and internet networks like </w:t>
      </w:r>
      <w:r>
        <w:rPr>
          <w:rFonts w:ascii="Arial" w:cs="Arial" w:hAnsi="Arial"/>
          <w:sz w:val="24"/>
          <w:szCs w:val="24"/>
        </w:rPr>
        <w:t>Instagram</w:t>
      </w:r>
      <w:r>
        <w:rPr>
          <w:rFonts w:ascii="Arial" w:cs="Arial" w:hAnsi="Arial"/>
          <w:sz w:val="24"/>
          <w:szCs w:val="24"/>
        </w:rPr>
        <w:t xml:space="preserve"> </w:t>
      </w:r>
      <w:r>
        <w:rPr>
          <w:rFonts w:ascii="Arial" w:cs="Arial" w:hAnsi="Arial"/>
          <w:sz w:val="24"/>
          <w:szCs w:val="24"/>
        </w:rPr>
        <w:t>and LinkedIn. The design of the content will prioritize sustainability and cultural diversity. The multilingual nature of all advertising materials will demonstrate inclusion and cultural authenticity.</w:t>
      </w:r>
    </w:p>
    <w:p w14:paraId="0000006C">
      <w:pPr>
        <w:spacing w:line="360" w:lineRule="auto"/>
        <w:rPr>
          <w:rFonts w:ascii="Arial" w:cs="Arial" w:hAnsi="Arial"/>
          <w:sz w:val="24"/>
          <w:szCs w:val="24"/>
        </w:rPr>
      </w:pPr>
    </w:p>
    <w:p w14:paraId="0000006D">
      <w:pPr>
        <w:spacing w:line="360" w:lineRule="auto"/>
        <w:rPr>
          <w:rFonts w:ascii="Arial" w:cs="Arial" w:hAnsi="Arial"/>
          <w:sz w:val="24"/>
          <w:szCs w:val="24"/>
        </w:rPr>
      </w:pPr>
      <w:r>
        <w:rPr>
          <w:rFonts w:ascii="Arial" w:cs="Arial" w:hAnsi="Arial"/>
          <w:sz w:val="24"/>
          <w:szCs w:val="24"/>
        </w:rPr>
        <w:t xml:space="preserve"> Internal coordination is supported by </w:t>
      </w:r>
      <w:r>
        <w:rPr>
          <w:rFonts w:ascii="Arial" w:cs="Arial" w:hAnsi="Arial"/>
          <w:sz w:val="24"/>
          <w:szCs w:val="24"/>
        </w:rPr>
        <w:t>Tuckman's</w:t>
      </w:r>
      <w:r>
        <w:rPr>
          <w:rFonts w:ascii="Arial" w:cs="Arial" w:hAnsi="Arial"/>
          <w:sz w:val="24"/>
          <w:szCs w:val="24"/>
        </w:rPr>
        <w:t xml:space="preserve"> Team Development Model (1965), which leads teams through the stages of forming, storming, norming, and performing to guarantee effectiveness and unity. To manage internal teams, stakeholder relationships, and crucial choices under duress, leaders must balance their interpersonal, informational, and decisional duties, as outlined in </w:t>
      </w:r>
      <w:r>
        <w:rPr>
          <w:rFonts w:ascii="Arial" w:cs="Arial" w:hAnsi="Arial"/>
          <w:sz w:val="24"/>
          <w:szCs w:val="24"/>
        </w:rPr>
        <w:t>Mintzberg's</w:t>
      </w:r>
      <w:r>
        <w:rPr>
          <w:rFonts w:ascii="Arial" w:cs="Arial" w:hAnsi="Arial"/>
          <w:sz w:val="24"/>
          <w:szCs w:val="24"/>
        </w:rPr>
        <w:t xml:space="preserve"> Managerial Duties (1973).</w:t>
      </w:r>
    </w:p>
    <w:p w14:paraId="0000006E">
      <w:pPr>
        <w:spacing w:line="360" w:lineRule="auto"/>
        <w:rPr>
          <w:rFonts w:ascii="Arial" w:cs="Arial" w:hAnsi="Arial"/>
          <w:sz w:val="24"/>
          <w:szCs w:val="24"/>
        </w:rPr>
      </w:pPr>
    </w:p>
    <w:p w14:paraId="0000006F">
      <w:pPr>
        <w:spacing w:line="360" w:lineRule="auto"/>
        <w:rPr>
          <w:rFonts w:ascii="Arial" w:cs="Arial" w:hAnsi="Arial"/>
          <w:sz w:val="24"/>
          <w:szCs w:val="24"/>
        </w:rPr>
      </w:pPr>
      <w:r>
        <w:rPr>
          <w:rFonts w:ascii="Arial" w:cs="Arial" w:hAnsi="Arial"/>
          <w:sz w:val="24"/>
          <w:szCs w:val="24"/>
        </w:rPr>
        <w:t xml:space="preserve"> Digital literacy for content production, analytics, and virtual delegate interaction; cultural competency to guarantee inclusion and relevance; and high-level communication to manage cross-sector connections are among the essential abilities needed</w:t>
      </w:r>
      <w:r>
        <w:rPr>
          <w:rFonts w:ascii="Arial" w:cs="Arial" w:hAnsi="Arial"/>
          <w:sz w:val="24"/>
          <w:szCs w:val="24"/>
        </w:rPr>
        <w:t xml:space="preserve"> </w:t>
      </w:r>
      <w:r>
        <w:rPr>
          <w:rFonts w:ascii="Arial" w:cs="Arial" w:hAnsi="Arial"/>
          <w:sz w:val="24"/>
          <w:szCs w:val="24"/>
        </w:rPr>
        <w:t>(</w:t>
      </w:r>
      <w:r>
        <w:rPr>
          <w:rFonts w:ascii="Arial" w:cs="Arial" w:hAnsi="Arial"/>
          <w:sz w:val="24"/>
          <w:szCs w:val="24"/>
        </w:rPr>
        <w:t>Kayyali</w:t>
      </w:r>
      <w:r>
        <w:rPr>
          <w:rFonts w:ascii="Arial" w:cs="Arial" w:hAnsi="Arial"/>
          <w:sz w:val="24"/>
          <w:szCs w:val="24"/>
        </w:rPr>
        <w:t>, 2024)</w:t>
      </w:r>
      <w:r>
        <w:rPr>
          <w:rFonts w:ascii="Arial" w:cs="Arial" w:hAnsi="Arial"/>
          <w:sz w:val="24"/>
          <w:szCs w:val="24"/>
        </w:rPr>
        <w:t>. These skills, which are supported by strategic models and realistic preparation, guarantee strong event management from start to finish.</w:t>
      </w:r>
    </w:p>
    <w:p w14:paraId="00000070">
      <w:pPr>
        <w:pStyle w:val="Heading1"/>
        <w:rPr>
          <w:rFonts w:ascii="Arial" w:cs="Arial" w:hAnsi="Arial"/>
          <w:sz w:val="24"/>
          <w:szCs w:val="24"/>
        </w:rPr>
      </w:pPr>
      <w:bookmarkStart w:id="5" w:name="_Toc198828660"/>
      <w:r>
        <w:rPr>
          <w:rFonts w:ascii="Arial" w:cs="Arial" w:hAnsi="Arial"/>
          <w:sz w:val="24"/>
          <w:szCs w:val="24"/>
        </w:rPr>
        <w:t>Event Budget</w:t>
      </w:r>
      <w:bookmarkEnd w:id="5"/>
      <w:r>
        <w:rPr>
          <w:rFonts w:ascii="Arial" w:cs="Arial" w:hAnsi="Arial"/>
          <w:sz w:val="24"/>
          <w:szCs w:val="24"/>
        </w:rPr>
        <w:t xml:space="preserve"> </w:t>
      </w:r>
    </w:p>
    <w:p w14:paraId="00000071">
      <w:pPr>
        <w:pStyle w:val="Normal"/>
        <w:rPr>
          <w:rFonts w:ascii="Arial" w:cs="Arial" w:hAnsi="Arial"/>
          <w:sz w:val="24"/>
          <w:szCs w:val="24"/>
        </w:rPr>
      </w:pPr>
    </w:p>
    <w:p w14:paraId="00000072">
      <w:pPr>
        <w:spacing w:line="360" w:lineRule="auto"/>
        <w:rPr>
          <w:rFonts w:ascii="Arial" w:cs="Arial" w:hAnsi="Arial"/>
          <w:sz w:val="24"/>
          <w:szCs w:val="24"/>
        </w:rPr>
      </w:pPr>
      <w:r>
        <w:rPr>
          <w:rFonts w:ascii="Arial" w:cs="Arial" w:hAnsi="Arial"/>
          <w:sz w:val="24"/>
          <w:szCs w:val="24"/>
        </w:rPr>
        <w:t>In order to ensure financial sustainability and effective resource allocation, the Wales Global Heritage Business Summit 2025 budget planning is predicated on a prediction of realistic expenses and a variety of revenue streams.  An expected breakdown of income and expenses is shown in the table below:</w:t>
      </w:r>
    </w:p>
    <w:p w14:paraId="00000073">
      <w:pPr>
        <w:spacing w:line="360" w:lineRule="auto"/>
        <w:rPr>
          <w:rFonts w:ascii="Arial" w:cs="Arial" w:hAnsi="Arial"/>
          <w:sz w:val="24"/>
          <w:szCs w:val="24"/>
        </w:rPr>
      </w:pPr>
    </w:p>
    <w:p w14:paraId="00000074">
      <w:pPr>
        <w:spacing w:line="360" w:lineRule="auto"/>
        <w:rPr>
          <w:rFonts w:ascii="Arial" w:cs="Arial" w:hAnsi="Arial"/>
          <w:sz w:val="24"/>
          <w:szCs w:val="24"/>
        </w:rPr>
      </w:pPr>
    </w:p>
    <w:p w14:paraId="00000075">
      <w:pPr>
        <w:spacing w:line="360" w:lineRule="auto"/>
        <w:rPr>
          <w:rFonts w:ascii="Arial" w:cs="Arial" w:hAnsi="Arial"/>
          <w:b/>
          <w:sz w:val="24"/>
          <w:szCs w:val="24"/>
        </w:rPr>
      </w:pPr>
    </w:p>
    <w:p w14:paraId="00000076">
      <w:pPr>
        <w:spacing w:line="240" w:lineRule="auto"/>
        <w:rPr>
          <w:rFonts w:ascii="Arial" w:cs="Arial" w:hAnsi="Arial"/>
          <w:b/>
          <w:sz w:val="24"/>
          <w:szCs w:val="24"/>
        </w:rPr>
      </w:pPr>
      <w:r>
        <w:rPr>
          <w:rFonts w:ascii="Arial" w:cs="Arial" w:hAnsi="Arial"/>
          <w:b/>
          <w:sz w:val="24"/>
          <w:szCs w:val="24"/>
        </w:rPr>
        <w:t>Projected Budget Breakdown</w:t>
      </w:r>
      <w:r>
        <w:rPr>
          <w:rFonts w:ascii="Arial" w:cs="Arial" w:hAnsi="Arial"/>
          <w:b/>
          <w:sz w:val="24"/>
          <w:szCs w:val="24"/>
        </w:rPr>
        <w:t>:</w:t>
      </w:r>
    </w:p>
    <w:tbl>
      <w:tblPr>
        <w:tblStyle w:val="TableGrid"/>
        <w:tblW w:w="0" w:type="auto"/>
        <w:jc w:val="center"/>
        <w:tblLook w:val="04A0"/>
      </w:tblPr>
      <w:tblGrid>
        <w:gridCol w:w="3987"/>
        <w:gridCol w:w="2547"/>
      </w:tblGrid>
      <w:tr>
        <w:trPr>
          <w:trHeight w:val="576"/>
          <w:jc w:val="center"/>
        </w:trPr>
        <w:tc>
          <w:tcPr>
            <w:cnfStyle w:val="101000000000"/>
            <w:tcW w:w="3987" w:type="dxa"/>
            <w:shd w:val="clear" w:color="auto" w:fill="8db4e3" w:themeFill="text2" w:themeFillTint="66"/>
          </w:tcPr>
          <w:p w14:paraId="00000077">
            <w:pPr>
              <w:spacing w:line="360" w:lineRule="auto"/>
              <w:rPr>
                <w:rFonts w:ascii="Arial" w:cs="Arial" w:hAnsi="Arial"/>
                <w:sz w:val="24"/>
                <w:szCs w:val="24"/>
              </w:rPr>
            </w:pPr>
            <w:r>
              <w:rPr>
                <w:rFonts w:ascii="Arial" w:cs="Arial" w:hAnsi="Arial"/>
                <w:sz w:val="24"/>
                <w:szCs w:val="24"/>
              </w:rPr>
              <w:t>Category</w:t>
            </w:r>
          </w:p>
        </w:tc>
        <w:tc>
          <w:tcPr>
            <w:cnfStyle w:val="100000000000"/>
            <w:tcW w:w="2547" w:type="dxa"/>
            <w:shd w:val="clear" w:color="auto" w:fill="8db4e3" w:themeFill="text2" w:themeFillTint="66"/>
          </w:tcPr>
          <w:p w14:paraId="00000078">
            <w:pPr>
              <w:spacing w:line="360" w:lineRule="auto"/>
              <w:rPr>
                <w:rFonts w:ascii="Arial" w:cs="Arial" w:hAnsi="Arial"/>
                <w:sz w:val="24"/>
                <w:szCs w:val="24"/>
              </w:rPr>
            </w:pPr>
            <w:r>
              <w:rPr>
                <w:rFonts w:ascii="Arial" w:cs="Arial" w:hAnsi="Arial"/>
                <w:sz w:val="24"/>
                <w:szCs w:val="24"/>
              </w:rPr>
              <w:t>Estimated Cost (£)</w:t>
            </w:r>
          </w:p>
        </w:tc>
      </w:tr>
      <w:tr>
        <w:trPr>
          <w:trHeight w:val="431"/>
          <w:jc w:val="center"/>
        </w:trPr>
        <w:tc>
          <w:tcPr>
            <w:cnfStyle w:val="001000100000"/>
            <w:tcW w:w="3987" w:type="dxa"/>
          </w:tcPr>
          <w:p w14:paraId="00000079">
            <w:pPr>
              <w:spacing w:line="360" w:lineRule="auto"/>
              <w:rPr>
                <w:rFonts w:ascii="Arial" w:cs="Arial" w:hAnsi="Arial"/>
                <w:sz w:val="24"/>
                <w:szCs w:val="24"/>
              </w:rPr>
            </w:pPr>
            <w:r>
              <w:rPr>
                <w:rFonts w:ascii="Arial" w:cs="Arial" w:hAnsi="Arial"/>
                <w:sz w:val="24"/>
                <w:szCs w:val="24"/>
              </w:rPr>
              <w:t>Venue hire (castle &amp; pavilion)</w:t>
            </w:r>
          </w:p>
        </w:tc>
        <w:tc>
          <w:tcPr>
            <w:cnfStyle w:val="000000100000"/>
            <w:tcW w:w="2547" w:type="dxa"/>
          </w:tcPr>
          <w:p w14:paraId="0000007A">
            <w:pPr>
              <w:spacing w:line="360" w:lineRule="auto"/>
              <w:rPr>
                <w:rFonts w:ascii="Arial" w:cs="Arial" w:hAnsi="Arial"/>
                <w:sz w:val="24"/>
                <w:szCs w:val="24"/>
              </w:rPr>
            </w:pPr>
            <w:r>
              <w:rPr>
                <w:rFonts w:ascii="Arial" w:cs="Arial" w:hAnsi="Arial"/>
                <w:sz w:val="24"/>
                <w:szCs w:val="24"/>
              </w:rPr>
              <w:t>30,000</w:t>
            </w:r>
          </w:p>
        </w:tc>
      </w:tr>
      <w:tr>
        <w:trPr>
          <w:trHeight w:val="521"/>
          <w:jc w:val="center"/>
        </w:trPr>
        <w:tc>
          <w:tcPr>
            <w:cnfStyle w:val="001000010000"/>
            <w:tcW w:w="3987" w:type="dxa"/>
          </w:tcPr>
          <w:p w14:paraId="0000007B">
            <w:pPr>
              <w:spacing w:line="360" w:lineRule="auto"/>
              <w:rPr>
                <w:rFonts w:ascii="Arial" w:cs="Arial" w:hAnsi="Arial"/>
                <w:sz w:val="24"/>
                <w:szCs w:val="24"/>
              </w:rPr>
            </w:pPr>
            <w:r>
              <w:rPr>
                <w:rFonts w:ascii="Arial" w:cs="Arial" w:hAnsi="Arial"/>
                <w:sz w:val="24"/>
                <w:szCs w:val="24"/>
              </w:rPr>
              <w:t>Staffing (event team, security)</w:t>
            </w:r>
          </w:p>
        </w:tc>
        <w:tc>
          <w:tcPr>
            <w:cnfStyle w:val="000000010000"/>
            <w:tcW w:w="2547" w:type="dxa"/>
          </w:tcPr>
          <w:p w14:paraId="0000007C">
            <w:pPr>
              <w:spacing w:line="360" w:lineRule="auto"/>
              <w:rPr>
                <w:rFonts w:ascii="Arial" w:cs="Arial" w:hAnsi="Arial"/>
                <w:sz w:val="24"/>
                <w:szCs w:val="24"/>
              </w:rPr>
            </w:pPr>
            <w:r>
              <w:rPr>
                <w:rFonts w:ascii="Arial" w:cs="Arial" w:hAnsi="Arial"/>
                <w:sz w:val="24"/>
                <w:szCs w:val="24"/>
              </w:rPr>
              <w:t>22,000</w:t>
            </w:r>
          </w:p>
        </w:tc>
      </w:tr>
      <w:tr>
        <w:trPr>
          <w:trHeight w:val="359"/>
          <w:jc w:val="center"/>
        </w:trPr>
        <w:tc>
          <w:tcPr>
            <w:cnfStyle w:val="001000100000"/>
            <w:tcW w:w="3987" w:type="dxa"/>
          </w:tcPr>
          <w:p w14:paraId="0000007D">
            <w:pPr>
              <w:spacing w:line="360" w:lineRule="auto"/>
              <w:rPr>
                <w:rFonts w:ascii="Arial" w:cs="Arial" w:hAnsi="Arial"/>
                <w:sz w:val="24"/>
                <w:szCs w:val="24"/>
              </w:rPr>
            </w:pPr>
            <w:r>
              <w:rPr>
                <w:rFonts w:ascii="Arial" w:cs="Arial" w:hAnsi="Arial"/>
                <w:sz w:val="24"/>
                <w:szCs w:val="24"/>
              </w:rPr>
              <w:t>Catering (3-day Welsh cuisine)</w:t>
            </w:r>
          </w:p>
        </w:tc>
        <w:tc>
          <w:tcPr>
            <w:cnfStyle w:val="000000100000"/>
            <w:tcW w:w="2547" w:type="dxa"/>
          </w:tcPr>
          <w:p w14:paraId="0000007E">
            <w:pPr>
              <w:spacing w:line="360" w:lineRule="auto"/>
              <w:rPr>
                <w:rFonts w:ascii="Arial" w:cs="Arial" w:hAnsi="Arial"/>
                <w:sz w:val="24"/>
                <w:szCs w:val="24"/>
              </w:rPr>
            </w:pPr>
            <w:r>
              <w:rPr>
                <w:rFonts w:ascii="Arial" w:cs="Arial" w:hAnsi="Arial"/>
                <w:sz w:val="24"/>
                <w:szCs w:val="24"/>
              </w:rPr>
              <w:t>18,000</w:t>
            </w:r>
          </w:p>
        </w:tc>
      </w:tr>
      <w:tr>
        <w:trPr>
          <w:trHeight w:val="377"/>
          <w:jc w:val="center"/>
        </w:trPr>
        <w:tc>
          <w:tcPr>
            <w:cnfStyle w:val="001000010000"/>
            <w:tcW w:w="3987" w:type="dxa"/>
          </w:tcPr>
          <w:p w14:paraId="0000007F">
            <w:pPr>
              <w:spacing w:line="360" w:lineRule="auto"/>
              <w:rPr>
                <w:rFonts w:ascii="Arial" w:cs="Arial" w:hAnsi="Arial"/>
                <w:sz w:val="24"/>
                <w:szCs w:val="24"/>
              </w:rPr>
            </w:pPr>
            <w:r>
              <w:rPr>
                <w:rFonts w:ascii="Arial" w:cs="Arial" w:hAnsi="Arial"/>
                <w:sz w:val="24"/>
                <w:szCs w:val="24"/>
              </w:rPr>
              <w:t>Technical (AV, interpretation)</w:t>
            </w:r>
          </w:p>
        </w:tc>
        <w:tc>
          <w:tcPr>
            <w:cnfStyle w:val="000000010000"/>
            <w:tcW w:w="2547" w:type="dxa"/>
          </w:tcPr>
          <w:p w14:paraId="00000080">
            <w:pPr>
              <w:spacing w:line="360" w:lineRule="auto"/>
              <w:rPr>
                <w:rFonts w:ascii="Arial" w:cs="Arial" w:hAnsi="Arial"/>
                <w:sz w:val="24"/>
                <w:szCs w:val="24"/>
              </w:rPr>
            </w:pPr>
            <w:r>
              <w:rPr>
                <w:rFonts w:ascii="Arial" w:cs="Arial" w:hAnsi="Arial"/>
                <w:sz w:val="24"/>
                <w:szCs w:val="24"/>
              </w:rPr>
              <w:t>15,000</w:t>
            </w:r>
          </w:p>
        </w:tc>
      </w:tr>
      <w:tr>
        <w:trPr>
          <w:trHeight w:val="404"/>
          <w:jc w:val="center"/>
        </w:trPr>
        <w:tc>
          <w:tcPr>
            <w:cnfStyle w:val="001000100000"/>
            <w:tcW w:w="3987" w:type="dxa"/>
          </w:tcPr>
          <w:p w14:paraId="00000081">
            <w:pPr>
              <w:spacing w:line="360" w:lineRule="auto"/>
              <w:rPr>
                <w:rFonts w:ascii="Arial" w:cs="Arial" w:hAnsi="Arial"/>
                <w:sz w:val="24"/>
                <w:szCs w:val="24"/>
              </w:rPr>
            </w:pPr>
            <w:r>
              <w:rPr>
                <w:rFonts w:ascii="Arial" w:cs="Arial" w:hAnsi="Arial"/>
                <w:sz w:val="24"/>
                <w:szCs w:val="24"/>
              </w:rPr>
              <w:t>Insurance and legal compliance</w:t>
            </w:r>
          </w:p>
        </w:tc>
        <w:tc>
          <w:tcPr>
            <w:cnfStyle w:val="000000100000"/>
            <w:tcW w:w="2547" w:type="dxa"/>
          </w:tcPr>
          <w:p w14:paraId="00000082">
            <w:pPr>
              <w:spacing w:line="360" w:lineRule="auto"/>
              <w:rPr>
                <w:rFonts w:ascii="Arial" w:cs="Arial" w:hAnsi="Arial"/>
                <w:sz w:val="24"/>
                <w:szCs w:val="24"/>
              </w:rPr>
            </w:pPr>
            <w:r>
              <w:rPr>
                <w:rFonts w:ascii="Arial" w:cs="Arial" w:hAnsi="Arial"/>
                <w:sz w:val="24"/>
                <w:szCs w:val="24"/>
              </w:rPr>
              <w:t>5,000</w:t>
            </w:r>
          </w:p>
        </w:tc>
      </w:tr>
      <w:tr>
        <w:trPr>
          <w:trHeight w:val="521"/>
          <w:jc w:val="center"/>
        </w:trPr>
        <w:tc>
          <w:tcPr>
            <w:cnfStyle w:val="001000010000"/>
            <w:tcW w:w="3987" w:type="dxa"/>
          </w:tcPr>
          <w:p w14:paraId="00000083">
            <w:pPr>
              <w:spacing w:line="360" w:lineRule="auto"/>
              <w:rPr>
                <w:rFonts w:ascii="Arial" w:cs="Arial" w:hAnsi="Arial"/>
                <w:sz w:val="24"/>
                <w:szCs w:val="24"/>
              </w:rPr>
            </w:pPr>
            <w:r>
              <w:rPr>
                <w:rFonts w:ascii="Arial" w:cs="Arial" w:hAnsi="Arial"/>
                <w:sz w:val="24"/>
                <w:szCs w:val="24"/>
              </w:rPr>
              <w:t>Marketing and promotion</w:t>
            </w:r>
          </w:p>
        </w:tc>
        <w:tc>
          <w:tcPr>
            <w:cnfStyle w:val="000000010000"/>
            <w:tcW w:w="2547" w:type="dxa"/>
          </w:tcPr>
          <w:p w14:paraId="00000084">
            <w:pPr>
              <w:spacing w:line="360" w:lineRule="auto"/>
              <w:rPr>
                <w:rFonts w:ascii="Arial" w:cs="Arial" w:hAnsi="Arial"/>
                <w:sz w:val="24"/>
                <w:szCs w:val="24"/>
              </w:rPr>
            </w:pPr>
            <w:r>
              <w:rPr>
                <w:rFonts w:ascii="Arial" w:cs="Arial" w:hAnsi="Arial"/>
                <w:sz w:val="24"/>
                <w:szCs w:val="24"/>
              </w:rPr>
              <w:t>10,000</w:t>
            </w:r>
          </w:p>
        </w:tc>
      </w:tr>
      <w:tr>
        <w:trPr>
          <w:trHeight w:val="701"/>
          <w:jc w:val="center"/>
        </w:trPr>
        <w:tc>
          <w:tcPr>
            <w:cnfStyle w:val="001000100000"/>
            <w:tcW w:w="3987" w:type="dxa"/>
          </w:tcPr>
          <w:p w14:paraId="00000085">
            <w:pPr>
              <w:spacing w:line="360" w:lineRule="auto"/>
              <w:rPr>
                <w:rFonts w:ascii="Arial" w:cs="Arial" w:hAnsi="Arial"/>
                <w:sz w:val="24"/>
                <w:szCs w:val="24"/>
              </w:rPr>
            </w:pPr>
            <w:r>
              <w:rPr>
                <w:rFonts w:ascii="Arial" w:cs="Arial" w:hAnsi="Arial"/>
                <w:sz w:val="24"/>
                <w:szCs w:val="24"/>
              </w:rPr>
              <w:t>Transportation &amp; guest logistics</w:t>
            </w:r>
          </w:p>
        </w:tc>
        <w:tc>
          <w:tcPr>
            <w:cnfStyle w:val="000000100000"/>
            <w:tcW w:w="2547" w:type="dxa"/>
          </w:tcPr>
          <w:p w14:paraId="00000086">
            <w:pPr>
              <w:spacing w:line="360" w:lineRule="auto"/>
              <w:rPr>
                <w:rFonts w:ascii="Arial" w:cs="Arial" w:hAnsi="Arial"/>
                <w:sz w:val="24"/>
                <w:szCs w:val="24"/>
              </w:rPr>
            </w:pPr>
            <w:r>
              <w:rPr>
                <w:rFonts w:ascii="Arial" w:cs="Arial" w:hAnsi="Arial"/>
                <w:sz w:val="24"/>
                <w:szCs w:val="24"/>
              </w:rPr>
              <w:t>6,000</w:t>
            </w:r>
          </w:p>
        </w:tc>
      </w:tr>
      <w:tr>
        <w:trPr>
          <w:trHeight w:val="314"/>
          <w:jc w:val="center"/>
        </w:trPr>
        <w:tc>
          <w:tcPr>
            <w:cnfStyle w:val="001000010000"/>
            <w:tcW w:w="3987" w:type="dxa"/>
          </w:tcPr>
          <w:p w14:paraId="00000087">
            <w:pPr>
              <w:spacing w:line="360" w:lineRule="auto"/>
              <w:rPr>
                <w:rFonts w:ascii="Arial" w:cs="Arial" w:hAnsi="Arial"/>
                <w:sz w:val="24"/>
                <w:szCs w:val="24"/>
              </w:rPr>
            </w:pPr>
            <w:r>
              <w:rPr>
                <w:rFonts w:ascii="Arial" w:cs="Arial" w:hAnsi="Arial"/>
                <w:sz w:val="24"/>
                <w:szCs w:val="24"/>
              </w:rPr>
              <w:t>Miscellaneous &amp; contingency</w:t>
            </w:r>
          </w:p>
        </w:tc>
        <w:tc>
          <w:tcPr>
            <w:cnfStyle w:val="000000010000"/>
            <w:tcW w:w="2547" w:type="dxa"/>
          </w:tcPr>
          <w:p w14:paraId="00000088">
            <w:pPr>
              <w:spacing w:line="360" w:lineRule="auto"/>
              <w:rPr>
                <w:rFonts w:ascii="Arial" w:cs="Arial" w:hAnsi="Arial"/>
                <w:sz w:val="24"/>
                <w:szCs w:val="24"/>
                <w:lang w:val="en-GB"/>
              </w:rPr>
            </w:pPr>
            <w:r>
              <w:rPr>
                <w:rFonts w:ascii="Arial" w:cs="Arial" w:hAnsi="Arial"/>
                <w:sz w:val="24"/>
                <w:szCs w:val="24"/>
              </w:rPr>
              <w:t>4,000</w:t>
            </w:r>
          </w:p>
        </w:tc>
      </w:tr>
      <w:tr>
        <w:trPr>
          <w:trHeight w:val="314"/>
          <w:jc w:val="center"/>
        </w:trPr>
        <w:tc>
          <w:tcPr>
            <w:cnfStyle w:val="001000100000"/>
            <w:tcW w:w="3987" w:type="dxa"/>
          </w:tcPr>
          <w:p w14:paraId="00000089">
            <w:pPr>
              <w:spacing w:line="360" w:lineRule="auto"/>
              <w:rPr>
                <w:rFonts w:ascii="Arial" w:cs="Arial" w:hAnsi="Arial"/>
                <w:sz w:val="24"/>
                <w:szCs w:val="24"/>
              </w:rPr>
            </w:pPr>
            <w:r>
              <w:rPr>
                <w:rFonts w:ascii="Arial" w:cs="Arial" w:hAnsi="Arial"/>
                <w:sz w:val="24"/>
                <w:szCs w:val="24"/>
              </w:rPr>
              <w:t>Internet Infrastructure &amp; IT support</w:t>
            </w:r>
          </w:p>
        </w:tc>
        <w:tc>
          <w:tcPr>
            <w:cnfStyle w:val="000000100000"/>
            <w:tcW w:w="2547" w:type="dxa"/>
          </w:tcPr>
          <w:p w14:paraId="0000008A">
            <w:pPr>
              <w:spacing w:line="360" w:lineRule="auto"/>
              <w:rPr>
                <w:rFonts w:ascii="Arial" w:cs="Arial" w:hAnsi="Arial"/>
                <w:sz w:val="24"/>
                <w:szCs w:val="24"/>
              </w:rPr>
            </w:pPr>
            <w:r>
              <w:rPr>
                <w:rFonts w:ascii="Arial" w:cs="Arial" w:hAnsi="Arial"/>
                <w:sz w:val="24"/>
                <w:szCs w:val="24"/>
              </w:rPr>
              <w:t xml:space="preserve">4,000  </w:t>
            </w:r>
          </w:p>
        </w:tc>
      </w:tr>
      <w:tr>
        <w:trPr>
          <w:trHeight w:val="314"/>
          <w:jc w:val="center"/>
        </w:trPr>
        <w:tc>
          <w:tcPr>
            <w:cnfStyle w:val="001000010000"/>
            <w:tcW w:w="3987" w:type="dxa"/>
          </w:tcPr>
          <w:p w14:paraId="0000008B">
            <w:pPr>
              <w:spacing w:line="360" w:lineRule="auto"/>
              <w:rPr>
                <w:rFonts w:ascii="Arial" w:cs="Arial" w:hAnsi="Arial"/>
                <w:sz w:val="24"/>
                <w:szCs w:val="24"/>
              </w:rPr>
            </w:pPr>
            <w:r>
              <w:rPr>
                <w:rFonts w:ascii="Arial" w:cs="Arial" w:hAnsi="Arial"/>
                <w:sz w:val="24"/>
                <w:szCs w:val="24"/>
              </w:rPr>
              <w:t>Health &amp; Safety Measures</w:t>
            </w:r>
          </w:p>
        </w:tc>
        <w:tc>
          <w:tcPr>
            <w:cnfStyle w:val="000000010000"/>
            <w:tcW w:w="2547" w:type="dxa"/>
          </w:tcPr>
          <w:p w14:paraId="0000008C">
            <w:pPr>
              <w:spacing w:line="360" w:lineRule="auto"/>
              <w:rPr>
                <w:rFonts w:ascii="Arial" w:cs="Arial" w:hAnsi="Arial"/>
                <w:sz w:val="24"/>
                <w:szCs w:val="24"/>
              </w:rPr>
            </w:pPr>
            <w:r>
              <w:rPr>
                <w:rFonts w:ascii="Arial" w:cs="Arial" w:hAnsi="Arial"/>
                <w:sz w:val="24"/>
                <w:szCs w:val="24"/>
              </w:rPr>
              <w:t>3</w:t>
            </w:r>
            <w:r>
              <w:rPr>
                <w:rFonts w:ascii="Arial" w:cs="Arial" w:hAnsi="Arial"/>
                <w:sz w:val="24"/>
                <w:szCs w:val="24"/>
              </w:rPr>
              <w:t xml:space="preserve">,000  </w:t>
            </w:r>
          </w:p>
        </w:tc>
      </w:tr>
      <w:tr>
        <w:trPr>
          <w:trHeight w:val="521"/>
          <w:jc w:val="center"/>
        </w:trPr>
        <w:tc>
          <w:tcPr>
            <w:cnfStyle w:val="001000100000"/>
            <w:tcW w:w="3987" w:type="dxa"/>
          </w:tcPr>
          <w:p w14:paraId="0000008D">
            <w:pPr>
              <w:spacing w:line="360" w:lineRule="auto"/>
              <w:rPr>
                <w:rFonts w:ascii="Arial" w:cs="Arial" w:hAnsi="Arial"/>
                <w:b/>
                <w:sz w:val="24"/>
                <w:szCs w:val="24"/>
              </w:rPr>
            </w:pPr>
            <w:r>
              <w:rPr>
                <w:rFonts w:ascii="Arial" w:cs="Arial" w:hAnsi="Arial"/>
                <w:b/>
                <w:sz w:val="24"/>
                <w:szCs w:val="24"/>
              </w:rPr>
              <w:t>Total Expenditure</w:t>
            </w:r>
          </w:p>
        </w:tc>
        <w:tc>
          <w:tcPr>
            <w:cnfStyle w:val="000000100000"/>
            <w:tcW w:w="2547" w:type="dxa"/>
          </w:tcPr>
          <w:p w14:paraId="0000008E">
            <w:pPr>
              <w:spacing w:line="360" w:lineRule="auto"/>
              <w:rPr>
                <w:rFonts w:ascii="Arial" w:cs="Arial" w:hAnsi="Arial"/>
                <w:b/>
                <w:sz w:val="24"/>
                <w:szCs w:val="24"/>
              </w:rPr>
            </w:pPr>
            <w:r>
              <w:rPr>
                <w:rFonts w:ascii="Arial" w:cs="Arial" w:hAnsi="Arial"/>
                <w:b/>
                <w:sz w:val="24"/>
                <w:szCs w:val="24"/>
              </w:rPr>
              <w:t>£117</w:t>
            </w:r>
            <w:r>
              <w:rPr>
                <w:rFonts w:ascii="Arial" w:cs="Arial" w:hAnsi="Arial"/>
                <w:b/>
                <w:sz w:val="24"/>
                <w:szCs w:val="24"/>
              </w:rPr>
              <w:t>,000</w:t>
            </w:r>
          </w:p>
        </w:tc>
      </w:tr>
    </w:tbl>
    <w:p w14:paraId="0000008F">
      <w:pPr>
        <w:spacing w:line="360" w:lineRule="auto"/>
        <w:rPr>
          <w:rFonts w:ascii="Arial" w:cs="Arial" w:hAnsi="Arial"/>
          <w:sz w:val="24"/>
          <w:szCs w:val="24"/>
        </w:rPr>
      </w:pPr>
    </w:p>
    <w:tbl>
      <w:tblPr>
        <w:tblStyle w:val="TableGrid"/>
        <w:tblW w:w="0" w:type="auto"/>
        <w:jc w:val="center"/>
        <w:tblLook w:val="04A0"/>
      </w:tblPr>
      <w:tblGrid>
        <w:gridCol w:w="2980"/>
        <w:gridCol w:w="4320"/>
      </w:tblGrid>
      <w:tr>
        <w:trPr>
          <w:trHeight w:val="476"/>
          <w:jc w:val="center"/>
        </w:trPr>
        <w:tc>
          <w:tcPr>
            <w:cnfStyle w:val="101000000000"/>
            <w:tcW w:w="2980" w:type="dxa"/>
            <w:shd w:val="clear" w:color="auto" w:fill="8db4e3" w:themeFill="text2" w:themeFillTint="66"/>
          </w:tcPr>
          <w:p w14:paraId="00000090">
            <w:pPr>
              <w:spacing w:line="360" w:lineRule="auto"/>
              <w:rPr>
                <w:rFonts w:ascii="Arial" w:cs="Arial" w:hAnsi="Arial"/>
                <w:sz w:val="24"/>
                <w:szCs w:val="24"/>
              </w:rPr>
            </w:pPr>
            <w:r>
              <w:rPr>
                <w:rFonts w:ascii="Arial" w:cs="Arial" w:hAnsi="Arial"/>
                <w:sz w:val="24"/>
                <w:szCs w:val="24"/>
              </w:rPr>
              <w:t>Revenue Stream</w:t>
            </w:r>
          </w:p>
        </w:tc>
        <w:tc>
          <w:tcPr>
            <w:cnfStyle w:val="100000000000"/>
            <w:tcW w:w="4320" w:type="dxa"/>
            <w:shd w:val="clear" w:color="auto" w:fill="8db4e3" w:themeFill="text2" w:themeFillTint="66"/>
          </w:tcPr>
          <w:p w14:paraId="00000091">
            <w:pPr>
              <w:spacing w:line="360" w:lineRule="auto"/>
              <w:rPr>
                <w:rFonts w:ascii="Arial" w:cs="Arial" w:hAnsi="Arial"/>
                <w:sz w:val="24"/>
                <w:szCs w:val="24"/>
              </w:rPr>
            </w:pPr>
            <w:r>
              <w:rPr>
                <w:rFonts w:ascii="Arial" w:cs="Arial" w:hAnsi="Arial"/>
                <w:sz w:val="24"/>
                <w:szCs w:val="24"/>
              </w:rPr>
              <w:t>Estimated Income (£)</w:t>
            </w:r>
          </w:p>
        </w:tc>
      </w:tr>
      <w:tr>
        <w:trPr>
          <w:trHeight w:val="576"/>
          <w:jc w:val="center"/>
        </w:trPr>
        <w:tc>
          <w:tcPr>
            <w:cnfStyle w:val="001000100000"/>
            <w:tcW w:w="2980" w:type="dxa"/>
          </w:tcPr>
          <w:p w14:paraId="00000092">
            <w:pPr>
              <w:spacing w:line="360" w:lineRule="auto"/>
              <w:rPr>
                <w:rFonts w:ascii="Arial" w:cs="Arial" w:hAnsi="Arial"/>
                <w:sz w:val="24"/>
                <w:szCs w:val="24"/>
              </w:rPr>
            </w:pPr>
            <w:r>
              <w:rPr>
                <w:rFonts w:ascii="Arial" w:cs="Arial" w:hAnsi="Arial"/>
                <w:sz w:val="24"/>
                <w:szCs w:val="24"/>
              </w:rPr>
              <w:t>Sponsorship deals</w:t>
            </w:r>
          </w:p>
        </w:tc>
        <w:tc>
          <w:tcPr>
            <w:cnfStyle w:val="000000100000"/>
            <w:tcW w:w="4320" w:type="dxa"/>
          </w:tcPr>
          <w:p w14:paraId="00000093">
            <w:pPr>
              <w:spacing w:line="360" w:lineRule="auto"/>
              <w:rPr>
                <w:rFonts w:ascii="Arial" w:cs="Arial" w:hAnsi="Arial"/>
                <w:sz w:val="24"/>
                <w:szCs w:val="24"/>
              </w:rPr>
            </w:pPr>
            <w:r>
              <w:rPr>
                <w:rFonts w:ascii="Arial" w:cs="Arial" w:hAnsi="Arial"/>
                <w:sz w:val="24"/>
                <w:szCs w:val="24"/>
              </w:rPr>
              <w:t>40,000</w:t>
            </w:r>
          </w:p>
        </w:tc>
      </w:tr>
      <w:tr>
        <w:trPr>
          <w:trHeight w:val="476"/>
          <w:jc w:val="center"/>
        </w:trPr>
        <w:tc>
          <w:tcPr>
            <w:cnfStyle w:val="001000010000"/>
            <w:tcW w:w="2980" w:type="dxa"/>
          </w:tcPr>
          <w:p w14:paraId="00000094">
            <w:pPr>
              <w:spacing w:line="360" w:lineRule="auto"/>
              <w:rPr>
                <w:rFonts w:ascii="Arial" w:cs="Arial" w:hAnsi="Arial"/>
                <w:sz w:val="24"/>
                <w:szCs w:val="24"/>
              </w:rPr>
            </w:pPr>
            <w:r>
              <w:rPr>
                <w:rFonts w:ascii="Arial" w:cs="Arial" w:hAnsi="Arial"/>
                <w:sz w:val="24"/>
                <w:szCs w:val="24"/>
              </w:rPr>
              <w:t>Ticket sales (250 x £200)</w:t>
            </w:r>
          </w:p>
        </w:tc>
        <w:tc>
          <w:tcPr>
            <w:cnfStyle w:val="000000010000"/>
            <w:tcW w:w="4320" w:type="dxa"/>
          </w:tcPr>
          <w:p w14:paraId="00000095">
            <w:pPr>
              <w:spacing w:line="360" w:lineRule="auto"/>
              <w:rPr>
                <w:rFonts w:ascii="Arial" w:cs="Arial" w:hAnsi="Arial"/>
                <w:sz w:val="24"/>
                <w:szCs w:val="24"/>
              </w:rPr>
            </w:pPr>
            <w:r>
              <w:rPr>
                <w:rFonts w:ascii="Arial" w:cs="Arial" w:hAnsi="Arial"/>
                <w:sz w:val="24"/>
                <w:szCs w:val="24"/>
              </w:rPr>
              <w:t>50,000</w:t>
            </w:r>
          </w:p>
        </w:tc>
      </w:tr>
      <w:tr>
        <w:trPr>
          <w:trHeight w:val="539"/>
          <w:jc w:val="center"/>
        </w:trPr>
        <w:tc>
          <w:tcPr>
            <w:cnfStyle w:val="001000100000"/>
            <w:tcW w:w="2980" w:type="dxa"/>
          </w:tcPr>
          <w:p w14:paraId="00000096">
            <w:pPr>
              <w:spacing w:line="360" w:lineRule="auto"/>
              <w:rPr>
                <w:rFonts w:ascii="Arial" w:cs="Arial" w:hAnsi="Arial"/>
                <w:sz w:val="24"/>
                <w:szCs w:val="24"/>
              </w:rPr>
            </w:pPr>
            <w:r>
              <w:rPr>
                <w:rFonts w:ascii="Arial" w:cs="Arial" w:hAnsi="Arial"/>
                <w:sz w:val="24"/>
                <w:szCs w:val="24"/>
              </w:rPr>
              <w:t>Vendor/exhibitor fees</w:t>
            </w:r>
          </w:p>
        </w:tc>
        <w:tc>
          <w:tcPr>
            <w:cnfStyle w:val="000000100000"/>
            <w:tcW w:w="4320" w:type="dxa"/>
          </w:tcPr>
          <w:p w14:paraId="00000097">
            <w:pPr>
              <w:spacing w:line="360" w:lineRule="auto"/>
              <w:rPr>
                <w:rFonts w:ascii="Arial" w:cs="Arial" w:hAnsi="Arial"/>
                <w:sz w:val="24"/>
                <w:szCs w:val="24"/>
              </w:rPr>
            </w:pPr>
            <w:r>
              <w:rPr>
                <w:rFonts w:ascii="Arial" w:cs="Arial" w:hAnsi="Arial"/>
                <w:sz w:val="24"/>
                <w:szCs w:val="24"/>
              </w:rPr>
              <w:t>10,000</w:t>
            </w:r>
          </w:p>
        </w:tc>
      </w:tr>
      <w:tr>
        <w:trPr>
          <w:trHeight w:val="701"/>
          <w:jc w:val="center"/>
        </w:trPr>
        <w:tc>
          <w:tcPr>
            <w:cnfStyle w:val="001000010000"/>
            <w:tcW w:w="2980" w:type="dxa"/>
          </w:tcPr>
          <w:p w14:paraId="00000098">
            <w:pPr>
              <w:spacing w:line="360" w:lineRule="auto"/>
              <w:rPr>
                <w:rFonts w:ascii="Arial" w:cs="Arial" w:hAnsi="Arial"/>
                <w:sz w:val="24"/>
                <w:szCs w:val="24"/>
              </w:rPr>
            </w:pPr>
            <w:r>
              <w:rPr>
                <w:rFonts w:ascii="Arial" w:cs="Arial" w:hAnsi="Arial"/>
                <w:sz w:val="24"/>
                <w:szCs w:val="24"/>
              </w:rPr>
              <w:t>Tourism board (Visit Wales)</w:t>
            </w:r>
          </w:p>
        </w:tc>
        <w:tc>
          <w:tcPr>
            <w:cnfStyle w:val="000000010000"/>
            <w:tcW w:w="4320" w:type="dxa"/>
          </w:tcPr>
          <w:p w14:paraId="00000099">
            <w:pPr>
              <w:spacing w:line="360" w:lineRule="auto"/>
              <w:rPr>
                <w:rFonts w:ascii="Arial" w:cs="Arial" w:hAnsi="Arial"/>
                <w:sz w:val="24"/>
                <w:szCs w:val="24"/>
              </w:rPr>
            </w:pPr>
            <w:r>
              <w:rPr>
                <w:rFonts w:ascii="Arial" w:cs="Arial" w:hAnsi="Arial"/>
                <w:sz w:val="24"/>
                <w:szCs w:val="24"/>
              </w:rPr>
              <w:t>15,000</w:t>
            </w:r>
          </w:p>
        </w:tc>
      </w:tr>
      <w:tr>
        <w:trPr>
          <w:trHeight w:val="576"/>
          <w:jc w:val="center"/>
        </w:trPr>
        <w:tc>
          <w:tcPr>
            <w:cnfStyle w:val="001000100000"/>
            <w:tcW w:w="2980" w:type="dxa"/>
          </w:tcPr>
          <w:p w14:paraId="0000009A">
            <w:pPr>
              <w:spacing w:line="360" w:lineRule="auto"/>
              <w:rPr>
                <w:rFonts w:ascii="Arial" w:cs="Arial" w:hAnsi="Arial"/>
                <w:b/>
                <w:sz w:val="24"/>
                <w:szCs w:val="24"/>
              </w:rPr>
            </w:pPr>
            <w:r>
              <w:rPr>
                <w:rFonts w:ascii="Arial" w:cs="Arial" w:hAnsi="Arial"/>
                <w:b/>
                <w:sz w:val="24"/>
                <w:szCs w:val="24"/>
              </w:rPr>
              <w:t>Total Income</w:t>
            </w:r>
          </w:p>
        </w:tc>
        <w:tc>
          <w:tcPr>
            <w:cnfStyle w:val="000000100000"/>
            <w:tcW w:w="4320" w:type="dxa"/>
          </w:tcPr>
          <w:p w14:paraId="0000009B">
            <w:pPr>
              <w:spacing w:line="360" w:lineRule="auto"/>
              <w:rPr>
                <w:rFonts w:ascii="Arial" w:cs="Arial" w:hAnsi="Arial"/>
                <w:b/>
                <w:sz w:val="24"/>
                <w:szCs w:val="24"/>
              </w:rPr>
            </w:pPr>
            <w:r>
              <w:rPr>
                <w:rFonts w:ascii="Arial" w:cs="Arial" w:hAnsi="Arial"/>
                <w:b/>
                <w:sz w:val="24"/>
                <w:szCs w:val="24"/>
              </w:rPr>
              <w:t>£115,000</w:t>
            </w:r>
          </w:p>
        </w:tc>
      </w:tr>
    </w:tbl>
    <w:p w14:paraId="0000009C">
      <w:pPr>
        <w:spacing w:line="360" w:lineRule="auto"/>
        <w:rPr>
          <w:rFonts w:ascii="Arial" w:cs="Arial" w:hAnsi="Arial"/>
          <w:sz w:val="24"/>
          <w:szCs w:val="24"/>
        </w:rPr>
      </w:pPr>
    </w:p>
    <w:p w14:paraId="0000009D">
      <w:pPr>
        <w:spacing w:line="360" w:lineRule="auto"/>
        <w:rPr>
          <w:rFonts w:ascii="Arial" w:cs="Arial" w:hAnsi="Arial"/>
          <w:sz w:val="24"/>
          <w:szCs w:val="24"/>
        </w:rPr>
      </w:pPr>
      <w:r>
        <w:rPr>
          <w:rFonts w:ascii="Arial" w:cs="Arial" w:hAnsi="Arial"/>
          <w:sz w:val="24"/>
          <w:szCs w:val="24"/>
        </w:rPr>
        <w:t xml:space="preserve">A projected </w:t>
      </w:r>
      <w:r>
        <w:rPr>
          <w:rFonts w:ascii="Arial" w:cs="Arial" w:hAnsi="Arial"/>
          <w:sz w:val="24"/>
          <w:szCs w:val="24"/>
        </w:rPr>
        <w:t>(–£2,000 deficit)</w:t>
      </w:r>
      <w:r>
        <w:rPr>
          <w:rFonts w:ascii="Arial" w:cs="Arial" w:hAnsi="Arial"/>
          <w:sz w:val="24"/>
          <w:szCs w:val="24"/>
        </w:rPr>
        <w:t xml:space="preserve"> </w:t>
      </w:r>
      <w:r>
        <w:rPr>
          <w:rFonts w:ascii="Arial" w:cs="Arial" w:hAnsi="Arial"/>
          <w:sz w:val="24"/>
          <w:szCs w:val="24"/>
        </w:rPr>
        <w:t>is the outcome of this projection, acting as a safety net.  The prestige location and scope of the summit are reflected in key expense areas, including venue leasing and staffing.  Catering uses carefully chosen Welsh cuisine to promote cultural authenticity.  With simultaneous interpretation and AV, technical expenses guarantee a completely multilingual experience.</w:t>
      </w:r>
    </w:p>
    <w:p w14:paraId="0000009E">
      <w:pPr>
        <w:spacing w:line="360" w:lineRule="auto"/>
        <w:rPr>
          <w:rFonts w:ascii="Arial" w:cs="Arial" w:hAnsi="Arial"/>
          <w:sz w:val="24"/>
          <w:szCs w:val="24"/>
        </w:rPr>
      </w:pPr>
    </w:p>
    <w:p w14:paraId="0000009F">
      <w:pPr>
        <w:spacing w:line="360" w:lineRule="auto"/>
        <w:rPr>
          <w:rFonts w:ascii="Arial" w:cs="Arial" w:hAnsi="Arial"/>
          <w:sz w:val="24"/>
          <w:szCs w:val="24"/>
        </w:rPr>
      </w:pPr>
      <w:r>
        <w:rPr>
          <w:rFonts w:ascii="Arial" w:cs="Arial" w:hAnsi="Arial"/>
          <w:sz w:val="24"/>
          <w:szCs w:val="24"/>
        </w:rPr>
        <w:t xml:space="preserve"> </w:t>
      </w:r>
      <w:r>
        <w:rPr>
          <w:rFonts w:ascii="Arial" w:cs="Arial" w:hAnsi="Arial"/>
          <w:sz w:val="24"/>
          <w:szCs w:val="24"/>
        </w:rPr>
        <w:t>Phillips' Event ROI Model (2008) states that reputation, stakeholder involvement, and long-term relationships must all be considered when evaluating value in addition to financial return.</w:t>
      </w:r>
      <w:r>
        <w:rPr>
          <w:rFonts w:ascii="Arial" w:cs="Arial" w:hAnsi="Arial"/>
          <w:sz w:val="24"/>
          <w:szCs w:val="24"/>
        </w:rPr>
        <w:t xml:space="preserve">  </w:t>
      </w:r>
      <w:r>
        <w:rPr>
          <w:rFonts w:ascii="Arial" w:cs="Arial" w:hAnsi="Arial"/>
          <w:sz w:val="24"/>
          <w:szCs w:val="24"/>
        </w:rPr>
        <w:t>This approach works perfectly with the enormous potential the summit has for international media interest. Having an extra 10%, reviewing all agreements closely with clients before starting work and using event management software to regularly supervise the budget will all aid in avoiding overspending, particularly in technical or unforeseen logistics. It aligns with the event’s main and cultural ambitions and keeps tight control over money matters.</w:t>
      </w:r>
    </w:p>
    <w:p w14:paraId="000000A0">
      <w:pPr>
        <w:pStyle w:val="Heading1"/>
        <w:rPr>
          <w:rFonts w:ascii="Arial" w:cs="Arial" w:hAnsi="Arial"/>
          <w:sz w:val="24"/>
          <w:szCs w:val="24"/>
        </w:rPr>
      </w:pPr>
      <w:bookmarkStart w:id="6" w:name="_Toc198828661"/>
      <w:r>
        <w:rPr>
          <w:rFonts w:ascii="Arial" w:cs="Arial" w:hAnsi="Arial"/>
          <w:sz w:val="24"/>
          <w:szCs w:val="24"/>
        </w:rPr>
        <w:t>Industry Trends, Issues and Impacts</w:t>
      </w:r>
      <w:bookmarkEnd w:id="6"/>
    </w:p>
    <w:p w14:paraId="000000A1">
      <w:pPr>
        <w:pStyle w:val="Normal"/>
        <w:rPr/>
      </w:pPr>
    </w:p>
    <w:p w14:paraId="000000A2">
      <w:pPr>
        <w:pStyle w:val="Heading1"/>
        <w:spacing w:before="0" w:line="360"/>
        <w:rPr>
          <w:rFonts w:ascii="Arial" w:cs="Arial" w:hAnsi="Arial"/>
          <w:b w:val="off"/>
          <w:bCs w:val="off"/>
          <w:color w:val="000000" w:themeColor="dk1"/>
          <w:sz w:val="24"/>
          <w:szCs w:val="24"/>
        </w:rPr>
      </w:pPr>
      <w:r>
        <w:rPr>
          <w:rFonts w:ascii="Arial" w:cs="Arial" w:hAnsi="Arial"/>
          <w:b w:val="off"/>
          <w:bCs w:val="off"/>
          <w:color w:val="000000" w:themeColor="dk1"/>
          <w:sz w:val="24"/>
          <w:szCs w:val="24"/>
        </w:rPr>
        <w:t>T</w:t>
      </w:r>
      <w:r>
        <w:rPr>
          <w:rFonts w:ascii="Arial" w:cs="Arial" w:hAnsi="Arial"/>
          <w:b w:val="off"/>
          <w:bCs w:val="off"/>
          <w:color w:val="000000" w:themeColor="dk1"/>
          <w:sz w:val="24"/>
          <w:szCs w:val="24"/>
        </w:rPr>
        <w:t xml:space="preserve">he MICE sector has changed a lot since the pandemic due to the need for sustainability, modern technology and what attendees now look for. According to </w:t>
      </w:r>
      <w:r>
        <w:rPr>
          <w:rFonts w:ascii="Arial" w:cs="Arial" w:hAnsi="Arial"/>
          <w:b w:val="off"/>
          <w:bCs w:val="off"/>
          <w:color w:val="000000" w:themeColor="dk1"/>
          <w:sz w:val="24"/>
          <w:szCs w:val="24"/>
        </w:rPr>
        <w:t>Gevme</w:t>
      </w:r>
      <w:r>
        <w:rPr>
          <w:rFonts w:ascii="Arial" w:cs="Arial" w:hAnsi="Arial"/>
          <w:b w:val="off"/>
          <w:bCs w:val="off"/>
          <w:color w:val="000000" w:themeColor="dk1"/>
          <w:sz w:val="24"/>
          <w:szCs w:val="24"/>
        </w:rPr>
        <w:t xml:space="preserve"> (2024), the industry is newly guided by blending events, caring for the environment and designing unique events for each guest. These trends guide the planning and running of the Wales Global Heritage Business Summit 2025.</w:t>
      </w:r>
    </w:p>
    <w:p w14:paraId="000000A3">
      <w:pPr>
        <w:spacing w:line="360" w:lineRule="auto"/>
        <w:rPr>
          <w:rFonts w:ascii="Arial" w:cs="Arial" w:hAnsi="Arial"/>
          <w:color w:val="000000" w:themeColor="dk1"/>
          <w:sz w:val="24"/>
          <w:szCs w:val="24"/>
          <w:lang w:val="en-GB"/>
        </w:rPr>
      </w:pPr>
    </w:p>
    <w:p w14:paraId="000000A4">
      <w:pPr>
        <w:spacing w:line="360" w:lineRule="auto"/>
        <w:rPr>
          <w:rFonts w:ascii="Arial" w:cs="Arial" w:hAnsi="Arial"/>
          <w:sz w:val="24"/>
          <w:szCs w:val="24"/>
        </w:rPr>
      </w:pPr>
      <w:r>
        <w:rPr>
          <w:rFonts w:ascii="Arial" w:cs="Arial" w:hAnsi="Arial"/>
          <w:sz w:val="24"/>
          <w:szCs w:val="24"/>
        </w:rPr>
        <w:t xml:space="preserve"> </w:t>
      </w:r>
      <w:r>
        <w:rPr>
          <w:rFonts w:ascii="Arial" w:cs="Arial" w:hAnsi="Arial"/>
          <w:sz w:val="24"/>
          <w:szCs w:val="24"/>
        </w:rPr>
        <w:t>Many people expect that the addition of virtual features to events will help them reach a wider audience. Although the summit is mostly a physical gathering, it’s also organizing recorded sessions and live-streams to involve more people. The MPI Global Meetings Outlook (2024) agrees that most mid- to large-scale conferences will have hybrid elements by 2026.</w:t>
      </w:r>
    </w:p>
    <w:p w14:paraId="000000A5">
      <w:pPr>
        <w:spacing w:line="360" w:lineRule="auto"/>
        <w:rPr>
          <w:rFonts w:ascii="Arial" w:cs="Arial" w:hAnsi="Arial"/>
          <w:sz w:val="24"/>
          <w:szCs w:val="24"/>
        </w:rPr>
      </w:pPr>
    </w:p>
    <w:p w14:paraId="000000A6">
      <w:pPr>
        <w:spacing w:line="360" w:lineRule="auto"/>
        <w:rPr>
          <w:rFonts w:ascii="Arial" w:cs="Arial" w:hAnsi="Arial"/>
          <w:sz w:val="24"/>
          <w:szCs w:val="24"/>
        </w:rPr>
      </w:pPr>
      <w:r>
        <w:rPr>
          <w:rFonts w:ascii="Arial" w:cs="Arial" w:hAnsi="Arial"/>
          <w:sz w:val="24"/>
          <w:szCs w:val="24"/>
        </w:rPr>
        <w:t xml:space="preserve"> </w:t>
      </w:r>
      <w:r>
        <w:rPr>
          <w:rFonts w:ascii="Arial" w:cs="Arial" w:hAnsi="Arial"/>
          <w:sz w:val="24"/>
          <w:szCs w:val="24"/>
        </w:rPr>
        <w:t>The issue of sustainability is also very important. Now, delegates from different parts of the world focus on buying locally, wasting less and achieving climate neutrality. This chang</w:t>
      </w:r>
      <w:r>
        <w:rPr>
          <w:rFonts w:ascii="Arial" w:cs="Arial" w:hAnsi="Arial"/>
          <w:sz w:val="24"/>
          <w:szCs w:val="24"/>
        </w:rPr>
        <w:t>e y</w:t>
      </w:r>
      <w:r>
        <w:rPr>
          <w:rFonts w:ascii="Arial" w:cs="Arial" w:hAnsi="Arial"/>
          <w:sz w:val="24"/>
          <w:szCs w:val="24"/>
        </w:rPr>
        <w:t xml:space="preserve">et, higher inflation could mean more expenses, most noticeably in food and employment. It is important to have different sponsors and enough flexible </w:t>
      </w:r>
      <w:r>
        <w:rPr>
          <w:rFonts w:ascii="Arial" w:cs="Arial" w:hAnsi="Arial"/>
          <w:sz w:val="24"/>
          <w:szCs w:val="24"/>
        </w:rPr>
        <w:t>budget</w:t>
      </w:r>
      <w:r>
        <w:rPr>
          <w:rFonts w:ascii="Arial" w:cs="Arial" w:hAnsi="Arial"/>
          <w:sz w:val="24"/>
          <w:szCs w:val="24"/>
        </w:rPr>
        <w:t xml:space="preserve"> for this.</w:t>
      </w:r>
    </w:p>
    <w:p w14:paraId="000000A7">
      <w:pPr>
        <w:spacing w:line="360" w:lineRule="auto"/>
        <w:rPr>
          <w:rFonts w:ascii="Arial" w:cs="Arial" w:hAnsi="Arial"/>
          <w:sz w:val="24"/>
          <w:szCs w:val="24"/>
        </w:rPr>
      </w:pPr>
    </w:p>
    <w:p w14:paraId="000000A8">
      <w:pPr>
        <w:spacing w:line="360" w:lineRule="auto"/>
        <w:rPr>
          <w:rFonts w:ascii="Arial" w:cs="Arial" w:hAnsi="Arial"/>
          <w:sz w:val="24"/>
          <w:szCs w:val="24"/>
        </w:rPr>
      </w:pPr>
      <w:r>
        <w:rPr>
          <w:rFonts w:ascii="Arial" w:cs="Arial" w:hAnsi="Arial"/>
          <w:sz w:val="24"/>
          <w:szCs w:val="24"/>
        </w:rPr>
        <w:t xml:space="preserve"> Delegate mobility is still impacted by geopolitical challenges like </w:t>
      </w:r>
      <w:r>
        <w:rPr>
          <w:rFonts w:ascii="Arial" w:cs="Arial" w:hAnsi="Arial"/>
          <w:sz w:val="24"/>
          <w:szCs w:val="24"/>
        </w:rPr>
        <w:t>Brexit</w:t>
      </w:r>
      <w:r>
        <w:rPr>
          <w:rFonts w:ascii="Arial" w:cs="Arial" w:hAnsi="Arial"/>
          <w:sz w:val="24"/>
          <w:szCs w:val="24"/>
        </w:rPr>
        <w:t xml:space="preserve"> and frequent interruptions to foreign travel, necessitating flexible ticketing policies and backup plans.  In addition to tackling operational risk and accessibility, the summit's digital infrastructure—which includes AI-driven registration, digital ticketing, and real-time translation—improves productivity</w:t>
      </w:r>
      <w:r>
        <w:rPr>
          <w:rFonts w:ascii="Arial" w:cs="Arial" w:hAnsi="Arial"/>
          <w:sz w:val="24"/>
          <w:szCs w:val="24"/>
        </w:rPr>
        <w:t xml:space="preserve"> </w:t>
      </w:r>
      <w:r>
        <w:rPr>
          <w:rFonts w:ascii="Arial" w:cs="Arial" w:hAnsi="Arial"/>
          <w:sz w:val="24"/>
          <w:szCs w:val="24"/>
        </w:rPr>
        <w:t>(</w:t>
      </w:r>
      <w:r>
        <w:rPr>
          <w:rFonts w:ascii="Arial" w:cs="Arial" w:hAnsi="Arial"/>
          <w:sz w:val="24"/>
          <w:szCs w:val="24"/>
        </w:rPr>
        <w:t>Chakraborty</w:t>
      </w:r>
      <w:r>
        <w:rPr>
          <w:rFonts w:ascii="Arial" w:cs="Arial" w:hAnsi="Arial"/>
          <w:sz w:val="24"/>
          <w:szCs w:val="24"/>
        </w:rPr>
        <w:t xml:space="preserve"> and Jain, 2022)</w:t>
      </w:r>
      <w:r>
        <w:rPr>
          <w:rFonts w:ascii="Arial" w:cs="Arial" w:hAnsi="Arial"/>
          <w:sz w:val="24"/>
          <w:szCs w:val="24"/>
        </w:rPr>
        <w:t>.</w:t>
      </w:r>
    </w:p>
    <w:p w14:paraId="000000A9">
      <w:pPr>
        <w:spacing w:line="360" w:lineRule="auto"/>
        <w:rPr>
          <w:rFonts w:ascii="Arial" w:cs="Arial" w:hAnsi="Arial"/>
          <w:sz w:val="24"/>
          <w:szCs w:val="24"/>
        </w:rPr>
      </w:pPr>
    </w:p>
    <w:p w14:paraId="000000AA">
      <w:pPr>
        <w:spacing w:line="360" w:lineRule="auto"/>
        <w:rPr>
          <w:rFonts w:ascii="Arial" w:cs="Arial" w:hAnsi="Arial"/>
          <w:sz w:val="24"/>
          <w:szCs w:val="24"/>
        </w:rPr>
      </w:pPr>
      <w:r>
        <w:rPr>
          <w:rFonts w:ascii="Arial" w:cs="Arial" w:hAnsi="Arial"/>
          <w:sz w:val="24"/>
          <w:szCs w:val="24"/>
        </w:rPr>
        <w:t>However, depending too much on digital technologies comes with risks.  Interpretation services and hybrid participation are at risk in the event of internet connectivity issues.  According to research by Smith (2016) and Quick (2020), digital dissatisfaction can harm an event's reputation.  Backup routers, IT monitoring stations, and specialized reaction personnel are, therefore, essential components of digital infrastructure.  This vulnerability will be lessened by proactive testing and stakeholder briefings.</w:t>
      </w:r>
    </w:p>
    <w:p w14:paraId="000000AB">
      <w:pPr>
        <w:spacing w:line="360" w:lineRule="auto"/>
        <w:rPr>
          <w:rFonts w:ascii="Arial" w:cs="Arial" w:hAnsi="Arial"/>
          <w:sz w:val="24"/>
          <w:szCs w:val="24"/>
        </w:rPr>
      </w:pPr>
    </w:p>
    <w:p w14:paraId="000000AC">
      <w:pPr>
        <w:spacing w:line="360" w:lineRule="auto"/>
        <w:rPr>
          <w:rFonts w:ascii="Arial" w:cs="Arial" w:hAnsi="Arial"/>
          <w:sz w:val="24"/>
          <w:szCs w:val="24"/>
        </w:rPr>
      </w:pPr>
      <w:r>
        <w:rPr>
          <w:rFonts w:ascii="Arial" w:cs="Arial" w:hAnsi="Arial"/>
          <w:sz w:val="24"/>
          <w:szCs w:val="24"/>
        </w:rPr>
        <w:t xml:space="preserve"> In the end, these developments and difficulties highlight the necessity of strategic vision in the </w:t>
      </w:r>
      <w:r>
        <w:rPr>
          <w:rFonts w:ascii="Arial" w:cs="Arial" w:hAnsi="Arial"/>
          <w:sz w:val="24"/>
          <w:szCs w:val="24"/>
        </w:rPr>
        <w:t>execution of MICE events.  These changes have a direct impact on the summit's structure and backup plans, guaranteeing that it stays current, robust, and forward-looking.  Its high conformity to post-pandemic expectations strengthens Wales' competitive posture in the global events industry and increases its appeal to stakeholders worldwide.</w:t>
      </w:r>
    </w:p>
    <w:p w14:paraId="000000AD">
      <w:pPr>
        <w:pStyle w:val="Heading1"/>
        <w:rPr>
          <w:rFonts w:ascii="Arial" w:cs="Arial" w:hAnsi="Arial"/>
          <w:b/>
          <w:bCs/>
          <w:sz w:val="24"/>
          <w:szCs w:val="24"/>
        </w:rPr>
      </w:pPr>
      <w:bookmarkStart w:id="7" w:name="_Toc198828662"/>
      <w:r>
        <w:rPr>
          <w:rFonts w:ascii="Arial" w:cs="Arial" w:hAnsi="Arial"/>
          <w:b/>
          <w:bCs/>
          <w:sz w:val="24"/>
          <w:szCs w:val="24"/>
        </w:rPr>
        <w:t>Situational and Cultural Considerations</w:t>
      </w:r>
      <w:bookmarkEnd w:id="7"/>
    </w:p>
    <w:p w14:paraId="000000AE">
      <w:pPr>
        <w:pStyle w:val="Normal"/>
        <w:rPr>
          <w:rFonts w:ascii="Arial" w:cs="Arial" w:hAnsi="Arial"/>
          <w:b/>
          <w:bCs/>
          <w:sz w:val="24"/>
          <w:szCs w:val="24"/>
        </w:rPr>
      </w:pPr>
    </w:p>
    <w:p w14:paraId="000000AF">
      <w:pPr>
        <w:spacing w:line="360" w:lineRule="auto"/>
        <w:rPr>
          <w:rFonts w:ascii="Arial" w:cs="Arial" w:hAnsi="Arial"/>
          <w:sz w:val="24"/>
          <w:szCs w:val="24"/>
        </w:rPr>
      </w:pPr>
      <w:r>
        <w:rPr>
          <w:rFonts w:ascii="Arial" w:cs="Arial" w:hAnsi="Arial"/>
          <w:sz w:val="24"/>
          <w:szCs w:val="24"/>
        </w:rPr>
        <w:t xml:space="preserve">The PESTEL framework must be used to analyze situational and cultural aspects, and </w:t>
      </w:r>
      <w:r>
        <w:rPr>
          <w:rFonts w:ascii="Arial" w:cs="Arial" w:hAnsi="Arial"/>
          <w:sz w:val="24"/>
          <w:szCs w:val="24"/>
        </w:rPr>
        <w:t>Hofstede's</w:t>
      </w:r>
      <w:r>
        <w:rPr>
          <w:rFonts w:ascii="Arial" w:cs="Arial" w:hAnsi="Arial"/>
          <w:sz w:val="24"/>
          <w:szCs w:val="24"/>
        </w:rPr>
        <w:t xml:space="preserve"> theory of cultural dimensions must be used to support this in order to guarantee the strategic delivery of the Wales Global Heritage Business Summit 2025. These resources support culturally appropriate event planning and provide a crucial awareness of the outside world.</w:t>
      </w:r>
    </w:p>
    <w:tbl>
      <w:tblPr>
        <w:tblStyle w:val="TableGrid"/>
        <w:tblW w:w="0" w:type="auto"/>
        <w:tblLook w:val="04A0"/>
      </w:tblPr>
      <w:tblGrid>
        <w:gridCol w:w="1764"/>
        <w:gridCol w:w="7812"/>
      </w:tblGrid>
      <w:tr>
        <w:trPr/>
        <w:tc>
          <w:tcPr>
            <w:cnfStyle w:val="101000000000"/>
            <w:tcW w:w="1458" w:type="dxa"/>
            <w:shd w:val="clear" w:color="auto" w:fill="8db4e3" w:themeFill="text2" w:themeFillTint="66"/>
          </w:tcPr>
          <w:p w14:paraId="000000B0">
            <w:pPr>
              <w:spacing w:line="360" w:lineRule="auto"/>
              <w:rPr>
                <w:rFonts w:ascii="Arial" w:cs="Arial" w:hAnsi="Arial"/>
                <w:sz w:val="24"/>
                <w:szCs w:val="24"/>
              </w:rPr>
            </w:pPr>
            <w:r>
              <w:rPr>
                <w:rFonts w:ascii="Arial" w:cs="Arial" w:hAnsi="Arial"/>
                <w:sz w:val="24"/>
                <w:szCs w:val="24"/>
              </w:rPr>
              <w:t>Political</w:t>
            </w:r>
          </w:p>
        </w:tc>
        <w:tc>
          <w:tcPr>
            <w:cnfStyle w:val="100000000000"/>
            <w:tcW w:w="8118" w:type="dxa"/>
          </w:tcPr>
          <w:p w14:paraId="000000B1">
            <w:pPr>
              <w:spacing w:line="360" w:lineRule="auto"/>
              <w:rPr>
                <w:rFonts w:ascii="Arial" w:cs="Arial" w:hAnsi="Arial"/>
                <w:sz w:val="24"/>
                <w:szCs w:val="24"/>
              </w:rPr>
            </w:pPr>
            <w:r>
              <w:rPr>
                <w:rFonts w:ascii="Arial" w:cs="Arial" w:hAnsi="Arial"/>
                <w:sz w:val="24"/>
                <w:szCs w:val="24"/>
              </w:rPr>
              <w:t xml:space="preserve">Through targeted initiatives like the Year of </w:t>
            </w:r>
            <w:r>
              <w:rPr>
                <w:rFonts w:ascii="Arial" w:cs="Arial" w:hAnsi="Arial"/>
                <w:sz w:val="24"/>
                <w:szCs w:val="24"/>
              </w:rPr>
              <w:t>Croeso</w:t>
            </w:r>
            <w:r>
              <w:rPr>
                <w:rFonts w:ascii="Arial" w:cs="Arial" w:hAnsi="Arial"/>
                <w:sz w:val="24"/>
                <w:szCs w:val="24"/>
              </w:rPr>
              <w:t xml:space="preserve"> and Visit Wales, the Welsh Government aggressively promotes travel and events. This political alliance improves legitimacy, financing prospects, and destination branding.</w:t>
            </w:r>
          </w:p>
        </w:tc>
      </w:tr>
      <w:tr>
        <w:trPr/>
        <w:tc>
          <w:tcPr>
            <w:cnfStyle w:val="001000100000"/>
            <w:tcW w:w="1458" w:type="dxa"/>
            <w:shd w:val="clear" w:color="auto" w:fill="8db4e3" w:themeFill="text2" w:themeFillTint="66"/>
          </w:tcPr>
          <w:p w14:paraId="000000B2">
            <w:pPr>
              <w:spacing w:line="360" w:lineRule="auto"/>
              <w:rPr>
                <w:rFonts w:ascii="Arial" w:cs="Arial" w:hAnsi="Arial"/>
                <w:sz w:val="24"/>
                <w:szCs w:val="24"/>
              </w:rPr>
            </w:pPr>
            <w:r>
              <w:rPr>
                <w:rFonts w:ascii="Arial" w:cs="Arial" w:hAnsi="Arial"/>
                <w:sz w:val="24"/>
                <w:szCs w:val="24"/>
              </w:rPr>
              <w:t>Economic</w:t>
            </w:r>
          </w:p>
        </w:tc>
        <w:tc>
          <w:tcPr>
            <w:cnfStyle w:val="000000100000"/>
            <w:tcW w:w="8118" w:type="dxa"/>
          </w:tcPr>
          <w:p w14:paraId="000000B3">
            <w:pPr>
              <w:spacing w:line="360" w:lineRule="auto"/>
              <w:rPr>
                <w:rFonts w:ascii="Arial" w:cs="Arial" w:hAnsi="Arial"/>
                <w:sz w:val="24"/>
                <w:szCs w:val="24"/>
              </w:rPr>
            </w:pPr>
            <w:r>
              <w:rPr>
                <w:rFonts w:ascii="Arial" w:cs="Arial" w:hAnsi="Arial"/>
                <w:sz w:val="24"/>
                <w:szCs w:val="24"/>
              </w:rPr>
              <w:t>The summit is anticipated to boost area employment and assist local hospitality enterprises, even if growing cost-of-living constraints may impact local suppliers and delegate travel budgets. To accommodate various delegate profiles without sacrificing quality, ticket prices will be tier-based.</w:t>
            </w:r>
          </w:p>
        </w:tc>
      </w:tr>
      <w:tr>
        <w:trPr/>
        <w:tc>
          <w:tcPr>
            <w:cnfStyle w:val="001000010000"/>
            <w:tcW w:w="1458" w:type="dxa"/>
            <w:shd w:val="clear" w:color="auto" w:fill="8db4e3" w:themeFill="text2" w:themeFillTint="66"/>
          </w:tcPr>
          <w:p w14:paraId="000000B4">
            <w:pPr>
              <w:spacing w:line="360" w:lineRule="auto"/>
              <w:rPr>
                <w:rFonts w:ascii="Arial" w:cs="Arial" w:hAnsi="Arial"/>
                <w:sz w:val="24"/>
                <w:szCs w:val="24"/>
              </w:rPr>
            </w:pPr>
            <w:r>
              <w:rPr>
                <w:rFonts w:ascii="Arial" w:cs="Arial" w:hAnsi="Arial"/>
                <w:sz w:val="24"/>
                <w:szCs w:val="24"/>
              </w:rPr>
              <w:t>Social</w:t>
            </w:r>
          </w:p>
        </w:tc>
        <w:tc>
          <w:tcPr>
            <w:cnfStyle w:val="000000010000"/>
            <w:tcW w:w="8118" w:type="dxa"/>
          </w:tcPr>
          <w:p w14:paraId="000000B5">
            <w:pPr>
              <w:spacing w:line="360" w:lineRule="auto"/>
              <w:rPr>
                <w:rFonts w:ascii="Arial" w:cs="Arial" w:hAnsi="Arial"/>
                <w:sz w:val="24"/>
                <w:szCs w:val="24"/>
              </w:rPr>
            </w:pPr>
            <w:r>
              <w:rPr>
                <w:rFonts w:ascii="Arial" w:cs="Arial" w:hAnsi="Arial"/>
                <w:sz w:val="24"/>
                <w:szCs w:val="24"/>
              </w:rPr>
              <w:t>Delegates are increasingly expecting immersion and inclusivity. The summit's bilingual (Welsh-English) approach and cultural components, including food, folklore, and guided history excursions, meet these expectations for authenticity and social interaction.</w:t>
            </w:r>
          </w:p>
        </w:tc>
      </w:tr>
      <w:tr>
        <w:trPr/>
        <w:tc>
          <w:tcPr>
            <w:cnfStyle w:val="001000100000"/>
            <w:tcW w:w="1458" w:type="dxa"/>
            <w:shd w:val="clear" w:color="auto" w:fill="8db4e3" w:themeFill="text2" w:themeFillTint="66"/>
          </w:tcPr>
          <w:p w14:paraId="000000B6">
            <w:pPr>
              <w:spacing w:line="360" w:lineRule="auto"/>
              <w:rPr>
                <w:rFonts w:ascii="Arial" w:cs="Arial" w:hAnsi="Arial"/>
                <w:sz w:val="24"/>
                <w:szCs w:val="24"/>
              </w:rPr>
            </w:pPr>
            <w:r>
              <w:rPr>
                <w:rFonts w:ascii="Arial" w:cs="Arial" w:hAnsi="Arial"/>
                <w:sz w:val="24"/>
                <w:szCs w:val="24"/>
              </w:rPr>
              <w:t>Technological</w:t>
            </w:r>
          </w:p>
        </w:tc>
        <w:tc>
          <w:tcPr>
            <w:cnfStyle w:val="000000100000"/>
            <w:tcW w:w="8118" w:type="dxa"/>
          </w:tcPr>
          <w:p w14:paraId="000000B7">
            <w:pPr>
              <w:spacing w:line="360" w:lineRule="auto"/>
              <w:rPr>
                <w:rFonts w:ascii="Arial" w:cs="Arial" w:hAnsi="Arial"/>
                <w:sz w:val="24"/>
                <w:szCs w:val="24"/>
              </w:rPr>
            </w:pPr>
            <w:r>
              <w:rPr>
                <w:rFonts w:ascii="Arial" w:cs="Arial" w:hAnsi="Arial"/>
                <w:sz w:val="24"/>
                <w:szCs w:val="24"/>
              </w:rPr>
              <w:t>Digital registration, AI-powered interpretation tools, and real-time event updates will improve the user experience. These technologies demonstrate creativity, a desirable quality in contemporary event design, and increase accessibility.</w:t>
            </w:r>
          </w:p>
        </w:tc>
      </w:tr>
      <w:tr>
        <w:trPr/>
        <w:tc>
          <w:tcPr>
            <w:cnfStyle w:val="001000010000"/>
            <w:tcW w:w="1458" w:type="dxa"/>
            <w:shd w:val="clear" w:color="auto" w:fill="8db4e3" w:themeFill="text2" w:themeFillTint="66"/>
          </w:tcPr>
          <w:p w14:paraId="000000B8">
            <w:pPr>
              <w:spacing w:line="360" w:lineRule="auto"/>
              <w:rPr>
                <w:rFonts w:ascii="Arial" w:cs="Arial" w:hAnsi="Arial"/>
                <w:sz w:val="24"/>
                <w:szCs w:val="24"/>
              </w:rPr>
            </w:pPr>
            <w:r>
              <w:rPr>
                <w:rFonts w:ascii="Arial" w:cs="Arial" w:hAnsi="Arial"/>
                <w:sz w:val="24"/>
                <w:szCs w:val="24"/>
              </w:rPr>
              <w:t>Environmental</w:t>
            </w:r>
          </w:p>
        </w:tc>
        <w:tc>
          <w:tcPr>
            <w:cnfStyle w:val="000000010000"/>
            <w:tcW w:w="8118" w:type="dxa"/>
          </w:tcPr>
          <w:p w14:paraId="000000B9">
            <w:pPr>
              <w:spacing w:line="360" w:lineRule="auto"/>
              <w:rPr>
                <w:rFonts w:ascii="Arial" w:cs="Arial" w:hAnsi="Arial"/>
                <w:sz w:val="24"/>
                <w:szCs w:val="24"/>
              </w:rPr>
            </w:pPr>
            <w:r>
              <w:rPr>
                <w:rFonts w:ascii="Arial" w:cs="Arial" w:hAnsi="Arial"/>
                <w:sz w:val="24"/>
                <w:szCs w:val="24"/>
              </w:rPr>
              <w:t>The summit will use carbon offsetting, local sourcing, and minimum single-use materials in response to pressure on the events sector to lessen its carbon impact. These complement Wales' overarching sustainability plan.</w:t>
            </w:r>
          </w:p>
        </w:tc>
      </w:tr>
      <w:tr>
        <w:trPr/>
        <w:tc>
          <w:tcPr>
            <w:cnfStyle w:val="001000100000"/>
            <w:tcW w:w="1458" w:type="dxa"/>
            <w:shd w:val="clear" w:color="auto" w:fill="8db4e3" w:themeFill="text2" w:themeFillTint="66"/>
          </w:tcPr>
          <w:p w14:paraId="000000BA">
            <w:pPr>
              <w:spacing w:line="360" w:lineRule="auto"/>
              <w:rPr>
                <w:rFonts w:ascii="Arial" w:cs="Arial" w:hAnsi="Arial"/>
                <w:sz w:val="24"/>
                <w:szCs w:val="24"/>
              </w:rPr>
            </w:pPr>
            <w:r>
              <w:rPr>
                <w:rFonts w:ascii="Arial" w:cs="Arial" w:hAnsi="Arial"/>
                <w:sz w:val="24"/>
                <w:szCs w:val="24"/>
              </w:rPr>
              <w:t>Legal</w:t>
            </w:r>
          </w:p>
        </w:tc>
        <w:tc>
          <w:tcPr>
            <w:cnfStyle w:val="000000100000"/>
            <w:tcW w:w="8118" w:type="dxa"/>
          </w:tcPr>
          <w:p w14:paraId="000000BB">
            <w:pPr>
              <w:spacing w:line="360" w:lineRule="auto"/>
              <w:rPr>
                <w:rFonts w:ascii="Arial" w:cs="Arial" w:hAnsi="Arial"/>
                <w:sz w:val="24"/>
                <w:szCs w:val="24"/>
              </w:rPr>
            </w:pPr>
            <w:r>
              <w:rPr>
                <w:rFonts w:ascii="Arial" w:cs="Arial" w:hAnsi="Arial"/>
                <w:sz w:val="24"/>
                <w:szCs w:val="24"/>
              </w:rPr>
              <w:t>Adherence to UK accessibility laws (Equality Act 2010) and GDPR in the handling of delegate data will be guaranteed. In keeping with inclusive practices, event rooms will be furnished to accept delegates with impairments.</w:t>
            </w:r>
          </w:p>
        </w:tc>
      </w:tr>
      <w:tr>
        <w:trPr/>
        <w:tc>
          <w:tcPr>
            <w:cnfStyle w:val="001000010000"/>
            <w:tcW w:w="1458" w:type="dxa"/>
            <w:shd w:val="clear" w:color="auto" w:fill="8db4e3" w:themeFill="text2" w:themeFillTint="66"/>
          </w:tcPr>
          <w:p w14:paraId="000000BC">
            <w:pPr>
              <w:spacing w:line="360" w:lineRule="auto"/>
              <w:rPr>
                <w:rFonts w:ascii="Arial" w:cs="Arial" w:hAnsi="Arial"/>
                <w:sz w:val="24"/>
                <w:szCs w:val="24"/>
              </w:rPr>
            </w:pPr>
            <w:r>
              <w:rPr>
                <w:rFonts w:ascii="Arial" w:cs="Arial" w:hAnsi="Arial"/>
                <w:sz w:val="24"/>
                <w:szCs w:val="24"/>
              </w:rPr>
              <w:t>Cultural considerations</w:t>
            </w:r>
          </w:p>
        </w:tc>
        <w:tc>
          <w:tcPr>
            <w:cnfStyle w:val="000000010000"/>
            <w:tcW w:w="8118" w:type="dxa"/>
          </w:tcPr>
          <w:p w14:paraId="000000BD">
            <w:pPr>
              <w:spacing w:line="360" w:lineRule="auto"/>
              <w:rPr>
                <w:rFonts w:ascii="Arial" w:cs="Arial" w:hAnsi="Arial"/>
                <w:sz w:val="24"/>
                <w:szCs w:val="24"/>
              </w:rPr>
            </w:pPr>
            <w:r>
              <w:rPr>
                <w:rFonts w:ascii="Arial" w:cs="Arial" w:hAnsi="Arial"/>
                <w:sz w:val="24"/>
                <w:szCs w:val="24"/>
              </w:rPr>
              <w:t xml:space="preserve">The event's identity is heavily reliant on the use of the Welsh language, inclusive design, and observance of </w:t>
            </w:r>
            <w:r>
              <w:rPr>
                <w:rFonts w:ascii="Arial" w:cs="Arial" w:hAnsi="Arial"/>
                <w:sz w:val="24"/>
                <w:szCs w:val="24"/>
              </w:rPr>
              <w:t>Caernarfon</w:t>
            </w:r>
            <w:r>
              <w:rPr>
                <w:rFonts w:ascii="Arial" w:cs="Arial" w:hAnsi="Arial"/>
                <w:sz w:val="24"/>
                <w:szCs w:val="24"/>
              </w:rPr>
              <w:t xml:space="preserve"> Castle's heritage status. Planners may anticipate and manage cross-cultural expectations by applying </w:t>
            </w:r>
            <w:r>
              <w:rPr>
                <w:rFonts w:ascii="Arial" w:cs="Arial" w:hAnsi="Arial"/>
                <w:sz w:val="24"/>
                <w:szCs w:val="24"/>
              </w:rPr>
              <w:t>Hofstede's</w:t>
            </w:r>
            <w:r>
              <w:rPr>
                <w:rFonts w:ascii="Arial" w:cs="Arial" w:hAnsi="Arial"/>
                <w:sz w:val="24"/>
                <w:szCs w:val="24"/>
              </w:rPr>
              <w:t xml:space="preserve"> dimensions, especially individuality vs. collectivism and uncertainty avoidance, which ensures satisfaction across a variety of delegate demographics.</w:t>
            </w:r>
          </w:p>
        </w:tc>
      </w:tr>
    </w:tbl>
    <w:p w14:paraId="000000BE">
      <w:pPr>
        <w:spacing w:line="360" w:lineRule="auto"/>
        <w:rPr>
          <w:rFonts w:ascii="Arial" w:cs="Arial" w:hAnsi="Arial"/>
          <w:sz w:val="24"/>
          <w:szCs w:val="24"/>
        </w:rPr>
      </w:pPr>
    </w:p>
    <w:p w14:paraId="000000BF">
      <w:pPr>
        <w:spacing w:line="360" w:lineRule="auto"/>
        <w:rPr>
          <w:rFonts w:ascii="Arial" w:cs="Arial" w:hAnsi="Arial"/>
          <w:sz w:val="24"/>
          <w:szCs w:val="24"/>
        </w:rPr>
      </w:pPr>
    </w:p>
    <w:p w14:paraId="000000C0">
      <w:pPr>
        <w:spacing w:line="360" w:lineRule="auto"/>
        <w:rPr>
          <w:rFonts w:ascii="Arial" w:cs="Arial" w:hAnsi="Arial"/>
          <w:sz w:val="24"/>
          <w:szCs w:val="24"/>
        </w:rPr>
      </w:pPr>
    </w:p>
    <w:p w14:paraId="000000C1">
      <w:pPr>
        <w:spacing w:line="360" w:lineRule="auto"/>
        <w:rPr>
          <w:rFonts w:ascii="Arial" w:cs="Arial" w:hAnsi="Arial"/>
          <w:sz w:val="24"/>
          <w:szCs w:val="24"/>
        </w:rPr>
      </w:pPr>
    </w:p>
    <w:p w14:paraId="000000C2">
      <w:pPr>
        <w:spacing w:line="360" w:lineRule="auto"/>
        <w:rPr>
          <w:rFonts w:ascii="Arial" w:cs="Arial" w:hAnsi="Arial"/>
          <w:sz w:val="24"/>
          <w:szCs w:val="24"/>
        </w:rPr>
      </w:pPr>
    </w:p>
    <w:p w14:paraId="000000C3">
      <w:pPr>
        <w:spacing w:line="360" w:lineRule="auto"/>
        <w:rPr>
          <w:rFonts w:ascii="Arial" w:cs="Arial" w:hAnsi="Arial"/>
          <w:sz w:val="24"/>
          <w:szCs w:val="24"/>
        </w:rPr>
      </w:pPr>
    </w:p>
    <w:p w14:paraId="000000C4">
      <w:pPr>
        <w:pStyle w:val="Heading1"/>
        <w:rPr>
          <w:rFonts w:ascii="Arial" w:cs="Arial" w:hAnsi="Arial"/>
          <w:sz w:val="24"/>
          <w:szCs w:val="24"/>
        </w:rPr>
      </w:pPr>
      <w:bookmarkStart w:id="8" w:name="_Toc198828663"/>
      <w:r>
        <w:rPr>
          <w:rFonts w:ascii="Arial" w:cs="Arial" w:hAnsi="Arial"/>
          <w:sz w:val="24"/>
          <w:szCs w:val="24"/>
        </w:rPr>
        <w:t>Conclusion</w:t>
      </w:r>
      <w:bookmarkEnd w:id="8"/>
    </w:p>
    <w:p w14:paraId="000000C5">
      <w:pPr>
        <w:pStyle w:val="Normal"/>
        <w:rPr>
          <w:rFonts w:ascii="Arial" w:cs="Arial" w:hAnsi="Arial"/>
          <w:sz w:val="24"/>
          <w:szCs w:val="24"/>
        </w:rPr>
      </w:pPr>
    </w:p>
    <w:p w14:paraId="000000C6">
      <w:pPr>
        <w:spacing w:line="360" w:lineRule="auto"/>
        <w:rPr>
          <w:rFonts w:ascii="Arial" w:cs="Arial" w:hAnsi="Arial"/>
          <w:sz w:val="24"/>
          <w:szCs w:val="24"/>
        </w:rPr>
      </w:pPr>
      <w:r>
        <w:rPr>
          <w:rFonts w:ascii="Arial" w:cs="Arial" w:hAnsi="Arial"/>
          <w:sz w:val="24"/>
          <w:szCs w:val="24"/>
        </w:rPr>
        <w:t xml:space="preserve">The Wales Global Heritage Business Summit 2025 is a highly competitive MICE event that showcases Welsh culture and is intentionally crafted to match with Visit Wales' Year of </w:t>
      </w:r>
      <w:r>
        <w:rPr>
          <w:rFonts w:ascii="Arial" w:cs="Arial" w:hAnsi="Arial"/>
          <w:sz w:val="24"/>
          <w:szCs w:val="24"/>
        </w:rPr>
        <w:t>Croeso</w:t>
      </w:r>
      <w:r>
        <w:rPr>
          <w:rFonts w:ascii="Arial" w:cs="Arial" w:hAnsi="Arial"/>
          <w:sz w:val="24"/>
          <w:szCs w:val="24"/>
        </w:rPr>
        <w:t xml:space="preserve"> campaign.  Economic viability, cultural significance, and meticulous planning have all been used to prove its viability.  The planning framework guarantees reliable, inclusive, and future-proof </w:t>
      </w:r>
      <w:r>
        <w:rPr>
          <w:rFonts w:ascii="Arial" w:cs="Arial" w:hAnsi="Arial"/>
          <w:sz w:val="24"/>
          <w:szCs w:val="24"/>
        </w:rPr>
        <w:t>delivery,</w:t>
      </w:r>
      <w:r>
        <w:rPr>
          <w:rFonts w:ascii="Arial" w:cs="Arial" w:hAnsi="Arial"/>
          <w:sz w:val="24"/>
          <w:szCs w:val="24"/>
        </w:rPr>
        <w:t xml:space="preserve"> and it is backed by event management theories, including the Event Cycle, </w:t>
      </w:r>
      <w:r>
        <w:rPr>
          <w:rFonts w:ascii="Arial" w:cs="Arial" w:hAnsi="Arial"/>
          <w:sz w:val="24"/>
          <w:szCs w:val="24"/>
        </w:rPr>
        <w:t>Tuckman's</w:t>
      </w:r>
      <w:r>
        <w:rPr>
          <w:rFonts w:ascii="Arial" w:cs="Arial" w:hAnsi="Arial"/>
          <w:sz w:val="24"/>
          <w:szCs w:val="24"/>
        </w:rPr>
        <w:t xml:space="preserve"> Model, and PESTEL research.  In addition to enhancing Wales' standing in the worldwide events market, the summit leaves a permanent legacy through cultural diplomacy, economic growth, and the possibility of future heritage-led international summits.</w:t>
      </w:r>
    </w:p>
    <w:p w14:paraId="000000C7">
      <w:pPr>
        <w:widowControl w:val="on"/>
        <w:spacing w:after="200" w:line="276" w:lineRule="auto"/>
        <w:jc w:val="left"/>
        <w:rPr>
          <w:rFonts w:ascii="Arial" w:cs="Arial" w:hAnsi="Arial"/>
          <w:sz w:val="24"/>
          <w:szCs w:val="24"/>
        </w:rPr>
      </w:pPr>
      <w:r>
        <w:rPr>
          <w:rFonts w:ascii="Arial" w:cs="Arial" w:hAnsi="Arial"/>
          <w:sz w:val="24"/>
          <w:szCs w:val="24"/>
        </w:rPr>
        <w:br w:type="page"/>
      </w:r>
    </w:p>
    <w:p w14:paraId="000000C8">
      <w:pPr>
        <w:pStyle w:val="Heading1"/>
        <w:rPr>
          <w:rFonts w:ascii="Arial" w:cs="Arial" w:hAnsi="Arial"/>
          <w:sz w:val="24"/>
          <w:szCs w:val="24"/>
        </w:rPr>
      </w:pPr>
      <w:r>
        <w:rPr>
          <w:rFonts w:ascii="Arial" w:cs="Arial" w:hAnsi="Arial"/>
          <w:sz w:val="24"/>
          <w:szCs w:val="24"/>
        </w:rPr>
        <w:t>References list:</w:t>
      </w:r>
    </w:p>
    <w:p w14:paraId="000000C9">
      <w:pPr>
        <w:pStyle w:val="Normal"/>
        <w:rPr>
          <w:rFonts w:ascii="Arial" w:cs="Arial" w:hAnsi="Arial"/>
          <w:sz w:val="24"/>
          <w:szCs w:val="24"/>
        </w:rPr>
      </w:pPr>
    </w:p>
    <w:p w14:paraId="000000CA">
      <w:pPr>
        <w:pStyle w:val="Normal(Web)"/>
        <w:spacing w:before="0" w:after="240" w:line="360" w:lineRule="auto"/>
        <w:jc w:val="both"/>
        <w:rPr>
          <w:rFonts w:ascii="Arial" w:cs="Arial" w:hAnsi="Arial"/>
          <w:sz w:val="24"/>
          <w:szCs w:val="24"/>
        </w:rPr>
      </w:pPr>
      <w:r>
        <w:rPr>
          <w:rFonts w:ascii="Arial" w:cs="Arial" w:hAnsi="Arial"/>
          <w:sz w:val="24"/>
          <w:szCs w:val="24"/>
        </w:rPr>
        <w:t xml:space="preserve">Bladen, C., Wilde, N., </w:t>
      </w:r>
      <w:r>
        <w:rPr>
          <w:rFonts w:ascii="Arial" w:cs="Arial" w:hAnsi="Arial"/>
          <w:sz w:val="24"/>
          <w:szCs w:val="24"/>
        </w:rPr>
        <w:t>Kennell</w:t>
      </w:r>
      <w:r>
        <w:rPr>
          <w:rFonts w:ascii="Arial" w:cs="Arial" w:hAnsi="Arial"/>
          <w:sz w:val="24"/>
          <w:szCs w:val="24"/>
        </w:rPr>
        <w:t xml:space="preserve">, J. and </w:t>
      </w:r>
      <w:r>
        <w:rPr>
          <w:rFonts w:ascii="Arial" w:cs="Arial" w:hAnsi="Arial"/>
          <w:sz w:val="24"/>
          <w:szCs w:val="24"/>
        </w:rPr>
        <w:t>Abson</w:t>
      </w:r>
      <w:r>
        <w:rPr>
          <w:rFonts w:ascii="Arial" w:cs="Arial" w:hAnsi="Arial"/>
          <w:sz w:val="24"/>
          <w:szCs w:val="24"/>
        </w:rPr>
        <w:t>, E. (2022).</w:t>
      </w:r>
      <w:r>
        <w:rPr>
          <w:rFonts w:ascii="Arial" w:cs="Arial" w:hAnsi="Arial"/>
          <w:sz w:val="24"/>
          <w:szCs w:val="24"/>
        </w:rPr>
        <w:t xml:space="preserve"> </w:t>
      </w:r>
      <w:r>
        <w:rPr>
          <w:rFonts w:ascii="Arial" w:cs="Arial" w:hAnsi="Arial"/>
          <w:sz w:val="24"/>
          <w:szCs w:val="24"/>
        </w:rPr>
        <w:t>Events Management.</w:t>
      </w:r>
      <w:r>
        <w:rPr>
          <w:rFonts w:ascii="Arial" w:cs="Arial" w:hAnsi="Arial"/>
          <w:sz w:val="24"/>
          <w:szCs w:val="24"/>
        </w:rPr>
        <w:t xml:space="preserve"> </w:t>
      </w:r>
      <w:r>
        <w:rPr>
          <w:rFonts w:ascii="Arial" w:cs="Arial" w:hAnsi="Arial"/>
          <w:i/>
          <w:iCs/>
          <w:sz w:val="24"/>
          <w:szCs w:val="24"/>
        </w:rPr>
        <w:t>Events Management</w:t>
      </w:r>
      <w:r>
        <w:rPr>
          <w:rFonts w:ascii="Arial" w:cs="Arial" w:hAnsi="Arial"/>
          <w:sz w:val="24"/>
          <w:szCs w:val="24"/>
        </w:rPr>
        <w:t>, 1(1).</w:t>
      </w:r>
      <w:r>
        <w:rPr>
          <w:rFonts w:ascii="Arial" w:cs="Arial" w:hAnsi="Arial"/>
          <w:sz w:val="24"/>
          <w:szCs w:val="24"/>
        </w:rPr>
        <w:t xml:space="preserve"> </w:t>
      </w:r>
      <w:r>
        <w:rPr>
          <w:rFonts w:ascii="Arial" w:cs="Arial" w:hAnsi="Arial"/>
          <w:sz w:val="24"/>
          <w:szCs w:val="24"/>
        </w:rPr>
        <w:t>doi:https</w:t>
      </w:r>
      <w:r>
        <w:rPr>
          <w:rFonts w:ascii="Arial" w:cs="Arial" w:hAnsi="Arial"/>
          <w:sz w:val="24"/>
          <w:szCs w:val="24"/>
        </w:rPr>
        <w:t>://doi.org/10.4324/9781003102878.</w:t>
      </w:r>
    </w:p>
    <w:p w14:paraId="000000CB">
      <w:pPr>
        <w:widowControl w:val="on"/>
        <w:spacing w:after="240" w:line="360" w:lineRule="auto"/>
        <w:rPr>
          <w:rFonts w:ascii="Arial" w:cs="Arial" w:eastAsia="Times New Roman" w:hAnsi="Arial"/>
          <w:sz w:val="24"/>
          <w:szCs w:val="24"/>
        </w:rPr>
      </w:pPr>
      <w:r>
        <w:rPr>
          <w:rFonts w:ascii="Arial" w:cs="Arial" w:eastAsia="Times New Roman" w:hAnsi="Arial"/>
          <w:sz w:val="24"/>
          <w:szCs w:val="24"/>
        </w:rPr>
        <w:t>Bowdin</w:t>
      </w:r>
      <w:r>
        <w:rPr>
          <w:rFonts w:ascii="Arial" w:cs="Arial" w:eastAsia="Times New Roman" w:hAnsi="Arial"/>
          <w:sz w:val="24"/>
          <w:szCs w:val="24"/>
        </w:rPr>
        <w:t xml:space="preserve">, G., Allen, J., </w:t>
      </w:r>
      <w:r>
        <w:rPr>
          <w:rFonts w:ascii="Arial" w:cs="Arial" w:eastAsia="Times New Roman" w:hAnsi="Arial"/>
          <w:sz w:val="24"/>
          <w:szCs w:val="24"/>
        </w:rPr>
        <w:t>O’toole</w:t>
      </w:r>
      <w:r>
        <w:rPr>
          <w:rFonts w:ascii="Arial" w:cs="Arial" w:eastAsia="Times New Roman" w:hAnsi="Arial"/>
          <w:sz w:val="24"/>
          <w:szCs w:val="24"/>
        </w:rPr>
        <w:t xml:space="preserve">, W., Harris, R. and </w:t>
      </w:r>
      <w:r>
        <w:rPr>
          <w:rFonts w:ascii="Arial" w:cs="Arial" w:eastAsia="Times New Roman" w:hAnsi="Arial"/>
          <w:sz w:val="24"/>
          <w:szCs w:val="24"/>
        </w:rPr>
        <w:t>Mcdonnell</w:t>
      </w:r>
      <w:r>
        <w:rPr>
          <w:rFonts w:ascii="Arial" w:cs="Arial" w:eastAsia="Times New Roman" w:hAnsi="Arial"/>
          <w:sz w:val="24"/>
          <w:szCs w:val="24"/>
        </w:rPr>
        <w:t xml:space="preserve">, I. (2011). </w:t>
      </w:r>
      <w:r>
        <w:rPr>
          <w:rFonts w:ascii="Arial" w:cs="Arial" w:eastAsia="Times New Roman" w:hAnsi="Arial"/>
          <w:i/>
          <w:iCs/>
          <w:sz w:val="24"/>
          <w:szCs w:val="24"/>
        </w:rPr>
        <w:t>Events Management</w:t>
      </w:r>
      <w:r>
        <w:rPr>
          <w:rFonts w:ascii="Arial" w:cs="Arial" w:eastAsia="Times New Roman" w:hAnsi="Arial"/>
          <w:sz w:val="24"/>
          <w:szCs w:val="24"/>
        </w:rPr>
        <w:t>.</w:t>
      </w:r>
      <w:r>
        <w:rPr>
          <w:rFonts w:ascii="Arial" w:cs="Arial" w:eastAsia="Times New Roman" w:hAnsi="Arial"/>
          <w:sz w:val="24"/>
          <w:szCs w:val="24"/>
        </w:rPr>
        <w:t xml:space="preserve"> 3rd ed. London: </w:t>
      </w:r>
      <w:r>
        <w:rPr>
          <w:rFonts w:ascii="Arial" w:cs="Arial" w:eastAsia="Times New Roman" w:hAnsi="Arial"/>
          <w:sz w:val="24"/>
          <w:szCs w:val="24"/>
        </w:rPr>
        <w:t>Routledge</w:t>
      </w:r>
      <w:r>
        <w:rPr>
          <w:rFonts w:ascii="Arial" w:cs="Arial" w:eastAsia="Times New Roman" w:hAnsi="Arial"/>
          <w:sz w:val="24"/>
          <w:szCs w:val="24"/>
        </w:rPr>
        <w:t>.</w:t>
      </w:r>
    </w:p>
    <w:p w14:paraId="000000CC">
      <w:pPr>
        <w:pStyle w:val="Normal(Web)"/>
        <w:spacing w:before="0" w:after="240" w:line="360" w:lineRule="auto"/>
        <w:jc w:val="both"/>
        <w:rPr>
          <w:rFonts w:ascii="Arial" w:cs="Arial" w:hAnsi="Arial"/>
          <w:sz w:val="24"/>
          <w:szCs w:val="24"/>
        </w:rPr>
      </w:pPr>
      <w:r>
        <w:rPr>
          <w:rFonts w:ascii="Arial" w:cs="Arial" w:hAnsi="Arial"/>
          <w:sz w:val="24"/>
          <w:szCs w:val="24"/>
        </w:rPr>
        <w:t>Chakraborty</w:t>
      </w:r>
      <w:r>
        <w:rPr>
          <w:rFonts w:ascii="Arial" w:cs="Arial" w:hAnsi="Arial"/>
          <w:sz w:val="24"/>
          <w:szCs w:val="24"/>
        </w:rPr>
        <w:t>, A. and Jain, V. (2022).</w:t>
      </w:r>
      <w:r>
        <w:rPr>
          <w:rFonts w:ascii="Arial" w:cs="Arial" w:hAnsi="Arial"/>
          <w:sz w:val="24"/>
          <w:szCs w:val="24"/>
        </w:rPr>
        <w:t xml:space="preserve"> Leveraging Digital Marketing and Integrated Marketing Communications for Brand Building in Emerging Markets. </w:t>
      </w:r>
      <w:r>
        <w:rPr>
          <w:rFonts w:ascii="Arial" w:cs="Arial" w:hAnsi="Arial"/>
          <w:i/>
          <w:iCs/>
          <w:sz w:val="24"/>
          <w:szCs w:val="24"/>
        </w:rPr>
        <w:t>Marketing Communications and Brand Development in Emerging Economies Volume I</w:t>
      </w:r>
      <w:r>
        <w:rPr>
          <w:rFonts w:ascii="Arial" w:cs="Arial" w:hAnsi="Arial"/>
          <w:sz w:val="24"/>
          <w:szCs w:val="24"/>
        </w:rPr>
        <w:t>, 1(2), pp.281–305.</w:t>
      </w:r>
      <w:r>
        <w:rPr>
          <w:rFonts w:ascii="Arial" w:cs="Arial" w:hAnsi="Arial"/>
          <w:sz w:val="24"/>
          <w:szCs w:val="24"/>
        </w:rPr>
        <w:t xml:space="preserve"> </w:t>
      </w:r>
      <w:r>
        <w:rPr>
          <w:rFonts w:ascii="Arial" w:cs="Arial" w:hAnsi="Arial"/>
          <w:sz w:val="24"/>
          <w:szCs w:val="24"/>
        </w:rPr>
        <w:t>doi:https</w:t>
      </w:r>
      <w:r>
        <w:rPr>
          <w:rFonts w:ascii="Arial" w:cs="Arial" w:hAnsi="Arial"/>
          <w:sz w:val="24"/>
          <w:szCs w:val="24"/>
        </w:rPr>
        <w:t>://doi.org/10.1007/978-3-030-88678-3_13.</w:t>
      </w:r>
    </w:p>
    <w:p w14:paraId="000000CD">
      <w:pPr>
        <w:pStyle w:val="Normal(Web)"/>
        <w:spacing w:before="0" w:after="240" w:line="360" w:lineRule="auto"/>
        <w:jc w:val="both"/>
        <w:rPr>
          <w:rFonts w:ascii="Arial" w:cs="Arial" w:hAnsi="Arial"/>
          <w:sz w:val="24"/>
          <w:szCs w:val="24"/>
        </w:rPr>
      </w:pPr>
      <w:r>
        <w:rPr>
          <w:rFonts w:ascii="Arial" w:cs="Arial" w:hAnsi="Arial"/>
          <w:sz w:val="24"/>
          <w:szCs w:val="24"/>
        </w:rPr>
        <w:t>Chiabai</w:t>
      </w:r>
      <w:r>
        <w:rPr>
          <w:rFonts w:ascii="Arial" w:cs="Arial" w:hAnsi="Arial"/>
          <w:sz w:val="24"/>
          <w:szCs w:val="24"/>
        </w:rPr>
        <w:t xml:space="preserve">, A., </w:t>
      </w:r>
      <w:r>
        <w:rPr>
          <w:rFonts w:ascii="Arial" w:cs="Arial" w:hAnsi="Arial"/>
          <w:sz w:val="24"/>
          <w:szCs w:val="24"/>
        </w:rPr>
        <w:t>Paskaleva</w:t>
      </w:r>
      <w:r>
        <w:rPr>
          <w:rFonts w:ascii="Arial" w:cs="Arial" w:hAnsi="Arial"/>
          <w:sz w:val="24"/>
          <w:szCs w:val="24"/>
        </w:rPr>
        <w:t>, K. and Lombardi, P. (2011).</w:t>
      </w:r>
      <w:r>
        <w:rPr>
          <w:rFonts w:ascii="Arial" w:cs="Arial" w:hAnsi="Arial"/>
          <w:sz w:val="24"/>
          <w:szCs w:val="24"/>
        </w:rPr>
        <w:t xml:space="preserve"> </w:t>
      </w:r>
      <w:r>
        <w:rPr>
          <w:rFonts w:ascii="Arial" w:cs="Arial" w:hAnsi="Arial"/>
          <w:sz w:val="24"/>
          <w:szCs w:val="24"/>
        </w:rPr>
        <w:t>e-Participation</w:t>
      </w:r>
      <w:r>
        <w:rPr>
          <w:rFonts w:ascii="Arial" w:cs="Arial" w:hAnsi="Arial"/>
          <w:sz w:val="24"/>
          <w:szCs w:val="24"/>
        </w:rPr>
        <w:t xml:space="preserve"> Model for Sustainable Cultural Tourism Management: a Bottom-Up Approach. </w:t>
      </w:r>
      <w:r>
        <w:rPr>
          <w:rFonts w:ascii="Arial" w:cs="Arial" w:hAnsi="Arial"/>
          <w:i/>
          <w:iCs/>
          <w:sz w:val="24"/>
          <w:szCs w:val="24"/>
        </w:rPr>
        <w:t>International Journal of Tourism Research</w:t>
      </w:r>
      <w:r>
        <w:rPr>
          <w:rFonts w:ascii="Arial" w:cs="Arial" w:hAnsi="Arial"/>
          <w:sz w:val="24"/>
          <w:szCs w:val="24"/>
        </w:rPr>
        <w:t>, 15(1), pp.35–51.</w:t>
      </w:r>
      <w:r>
        <w:rPr>
          <w:rFonts w:ascii="Arial" w:cs="Arial" w:hAnsi="Arial"/>
          <w:sz w:val="24"/>
          <w:szCs w:val="24"/>
        </w:rPr>
        <w:t xml:space="preserve"> </w:t>
      </w:r>
      <w:r>
        <w:rPr>
          <w:rFonts w:ascii="Arial" w:cs="Arial" w:hAnsi="Arial"/>
          <w:sz w:val="24"/>
          <w:szCs w:val="24"/>
        </w:rPr>
        <w:t>doi:https</w:t>
      </w:r>
      <w:r>
        <w:rPr>
          <w:rFonts w:ascii="Arial" w:cs="Arial" w:hAnsi="Arial"/>
          <w:sz w:val="24"/>
          <w:szCs w:val="24"/>
        </w:rPr>
        <w:t>://doi.org/10.1002/jtr.871.</w:t>
      </w:r>
    </w:p>
    <w:p w14:paraId="000000CE">
      <w:pPr>
        <w:widowControl w:val="on"/>
        <w:spacing w:after="240" w:line="360" w:lineRule="auto"/>
        <w:rPr>
          <w:rFonts w:ascii="Arial" w:cs="Arial" w:eastAsia="Times New Roman" w:hAnsi="Arial"/>
          <w:sz w:val="24"/>
          <w:szCs w:val="24"/>
        </w:rPr>
      </w:pPr>
      <w:r>
        <w:rPr>
          <w:rFonts w:ascii="Arial" w:cs="Arial" w:eastAsia="Times New Roman" w:hAnsi="Arial"/>
          <w:sz w:val="24"/>
          <w:szCs w:val="24"/>
        </w:rPr>
        <w:t>Dwivedi</w:t>
      </w:r>
      <w:r>
        <w:rPr>
          <w:rFonts w:ascii="Arial" w:cs="Arial" w:eastAsia="Times New Roman" w:hAnsi="Arial"/>
          <w:sz w:val="24"/>
          <w:szCs w:val="24"/>
        </w:rPr>
        <w:t xml:space="preserve">, Y.K., </w:t>
      </w:r>
      <w:r>
        <w:rPr>
          <w:rFonts w:ascii="Arial" w:cs="Arial" w:eastAsia="Times New Roman" w:hAnsi="Arial"/>
          <w:sz w:val="24"/>
          <w:szCs w:val="24"/>
        </w:rPr>
        <w:t>Ismagilova</w:t>
      </w:r>
      <w:r>
        <w:rPr>
          <w:rFonts w:ascii="Arial" w:cs="Arial" w:eastAsia="Times New Roman" w:hAnsi="Arial"/>
          <w:sz w:val="24"/>
          <w:szCs w:val="24"/>
        </w:rPr>
        <w:t>, E., Hughes, D.L. and Carlson, J. (2021).</w:t>
      </w:r>
      <w:r>
        <w:rPr>
          <w:rFonts w:ascii="Arial" w:cs="Arial" w:eastAsia="Times New Roman" w:hAnsi="Arial"/>
          <w:sz w:val="24"/>
          <w:szCs w:val="24"/>
        </w:rPr>
        <w:t xml:space="preserve"> </w:t>
      </w:r>
      <w:r>
        <w:rPr>
          <w:rFonts w:ascii="Arial" w:cs="Arial" w:eastAsia="Times New Roman" w:hAnsi="Arial"/>
          <w:sz w:val="24"/>
          <w:szCs w:val="24"/>
        </w:rPr>
        <w:t>Setting the future of digital and social media marketing research: Perspectives and research propositions.</w:t>
      </w:r>
      <w:r>
        <w:rPr>
          <w:rFonts w:ascii="Arial" w:cs="Arial" w:eastAsia="Times New Roman" w:hAnsi="Arial"/>
          <w:sz w:val="24"/>
          <w:szCs w:val="24"/>
        </w:rPr>
        <w:t xml:space="preserve"> </w:t>
      </w:r>
      <w:r>
        <w:rPr>
          <w:rFonts w:ascii="Arial" w:cs="Arial" w:eastAsia="Times New Roman" w:hAnsi="Arial"/>
          <w:i/>
          <w:iCs/>
          <w:sz w:val="24"/>
          <w:szCs w:val="24"/>
        </w:rPr>
        <w:t>International Journal of Information Management</w:t>
      </w:r>
      <w:r>
        <w:rPr>
          <w:rFonts w:ascii="Arial" w:cs="Arial" w:eastAsia="Times New Roman" w:hAnsi="Arial"/>
          <w:sz w:val="24"/>
          <w:szCs w:val="24"/>
        </w:rPr>
        <w:t>, 59(1), pp.1–37.</w:t>
      </w:r>
      <w:r>
        <w:rPr>
          <w:rFonts w:ascii="Arial" w:cs="Arial" w:eastAsia="Times New Roman" w:hAnsi="Arial"/>
          <w:sz w:val="24"/>
          <w:szCs w:val="24"/>
        </w:rPr>
        <w:t xml:space="preserve"> </w:t>
      </w:r>
      <w:r>
        <w:rPr>
          <w:rFonts w:ascii="Arial" w:cs="Arial" w:eastAsia="Times New Roman" w:hAnsi="Arial"/>
          <w:sz w:val="24"/>
          <w:szCs w:val="24"/>
        </w:rPr>
        <w:t>doi:https</w:t>
      </w:r>
      <w:r>
        <w:rPr>
          <w:rFonts w:ascii="Arial" w:cs="Arial" w:eastAsia="Times New Roman" w:hAnsi="Arial"/>
          <w:sz w:val="24"/>
          <w:szCs w:val="24"/>
        </w:rPr>
        <w:t>://doi.org/10.1016/j.ijinfomgt.2020.102168.</w:t>
      </w:r>
    </w:p>
    <w:p w14:paraId="000000CF">
      <w:pPr>
        <w:pStyle w:val="Normal(Web)"/>
        <w:spacing w:before="0" w:after="240" w:line="360" w:lineRule="auto"/>
        <w:jc w:val="both"/>
        <w:rPr>
          <w:rFonts w:ascii="Arial" w:cs="Arial" w:hAnsi="Arial"/>
          <w:sz w:val="24"/>
          <w:szCs w:val="24"/>
        </w:rPr>
      </w:pPr>
      <w:r>
        <w:rPr>
          <w:rFonts w:ascii="Arial" w:cs="Arial" w:hAnsi="Arial"/>
          <w:sz w:val="24"/>
          <w:szCs w:val="24"/>
        </w:rPr>
        <w:t>Ezeh</w:t>
      </w:r>
      <w:r>
        <w:rPr>
          <w:rFonts w:ascii="Arial" w:cs="Arial" w:hAnsi="Arial"/>
          <w:sz w:val="24"/>
          <w:szCs w:val="24"/>
        </w:rPr>
        <w:t>, C. and Harris, L.C. (2007).</w:t>
      </w:r>
      <w:r>
        <w:rPr>
          <w:rFonts w:ascii="Arial" w:cs="Arial" w:hAnsi="Arial"/>
          <w:sz w:val="24"/>
          <w:szCs w:val="24"/>
        </w:rPr>
        <w:t xml:space="preserve"> </w:t>
      </w:r>
      <w:r>
        <w:rPr>
          <w:rFonts w:ascii="Arial" w:cs="Arial" w:hAnsi="Arial"/>
          <w:sz w:val="24"/>
          <w:szCs w:val="24"/>
        </w:rPr>
        <w:t>Servicescape</w:t>
      </w:r>
      <w:r>
        <w:rPr>
          <w:rFonts w:ascii="Arial" w:cs="Arial" w:hAnsi="Arial"/>
          <w:sz w:val="24"/>
          <w:szCs w:val="24"/>
        </w:rPr>
        <w:t xml:space="preserve"> research: A review and a research agenda. </w:t>
      </w:r>
      <w:r>
        <w:rPr>
          <w:rFonts w:ascii="Arial" w:cs="Arial" w:hAnsi="Arial"/>
          <w:i/>
          <w:iCs/>
          <w:sz w:val="24"/>
          <w:szCs w:val="24"/>
        </w:rPr>
        <w:t>The Marketing Review</w:t>
      </w:r>
      <w:r>
        <w:rPr>
          <w:rFonts w:ascii="Arial" w:cs="Arial" w:hAnsi="Arial"/>
          <w:sz w:val="24"/>
          <w:szCs w:val="24"/>
        </w:rPr>
        <w:t>, [online] 7(1), pp.59–78.</w:t>
      </w:r>
      <w:r>
        <w:rPr>
          <w:rFonts w:ascii="Arial" w:cs="Arial" w:hAnsi="Arial"/>
          <w:sz w:val="24"/>
          <w:szCs w:val="24"/>
        </w:rPr>
        <w:t xml:space="preserve"> Available at: https://www.researchgate.net/publication/233587976_Servicescape_research_A_review_and_a_research_agenda [Accessed 22 May 2025].</w:t>
      </w:r>
    </w:p>
    <w:p w14:paraId="000000D0">
      <w:pPr>
        <w:pStyle w:val="Normal(Web)"/>
        <w:spacing w:before="0" w:after="240" w:line="360" w:lineRule="auto"/>
        <w:jc w:val="both"/>
        <w:rPr>
          <w:rFonts w:ascii="Arial" w:cs="Arial" w:hAnsi="Arial"/>
          <w:sz w:val="24"/>
          <w:szCs w:val="24"/>
        </w:rPr>
      </w:pPr>
      <w:r>
        <w:rPr>
          <w:rFonts w:ascii="Arial" w:cs="Arial" w:hAnsi="Arial"/>
          <w:sz w:val="24"/>
          <w:szCs w:val="24"/>
        </w:rPr>
        <w:t>Getz, D. and Page, S.J. (2016).</w:t>
      </w:r>
      <w:r>
        <w:rPr>
          <w:rFonts w:ascii="Arial" w:cs="Arial" w:hAnsi="Arial"/>
          <w:sz w:val="24"/>
          <w:szCs w:val="24"/>
        </w:rPr>
        <w:t xml:space="preserve"> </w:t>
      </w:r>
      <w:r>
        <w:rPr>
          <w:rFonts w:ascii="Arial" w:cs="Arial" w:hAnsi="Arial"/>
          <w:sz w:val="24"/>
          <w:szCs w:val="24"/>
        </w:rPr>
        <w:t>Progress and Prospects for Event Tourism Research.</w:t>
      </w:r>
      <w:r>
        <w:rPr>
          <w:rFonts w:ascii="Arial" w:cs="Arial" w:hAnsi="Arial"/>
          <w:sz w:val="24"/>
          <w:szCs w:val="24"/>
        </w:rPr>
        <w:t xml:space="preserve"> </w:t>
      </w:r>
      <w:r>
        <w:rPr>
          <w:rFonts w:ascii="Arial" w:cs="Arial" w:hAnsi="Arial"/>
          <w:i/>
          <w:iCs/>
          <w:sz w:val="24"/>
          <w:szCs w:val="24"/>
        </w:rPr>
        <w:t>Tourism Management</w:t>
      </w:r>
      <w:r>
        <w:rPr>
          <w:rFonts w:ascii="Arial" w:cs="Arial" w:hAnsi="Arial"/>
          <w:sz w:val="24"/>
          <w:szCs w:val="24"/>
        </w:rPr>
        <w:t>, 52(0261-5177), pp.593–631.</w:t>
      </w:r>
      <w:r>
        <w:rPr>
          <w:rFonts w:ascii="Arial" w:cs="Arial" w:hAnsi="Arial"/>
          <w:sz w:val="24"/>
          <w:szCs w:val="24"/>
        </w:rPr>
        <w:t xml:space="preserve"> </w:t>
      </w:r>
      <w:r>
        <w:rPr>
          <w:rFonts w:ascii="Arial" w:cs="Arial" w:hAnsi="Arial"/>
          <w:sz w:val="24"/>
          <w:szCs w:val="24"/>
        </w:rPr>
        <w:t>doi:https</w:t>
      </w:r>
      <w:r>
        <w:rPr>
          <w:rFonts w:ascii="Arial" w:cs="Arial" w:hAnsi="Arial"/>
          <w:sz w:val="24"/>
          <w:szCs w:val="24"/>
        </w:rPr>
        <w:t>://doi.org/10.1016/j.tourman.2015.03.007.</w:t>
      </w:r>
    </w:p>
    <w:p w14:paraId="000000D1">
      <w:pPr>
        <w:pStyle w:val="Normal(Web)"/>
        <w:spacing w:before="0" w:after="240" w:line="360" w:lineRule="auto"/>
        <w:jc w:val="both"/>
        <w:rPr>
          <w:rFonts w:ascii="Arial" w:cs="Arial" w:hAnsi="Arial"/>
          <w:sz w:val="24"/>
          <w:szCs w:val="24"/>
        </w:rPr>
      </w:pPr>
      <w:r>
        <w:rPr>
          <w:rFonts w:ascii="Arial" w:cs="Arial" w:hAnsi="Arial"/>
          <w:sz w:val="24"/>
          <w:szCs w:val="24"/>
        </w:rPr>
        <w:t>Gevme</w:t>
      </w:r>
      <w:r>
        <w:rPr>
          <w:rFonts w:ascii="Arial" w:cs="Arial" w:hAnsi="Arial"/>
          <w:sz w:val="24"/>
          <w:szCs w:val="24"/>
        </w:rPr>
        <w:t xml:space="preserve"> (2024).</w:t>
      </w:r>
      <w:r>
        <w:rPr>
          <w:rFonts w:ascii="Arial" w:cs="Arial" w:hAnsi="Arial"/>
          <w:sz w:val="24"/>
          <w:szCs w:val="24"/>
        </w:rPr>
        <w:t xml:space="preserve"> </w:t>
      </w:r>
      <w:r>
        <w:rPr>
          <w:rFonts w:ascii="Arial" w:cs="Arial" w:hAnsi="Arial"/>
          <w:i/>
          <w:iCs/>
          <w:sz w:val="24"/>
          <w:szCs w:val="24"/>
        </w:rPr>
        <w:t>2024 Event Trends: Hybrid, Sustainable &amp; AI-Driven Events</w:t>
      </w:r>
      <w:r>
        <w:rPr>
          <w:rFonts w:ascii="Arial" w:cs="Arial" w:hAnsi="Arial"/>
          <w:sz w:val="24"/>
          <w:szCs w:val="24"/>
        </w:rPr>
        <w:t>. [</w:t>
      </w:r>
      <w:r>
        <w:rPr>
          <w:rFonts w:ascii="Arial" w:cs="Arial" w:hAnsi="Arial"/>
          <w:sz w:val="24"/>
          <w:szCs w:val="24"/>
        </w:rPr>
        <w:t>online</w:t>
      </w:r>
      <w:r>
        <w:rPr>
          <w:rFonts w:ascii="Arial" w:cs="Arial" w:hAnsi="Arial"/>
          <w:sz w:val="24"/>
          <w:szCs w:val="24"/>
        </w:rPr>
        <w:t xml:space="preserve">] </w:t>
      </w:r>
      <w:r>
        <w:rPr>
          <w:rFonts w:ascii="Arial" w:cs="Arial" w:hAnsi="Arial"/>
          <w:sz w:val="24"/>
          <w:szCs w:val="24"/>
        </w:rPr>
        <w:t>Gevme</w:t>
      </w:r>
      <w:r>
        <w:rPr>
          <w:rFonts w:ascii="Arial" w:cs="Arial" w:hAnsi="Arial"/>
          <w:sz w:val="24"/>
          <w:szCs w:val="24"/>
        </w:rPr>
        <w:t>.</w:t>
      </w:r>
      <w:r>
        <w:rPr>
          <w:rFonts w:ascii="Arial" w:cs="Arial" w:hAnsi="Arial"/>
          <w:sz w:val="24"/>
          <w:szCs w:val="24"/>
        </w:rPr>
        <w:t xml:space="preserve"> Available at: </w:t>
      </w:r>
      <w:r>
        <w:rPr>
          <w:rStyle w:val="Hyperlink"/>
          <w:rFonts w:ascii="Arial" w:cs="Arial" w:hAnsi="Arial"/>
          <w:sz w:val="24"/>
          <w:szCs w:val="24"/>
        </w:rPr>
        <w:fldChar w:fldCharType="begin"/>
      </w:r>
      <w:r>
        <w:rPr>
          <w:rStyle w:val="Hyperlink"/>
          <w:rFonts w:ascii="Arial" w:cs="Arial" w:hAnsi="Arial"/>
          <w:sz w:val="24"/>
          <w:szCs w:val="24"/>
        </w:rPr>
        <w:instrText xml:space="preserve">HYPERLINK "https://www.gevme.com/en/blog/2024-event-trends-in-2024/" </w:instrText>
      </w:r>
      <w:r>
        <w:rPr>
          <w:rStyle w:val="Hyperlink"/>
          <w:rFonts w:ascii="Arial" w:cs="Arial" w:hAnsi="Arial"/>
          <w:sz w:val="24"/>
          <w:szCs w:val="24"/>
        </w:rPr>
        <w:fldChar w:fldCharType="separate"/>
      </w:r>
      <w:r>
        <w:rPr>
          <w:rStyle w:val="Hyperlink"/>
          <w:rFonts w:ascii="Arial" w:cs="Arial" w:hAnsi="Arial"/>
          <w:sz w:val="24"/>
          <w:szCs w:val="24"/>
        </w:rPr>
        <w:t>https://www.gevme.com/en/blog/2024-event-trends-in-2024/</w:t>
      </w:r>
      <w:r>
        <w:rPr>
          <w:rFonts w:ascii="Arial" w:cs="Arial" w:hAnsi="Arial"/>
          <w:sz w:val="24"/>
          <w:szCs w:val="24"/>
        </w:rPr>
        <w:fldChar w:fldCharType="end"/>
      </w:r>
      <w:r>
        <w:rPr>
          <w:rFonts w:ascii="Arial" w:cs="Arial" w:hAnsi="Arial"/>
          <w:sz w:val="24"/>
          <w:szCs w:val="24"/>
        </w:rPr>
        <w:t>.</w:t>
      </w:r>
    </w:p>
    <w:p w14:paraId="000000D2">
      <w:pPr>
        <w:widowControl w:val="on"/>
        <w:spacing w:after="240" w:line="360" w:lineRule="auto"/>
        <w:rPr>
          <w:rFonts w:ascii="Arial" w:cs="Arial" w:eastAsia="Times New Roman" w:hAnsi="Arial"/>
          <w:sz w:val="24"/>
          <w:szCs w:val="24"/>
        </w:rPr>
      </w:pPr>
      <w:r>
        <w:rPr>
          <w:rFonts w:ascii="Arial" w:cs="Arial" w:eastAsia="Times New Roman" w:hAnsi="Arial"/>
          <w:sz w:val="24"/>
          <w:szCs w:val="24"/>
        </w:rPr>
        <w:t>Iyer</w:t>
      </w:r>
      <w:r>
        <w:rPr>
          <w:rFonts w:ascii="Arial" w:cs="Arial" w:eastAsia="Times New Roman" w:hAnsi="Arial"/>
          <w:sz w:val="24"/>
          <w:szCs w:val="24"/>
        </w:rPr>
        <w:t xml:space="preserve">, K.V. (2022). </w:t>
      </w:r>
      <w:r>
        <w:rPr>
          <w:rFonts w:ascii="Arial" w:cs="Arial" w:eastAsia="Times New Roman" w:hAnsi="Arial"/>
          <w:sz w:val="24"/>
          <w:szCs w:val="24"/>
        </w:rPr>
        <w:t>Virtual Events and Use of Technology.</w:t>
      </w:r>
      <w:r>
        <w:rPr>
          <w:rFonts w:ascii="Arial" w:cs="Arial" w:eastAsia="Times New Roman" w:hAnsi="Arial"/>
          <w:sz w:val="24"/>
          <w:szCs w:val="24"/>
        </w:rPr>
        <w:t xml:space="preserve"> </w:t>
      </w:r>
      <w:r>
        <w:rPr>
          <w:rFonts w:ascii="Arial" w:cs="Arial" w:eastAsia="Times New Roman" w:hAnsi="Arial"/>
          <w:i/>
          <w:iCs/>
          <w:sz w:val="24"/>
          <w:szCs w:val="24"/>
        </w:rPr>
        <w:t>International Journal of Information Communication Technologies and Human Development</w:t>
      </w:r>
      <w:r>
        <w:rPr>
          <w:rFonts w:ascii="Arial" w:cs="Arial" w:eastAsia="Times New Roman" w:hAnsi="Arial"/>
          <w:sz w:val="24"/>
          <w:szCs w:val="24"/>
        </w:rPr>
        <w:t>, 14(1), pp.1–20.</w:t>
      </w:r>
      <w:r>
        <w:rPr>
          <w:rFonts w:ascii="Arial" w:cs="Arial" w:eastAsia="Times New Roman" w:hAnsi="Arial"/>
          <w:sz w:val="24"/>
          <w:szCs w:val="24"/>
        </w:rPr>
        <w:t xml:space="preserve"> </w:t>
      </w:r>
      <w:r>
        <w:rPr>
          <w:rFonts w:ascii="Arial" w:cs="Arial" w:eastAsia="Times New Roman" w:hAnsi="Arial"/>
          <w:sz w:val="24"/>
          <w:szCs w:val="24"/>
        </w:rPr>
        <w:t>doi:https</w:t>
      </w:r>
      <w:r>
        <w:rPr>
          <w:rFonts w:ascii="Arial" w:cs="Arial" w:eastAsia="Times New Roman" w:hAnsi="Arial"/>
          <w:sz w:val="24"/>
          <w:szCs w:val="24"/>
        </w:rPr>
        <w:t>://doi.org/10.4018/ijicthd.299416.</w:t>
      </w:r>
    </w:p>
    <w:p w14:paraId="000000D3">
      <w:pPr>
        <w:pStyle w:val="Normal(Web)"/>
        <w:spacing w:before="0" w:after="240" w:line="360" w:lineRule="auto"/>
        <w:jc w:val="both"/>
        <w:rPr>
          <w:rFonts w:ascii="Arial" w:cs="Arial" w:hAnsi="Arial"/>
          <w:sz w:val="24"/>
          <w:szCs w:val="24"/>
        </w:rPr>
      </w:pPr>
      <w:r>
        <w:rPr>
          <w:rFonts w:ascii="Arial" w:cs="Arial" w:hAnsi="Arial"/>
          <w:sz w:val="24"/>
          <w:szCs w:val="24"/>
        </w:rPr>
        <w:t>Kayyali</w:t>
      </w:r>
      <w:r>
        <w:rPr>
          <w:rFonts w:ascii="Arial" w:cs="Arial" w:hAnsi="Arial"/>
          <w:sz w:val="24"/>
          <w:szCs w:val="24"/>
        </w:rPr>
        <w:t>, M. (2024).</w:t>
      </w:r>
      <w:r>
        <w:rPr>
          <w:rFonts w:ascii="Arial" w:cs="Arial" w:hAnsi="Arial"/>
          <w:sz w:val="24"/>
          <w:szCs w:val="24"/>
        </w:rPr>
        <w:t xml:space="preserve"> Digital Literacy in Higher Education: Preparing Students for the Workforce of the Future. </w:t>
      </w:r>
      <w:r>
        <w:rPr>
          <w:rFonts w:ascii="Arial" w:cs="Arial" w:hAnsi="Arial"/>
          <w:i/>
          <w:iCs/>
          <w:sz w:val="24"/>
          <w:szCs w:val="24"/>
        </w:rPr>
        <w:t>International Journal of Information Science and Computing</w:t>
      </w:r>
      <w:r>
        <w:rPr>
          <w:rFonts w:ascii="Arial" w:cs="Arial" w:hAnsi="Arial"/>
          <w:sz w:val="24"/>
          <w:szCs w:val="24"/>
        </w:rPr>
        <w:t>, [online] 11(1), pp.53–73.</w:t>
      </w:r>
      <w:r>
        <w:rPr>
          <w:rFonts w:ascii="Arial" w:cs="Arial" w:hAnsi="Arial"/>
          <w:sz w:val="24"/>
          <w:szCs w:val="24"/>
        </w:rPr>
        <w:t xml:space="preserve"> </w:t>
      </w:r>
      <w:r>
        <w:rPr>
          <w:rFonts w:ascii="Arial" w:cs="Arial" w:hAnsi="Arial"/>
          <w:sz w:val="24"/>
          <w:szCs w:val="24"/>
        </w:rPr>
        <w:t>doi:https</w:t>
      </w:r>
      <w:r>
        <w:rPr>
          <w:rFonts w:ascii="Arial" w:cs="Arial" w:hAnsi="Arial"/>
          <w:sz w:val="24"/>
          <w:szCs w:val="24"/>
        </w:rPr>
        <w:t>://doi.org/10.30954/2348-7437.1.2024.6.</w:t>
      </w:r>
    </w:p>
    <w:p w14:paraId="000000D4">
      <w:pPr>
        <w:pStyle w:val="Normal(Web)"/>
        <w:spacing w:before="0" w:after="240" w:line="360" w:lineRule="auto"/>
        <w:jc w:val="both"/>
        <w:rPr>
          <w:rFonts w:ascii="Arial" w:cs="Arial" w:hAnsi="Arial"/>
          <w:sz w:val="24"/>
          <w:szCs w:val="24"/>
        </w:rPr>
      </w:pPr>
      <w:r>
        <w:rPr>
          <w:rFonts w:ascii="Arial" w:cs="Arial" w:hAnsi="Arial"/>
          <w:sz w:val="24"/>
          <w:szCs w:val="24"/>
        </w:rPr>
        <w:t xml:space="preserve">None </w:t>
      </w:r>
      <w:r>
        <w:rPr>
          <w:rFonts w:ascii="Arial" w:cs="Arial" w:hAnsi="Arial"/>
          <w:sz w:val="24"/>
          <w:szCs w:val="24"/>
        </w:rPr>
        <w:t>Emmanuella</w:t>
      </w:r>
      <w:r>
        <w:rPr>
          <w:rFonts w:ascii="Arial" w:cs="Arial" w:hAnsi="Arial"/>
          <w:sz w:val="24"/>
          <w:szCs w:val="24"/>
        </w:rPr>
        <w:t xml:space="preserve"> </w:t>
      </w:r>
      <w:r>
        <w:rPr>
          <w:rFonts w:ascii="Arial" w:cs="Arial" w:hAnsi="Arial"/>
          <w:sz w:val="24"/>
          <w:szCs w:val="24"/>
        </w:rPr>
        <w:t>Onyinye</w:t>
      </w:r>
      <w:r>
        <w:rPr>
          <w:rFonts w:ascii="Arial" w:cs="Arial" w:hAnsi="Arial"/>
          <w:sz w:val="24"/>
          <w:szCs w:val="24"/>
        </w:rPr>
        <w:t xml:space="preserve"> </w:t>
      </w:r>
      <w:r>
        <w:rPr>
          <w:rFonts w:ascii="Arial" w:cs="Arial" w:hAnsi="Arial"/>
          <w:sz w:val="24"/>
          <w:szCs w:val="24"/>
        </w:rPr>
        <w:t>Nwulu</w:t>
      </w:r>
      <w:r>
        <w:rPr>
          <w:rFonts w:ascii="Arial" w:cs="Arial" w:hAnsi="Arial"/>
          <w:sz w:val="24"/>
          <w:szCs w:val="24"/>
        </w:rPr>
        <w:t xml:space="preserve">, Yvonne, T., </w:t>
      </w:r>
      <w:r>
        <w:rPr>
          <w:rFonts w:ascii="Arial" w:cs="Arial" w:hAnsi="Arial"/>
          <w:sz w:val="24"/>
          <w:szCs w:val="24"/>
        </w:rPr>
        <w:t>Erhueh</w:t>
      </w:r>
      <w:r>
        <w:rPr>
          <w:rFonts w:ascii="Arial" w:cs="Arial" w:hAnsi="Arial"/>
          <w:sz w:val="24"/>
          <w:szCs w:val="24"/>
        </w:rPr>
        <w:t xml:space="preserve">, V., None </w:t>
      </w:r>
      <w:r>
        <w:rPr>
          <w:rFonts w:ascii="Arial" w:cs="Arial" w:hAnsi="Arial"/>
          <w:sz w:val="24"/>
          <w:szCs w:val="24"/>
        </w:rPr>
        <w:t>Oluwaseyi</w:t>
      </w:r>
      <w:r>
        <w:rPr>
          <w:rFonts w:ascii="Arial" w:cs="Arial" w:hAnsi="Arial"/>
          <w:sz w:val="24"/>
          <w:szCs w:val="24"/>
        </w:rPr>
        <w:t xml:space="preserve"> </w:t>
      </w:r>
      <w:r>
        <w:rPr>
          <w:rFonts w:ascii="Arial" w:cs="Arial" w:hAnsi="Arial"/>
          <w:sz w:val="24"/>
          <w:szCs w:val="24"/>
        </w:rPr>
        <w:t>Ayotunde</w:t>
      </w:r>
      <w:r>
        <w:rPr>
          <w:rFonts w:ascii="Arial" w:cs="Arial" w:hAnsi="Arial"/>
          <w:sz w:val="24"/>
          <w:szCs w:val="24"/>
        </w:rPr>
        <w:t xml:space="preserve"> </w:t>
      </w:r>
      <w:r>
        <w:rPr>
          <w:rFonts w:ascii="Arial" w:cs="Arial" w:hAnsi="Arial"/>
          <w:sz w:val="24"/>
          <w:szCs w:val="24"/>
        </w:rPr>
        <w:t>Akano</w:t>
      </w:r>
      <w:r>
        <w:rPr>
          <w:rFonts w:ascii="Arial" w:cs="Arial" w:hAnsi="Arial"/>
          <w:sz w:val="24"/>
          <w:szCs w:val="24"/>
        </w:rPr>
        <w:t xml:space="preserve"> and Kingsley, N. (2022).</w:t>
      </w:r>
      <w:r>
        <w:rPr>
          <w:rFonts w:ascii="Arial" w:cs="Arial" w:hAnsi="Arial"/>
          <w:sz w:val="24"/>
          <w:szCs w:val="24"/>
        </w:rPr>
        <w:t xml:space="preserve"> Leadership in multidisciplinary engineering projects: A review of effective management practices and outcomes. </w:t>
      </w:r>
      <w:r>
        <w:rPr>
          <w:rFonts w:ascii="Arial" w:cs="Arial" w:hAnsi="Arial"/>
          <w:i/>
          <w:iCs/>
          <w:sz w:val="24"/>
          <w:szCs w:val="24"/>
        </w:rPr>
        <w:t>International Journal of Scientific Research Updates</w:t>
      </w:r>
      <w:r>
        <w:rPr>
          <w:rFonts w:ascii="Arial" w:cs="Arial" w:hAnsi="Arial"/>
          <w:sz w:val="24"/>
          <w:szCs w:val="24"/>
        </w:rPr>
        <w:t>, [online] 4(2), pp.267–283.</w:t>
      </w:r>
      <w:r>
        <w:rPr>
          <w:rFonts w:ascii="Arial" w:cs="Arial" w:hAnsi="Arial"/>
          <w:sz w:val="24"/>
          <w:szCs w:val="24"/>
        </w:rPr>
        <w:t xml:space="preserve"> </w:t>
      </w:r>
      <w:r>
        <w:rPr>
          <w:rFonts w:ascii="Arial" w:cs="Arial" w:hAnsi="Arial"/>
          <w:sz w:val="24"/>
          <w:szCs w:val="24"/>
        </w:rPr>
        <w:t>doi:https</w:t>
      </w:r>
      <w:r>
        <w:rPr>
          <w:rFonts w:ascii="Arial" w:cs="Arial" w:hAnsi="Arial"/>
          <w:sz w:val="24"/>
          <w:szCs w:val="24"/>
        </w:rPr>
        <w:t>://doi.org/10.53430/ijsru.2022.4.2.0188.</w:t>
      </w:r>
    </w:p>
    <w:p w14:paraId="000000D5">
      <w:pPr>
        <w:pStyle w:val="Normal(Web)"/>
        <w:spacing w:before="0" w:after="240" w:line="360" w:lineRule="auto"/>
        <w:jc w:val="both"/>
        <w:rPr>
          <w:rFonts w:ascii="Arial" w:cs="Arial" w:hAnsi="Arial"/>
          <w:sz w:val="24"/>
          <w:szCs w:val="24"/>
        </w:rPr>
      </w:pPr>
      <w:r>
        <w:rPr>
          <w:rFonts w:ascii="Arial" w:cs="Arial" w:hAnsi="Arial"/>
          <w:sz w:val="24"/>
          <w:szCs w:val="24"/>
        </w:rPr>
        <w:t>Pritchard, A. and Morgan, N.J. (2001).</w:t>
      </w:r>
      <w:r>
        <w:rPr>
          <w:rFonts w:ascii="Arial" w:cs="Arial" w:hAnsi="Arial"/>
          <w:sz w:val="24"/>
          <w:szCs w:val="24"/>
        </w:rPr>
        <w:t xml:space="preserve"> Culture, identity and tourism representation: marketing </w:t>
      </w:r>
      <w:r>
        <w:rPr>
          <w:rFonts w:ascii="Arial" w:cs="Arial" w:hAnsi="Arial"/>
          <w:sz w:val="24"/>
          <w:szCs w:val="24"/>
        </w:rPr>
        <w:t>Cymru</w:t>
      </w:r>
      <w:r>
        <w:rPr>
          <w:rFonts w:ascii="Arial" w:cs="Arial" w:hAnsi="Arial"/>
          <w:sz w:val="24"/>
          <w:szCs w:val="24"/>
        </w:rPr>
        <w:t xml:space="preserve"> or Wales? </w:t>
      </w:r>
      <w:r>
        <w:rPr>
          <w:rFonts w:ascii="Arial" w:cs="Arial" w:hAnsi="Arial"/>
          <w:i/>
          <w:iCs/>
          <w:sz w:val="24"/>
          <w:szCs w:val="24"/>
        </w:rPr>
        <w:t>Tourism Management</w:t>
      </w:r>
      <w:r>
        <w:rPr>
          <w:rFonts w:ascii="Arial" w:cs="Arial" w:hAnsi="Arial"/>
          <w:sz w:val="24"/>
          <w:szCs w:val="24"/>
        </w:rPr>
        <w:t>, 22(2), pp.167–179.</w:t>
      </w:r>
      <w:r>
        <w:rPr>
          <w:rFonts w:ascii="Arial" w:cs="Arial" w:hAnsi="Arial"/>
          <w:sz w:val="24"/>
          <w:szCs w:val="24"/>
        </w:rPr>
        <w:t xml:space="preserve"> </w:t>
      </w:r>
      <w:r>
        <w:rPr>
          <w:rFonts w:ascii="Arial" w:cs="Arial" w:hAnsi="Arial"/>
          <w:sz w:val="24"/>
          <w:szCs w:val="24"/>
        </w:rPr>
        <w:t>doi:https</w:t>
      </w:r>
      <w:r>
        <w:rPr>
          <w:rFonts w:ascii="Arial" w:cs="Arial" w:hAnsi="Arial"/>
          <w:sz w:val="24"/>
          <w:szCs w:val="24"/>
        </w:rPr>
        <w:t>://doi.org/10.1016/s0261-</w:t>
      </w:r>
      <w:r>
        <w:rPr>
          <w:rFonts w:ascii="Arial" w:cs="Arial" w:hAnsi="Arial"/>
          <w:sz w:val="24"/>
          <w:szCs w:val="24"/>
        </w:rPr>
        <w:t>5177(</w:t>
      </w:r>
      <w:r>
        <w:rPr>
          <w:rFonts w:ascii="Arial" w:cs="Arial" w:hAnsi="Arial"/>
          <w:sz w:val="24"/>
          <w:szCs w:val="24"/>
        </w:rPr>
        <w:t>00)00047-9.</w:t>
      </w:r>
    </w:p>
    <w:p w14:paraId="000000D6">
      <w:pPr>
        <w:widowControl w:val="on"/>
        <w:spacing w:after="240" w:line="360" w:lineRule="auto"/>
        <w:rPr>
          <w:rFonts w:ascii="Arial" w:cs="Arial" w:eastAsia="Times New Roman" w:hAnsi="Arial"/>
          <w:sz w:val="24"/>
          <w:szCs w:val="24"/>
        </w:rPr>
      </w:pPr>
      <w:r>
        <w:rPr>
          <w:rFonts w:ascii="Arial" w:cs="Arial" w:eastAsia="Times New Roman" w:hAnsi="Arial"/>
          <w:sz w:val="24"/>
          <w:szCs w:val="24"/>
        </w:rPr>
        <w:t>Quick, L. (2020).</w:t>
      </w:r>
      <w:r>
        <w:rPr>
          <w:rFonts w:ascii="Arial" w:cs="Arial" w:eastAsia="Times New Roman" w:hAnsi="Arial"/>
          <w:sz w:val="24"/>
          <w:szCs w:val="24"/>
        </w:rPr>
        <w:t xml:space="preserve"> </w:t>
      </w:r>
      <w:r>
        <w:rPr>
          <w:rFonts w:ascii="Arial" w:cs="Arial" w:eastAsia="Times New Roman" w:hAnsi="Arial"/>
          <w:i/>
          <w:iCs/>
          <w:sz w:val="24"/>
          <w:szCs w:val="24"/>
        </w:rPr>
        <w:t>Managing Events</w:t>
      </w:r>
      <w:r>
        <w:rPr>
          <w:rFonts w:ascii="Arial" w:cs="Arial" w:eastAsia="Times New Roman" w:hAnsi="Arial"/>
          <w:sz w:val="24"/>
          <w:szCs w:val="24"/>
        </w:rPr>
        <w:t>.</w:t>
      </w:r>
      <w:r>
        <w:rPr>
          <w:rFonts w:ascii="Arial" w:cs="Arial" w:eastAsia="Times New Roman" w:hAnsi="Arial"/>
          <w:sz w:val="24"/>
          <w:szCs w:val="24"/>
        </w:rPr>
        <w:t xml:space="preserve"> </w:t>
      </w:r>
      <w:r>
        <w:rPr>
          <w:rFonts w:ascii="Arial" w:cs="Arial" w:eastAsia="Times New Roman" w:hAnsi="Arial"/>
          <w:sz w:val="24"/>
          <w:szCs w:val="24"/>
        </w:rPr>
        <w:t>SAGE.</w:t>
      </w:r>
    </w:p>
    <w:p w14:paraId="000000D7">
      <w:pPr>
        <w:pStyle w:val="Normal(Web)"/>
        <w:spacing w:before="0" w:after="240" w:line="360" w:lineRule="auto"/>
        <w:jc w:val="both"/>
        <w:rPr>
          <w:rFonts w:ascii="Arial" w:cs="Arial" w:hAnsi="Arial"/>
          <w:sz w:val="24"/>
          <w:szCs w:val="24"/>
        </w:rPr>
      </w:pPr>
      <w:r>
        <w:rPr>
          <w:rFonts w:ascii="Arial" w:cs="Arial" w:hAnsi="Arial"/>
          <w:sz w:val="24"/>
          <w:szCs w:val="24"/>
        </w:rPr>
        <w:t xml:space="preserve">UN Tourism (2024). </w:t>
      </w:r>
      <w:r>
        <w:rPr>
          <w:rFonts w:ascii="Arial" w:cs="Arial" w:hAnsi="Arial"/>
          <w:i/>
          <w:iCs/>
          <w:sz w:val="24"/>
          <w:szCs w:val="24"/>
        </w:rPr>
        <w:t>International Tourism to Reach Pre-Pandemic Levels in 2024</w:t>
      </w:r>
      <w:r>
        <w:rPr>
          <w:rFonts w:ascii="Arial" w:cs="Arial" w:hAnsi="Arial"/>
          <w:sz w:val="24"/>
          <w:szCs w:val="24"/>
        </w:rPr>
        <w:t>.</w:t>
      </w:r>
      <w:r>
        <w:rPr>
          <w:rFonts w:ascii="Arial" w:cs="Arial" w:hAnsi="Arial"/>
          <w:sz w:val="24"/>
          <w:szCs w:val="24"/>
        </w:rPr>
        <w:t xml:space="preserve"> [</w:t>
      </w:r>
      <w:r>
        <w:rPr>
          <w:rFonts w:ascii="Arial" w:cs="Arial" w:hAnsi="Arial"/>
          <w:sz w:val="24"/>
          <w:szCs w:val="24"/>
        </w:rPr>
        <w:t>online</w:t>
      </w:r>
      <w:r>
        <w:rPr>
          <w:rFonts w:ascii="Arial" w:cs="Arial" w:hAnsi="Arial"/>
          <w:sz w:val="24"/>
          <w:szCs w:val="24"/>
        </w:rPr>
        <w:t>] www.unwto.org.Available at: https://www.unwto.org/news/international-tourism-to-reach-pre-pandemic-levels-in-2024.</w:t>
      </w:r>
    </w:p>
    <w:p w14:paraId="000000D8">
      <w:pPr>
        <w:widowControl w:val="on"/>
        <w:spacing w:after="240" w:line="360" w:lineRule="auto"/>
        <w:rPr>
          <w:rFonts w:ascii="Arial" w:cs="Arial" w:eastAsia="Times New Roman" w:hAnsi="Arial"/>
          <w:sz w:val="24"/>
          <w:szCs w:val="24"/>
        </w:rPr>
      </w:pPr>
      <w:r>
        <w:rPr>
          <w:rFonts w:ascii="Arial" w:cs="Arial" w:eastAsia="Times New Roman" w:hAnsi="Arial"/>
          <w:sz w:val="24"/>
          <w:szCs w:val="24"/>
        </w:rPr>
        <w:t>Wale, D., Robinson, P. and Dickson, G. (2010).</w:t>
      </w:r>
      <w:r>
        <w:rPr>
          <w:rFonts w:ascii="Arial" w:cs="Arial" w:eastAsia="Times New Roman" w:hAnsi="Arial"/>
          <w:sz w:val="24"/>
          <w:szCs w:val="24"/>
        </w:rPr>
        <w:t xml:space="preserve"> </w:t>
      </w:r>
      <w:r>
        <w:rPr>
          <w:rFonts w:ascii="Arial" w:cs="Arial" w:eastAsia="Times New Roman" w:hAnsi="Arial"/>
          <w:i/>
          <w:iCs/>
          <w:sz w:val="24"/>
          <w:szCs w:val="24"/>
        </w:rPr>
        <w:t>Events Management</w:t>
      </w:r>
      <w:r>
        <w:rPr>
          <w:rFonts w:ascii="Arial" w:cs="Arial" w:eastAsia="Times New Roman" w:hAnsi="Arial"/>
          <w:sz w:val="24"/>
          <w:szCs w:val="24"/>
        </w:rPr>
        <w:t>.</w:t>
      </w:r>
      <w:r>
        <w:rPr>
          <w:rFonts w:ascii="Arial" w:cs="Arial" w:eastAsia="Times New Roman" w:hAnsi="Arial"/>
          <w:sz w:val="24"/>
          <w:szCs w:val="24"/>
        </w:rPr>
        <w:t xml:space="preserve"> </w:t>
      </w:r>
      <w:r>
        <w:rPr>
          <w:rFonts w:ascii="Arial" w:cs="Arial" w:eastAsia="Times New Roman" w:hAnsi="Arial"/>
          <w:sz w:val="24"/>
          <w:szCs w:val="24"/>
        </w:rPr>
        <w:t>CABI.</w:t>
      </w:r>
    </w:p>
    <w:p w14:paraId="000000D9">
      <w:pPr>
        <w:spacing w:line="360" w:lineRule="auto"/>
        <w:rPr>
          <w:rFonts w:ascii="Arial" w:cs="Arial" w:hAnsi="Arial"/>
          <w:sz w:val="24"/>
          <w:szCs w:val="24"/>
        </w:rPr>
      </w:pPr>
    </w:p>
    <w:sectPr>
      <w:footerReference w:type="default" r:id="rId14"/>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endnote w:type="separator" w:id="0">
    <w:p w14:paraId="00000003">
      <w:r>
        <w:rPr/>
        <w:separator/>
      </w:r>
    </w:p>
  </w:endnote>
  <w:endnote w:type="continuationSeparator" w:id="1">
    <w:p w14:paraId="00000004">
      <w:r>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00000000" w:csb1="00000000"/>
  </w:font>
  <w:font w:name="Times New Roman">
    <w:panose1 w:val="02020603050405020304"/>
    <w:charset w:val="00"/>
    <w:family w:val="roman"/>
    <w:pitch w:val="variable"/>
    <w:sig w:usb0="00000000" w:usb1="00000000" w:usb2="00000009" w:usb3="00000000" w:csb0="000001ff" w:csb1="00000000"/>
  </w:font>
  <w:font w:name="Courier New">
    <w:panose1 w:val="02070309020205020404"/>
    <w:charset w:val="00"/>
    <w:family w:val="modern"/>
    <w:pitch w:val="fixed"/>
    <w:sig w:usb0="00000000" w:usb1="00000000" w:usb2="00000009" w:usb3="00000000" w:csb0="000001ff" w:csb1="00000000"/>
  </w:font>
  <w:font w:name="Wingdings">
    <w:panose1 w:val="05000000000000000000"/>
    <w:charset w:val="02"/>
    <w:family w:val="auto"/>
    <w:pitch w:val="variable"/>
    <w:sig w:usb0="00000000" w:usb1="10000000" w:usb2="00000000" w:usb3="00000000" w:csb0="00000000" w:csb1="00000000"/>
  </w:font>
  <w:font w:name="Calibri">
    <w:panose1 w:val="020f0502020204030204"/>
    <w:charset w:val="00"/>
    <w:family w:val="swiss"/>
    <w:pitch w:val="variable"/>
    <w:sig w:usb0="00000000" w:usb1="00000000" w:usb2="00000009" w:usb3="00000000" w:csb0="000001ff" w:csb1="00000000"/>
  </w:font>
  <w:font w:name="Arial MT">
    <w:altName w:val="Arial"/>
    <w:charset w:val="01"/>
    <w:family w:val="swiss"/>
    <w:pitch w:val="variable"/>
  </w:font>
  <w:font w:name="Cambria">
    <w:panose1 w:val="02040503050406030204"/>
    <w:charset w:val="00"/>
    <w:family w:val="roman"/>
    <w:pitch w:val="variable"/>
    <w:sig w:usb0="00000000" w:usb1="420024ff" w:usb2="02000000" w:usb3="00000000" w:csb0="0000019f" w:csb1="00000000"/>
  </w:font>
  <w:font w:name="Tahoma">
    <w:panose1 w:val="020b0604030504040204"/>
    <w:charset w:val="00"/>
    <w:family w:val="swiss"/>
    <w:pitch w:val="variable"/>
    <w:sig w:usb0="00000000" w:usb1="00000000" w:usb2="00000029" w:usb3="00000000" w:csb0="000101ff" w:csb1="00000000"/>
  </w:font>
  <w:font w:name="Arial">
    <w:panose1 w:val="020b0604020202020204"/>
    <w:charset w:val="00"/>
    <w:family w:val="swiss"/>
    <w:pitch w:val="variable"/>
    <w:sig w:usb0="00000000" w:usb1="00000000" w:usb2="00000009" w:usb3="00000000" w:csb0="000001ff" w:csb1="00000000"/>
  </w:font>
  <w:font w:name="Verdana">
    <w:panose1 w:val="020b0604030504040204"/>
    <w:charset w:val="00"/>
    <w:family w:val="roman"/>
    <w:pitch w:val="variable"/>
    <w:sig w:usb0="00000000" w:usb1="4000205b" w:usb2="00000010" w:usb3="00000000" w:csb0="0000019f" w:csb1="00000000"/>
  </w:font>
  <w:font w:name="Helvetica Neue">
    <w:charset w:val="00"/>
    <w:family w:val="swiss"/>
    <w:pitch w:val="variable"/>
  </w:font>
  <w:font w:name="Arial Black"/>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p w14:paraId="000000DA">
    <w:pPr>
      <w:pStyle w:val="Footer"/>
      <w:jc w:val="right"/>
      <w:rPr/>
    </w:pPr>
    <w:r>
      <w:fldChar w:fldCharType="begin"/>
    </w:r>
    <w:r>
      <w:instrText xml:space="preserve"> PAGE   \* MERGEFORMAT </w:instrText>
    </w:r>
    <w:r>
      <w:fldChar w:fldCharType="separate"/>
    </w:r>
    <w:r>
      <w:t>14</w:t>
    </w:r>
    <w:r>
      <w:fldChar w:fldCharType="end"/>
    </w:r>
  </w:p>
  <w:p w14:paraId="000000DB">
    <w:pPr>
      <w:pStyle w:val="Foot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footnote w:type="separator" w:id="0">
    <w:p w14:paraId="00000001">
      <w:r>
        <w:rPr/>
        <w:separator/>
      </w:r>
    </w:p>
  </w:footnote>
  <w:footnote w:type="continuationSeparator" w:id="1">
    <w:p w14:paraId="00000002">
      <w:r>
        <w:rPr/>
        <w:continuationSeparato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multilevel"/>
    <w:lvl w:ilvl="0" w:tentative="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44F"/>
    <w:rsid w:val="00066D92"/>
    <w:rsid w:val="001A2736"/>
    <w:rsid w:val="001E1422"/>
    <w:rsid w:val="003C4D99"/>
    <w:rsid w:val="00560011"/>
    <w:rsid w:val="00571DF0"/>
    <w:rsid w:val="006B70E6"/>
    <w:rsid w:val="006E1BFB"/>
    <w:rsid w:val="008C5BEA"/>
    <w:rsid w:val="00960561"/>
    <w:rsid w:val="00A5144F"/>
    <w:rsid w:val="00A76A02"/>
    <w:rsid w:val="00A94892"/>
    <w:rsid w:val="00AB1D08"/>
    <w:rsid w:val="00B77431"/>
    <w:rsid w:val="00D537C1"/>
    <w:rsid w:val="00FC24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2"/>
        <w:lang w:val="en-US" w:bidi="ar-SA" w:eastAsia="en-US"/>
      </w:rPr>
    </w:rPrDefault>
    <w:pPrDefault>
      <w:pPr>
        <w:spacing w:after="200" w:line="276" w:lineRule="auto"/>
      </w:pPr>
    </w:pPrDefault>
  </w:docDefaults>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f81bd"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f81bd"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243f60"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243f60"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f81bd"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f81bd"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243f60"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243f60"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f81bd" w:themeColor="accent1" w:sz="8" w:space="4"/>
      </w:pBdr>
      <w:spacing w:after="300" w:line="240" w:lineRule="auto"/>
      <w:contextualSpacing w:val="on"/>
    </w:pPr>
    <w:rPr>
      <w:rFonts w:asciiTheme="majorHAnsi" w:cstheme="majorBidi" w:eastAsiaTheme="majorEastAsia" w:hAnsiTheme="majorHAnsi"/>
      <w:color w:val="17375d"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17375d"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f81bd"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f81bd"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f81bd"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f81bd" w:themeColor="accent1" w:sz="4" w:space="4"/>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Reference">
    <w:name w:val="Subtle Reference"/>
    <w:basedOn w:val="DefaultParagraphFont"/>
    <w:uiPriority w:val="31"/>
    <w:qFormat w:val="on"/>
    <w:rPr>
      <w:smallCaps/>
      <w:color w:val="c0504d" w:themeColor="accent2"/>
      <w:u w:val="single"/>
    </w:rPr>
  </w:style>
  <w:style w:type="character" w:styleId="IntenseReference">
    <w:name w:val="Intense Reference"/>
    <w:basedOn w:val="DefaultParagraphFont"/>
    <w:uiPriority w:val="32"/>
    <w:qFormat w:val="on"/>
    <w:rPr>
      <w:b/>
      <w:bCs/>
      <w:smallCaps/>
      <w:color w:val="c0504d" w:themeColor="accent2"/>
      <w:spacing w:val="5"/>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FollowedHyperlink">
    <w:name w:val="FollowedHyperlink"/>
    <w:basedOn w:val="DefaultParagraphFont"/>
    <w:uiPriority w:val="99"/>
    <w:semiHidden w:val="on"/>
    <w:unhideWhenUsed w:val="on"/>
    <w:rPr>
      <w:color w:val="800080" w:themeColor="followed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Caption">
    <w:name w:val="Caption"/>
    <w:basedOn w:val="Normal"/>
    <w:next w:val="Normal"/>
    <w:uiPriority w:val="35"/>
    <w:unhideWhenUsed w:val="on"/>
    <w:qFormat w:val="on"/>
    <w:pPr>
      <w:spacing w:after="200" w:line="240" w:lineRule="auto"/>
    </w:pPr>
    <w:rPr>
      <w:i/>
      <w:iCs/>
      <w:color w:val="1f497d" w:themeColor="text2"/>
      <w:sz w:val="18"/>
      <w:szCs w:val="18"/>
    </w:rPr>
  </w:style>
  <w:style w:type="paragraph" w:default="1" w:styleId="Normal">
    <w:name w:val="Normal"/>
    <w:uiPriority w:val="1"/>
    <w:qFormat w:val="on"/>
    <w:pPr>
      <w:widowControl w:val="off"/>
      <w:spacing w:after="0" w:line="240" w:lineRule="auto"/>
      <w:jc w:val="both"/>
    </w:pPr>
    <w:rPr>
      <w:rFonts w:ascii="Times New Roman" w:cs="Arial MT" w:eastAsia="Arial MT" w:hAnsi="Times New Roman"/>
      <w:sz w:val="24"/>
    </w:rPr>
  </w:style>
  <w:style w:type="paragraph" w:styleId="Heading1">
    <w:name w:val="Heading 1"/>
    <w:basedOn w:val="Normal"/>
    <w:next w:val="Normal"/>
    <w:link w:val="Heading1Char"/>
    <w:uiPriority w:val="9"/>
    <w:qFormat w:val="on"/>
    <w:pPr>
      <w:keepNext w:val="on"/>
      <w:keepLines w:val="on"/>
      <w:spacing w:before="480"/>
    </w:pPr>
    <w:rPr>
      <w:rFonts w:cstheme="majorBidi" w:eastAsiaTheme="majorEastAsia"/>
      <w:b/>
      <w:bCs/>
      <w:color w:val="376091" w:themeColor="accent1" w:themeShade="bf"/>
      <w:sz w:val="32"/>
      <w:szCs w:val="28"/>
    </w:rPr>
  </w:style>
  <w:style w:type="paragraph" w:styleId="Heading2">
    <w:name w:val="Heading 2"/>
    <w:basedOn w:val="Normal"/>
    <w:next w:val="Normal"/>
    <w:link w:val="Heading2Char"/>
    <w:uiPriority w:val="9"/>
    <w:semiHidden w:val="on"/>
    <w:unhideWhenUsed w:val="on"/>
    <w:qFormat w:val="on"/>
    <w:pPr>
      <w:keepNext w:val="on"/>
      <w:keepLines w:val="on"/>
      <w:spacing w:before="200"/>
    </w:pPr>
    <w:rPr>
      <w:rFonts w:cstheme="majorBidi" w:eastAsiaTheme="majorEastAsia"/>
      <w:b/>
      <w:bCs/>
      <w:color w:val="4f81bd" w:themeColor="accent1"/>
      <w:sz w:val="28"/>
      <w:szCs w:val="26"/>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customStyle="1" w:styleId="TableParagraph">
    <w:name w:val="Table Paragraph"/>
    <w:basedOn w:val="Normal"/>
    <w:uiPriority w:val="1"/>
    <w:qFormat w:val="on"/>
    <w:rPr>
      <w:rFonts w:ascii="Calibri" w:cs="Calibri" w:eastAsia="Calibri" w:hAnsi="Calibri"/>
    </w:rPr>
  </w:style>
  <w:style w:type="paragraph" w:styleId="Header">
    <w:name w:val="Header"/>
    <w:basedOn w:val="Normal"/>
    <w:link w:val="HeaderChar"/>
    <w:uiPriority w:val="99"/>
    <w:unhideWhenUsed w:val="on"/>
    <w:pPr>
      <w:tabs>
        <w:tab w:val="center" w:pos="4680"/>
        <w:tab w:val="right" w:pos="9360"/>
      </w:tabs>
    </w:pPr>
  </w:style>
  <w:style w:type="character" w:customStyle="1" w:styleId="HeaderChar">
    <w:name w:val="Header Char"/>
    <w:basedOn w:val="DefaultParagraphFont"/>
    <w:link w:val="Header"/>
    <w:uiPriority w:val="99"/>
    <w:rPr>
      <w:rFonts w:ascii="Arial MT" w:cs="Arial MT" w:eastAsia="Arial MT" w:hAnsi="Arial MT"/>
    </w:rPr>
  </w:style>
  <w:style w:type="paragraph" w:styleId="Footer">
    <w:name w:val="Footer"/>
    <w:basedOn w:val="Normal"/>
    <w:link w:val="FooterChar"/>
    <w:uiPriority w:val="99"/>
    <w:unhideWhenUsed w:val="on"/>
    <w:pPr>
      <w:tabs>
        <w:tab w:val="center" w:pos="4680"/>
        <w:tab w:val="right" w:pos="9360"/>
      </w:tabs>
    </w:pPr>
  </w:style>
  <w:style w:type="character" w:customStyle="1" w:styleId="FooterChar">
    <w:name w:val="Footer Char"/>
    <w:basedOn w:val="DefaultParagraphFont"/>
    <w:link w:val="Footer"/>
    <w:uiPriority w:val="99"/>
    <w:rPr>
      <w:rFonts w:ascii="Arial MT" w:cs="Arial MT" w:eastAsia="Arial MT" w:hAnsi="Arial MT"/>
    </w:rPr>
  </w:style>
  <w:style w:type="character" w:customStyle="1" w:styleId="Heading1Char">
    <w:name w:val="Heading 1 Char"/>
    <w:basedOn w:val="DefaultParagraphFont"/>
    <w:link w:val="Heading1"/>
    <w:uiPriority w:val="9"/>
    <w:rPr>
      <w:rFonts w:ascii="Times New Roman" w:cstheme="majorBidi" w:eastAsiaTheme="majorEastAsia" w:hAnsi="Times New Roman"/>
      <w:b/>
      <w:bCs/>
      <w:color w:val="376091" w:themeColor="accent1" w:themeShade="bf"/>
      <w:sz w:val="32"/>
      <w:szCs w:val="28"/>
    </w:rPr>
  </w:style>
  <w:style w:type="character" w:customStyle="1" w:styleId="Heading2Char">
    <w:name w:val="Heading 2 Char"/>
    <w:basedOn w:val="DefaultParagraphFont"/>
    <w:link w:val="Heading2"/>
    <w:uiPriority w:val="9"/>
    <w:semiHidden w:val="on"/>
    <w:rPr>
      <w:rFonts w:ascii="Times New Roman" w:cstheme="majorBidi" w:eastAsiaTheme="majorEastAsia" w:hAnsi="Times New Roman"/>
      <w:b/>
      <w:bCs/>
      <w:color w:val="4f81bd" w:themeColor="accent1"/>
      <w:sz w:val="28"/>
      <w:szCs w:val="26"/>
    </w:rPr>
  </w:style>
  <w:style w:type="table" w:styleId="TableGrid">
    <w:name w:val="Table Grid"/>
    <w:basedOn w:val="NormalTable"/>
    <w:uiPriority w:val="59"/>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ListParagraph">
    <w:name w:val="List Paragraph"/>
    <w:basedOn w:val="Normal"/>
    <w:uiPriority w:val="34"/>
    <w:qFormat w:val="on"/>
    <w:pPr>
      <w:ind w:left="720"/>
      <w:contextualSpacing w:val="on"/>
    </w:pPr>
  </w:style>
  <w:style w:type="paragraph" w:styleId="TOCHeading">
    <w:name w:val="TOC Heading"/>
    <w:basedOn w:val="Heading1"/>
    <w:next w:val="Normal"/>
    <w:uiPriority w:val="39"/>
    <w:semiHidden w:val="on"/>
    <w:unhideWhenUsed w:val="on"/>
    <w:qFormat w:val="on"/>
    <w:pPr>
      <w:widowControl w:val="on"/>
      <w:spacing w:line="276" w:lineRule="auto"/>
      <w:jc w:val="left"/>
    </w:pPr>
    <w:rPr>
      <w:rFonts w:asciiTheme="majorHAnsi" w:hAnsiTheme="majorHAnsi"/>
      <w:sz w:val="28"/>
      <w:lang w:eastAsia="ja-JP"/>
    </w:rPr>
  </w:style>
  <w:style w:type="paragraph" w:styleId="Toc1">
    <w:name w:val="Toc 1"/>
    <w:basedOn w:val="Normal"/>
    <w:next w:val="Normal"/>
    <w:uiPriority w:val="39"/>
    <w:unhideWhenUsed w:val="on"/>
    <w:pPr>
      <w:spacing w:after="100"/>
    </w:pPr>
  </w:style>
  <w:style w:type="character" w:styleId="Hyperlink">
    <w:name w:val="Hyperlink"/>
    <w:basedOn w:val="DefaultParagraphFont"/>
    <w:uiPriority w:val="99"/>
    <w:unhideWhenUsed w:val="on"/>
    <w:rPr>
      <w:color w:val="0000ff" w:themeColor="hyperlink"/>
      <w:u w:val="single"/>
    </w:rPr>
  </w:style>
  <w:style w:type="paragraph" w:styleId="BalloonText">
    <w:name w:val="Balloon Text"/>
    <w:basedOn w:val="Normal"/>
    <w:link w:val="BalloonTextChar"/>
    <w:uiPriority w:val="99"/>
    <w:semiHidden w:val="on"/>
    <w:unhideWhenUsed w:val="on"/>
    <w:rPr>
      <w:rFonts w:ascii="Tahoma" w:cs="Tahoma" w:hAnsi="Tahoma"/>
      <w:sz w:val="16"/>
      <w:szCs w:val="16"/>
    </w:rPr>
  </w:style>
  <w:style w:type="character" w:customStyle="1" w:styleId="BalloonTextChar">
    <w:name w:val="Balloon Text Char"/>
    <w:basedOn w:val="DefaultParagraphFont"/>
    <w:link w:val="BalloonText"/>
    <w:uiPriority w:val="99"/>
    <w:semiHidden w:val="on"/>
    <w:rPr>
      <w:rFonts w:ascii="Tahoma" w:cs="Tahoma" w:eastAsia="Arial MT" w:hAnsi="Tahoma"/>
      <w:sz w:val="16"/>
      <w:szCs w:val="16"/>
    </w:rPr>
  </w:style>
  <w:style w:type="paragraph" w:styleId="Normal(Web)">
    <w:name w:val="Normal (Web)"/>
    <w:basedOn w:val="Normal"/>
    <w:uiPriority w:val="99"/>
    <w:semiHidden w:val="on"/>
    <w:unhideWhenUsed w:val="on"/>
    <w:pPr>
      <w:widowControl w:val="on"/>
      <w:spacing w:before="100" w:after="100"/>
      <w:jc w:val="left"/>
    </w:pPr>
    <w:rPr>
      <w:rFonts w:cs="Times New Roman" w:eastAsia="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5144F"/>
    <w:pPr>
      <w:widowControl w:val="0"/>
      <w:autoSpaceDE w:val="0"/>
      <w:autoSpaceDN w:val="0"/>
      <w:spacing w:after="0" w:line="240" w:lineRule="auto"/>
      <w:jc w:val="both"/>
    </w:pPr>
    <w:rPr>
      <w:rFonts w:ascii="Times New Roman" w:eastAsia="Arial MT" w:hAnsi="Times New Roman" w:cs="Arial MT"/>
      <w:sz w:val="24"/>
    </w:rPr>
  </w:style>
  <w:style w:type="paragraph" w:styleId="Heading1">
    <w:name w:val="heading 1"/>
    <w:basedOn w:val="Normal"/>
    <w:next w:val="Normal"/>
    <w:link w:val="Heading1Char"/>
    <w:uiPriority w:val="9"/>
    <w:qFormat/>
    <w:rsid w:val="00A5144F"/>
    <w:pPr>
      <w:keepNext/>
      <w:keepLines/>
      <w:spacing w:before="48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semiHidden/>
    <w:unhideWhenUsed/>
    <w:qFormat/>
    <w:rsid w:val="00A5144F"/>
    <w:pPr>
      <w:keepNext/>
      <w:keepLines/>
      <w:spacing w:before="20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A5144F"/>
    <w:rPr>
      <w:rFonts w:ascii="Calibri" w:eastAsia="Calibri" w:hAnsi="Calibri" w:cs="Calibri"/>
    </w:rPr>
  </w:style>
  <w:style w:type="paragraph" w:styleId="Header">
    <w:name w:val="header"/>
    <w:basedOn w:val="Normal"/>
    <w:link w:val="HeaderChar"/>
    <w:uiPriority w:val="99"/>
    <w:unhideWhenUsed/>
    <w:rsid w:val="00A5144F"/>
    <w:pPr>
      <w:tabs>
        <w:tab w:val="center" w:pos="4680"/>
        <w:tab w:val="right" w:pos="9360"/>
      </w:tabs>
    </w:pPr>
  </w:style>
  <w:style w:type="character" w:customStyle="1" w:styleId="HeaderChar">
    <w:name w:val="Header Char"/>
    <w:basedOn w:val="DefaultParagraphFont"/>
    <w:link w:val="Header"/>
    <w:uiPriority w:val="99"/>
    <w:rsid w:val="00A5144F"/>
    <w:rPr>
      <w:rFonts w:ascii="Arial MT" w:eastAsia="Arial MT" w:hAnsi="Arial MT" w:cs="Arial MT"/>
    </w:rPr>
  </w:style>
  <w:style w:type="paragraph" w:styleId="Footer">
    <w:name w:val="footer"/>
    <w:basedOn w:val="Normal"/>
    <w:link w:val="FooterChar"/>
    <w:uiPriority w:val="99"/>
    <w:unhideWhenUsed/>
    <w:rsid w:val="00A5144F"/>
    <w:pPr>
      <w:tabs>
        <w:tab w:val="center" w:pos="4680"/>
        <w:tab w:val="right" w:pos="9360"/>
      </w:tabs>
    </w:pPr>
  </w:style>
  <w:style w:type="character" w:customStyle="1" w:styleId="FooterChar">
    <w:name w:val="Footer Char"/>
    <w:basedOn w:val="DefaultParagraphFont"/>
    <w:link w:val="Footer"/>
    <w:uiPriority w:val="99"/>
    <w:rsid w:val="00A5144F"/>
    <w:rPr>
      <w:rFonts w:ascii="Arial MT" w:eastAsia="Arial MT" w:hAnsi="Arial MT" w:cs="Arial MT"/>
    </w:rPr>
  </w:style>
  <w:style w:type="character" w:customStyle="1" w:styleId="Heading1Char">
    <w:name w:val="Heading 1 Char"/>
    <w:basedOn w:val="DefaultParagraphFont"/>
    <w:link w:val="Heading1"/>
    <w:uiPriority w:val="9"/>
    <w:rsid w:val="00A5144F"/>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semiHidden/>
    <w:rsid w:val="00A5144F"/>
    <w:rPr>
      <w:rFonts w:ascii="Times New Roman" w:eastAsiaTheme="majorEastAsia" w:hAnsi="Times New Roman" w:cstheme="majorBidi"/>
      <w:b/>
      <w:bCs/>
      <w:color w:val="4F81BD" w:themeColor="accent1"/>
      <w:sz w:val="28"/>
      <w:szCs w:val="26"/>
    </w:rPr>
  </w:style>
  <w:style w:type="table" w:styleId="TableGrid">
    <w:name w:val="Table Grid"/>
    <w:basedOn w:val="TableNormal"/>
    <w:uiPriority w:val="59"/>
    <w:rsid w:val="00D537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B1D08"/>
    <w:pPr>
      <w:ind w:left="720"/>
      <w:contextualSpacing/>
    </w:pPr>
  </w:style>
  <w:style w:type="paragraph" w:styleId="TOCHeading">
    <w:name w:val="TOC Heading"/>
    <w:basedOn w:val="Heading1"/>
    <w:next w:val="Normal"/>
    <w:uiPriority w:val="39"/>
    <w:semiHidden/>
    <w:unhideWhenUsed/>
    <w:qFormat/>
    <w:rsid w:val="00571DF0"/>
    <w:pPr>
      <w:widowControl/>
      <w:autoSpaceDE/>
      <w:autoSpaceDN/>
      <w:spacing w:line="276" w:lineRule="auto"/>
      <w:jc w:val="left"/>
      <w:outlineLvl w:val="9"/>
    </w:pPr>
    <w:rPr>
      <w:rFonts w:asciiTheme="majorHAnsi" w:hAnsiTheme="majorHAnsi"/>
      <w:sz w:val="28"/>
      <w:lang w:eastAsia="ja-JP"/>
    </w:rPr>
  </w:style>
  <w:style w:type="paragraph" w:styleId="TOC1">
    <w:name w:val="toc 1"/>
    <w:basedOn w:val="Normal"/>
    <w:next w:val="Normal"/>
    <w:autoRedefine/>
    <w:uiPriority w:val="39"/>
    <w:unhideWhenUsed/>
    <w:rsid w:val="00571DF0"/>
    <w:pPr>
      <w:spacing w:after="100"/>
    </w:pPr>
  </w:style>
  <w:style w:type="character" w:styleId="Hyperlink">
    <w:name w:val="Hyperlink"/>
    <w:basedOn w:val="DefaultParagraphFont"/>
    <w:uiPriority w:val="99"/>
    <w:unhideWhenUsed/>
    <w:rsid w:val="00571DF0"/>
    <w:rPr>
      <w:color w:val="0000FF" w:themeColor="hyperlink"/>
      <w:u w:val="single"/>
    </w:rPr>
  </w:style>
  <w:style w:type="paragraph" w:styleId="BalloonText">
    <w:name w:val="Balloon Text"/>
    <w:basedOn w:val="Normal"/>
    <w:link w:val="BalloonTextChar"/>
    <w:uiPriority w:val="99"/>
    <w:semiHidden/>
    <w:unhideWhenUsed/>
    <w:rsid w:val="00571DF0"/>
    <w:rPr>
      <w:rFonts w:ascii="Tahoma" w:hAnsi="Tahoma" w:cs="Tahoma"/>
      <w:sz w:val="16"/>
      <w:szCs w:val="16"/>
    </w:rPr>
  </w:style>
  <w:style w:type="character" w:customStyle="1" w:styleId="BalloonTextChar">
    <w:name w:val="Balloon Text Char"/>
    <w:basedOn w:val="DefaultParagraphFont"/>
    <w:link w:val="BalloonText"/>
    <w:uiPriority w:val="99"/>
    <w:semiHidden/>
    <w:rsid w:val="00571DF0"/>
    <w:rPr>
      <w:rFonts w:ascii="Tahoma" w:eastAsia="Arial MT" w:hAnsi="Tahoma" w:cs="Tahoma"/>
      <w:sz w:val="16"/>
      <w:szCs w:val="16"/>
    </w:rPr>
  </w:style>
  <w:style w:type="paragraph" w:styleId="NormalWeb">
    <w:name w:val="Normal (Web)"/>
    <w:basedOn w:val="Normal"/>
    <w:uiPriority w:val="99"/>
    <w:semiHidden/>
    <w:unhideWhenUsed/>
    <w:rsid w:val="001A2736"/>
    <w:pPr>
      <w:widowControl/>
      <w:autoSpaceDE/>
      <w:autoSpaceDN/>
      <w:spacing w:before="100" w:beforeAutospacing="1" w:after="100" w:afterAutospacing="1"/>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891515">
      <w:bodyDiv w:val="1"/>
      <w:marLeft w:val="0"/>
      <w:marRight w:val="0"/>
      <w:marTop w:val="0"/>
      <w:marBottom w:val="0"/>
      <w:divBdr>
        <w:top w:val="none" w:sz="0" w:space="0" w:color="auto"/>
        <w:left w:val="none" w:sz="0" w:space="0" w:color="auto"/>
        <w:bottom w:val="none" w:sz="0" w:space="0" w:color="auto"/>
        <w:right w:val="none" w:sz="0" w:space="0" w:color="auto"/>
      </w:divBdr>
      <w:divsChild>
        <w:div w:id="1742827121">
          <w:marLeft w:val="0"/>
          <w:marRight w:val="0"/>
          <w:marTop w:val="0"/>
          <w:marBottom w:val="0"/>
          <w:divBdr>
            <w:top w:val="none" w:sz="0" w:space="0" w:color="auto"/>
            <w:left w:val="none" w:sz="0" w:space="0" w:color="auto"/>
            <w:bottom w:val="none" w:sz="0" w:space="0" w:color="auto"/>
            <w:right w:val="none" w:sz="0" w:space="0" w:color="auto"/>
          </w:divBdr>
        </w:div>
      </w:divsChild>
    </w:div>
    <w:div w:id="372538367">
      <w:bodyDiv w:val="1"/>
      <w:marLeft w:val="0"/>
      <w:marRight w:val="0"/>
      <w:marTop w:val="0"/>
      <w:marBottom w:val="0"/>
      <w:divBdr>
        <w:top w:val="none" w:sz="0" w:space="0" w:color="auto"/>
        <w:left w:val="none" w:sz="0" w:space="0" w:color="auto"/>
        <w:bottom w:val="none" w:sz="0" w:space="0" w:color="auto"/>
        <w:right w:val="none" w:sz="0" w:space="0" w:color="auto"/>
      </w:divBdr>
    </w:div>
    <w:div w:id="484250389">
      <w:bodyDiv w:val="1"/>
      <w:marLeft w:val="0"/>
      <w:marRight w:val="0"/>
      <w:marTop w:val="0"/>
      <w:marBottom w:val="0"/>
      <w:divBdr>
        <w:top w:val="none" w:sz="0" w:space="0" w:color="auto"/>
        <w:left w:val="none" w:sz="0" w:space="0" w:color="auto"/>
        <w:bottom w:val="none" w:sz="0" w:space="0" w:color="auto"/>
        <w:right w:val="none" w:sz="0" w:space="0" w:color="auto"/>
      </w:divBdr>
      <w:divsChild>
        <w:div w:id="1949002276">
          <w:marLeft w:val="0"/>
          <w:marRight w:val="0"/>
          <w:marTop w:val="0"/>
          <w:marBottom w:val="0"/>
          <w:divBdr>
            <w:top w:val="none" w:sz="0" w:space="0" w:color="auto"/>
            <w:left w:val="none" w:sz="0" w:space="0" w:color="auto"/>
            <w:bottom w:val="none" w:sz="0" w:space="0" w:color="auto"/>
            <w:right w:val="none" w:sz="0" w:space="0" w:color="auto"/>
          </w:divBdr>
        </w:div>
      </w:divsChild>
    </w:div>
    <w:div w:id="511798532">
      <w:bodyDiv w:val="1"/>
      <w:marLeft w:val="0"/>
      <w:marRight w:val="0"/>
      <w:marTop w:val="0"/>
      <w:marBottom w:val="0"/>
      <w:divBdr>
        <w:top w:val="none" w:sz="0" w:space="0" w:color="auto"/>
        <w:left w:val="none" w:sz="0" w:space="0" w:color="auto"/>
        <w:bottom w:val="none" w:sz="0" w:space="0" w:color="auto"/>
        <w:right w:val="none" w:sz="0" w:space="0" w:color="auto"/>
      </w:divBdr>
      <w:divsChild>
        <w:div w:id="145362192">
          <w:marLeft w:val="0"/>
          <w:marRight w:val="0"/>
          <w:marTop w:val="0"/>
          <w:marBottom w:val="0"/>
          <w:divBdr>
            <w:top w:val="none" w:sz="0" w:space="0" w:color="auto"/>
            <w:left w:val="none" w:sz="0" w:space="0" w:color="auto"/>
            <w:bottom w:val="none" w:sz="0" w:space="0" w:color="auto"/>
            <w:right w:val="none" w:sz="0" w:space="0" w:color="auto"/>
          </w:divBdr>
        </w:div>
      </w:divsChild>
    </w:div>
    <w:div w:id="633564069">
      <w:bodyDiv w:val="1"/>
      <w:marLeft w:val="0"/>
      <w:marRight w:val="0"/>
      <w:marTop w:val="0"/>
      <w:marBottom w:val="0"/>
      <w:divBdr>
        <w:top w:val="none" w:sz="0" w:space="0" w:color="auto"/>
        <w:left w:val="none" w:sz="0" w:space="0" w:color="auto"/>
        <w:bottom w:val="none" w:sz="0" w:space="0" w:color="auto"/>
        <w:right w:val="none" w:sz="0" w:space="0" w:color="auto"/>
      </w:divBdr>
      <w:divsChild>
        <w:div w:id="1986423720">
          <w:marLeft w:val="0"/>
          <w:marRight w:val="0"/>
          <w:marTop w:val="0"/>
          <w:marBottom w:val="0"/>
          <w:divBdr>
            <w:top w:val="none" w:sz="0" w:space="0" w:color="auto"/>
            <w:left w:val="none" w:sz="0" w:space="0" w:color="auto"/>
            <w:bottom w:val="none" w:sz="0" w:space="0" w:color="auto"/>
            <w:right w:val="none" w:sz="0" w:space="0" w:color="auto"/>
          </w:divBdr>
        </w:div>
      </w:divsChild>
    </w:div>
    <w:div w:id="671371706">
      <w:bodyDiv w:val="1"/>
      <w:marLeft w:val="0"/>
      <w:marRight w:val="0"/>
      <w:marTop w:val="0"/>
      <w:marBottom w:val="0"/>
      <w:divBdr>
        <w:top w:val="none" w:sz="0" w:space="0" w:color="auto"/>
        <w:left w:val="none" w:sz="0" w:space="0" w:color="auto"/>
        <w:bottom w:val="none" w:sz="0" w:space="0" w:color="auto"/>
        <w:right w:val="none" w:sz="0" w:space="0" w:color="auto"/>
      </w:divBdr>
      <w:divsChild>
        <w:div w:id="1147280971">
          <w:marLeft w:val="0"/>
          <w:marRight w:val="0"/>
          <w:marTop w:val="0"/>
          <w:marBottom w:val="0"/>
          <w:divBdr>
            <w:top w:val="none" w:sz="0" w:space="0" w:color="auto"/>
            <w:left w:val="none" w:sz="0" w:space="0" w:color="auto"/>
            <w:bottom w:val="none" w:sz="0" w:space="0" w:color="auto"/>
            <w:right w:val="none" w:sz="0" w:space="0" w:color="auto"/>
          </w:divBdr>
        </w:div>
      </w:divsChild>
    </w:div>
    <w:div w:id="698167953">
      <w:bodyDiv w:val="1"/>
      <w:marLeft w:val="0"/>
      <w:marRight w:val="0"/>
      <w:marTop w:val="0"/>
      <w:marBottom w:val="0"/>
      <w:divBdr>
        <w:top w:val="none" w:sz="0" w:space="0" w:color="auto"/>
        <w:left w:val="none" w:sz="0" w:space="0" w:color="auto"/>
        <w:bottom w:val="none" w:sz="0" w:space="0" w:color="auto"/>
        <w:right w:val="none" w:sz="0" w:space="0" w:color="auto"/>
      </w:divBdr>
      <w:divsChild>
        <w:div w:id="94399133">
          <w:marLeft w:val="0"/>
          <w:marRight w:val="0"/>
          <w:marTop w:val="0"/>
          <w:marBottom w:val="0"/>
          <w:divBdr>
            <w:top w:val="none" w:sz="0" w:space="0" w:color="auto"/>
            <w:left w:val="none" w:sz="0" w:space="0" w:color="auto"/>
            <w:bottom w:val="none" w:sz="0" w:space="0" w:color="auto"/>
            <w:right w:val="none" w:sz="0" w:space="0" w:color="auto"/>
          </w:divBdr>
        </w:div>
      </w:divsChild>
    </w:div>
    <w:div w:id="745080369">
      <w:bodyDiv w:val="1"/>
      <w:marLeft w:val="0"/>
      <w:marRight w:val="0"/>
      <w:marTop w:val="0"/>
      <w:marBottom w:val="0"/>
      <w:divBdr>
        <w:top w:val="none" w:sz="0" w:space="0" w:color="auto"/>
        <w:left w:val="none" w:sz="0" w:space="0" w:color="auto"/>
        <w:bottom w:val="none" w:sz="0" w:space="0" w:color="auto"/>
        <w:right w:val="none" w:sz="0" w:space="0" w:color="auto"/>
      </w:divBdr>
      <w:divsChild>
        <w:div w:id="303048908">
          <w:marLeft w:val="0"/>
          <w:marRight w:val="0"/>
          <w:marTop w:val="0"/>
          <w:marBottom w:val="0"/>
          <w:divBdr>
            <w:top w:val="none" w:sz="0" w:space="0" w:color="auto"/>
            <w:left w:val="none" w:sz="0" w:space="0" w:color="auto"/>
            <w:bottom w:val="none" w:sz="0" w:space="0" w:color="auto"/>
            <w:right w:val="none" w:sz="0" w:space="0" w:color="auto"/>
          </w:divBdr>
        </w:div>
      </w:divsChild>
    </w:div>
    <w:div w:id="786972406">
      <w:bodyDiv w:val="1"/>
      <w:marLeft w:val="0"/>
      <w:marRight w:val="0"/>
      <w:marTop w:val="0"/>
      <w:marBottom w:val="0"/>
      <w:divBdr>
        <w:top w:val="none" w:sz="0" w:space="0" w:color="auto"/>
        <w:left w:val="none" w:sz="0" w:space="0" w:color="auto"/>
        <w:bottom w:val="none" w:sz="0" w:space="0" w:color="auto"/>
        <w:right w:val="none" w:sz="0" w:space="0" w:color="auto"/>
      </w:divBdr>
    </w:div>
    <w:div w:id="891770745">
      <w:bodyDiv w:val="1"/>
      <w:marLeft w:val="0"/>
      <w:marRight w:val="0"/>
      <w:marTop w:val="0"/>
      <w:marBottom w:val="0"/>
      <w:divBdr>
        <w:top w:val="none" w:sz="0" w:space="0" w:color="auto"/>
        <w:left w:val="none" w:sz="0" w:space="0" w:color="auto"/>
        <w:bottom w:val="none" w:sz="0" w:space="0" w:color="auto"/>
        <w:right w:val="none" w:sz="0" w:space="0" w:color="auto"/>
      </w:divBdr>
      <w:divsChild>
        <w:div w:id="494272960">
          <w:marLeft w:val="0"/>
          <w:marRight w:val="0"/>
          <w:marTop w:val="0"/>
          <w:marBottom w:val="0"/>
          <w:divBdr>
            <w:top w:val="none" w:sz="0" w:space="0" w:color="auto"/>
            <w:left w:val="none" w:sz="0" w:space="0" w:color="auto"/>
            <w:bottom w:val="none" w:sz="0" w:space="0" w:color="auto"/>
            <w:right w:val="none" w:sz="0" w:space="0" w:color="auto"/>
          </w:divBdr>
        </w:div>
      </w:divsChild>
    </w:div>
    <w:div w:id="944121121">
      <w:bodyDiv w:val="1"/>
      <w:marLeft w:val="0"/>
      <w:marRight w:val="0"/>
      <w:marTop w:val="0"/>
      <w:marBottom w:val="0"/>
      <w:divBdr>
        <w:top w:val="none" w:sz="0" w:space="0" w:color="auto"/>
        <w:left w:val="none" w:sz="0" w:space="0" w:color="auto"/>
        <w:bottom w:val="none" w:sz="0" w:space="0" w:color="auto"/>
        <w:right w:val="none" w:sz="0" w:space="0" w:color="auto"/>
      </w:divBdr>
      <w:divsChild>
        <w:div w:id="469975913">
          <w:marLeft w:val="0"/>
          <w:marRight w:val="0"/>
          <w:marTop w:val="0"/>
          <w:marBottom w:val="0"/>
          <w:divBdr>
            <w:top w:val="none" w:sz="0" w:space="0" w:color="auto"/>
            <w:left w:val="none" w:sz="0" w:space="0" w:color="auto"/>
            <w:bottom w:val="none" w:sz="0" w:space="0" w:color="auto"/>
            <w:right w:val="none" w:sz="0" w:space="0" w:color="auto"/>
          </w:divBdr>
        </w:div>
      </w:divsChild>
    </w:div>
    <w:div w:id="994459486">
      <w:bodyDiv w:val="1"/>
      <w:marLeft w:val="0"/>
      <w:marRight w:val="0"/>
      <w:marTop w:val="0"/>
      <w:marBottom w:val="0"/>
      <w:divBdr>
        <w:top w:val="none" w:sz="0" w:space="0" w:color="auto"/>
        <w:left w:val="none" w:sz="0" w:space="0" w:color="auto"/>
        <w:bottom w:val="none" w:sz="0" w:space="0" w:color="auto"/>
        <w:right w:val="none" w:sz="0" w:space="0" w:color="auto"/>
      </w:divBdr>
      <w:divsChild>
        <w:div w:id="1623458564">
          <w:marLeft w:val="0"/>
          <w:marRight w:val="0"/>
          <w:marTop w:val="0"/>
          <w:marBottom w:val="0"/>
          <w:divBdr>
            <w:top w:val="none" w:sz="0" w:space="0" w:color="auto"/>
            <w:left w:val="none" w:sz="0" w:space="0" w:color="auto"/>
            <w:bottom w:val="none" w:sz="0" w:space="0" w:color="auto"/>
            <w:right w:val="none" w:sz="0" w:space="0" w:color="auto"/>
          </w:divBdr>
        </w:div>
      </w:divsChild>
    </w:div>
    <w:div w:id="1022240587">
      <w:bodyDiv w:val="1"/>
      <w:marLeft w:val="0"/>
      <w:marRight w:val="0"/>
      <w:marTop w:val="0"/>
      <w:marBottom w:val="0"/>
      <w:divBdr>
        <w:top w:val="none" w:sz="0" w:space="0" w:color="auto"/>
        <w:left w:val="none" w:sz="0" w:space="0" w:color="auto"/>
        <w:bottom w:val="none" w:sz="0" w:space="0" w:color="auto"/>
        <w:right w:val="none" w:sz="0" w:space="0" w:color="auto"/>
      </w:divBdr>
      <w:divsChild>
        <w:div w:id="1256860470">
          <w:marLeft w:val="0"/>
          <w:marRight w:val="0"/>
          <w:marTop w:val="0"/>
          <w:marBottom w:val="0"/>
          <w:divBdr>
            <w:top w:val="none" w:sz="0" w:space="0" w:color="auto"/>
            <w:left w:val="none" w:sz="0" w:space="0" w:color="auto"/>
            <w:bottom w:val="none" w:sz="0" w:space="0" w:color="auto"/>
            <w:right w:val="none" w:sz="0" w:space="0" w:color="auto"/>
          </w:divBdr>
        </w:div>
      </w:divsChild>
    </w:div>
    <w:div w:id="1036082390">
      <w:bodyDiv w:val="1"/>
      <w:marLeft w:val="0"/>
      <w:marRight w:val="0"/>
      <w:marTop w:val="0"/>
      <w:marBottom w:val="0"/>
      <w:divBdr>
        <w:top w:val="none" w:sz="0" w:space="0" w:color="auto"/>
        <w:left w:val="none" w:sz="0" w:space="0" w:color="auto"/>
        <w:bottom w:val="none" w:sz="0" w:space="0" w:color="auto"/>
        <w:right w:val="none" w:sz="0" w:space="0" w:color="auto"/>
      </w:divBdr>
    </w:div>
    <w:div w:id="1116608216">
      <w:bodyDiv w:val="1"/>
      <w:marLeft w:val="0"/>
      <w:marRight w:val="0"/>
      <w:marTop w:val="0"/>
      <w:marBottom w:val="0"/>
      <w:divBdr>
        <w:top w:val="none" w:sz="0" w:space="0" w:color="auto"/>
        <w:left w:val="none" w:sz="0" w:space="0" w:color="auto"/>
        <w:bottom w:val="none" w:sz="0" w:space="0" w:color="auto"/>
        <w:right w:val="none" w:sz="0" w:space="0" w:color="auto"/>
      </w:divBdr>
      <w:divsChild>
        <w:div w:id="1146363454">
          <w:marLeft w:val="0"/>
          <w:marRight w:val="0"/>
          <w:marTop w:val="0"/>
          <w:marBottom w:val="0"/>
          <w:divBdr>
            <w:top w:val="none" w:sz="0" w:space="0" w:color="auto"/>
            <w:left w:val="none" w:sz="0" w:space="0" w:color="auto"/>
            <w:bottom w:val="none" w:sz="0" w:space="0" w:color="auto"/>
            <w:right w:val="none" w:sz="0" w:space="0" w:color="auto"/>
          </w:divBdr>
        </w:div>
      </w:divsChild>
    </w:div>
    <w:div w:id="1186750631">
      <w:bodyDiv w:val="1"/>
      <w:marLeft w:val="0"/>
      <w:marRight w:val="0"/>
      <w:marTop w:val="0"/>
      <w:marBottom w:val="0"/>
      <w:divBdr>
        <w:top w:val="none" w:sz="0" w:space="0" w:color="auto"/>
        <w:left w:val="none" w:sz="0" w:space="0" w:color="auto"/>
        <w:bottom w:val="none" w:sz="0" w:space="0" w:color="auto"/>
        <w:right w:val="none" w:sz="0" w:space="0" w:color="auto"/>
      </w:divBdr>
      <w:divsChild>
        <w:div w:id="1367871241">
          <w:marLeft w:val="0"/>
          <w:marRight w:val="0"/>
          <w:marTop w:val="0"/>
          <w:marBottom w:val="0"/>
          <w:divBdr>
            <w:top w:val="none" w:sz="0" w:space="0" w:color="auto"/>
            <w:left w:val="none" w:sz="0" w:space="0" w:color="auto"/>
            <w:bottom w:val="none" w:sz="0" w:space="0" w:color="auto"/>
            <w:right w:val="none" w:sz="0" w:space="0" w:color="auto"/>
          </w:divBdr>
        </w:div>
      </w:divsChild>
    </w:div>
    <w:div w:id="1437210013">
      <w:bodyDiv w:val="1"/>
      <w:marLeft w:val="0"/>
      <w:marRight w:val="0"/>
      <w:marTop w:val="0"/>
      <w:marBottom w:val="0"/>
      <w:divBdr>
        <w:top w:val="none" w:sz="0" w:space="0" w:color="auto"/>
        <w:left w:val="none" w:sz="0" w:space="0" w:color="auto"/>
        <w:bottom w:val="none" w:sz="0" w:space="0" w:color="auto"/>
        <w:right w:val="none" w:sz="0" w:space="0" w:color="auto"/>
      </w:divBdr>
      <w:divsChild>
        <w:div w:id="1195924856">
          <w:marLeft w:val="0"/>
          <w:marRight w:val="0"/>
          <w:marTop w:val="0"/>
          <w:marBottom w:val="0"/>
          <w:divBdr>
            <w:top w:val="none" w:sz="0" w:space="0" w:color="auto"/>
            <w:left w:val="none" w:sz="0" w:space="0" w:color="auto"/>
            <w:bottom w:val="none" w:sz="0" w:space="0" w:color="auto"/>
            <w:right w:val="none" w:sz="0" w:space="0" w:color="auto"/>
          </w:divBdr>
        </w:div>
      </w:divsChild>
    </w:div>
    <w:div w:id="1463841456">
      <w:bodyDiv w:val="1"/>
      <w:marLeft w:val="0"/>
      <w:marRight w:val="0"/>
      <w:marTop w:val="0"/>
      <w:marBottom w:val="0"/>
      <w:divBdr>
        <w:top w:val="none" w:sz="0" w:space="0" w:color="auto"/>
        <w:left w:val="none" w:sz="0" w:space="0" w:color="auto"/>
        <w:bottom w:val="none" w:sz="0" w:space="0" w:color="auto"/>
        <w:right w:val="none" w:sz="0" w:space="0" w:color="auto"/>
      </w:divBdr>
      <w:divsChild>
        <w:div w:id="1122311079">
          <w:marLeft w:val="0"/>
          <w:marRight w:val="0"/>
          <w:marTop w:val="0"/>
          <w:marBottom w:val="0"/>
          <w:divBdr>
            <w:top w:val="none" w:sz="0" w:space="0" w:color="auto"/>
            <w:left w:val="none" w:sz="0" w:space="0" w:color="auto"/>
            <w:bottom w:val="none" w:sz="0" w:space="0" w:color="auto"/>
            <w:right w:val="none" w:sz="0" w:space="0" w:color="auto"/>
          </w:divBdr>
        </w:div>
      </w:divsChild>
    </w:div>
    <w:div w:id="1979915340">
      <w:bodyDiv w:val="1"/>
      <w:marLeft w:val="0"/>
      <w:marRight w:val="0"/>
      <w:marTop w:val="0"/>
      <w:marBottom w:val="0"/>
      <w:divBdr>
        <w:top w:val="none" w:sz="0" w:space="0" w:color="auto"/>
        <w:left w:val="none" w:sz="0" w:space="0" w:color="auto"/>
        <w:bottom w:val="none" w:sz="0" w:space="0" w:color="auto"/>
        <w:right w:val="none" w:sz="0" w:space="0" w:color="auto"/>
      </w:divBdr>
      <w:divsChild>
        <w:div w:id="1940025235">
          <w:marLeft w:val="0"/>
          <w:marRight w:val="0"/>
          <w:marTop w:val="0"/>
          <w:marBottom w:val="0"/>
          <w:divBdr>
            <w:top w:val="none" w:sz="0" w:space="0" w:color="auto"/>
            <w:left w:val="none" w:sz="0" w:space="0" w:color="auto"/>
            <w:bottom w:val="none" w:sz="0" w:space="0" w:color="auto"/>
            <w:right w:val="none" w:sz="0" w:space="0" w:color="auto"/>
          </w:divBdr>
        </w:div>
      </w:divsChild>
    </w:div>
    <w:div w:id="1997762794">
      <w:bodyDiv w:val="1"/>
      <w:marLeft w:val="0"/>
      <w:marRight w:val="0"/>
      <w:marTop w:val="0"/>
      <w:marBottom w:val="0"/>
      <w:divBdr>
        <w:top w:val="none" w:sz="0" w:space="0" w:color="auto"/>
        <w:left w:val="none" w:sz="0" w:space="0" w:color="auto"/>
        <w:bottom w:val="none" w:sz="0" w:space="0" w:color="auto"/>
        <w:right w:val="none" w:sz="0" w:space="0" w:color="auto"/>
      </w:divBdr>
      <w:divsChild>
        <w:div w:id="8763080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4" Type="http://schemas.openxmlformats.org/officeDocument/2006/relationships/footer" Target="footer1.xml"/><Relationship Id="rId2" Type="http://schemas.openxmlformats.org/officeDocument/2006/relationships/numbering" Target="numbering.xml"/><Relationship Id="rId3" Type="http://schemas.openxmlformats.org/officeDocument/2006/relationships/styles" Target="styles.xml"/><Relationship Id="rId5" Type="http://schemas.openxmlformats.org/officeDocument/2006/relationships/settings" Target="settings.xml"/><Relationship Id="rId7" Type="http://schemas.openxmlformats.org/officeDocument/2006/relationships/footnotes" Target="footnotes.xml"/><Relationship Id="rId8" Type="http://schemas.openxmlformats.org/officeDocument/2006/relationships/endnotes" Target="endnotes.xml"/><Relationship Id="rId1" Type="http://schemas.openxmlformats.org/officeDocument/2006/relationships/customXml" Target="../customXml/item1.xml"/><Relationship Id="rId4" Type="http://schemas.microsoft.com/office/2007/relationships/stylesWithEffects" Target="stylesWithEffects.xml"/><Relationship Id="rId6" Type="http://schemas.openxmlformats.org/officeDocument/2006/relationships/webSettings" Target="webSettings.xml"/><Relationship Id="rId9" Type="http://schemas.openxmlformats.org/officeDocument/2006/relationships/hyperlink" Target="https://www.gevme.com/en/blog/2024-event-trends-in-2024/" TargetMode="External"/></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6CDA44-3509-4089-930E-861005C2F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14</Pages>
  <Words>3510</Words>
  <Characters>20009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Claudia Zaharia</cp:lastModifiedBy>
</cp:coreProperties>
</file>