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6479F" w14:textId="77777777" w:rsidR="00F8763E" w:rsidRDefault="00F8763E" w:rsidP="00F8763E">
      <w:pPr>
        <w:jc w:val="center"/>
        <w:rPr>
          <w:sz w:val="28"/>
          <w:szCs w:val="28"/>
        </w:rPr>
      </w:pPr>
      <w:r>
        <w:rPr>
          <w:noProof/>
          <w:lang w:eastAsia="en-GB"/>
        </w:rPr>
        <w:drawing>
          <wp:inline distT="0" distB="0" distL="0" distR="0" wp14:anchorId="200AB836" wp14:editId="5649B766">
            <wp:extent cx="2539218" cy="1010533"/>
            <wp:effectExtent l="0" t="0" r="0" b="0"/>
            <wp:docPr id="351187922"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227" cy="1024864"/>
                    </a:xfrm>
                    <a:prstGeom prst="rect">
                      <a:avLst/>
                    </a:prstGeom>
                    <a:noFill/>
                    <a:ln>
                      <a:noFill/>
                    </a:ln>
                  </pic:spPr>
                </pic:pic>
              </a:graphicData>
            </a:graphic>
          </wp:inline>
        </w:drawing>
      </w:r>
    </w:p>
    <w:p w14:paraId="60A68D21" w14:textId="6CA9828E" w:rsidR="00F8763E" w:rsidRPr="00BA60ED" w:rsidRDefault="00F8763E" w:rsidP="00F8763E">
      <w:pPr>
        <w:jc w:val="center"/>
        <w:rPr>
          <w:sz w:val="28"/>
          <w:szCs w:val="28"/>
        </w:rPr>
      </w:pPr>
      <w:r w:rsidRPr="00BA60ED">
        <w:rPr>
          <w:sz w:val="28"/>
          <w:szCs w:val="28"/>
        </w:rPr>
        <w:t xml:space="preserve">Module Name: </w:t>
      </w:r>
      <w:r w:rsidR="00B05ABF" w:rsidRPr="00B05ABF">
        <w:rPr>
          <w:sz w:val="28"/>
          <w:szCs w:val="28"/>
        </w:rPr>
        <w:t>Principles and Concepts of Finance</w:t>
      </w:r>
    </w:p>
    <w:p w14:paraId="70811A41" w14:textId="7CE0D3E2" w:rsidR="00F8763E" w:rsidRDefault="00F8763E" w:rsidP="00F8763E">
      <w:pPr>
        <w:jc w:val="center"/>
        <w:rPr>
          <w:sz w:val="28"/>
          <w:szCs w:val="28"/>
        </w:rPr>
      </w:pPr>
      <w:r w:rsidRPr="00BA60ED">
        <w:rPr>
          <w:sz w:val="28"/>
          <w:szCs w:val="28"/>
        </w:rPr>
        <w:t xml:space="preserve">Module Code: </w:t>
      </w:r>
      <w:r w:rsidR="00B05ABF" w:rsidRPr="00B05ABF">
        <w:rPr>
          <w:sz w:val="28"/>
          <w:szCs w:val="28"/>
        </w:rPr>
        <w:t>BMSW5012</w:t>
      </w:r>
    </w:p>
    <w:p w14:paraId="23D925B4" w14:textId="77777777" w:rsidR="00F8763E" w:rsidRPr="00BA60ED" w:rsidRDefault="00F8763E" w:rsidP="00F8763E">
      <w:pPr>
        <w:jc w:val="center"/>
        <w:rPr>
          <w:sz w:val="28"/>
          <w:szCs w:val="28"/>
        </w:rPr>
      </w:pPr>
    </w:p>
    <w:p w14:paraId="5C88280E" w14:textId="54A545B5" w:rsidR="00F8763E" w:rsidRPr="00BA60ED" w:rsidRDefault="00B05ABF" w:rsidP="00F8763E">
      <w:pPr>
        <w:jc w:val="center"/>
        <w:rPr>
          <w:b/>
          <w:bCs/>
          <w:sz w:val="32"/>
          <w:szCs w:val="32"/>
        </w:rPr>
      </w:pPr>
      <w:r>
        <w:rPr>
          <w:b/>
          <w:bCs/>
          <w:sz w:val="32"/>
          <w:szCs w:val="32"/>
        </w:rPr>
        <w:t xml:space="preserve">Report Title: </w:t>
      </w:r>
      <w:r w:rsidRPr="00B05ABF">
        <w:rPr>
          <w:b/>
          <w:bCs/>
          <w:sz w:val="32"/>
          <w:szCs w:val="32"/>
        </w:rPr>
        <w:t>Budgeting Principles and Approaches: A Financial Analysis of Silver Stitch Ltd</w:t>
      </w:r>
    </w:p>
    <w:p w14:paraId="6E758DBB" w14:textId="77777777" w:rsidR="00F8763E" w:rsidRDefault="00F8763E" w:rsidP="00F8763E">
      <w:pPr>
        <w:jc w:val="center"/>
        <w:rPr>
          <w:sz w:val="32"/>
          <w:szCs w:val="32"/>
        </w:rPr>
      </w:pPr>
    </w:p>
    <w:p w14:paraId="2ECB274F" w14:textId="77777777" w:rsidR="00F8763E" w:rsidRPr="00BA60ED" w:rsidRDefault="00F8763E" w:rsidP="00F8763E">
      <w:pPr>
        <w:jc w:val="center"/>
        <w:rPr>
          <w:sz w:val="32"/>
          <w:szCs w:val="32"/>
        </w:rPr>
      </w:pPr>
    </w:p>
    <w:p w14:paraId="42AFDC96" w14:textId="3AF5294A" w:rsidR="00F8763E" w:rsidRPr="00F8763E" w:rsidRDefault="00F8763E" w:rsidP="00F8763E">
      <w:pPr>
        <w:jc w:val="center"/>
      </w:pPr>
      <w:r>
        <w:t>Student</w:t>
      </w:r>
      <w:r w:rsidRPr="00BA60ED">
        <w:t xml:space="preserve"> Name</w:t>
      </w:r>
      <w:r>
        <w:t xml:space="preserve">: </w:t>
      </w:r>
      <w:r w:rsidR="00F55A37" w:rsidRPr="00F55A37">
        <w:t>Mohammad Riazuddin Riaz</w:t>
      </w:r>
    </w:p>
    <w:p w14:paraId="6FAE4CFE" w14:textId="14439E92" w:rsidR="00F8763E" w:rsidRPr="00BA60ED" w:rsidRDefault="00F8763E" w:rsidP="00F8763E">
      <w:pPr>
        <w:jc w:val="center"/>
      </w:pPr>
      <w:r>
        <w:t xml:space="preserve">Student ID: </w:t>
      </w:r>
      <w:r w:rsidRPr="00F8763E">
        <w:t>2326121</w:t>
      </w:r>
    </w:p>
    <w:p w14:paraId="0CCC98B3" w14:textId="37185AC4" w:rsidR="00F8763E" w:rsidRDefault="00F8763E" w:rsidP="00F8763E">
      <w:pPr>
        <w:jc w:val="center"/>
      </w:pPr>
      <w:r w:rsidRPr="00BA60ED">
        <w:t>Date</w:t>
      </w:r>
      <w:r>
        <w:t xml:space="preserve">: </w:t>
      </w:r>
      <w:r w:rsidR="00D36572">
        <w:t>20</w:t>
      </w:r>
      <w:r>
        <w:t>-03-2026</w:t>
      </w:r>
    </w:p>
    <w:p w14:paraId="5D13AD41" w14:textId="77777777" w:rsidR="00F8763E" w:rsidRDefault="00F8763E">
      <w:pPr>
        <w:spacing w:after="160" w:line="259" w:lineRule="auto"/>
        <w:jc w:val="left"/>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color w:val="auto"/>
          <w:sz w:val="24"/>
          <w:szCs w:val="22"/>
          <w:lang w:val="en-GB"/>
        </w:rPr>
        <w:id w:val="-1364591234"/>
        <w:docPartObj>
          <w:docPartGallery w:val="Table of Contents"/>
          <w:docPartUnique/>
        </w:docPartObj>
      </w:sdtPr>
      <w:sdtEndPr>
        <w:rPr>
          <w:rFonts w:ascii="Arial" w:hAnsi="Arial"/>
          <w:b/>
          <w:bCs/>
          <w:noProof/>
        </w:rPr>
      </w:sdtEndPr>
      <w:sdtContent>
        <w:p w14:paraId="6D2B56F1" w14:textId="19E40EAC" w:rsidR="00D8246C" w:rsidRPr="007304D6" w:rsidRDefault="00D8246C" w:rsidP="007304D6">
          <w:pPr>
            <w:pStyle w:val="TOCHeading"/>
            <w:jc w:val="center"/>
            <w:rPr>
              <w:rFonts w:ascii="Arial" w:hAnsi="Arial" w:cs="Arial"/>
              <w:b/>
              <w:bCs/>
              <w:lang w:val="en-GB"/>
            </w:rPr>
          </w:pPr>
          <w:r w:rsidRPr="007304D6">
            <w:rPr>
              <w:rFonts w:ascii="Arial" w:hAnsi="Arial" w:cs="Arial"/>
              <w:b/>
              <w:bCs/>
              <w:lang w:val="en-GB"/>
            </w:rPr>
            <w:t>Table of Contents</w:t>
          </w:r>
        </w:p>
        <w:p w14:paraId="7909D749" w14:textId="373F26E6" w:rsidR="009C4929" w:rsidRDefault="00D8246C">
          <w:pPr>
            <w:pStyle w:val="TOC1"/>
            <w:tabs>
              <w:tab w:val="right" w:leader="dot" w:pos="9350"/>
            </w:tabs>
            <w:rPr>
              <w:rFonts w:asciiTheme="minorHAnsi" w:eastAsiaTheme="minorEastAsia" w:hAnsiTheme="minorHAnsi"/>
              <w:noProof/>
              <w:kern w:val="2"/>
              <w:szCs w:val="24"/>
              <w:lang w:val="en-US"/>
              <w14:ligatures w14:val="standardContextual"/>
            </w:rPr>
          </w:pPr>
          <w:r w:rsidRPr="00E93370">
            <w:rPr>
              <w:rFonts w:cs="Times New Roman"/>
              <w:b/>
              <w:bCs/>
              <w:noProof/>
            </w:rPr>
            <w:fldChar w:fldCharType="begin"/>
          </w:r>
          <w:r w:rsidRPr="00E93370">
            <w:rPr>
              <w:rFonts w:cs="Times New Roman"/>
              <w:b/>
              <w:bCs/>
              <w:noProof/>
            </w:rPr>
            <w:instrText xml:space="preserve"> TOC \o "1-3" \h \z \u </w:instrText>
          </w:r>
          <w:r w:rsidRPr="00E93370">
            <w:rPr>
              <w:rFonts w:cs="Times New Roman"/>
              <w:b/>
              <w:bCs/>
              <w:noProof/>
            </w:rPr>
            <w:fldChar w:fldCharType="separate"/>
          </w:r>
          <w:hyperlink w:anchor="_Toc224159442" w:history="1">
            <w:r w:rsidR="009C4929" w:rsidRPr="00FC343C">
              <w:rPr>
                <w:rStyle w:val="Hyperlink"/>
                <w:rFonts w:cs="Times New Roman"/>
                <w:noProof/>
              </w:rPr>
              <w:t>1.0 Introduction</w:t>
            </w:r>
            <w:r w:rsidR="009C4929">
              <w:rPr>
                <w:noProof/>
                <w:webHidden/>
              </w:rPr>
              <w:tab/>
            </w:r>
            <w:r w:rsidR="009C4929">
              <w:rPr>
                <w:noProof/>
                <w:webHidden/>
              </w:rPr>
              <w:fldChar w:fldCharType="begin"/>
            </w:r>
            <w:r w:rsidR="009C4929">
              <w:rPr>
                <w:noProof/>
                <w:webHidden/>
              </w:rPr>
              <w:instrText xml:space="preserve"> PAGEREF _Toc224159442 \h </w:instrText>
            </w:r>
            <w:r w:rsidR="009C4929">
              <w:rPr>
                <w:noProof/>
                <w:webHidden/>
              </w:rPr>
            </w:r>
            <w:r w:rsidR="009C4929">
              <w:rPr>
                <w:noProof/>
                <w:webHidden/>
              </w:rPr>
              <w:fldChar w:fldCharType="separate"/>
            </w:r>
            <w:r w:rsidR="009C4929">
              <w:rPr>
                <w:noProof/>
                <w:webHidden/>
              </w:rPr>
              <w:t>3</w:t>
            </w:r>
            <w:r w:rsidR="009C4929">
              <w:rPr>
                <w:noProof/>
                <w:webHidden/>
              </w:rPr>
              <w:fldChar w:fldCharType="end"/>
            </w:r>
          </w:hyperlink>
        </w:p>
        <w:p w14:paraId="09950103" w14:textId="59404B05"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3" w:history="1">
            <w:r w:rsidRPr="00FC343C">
              <w:rPr>
                <w:rStyle w:val="Hyperlink"/>
                <w:noProof/>
              </w:rPr>
              <w:t>2.0 PART (a) - Numerical Workings</w:t>
            </w:r>
            <w:r>
              <w:rPr>
                <w:noProof/>
                <w:webHidden/>
              </w:rPr>
              <w:tab/>
            </w:r>
            <w:r>
              <w:rPr>
                <w:noProof/>
                <w:webHidden/>
              </w:rPr>
              <w:fldChar w:fldCharType="begin"/>
            </w:r>
            <w:r>
              <w:rPr>
                <w:noProof/>
                <w:webHidden/>
              </w:rPr>
              <w:instrText xml:space="preserve"> PAGEREF _Toc224159443 \h </w:instrText>
            </w:r>
            <w:r>
              <w:rPr>
                <w:noProof/>
                <w:webHidden/>
              </w:rPr>
            </w:r>
            <w:r>
              <w:rPr>
                <w:noProof/>
                <w:webHidden/>
              </w:rPr>
              <w:fldChar w:fldCharType="separate"/>
            </w:r>
            <w:r>
              <w:rPr>
                <w:noProof/>
                <w:webHidden/>
              </w:rPr>
              <w:t>4</w:t>
            </w:r>
            <w:r>
              <w:rPr>
                <w:noProof/>
                <w:webHidden/>
              </w:rPr>
              <w:fldChar w:fldCharType="end"/>
            </w:r>
          </w:hyperlink>
        </w:p>
        <w:p w14:paraId="34547C60" w14:textId="757821C0"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4" w:history="1">
            <w:r w:rsidRPr="00FC343C">
              <w:rPr>
                <w:rStyle w:val="Hyperlink"/>
                <w:noProof/>
              </w:rPr>
              <w:t>1. Stock Budget</w:t>
            </w:r>
            <w:r>
              <w:rPr>
                <w:noProof/>
                <w:webHidden/>
              </w:rPr>
              <w:tab/>
            </w:r>
            <w:r>
              <w:rPr>
                <w:noProof/>
                <w:webHidden/>
              </w:rPr>
              <w:fldChar w:fldCharType="begin"/>
            </w:r>
            <w:r>
              <w:rPr>
                <w:noProof/>
                <w:webHidden/>
              </w:rPr>
              <w:instrText xml:space="preserve"> PAGEREF _Toc224159444 \h </w:instrText>
            </w:r>
            <w:r>
              <w:rPr>
                <w:noProof/>
                <w:webHidden/>
              </w:rPr>
            </w:r>
            <w:r>
              <w:rPr>
                <w:noProof/>
                <w:webHidden/>
              </w:rPr>
              <w:fldChar w:fldCharType="separate"/>
            </w:r>
            <w:r>
              <w:rPr>
                <w:noProof/>
                <w:webHidden/>
              </w:rPr>
              <w:t>4</w:t>
            </w:r>
            <w:r>
              <w:rPr>
                <w:noProof/>
                <w:webHidden/>
              </w:rPr>
              <w:fldChar w:fldCharType="end"/>
            </w:r>
          </w:hyperlink>
        </w:p>
        <w:p w14:paraId="28342FC4" w14:textId="34E977CE"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5" w:history="1">
            <w:r w:rsidRPr="00FC343C">
              <w:rPr>
                <w:rStyle w:val="Hyperlink"/>
                <w:noProof/>
              </w:rPr>
              <w:t>2. Cash Budget</w:t>
            </w:r>
            <w:r>
              <w:rPr>
                <w:noProof/>
                <w:webHidden/>
              </w:rPr>
              <w:tab/>
            </w:r>
            <w:r>
              <w:rPr>
                <w:noProof/>
                <w:webHidden/>
              </w:rPr>
              <w:fldChar w:fldCharType="begin"/>
            </w:r>
            <w:r>
              <w:rPr>
                <w:noProof/>
                <w:webHidden/>
              </w:rPr>
              <w:instrText xml:space="preserve"> PAGEREF _Toc224159445 \h </w:instrText>
            </w:r>
            <w:r>
              <w:rPr>
                <w:noProof/>
                <w:webHidden/>
              </w:rPr>
            </w:r>
            <w:r>
              <w:rPr>
                <w:noProof/>
                <w:webHidden/>
              </w:rPr>
              <w:fldChar w:fldCharType="separate"/>
            </w:r>
            <w:r>
              <w:rPr>
                <w:noProof/>
                <w:webHidden/>
              </w:rPr>
              <w:t>5</w:t>
            </w:r>
            <w:r>
              <w:rPr>
                <w:noProof/>
                <w:webHidden/>
              </w:rPr>
              <w:fldChar w:fldCharType="end"/>
            </w:r>
          </w:hyperlink>
        </w:p>
        <w:p w14:paraId="75193137" w14:textId="282EA946"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6" w:history="1">
            <w:r w:rsidRPr="00FC343C">
              <w:rPr>
                <w:rStyle w:val="Hyperlink"/>
                <w:noProof/>
              </w:rPr>
              <w:t>3. Budgeted Profit and Loss Account</w:t>
            </w:r>
            <w:r>
              <w:rPr>
                <w:noProof/>
                <w:webHidden/>
              </w:rPr>
              <w:tab/>
            </w:r>
            <w:r>
              <w:rPr>
                <w:noProof/>
                <w:webHidden/>
              </w:rPr>
              <w:fldChar w:fldCharType="begin"/>
            </w:r>
            <w:r>
              <w:rPr>
                <w:noProof/>
                <w:webHidden/>
              </w:rPr>
              <w:instrText xml:space="preserve"> PAGEREF _Toc224159446 \h </w:instrText>
            </w:r>
            <w:r>
              <w:rPr>
                <w:noProof/>
                <w:webHidden/>
              </w:rPr>
            </w:r>
            <w:r>
              <w:rPr>
                <w:noProof/>
                <w:webHidden/>
              </w:rPr>
              <w:fldChar w:fldCharType="separate"/>
            </w:r>
            <w:r>
              <w:rPr>
                <w:noProof/>
                <w:webHidden/>
              </w:rPr>
              <w:t>7</w:t>
            </w:r>
            <w:r>
              <w:rPr>
                <w:noProof/>
                <w:webHidden/>
              </w:rPr>
              <w:fldChar w:fldCharType="end"/>
            </w:r>
          </w:hyperlink>
        </w:p>
        <w:p w14:paraId="628201F7" w14:textId="7ABEEFF7"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7" w:history="1">
            <w:r w:rsidRPr="00FC343C">
              <w:rPr>
                <w:rStyle w:val="Hyperlink"/>
                <w:noProof/>
              </w:rPr>
              <w:t>3.0 Part (b): Problems Identified and Management Actions</w:t>
            </w:r>
            <w:r>
              <w:rPr>
                <w:noProof/>
                <w:webHidden/>
              </w:rPr>
              <w:tab/>
            </w:r>
            <w:r>
              <w:rPr>
                <w:noProof/>
                <w:webHidden/>
              </w:rPr>
              <w:fldChar w:fldCharType="begin"/>
            </w:r>
            <w:r>
              <w:rPr>
                <w:noProof/>
                <w:webHidden/>
              </w:rPr>
              <w:instrText xml:space="preserve"> PAGEREF _Toc224159447 \h </w:instrText>
            </w:r>
            <w:r>
              <w:rPr>
                <w:noProof/>
                <w:webHidden/>
              </w:rPr>
            </w:r>
            <w:r>
              <w:rPr>
                <w:noProof/>
                <w:webHidden/>
              </w:rPr>
              <w:fldChar w:fldCharType="separate"/>
            </w:r>
            <w:r>
              <w:rPr>
                <w:noProof/>
                <w:webHidden/>
              </w:rPr>
              <w:t>8</w:t>
            </w:r>
            <w:r>
              <w:rPr>
                <w:noProof/>
                <w:webHidden/>
              </w:rPr>
              <w:fldChar w:fldCharType="end"/>
            </w:r>
          </w:hyperlink>
        </w:p>
        <w:p w14:paraId="30924BA8" w14:textId="113E5429"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8" w:history="1">
            <w:r w:rsidRPr="00FC343C">
              <w:rPr>
                <w:rStyle w:val="Hyperlink"/>
                <w:noProof/>
              </w:rPr>
              <w:t>4.0 Part (c): Budgetary Control and Behavioural Considerations</w:t>
            </w:r>
            <w:r>
              <w:rPr>
                <w:noProof/>
                <w:webHidden/>
              </w:rPr>
              <w:tab/>
            </w:r>
            <w:r>
              <w:rPr>
                <w:noProof/>
                <w:webHidden/>
              </w:rPr>
              <w:fldChar w:fldCharType="begin"/>
            </w:r>
            <w:r>
              <w:rPr>
                <w:noProof/>
                <w:webHidden/>
              </w:rPr>
              <w:instrText xml:space="preserve"> PAGEREF _Toc224159448 \h </w:instrText>
            </w:r>
            <w:r>
              <w:rPr>
                <w:noProof/>
                <w:webHidden/>
              </w:rPr>
            </w:r>
            <w:r>
              <w:rPr>
                <w:noProof/>
                <w:webHidden/>
              </w:rPr>
              <w:fldChar w:fldCharType="separate"/>
            </w:r>
            <w:r>
              <w:rPr>
                <w:noProof/>
                <w:webHidden/>
              </w:rPr>
              <w:t>12</w:t>
            </w:r>
            <w:r>
              <w:rPr>
                <w:noProof/>
                <w:webHidden/>
              </w:rPr>
              <w:fldChar w:fldCharType="end"/>
            </w:r>
          </w:hyperlink>
        </w:p>
        <w:p w14:paraId="776D2739" w14:textId="7625A39F"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9" w:history="1">
            <w:r w:rsidRPr="00FC343C">
              <w:rPr>
                <w:rStyle w:val="Hyperlink"/>
                <w:noProof/>
              </w:rPr>
              <w:t>4.1 Conditions for Successful Budgetary Control</w:t>
            </w:r>
            <w:r>
              <w:rPr>
                <w:noProof/>
                <w:webHidden/>
              </w:rPr>
              <w:tab/>
            </w:r>
            <w:r>
              <w:rPr>
                <w:noProof/>
                <w:webHidden/>
              </w:rPr>
              <w:fldChar w:fldCharType="begin"/>
            </w:r>
            <w:r>
              <w:rPr>
                <w:noProof/>
                <w:webHidden/>
              </w:rPr>
              <w:instrText xml:space="preserve"> PAGEREF _Toc224159449 \h </w:instrText>
            </w:r>
            <w:r>
              <w:rPr>
                <w:noProof/>
                <w:webHidden/>
              </w:rPr>
            </w:r>
            <w:r>
              <w:rPr>
                <w:noProof/>
                <w:webHidden/>
              </w:rPr>
              <w:fldChar w:fldCharType="separate"/>
            </w:r>
            <w:r>
              <w:rPr>
                <w:noProof/>
                <w:webHidden/>
              </w:rPr>
              <w:t>12</w:t>
            </w:r>
            <w:r>
              <w:rPr>
                <w:noProof/>
                <w:webHidden/>
              </w:rPr>
              <w:fldChar w:fldCharType="end"/>
            </w:r>
          </w:hyperlink>
        </w:p>
        <w:p w14:paraId="3186A294" w14:textId="17CE62A8"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0" w:history="1">
            <w:r w:rsidRPr="00FC343C">
              <w:rPr>
                <w:rStyle w:val="Hyperlink"/>
                <w:noProof/>
              </w:rPr>
              <w:t>4.2 Behavioural Considerations in Budgeting</w:t>
            </w:r>
            <w:r>
              <w:rPr>
                <w:noProof/>
                <w:webHidden/>
              </w:rPr>
              <w:tab/>
            </w:r>
            <w:r>
              <w:rPr>
                <w:noProof/>
                <w:webHidden/>
              </w:rPr>
              <w:fldChar w:fldCharType="begin"/>
            </w:r>
            <w:r>
              <w:rPr>
                <w:noProof/>
                <w:webHidden/>
              </w:rPr>
              <w:instrText xml:space="preserve"> PAGEREF _Toc224159450 \h </w:instrText>
            </w:r>
            <w:r>
              <w:rPr>
                <w:noProof/>
                <w:webHidden/>
              </w:rPr>
            </w:r>
            <w:r>
              <w:rPr>
                <w:noProof/>
                <w:webHidden/>
              </w:rPr>
              <w:fldChar w:fldCharType="separate"/>
            </w:r>
            <w:r>
              <w:rPr>
                <w:noProof/>
                <w:webHidden/>
              </w:rPr>
              <w:t>15</w:t>
            </w:r>
            <w:r>
              <w:rPr>
                <w:noProof/>
                <w:webHidden/>
              </w:rPr>
              <w:fldChar w:fldCharType="end"/>
            </w:r>
          </w:hyperlink>
        </w:p>
        <w:p w14:paraId="1517DEC3" w14:textId="467328C9"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1" w:history="1">
            <w:r w:rsidRPr="00FC343C">
              <w:rPr>
                <w:rStyle w:val="Hyperlink"/>
                <w:noProof/>
              </w:rPr>
              <w:t>5.0 Part (d): Critical Evaluation of Traditional Budgeting Approaches</w:t>
            </w:r>
            <w:r>
              <w:rPr>
                <w:noProof/>
                <w:webHidden/>
              </w:rPr>
              <w:tab/>
            </w:r>
            <w:r>
              <w:rPr>
                <w:noProof/>
                <w:webHidden/>
              </w:rPr>
              <w:fldChar w:fldCharType="begin"/>
            </w:r>
            <w:r>
              <w:rPr>
                <w:noProof/>
                <w:webHidden/>
              </w:rPr>
              <w:instrText xml:space="preserve"> PAGEREF _Toc224159451 \h </w:instrText>
            </w:r>
            <w:r>
              <w:rPr>
                <w:noProof/>
                <w:webHidden/>
              </w:rPr>
            </w:r>
            <w:r>
              <w:rPr>
                <w:noProof/>
                <w:webHidden/>
              </w:rPr>
              <w:fldChar w:fldCharType="separate"/>
            </w:r>
            <w:r>
              <w:rPr>
                <w:noProof/>
                <w:webHidden/>
              </w:rPr>
              <w:t>17</w:t>
            </w:r>
            <w:r>
              <w:rPr>
                <w:noProof/>
                <w:webHidden/>
              </w:rPr>
              <w:fldChar w:fldCharType="end"/>
            </w:r>
          </w:hyperlink>
        </w:p>
        <w:p w14:paraId="4FC98DE5" w14:textId="055BC2D1"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2" w:history="1">
            <w:r w:rsidRPr="00FC343C">
              <w:rPr>
                <w:rStyle w:val="Hyperlink"/>
                <w:noProof/>
              </w:rPr>
              <w:t>5.1 Inherent Flaws in Traditional Budgeting</w:t>
            </w:r>
            <w:r>
              <w:rPr>
                <w:noProof/>
                <w:webHidden/>
              </w:rPr>
              <w:tab/>
            </w:r>
            <w:r>
              <w:rPr>
                <w:noProof/>
                <w:webHidden/>
              </w:rPr>
              <w:fldChar w:fldCharType="begin"/>
            </w:r>
            <w:r>
              <w:rPr>
                <w:noProof/>
                <w:webHidden/>
              </w:rPr>
              <w:instrText xml:space="preserve"> PAGEREF _Toc224159452 \h </w:instrText>
            </w:r>
            <w:r>
              <w:rPr>
                <w:noProof/>
                <w:webHidden/>
              </w:rPr>
            </w:r>
            <w:r>
              <w:rPr>
                <w:noProof/>
                <w:webHidden/>
              </w:rPr>
              <w:fldChar w:fldCharType="separate"/>
            </w:r>
            <w:r>
              <w:rPr>
                <w:noProof/>
                <w:webHidden/>
              </w:rPr>
              <w:t>17</w:t>
            </w:r>
            <w:r>
              <w:rPr>
                <w:noProof/>
                <w:webHidden/>
              </w:rPr>
              <w:fldChar w:fldCharType="end"/>
            </w:r>
          </w:hyperlink>
        </w:p>
        <w:p w14:paraId="025566BB" w14:textId="33BE885C"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3" w:history="1">
            <w:r w:rsidRPr="00FC343C">
              <w:rPr>
                <w:rStyle w:val="Hyperlink"/>
                <w:noProof/>
              </w:rPr>
              <w:t>5.2 Gaming and Dysfunctional Behaviour</w:t>
            </w:r>
            <w:r>
              <w:rPr>
                <w:noProof/>
                <w:webHidden/>
              </w:rPr>
              <w:tab/>
            </w:r>
            <w:r>
              <w:rPr>
                <w:noProof/>
                <w:webHidden/>
              </w:rPr>
              <w:fldChar w:fldCharType="begin"/>
            </w:r>
            <w:r>
              <w:rPr>
                <w:noProof/>
                <w:webHidden/>
              </w:rPr>
              <w:instrText xml:space="preserve"> PAGEREF _Toc224159453 \h </w:instrText>
            </w:r>
            <w:r>
              <w:rPr>
                <w:noProof/>
                <w:webHidden/>
              </w:rPr>
            </w:r>
            <w:r>
              <w:rPr>
                <w:noProof/>
                <w:webHidden/>
              </w:rPr>
              <w:fldChar w:fldCharType="separate"/>
            </w:r>
            <w:r>
              <w:rPr>
                <w:noProof/>
                <w:webHidden/>
              </w:rPr>
              <w:t>18</w:t>
            </w:r>
            <w:r>
              <w:rPr>
                <w:noProof/>
                <w:webHidden/>
              </w:rPr>
              <w:fldChar w:fldCharType="end"/>
            </w:r>
          </w:hyperlink>
        </w:p>
        <w:p w14:paraId="2152D3ED" w14:textId="2847D9EC"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4" w:history="1">
            <w:r w:rsidRPr="00FC343C">
              <w:rPr>
                <w:rStyle w:val="Hyperlink"/>
                <w:noProof/>
              </w:rPr>
              <w:t>5.3 Alternative Approaches</w:t>
            </w:r>
            <w:r>
              <w:rPr>
                <w:noProof/>
                <w:webHidden/>
              </w:rPr>
              <w:tab/>
            </w:r>
            <w:r>
              <w:rPr>
                <w:noProof/>
                <w:webHidden/>
              </w:rPr>
              <w:fldChar w:fldCharType="begin"/>
            </w:r>
            <w:r>
              <w:rPr>
                <w:noProof/>
                <w:webHidden/>
              </w:rPr>
              <w:instrText xml:space="preserve"> PAGEREF _Toc224159454 \h </w:instrText>
            </w:r>
            <w:r>
              <w:rPr>
                <w:noProof/>
                <w:webHidden/>
              </w:rPr>
            </w:r>
            <w:r>
              <w:rPr>
                <w:noProof/>
                <w:webHidden/>
              </w:rPr>
              <w:fldChar w:fldCharType="separate"/>
            </w:r>
            <w:r>
              <w:rPr>
                <w:noProof/>
                <w:webHidden/>
              </w:rPr>
              <w:t>18</w:t>
            </w:r>
            <w:r>
              <w:rPr>
                <w:noProof/>
                <w:webHidden/>
              </w:rPr>
              <w:fldChar w:fldCharType="end"/>
            </w:r>
          </w:hyperlink>
        </w:p>
        <w:p w14:paraId="0198E33A" w14:textId="347DEB73"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5" w:history="1">
            <w:r w:rsidRPr="00FC343C">
              <w:rPr>
                <w:rStyle w:val="Hyperlink"/>
                <w:noProof/>
              </w:rPr>
              <w:t>5.4 Critical Assessment</w:t>
            </w:r>
            <w:r>
              <w:rPr>
                <w:noProof/>
                <w:webHidden/>
              </w:rPr>
              <w:tab/>
            </w:r>
            <w:r>
              <w:rPr>
                <w:noProof/>
                <w:webHidden/>
              </w:rPr>
              <w:fldChar w:fldCharType="begin"/>
            </w:r>
            <w:r>
              <w:rPr>
                <w:noProof/>
                <w:webHidden/>
              </w:rPr>
              <w:instrText xml:space="preserve"> PAGEREF _Toc224159455 \h </w:instrText>
            </w:r>
            <w:r>
              <w:rPr>
                <w:noProof/>
                <w:webHidden/>
              </w:rPr>
            </w:r>
            <w:r>
              <w:rPr>
                <w:noProof/>
                <w:webHidden/>
              </w:rPr>
              <w:fldChar w:fldCharType="separate"/>
            </w:r>
            <w:r>
              <w:rPr>
                <w:noProof/>
                <w:webHidden/>
              </w:rPr>
              <w:t>19</w:t>
            </w:r>
            <w:r>
              <w:rPr>
                <w:noProof/>
                <w:webHidden/>
              </w:rPr>
              <w:fldChar w:fldCharType="end"/>
            </w:r>
          </w:hyperlink>
        </w:p>
        <w:p w14:paraId="6151CE0F" w14:textId="6C171F64"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6" w:history="1">
            <w:r w:rsidRPr="00FC343C">
              <w:rPr>
                <w:rStyle w:val="Hyperlink"/>
                <w:noProof/>
              </w:rPr>
              <w:t>6.0 Conclusion</w:t>
            </w:r>
            <w:r>
              <w:rPr>
                <w:noProof/>
                <w:webHidden/>
              </w:rPr>
              <w:tab/>
            </w:r>
            <w:r>
              <w:rPr>
                <w:noProof/>
                <w:webHidden/>
              </w:rPr>
              <w:fldChar w:fldCharType="begin"/>
            </w:r>
            <w:r>
              <w:rPr>
                <w:noProof/>
                <w:webHidden/>
              </w:rPr>
              <w:instrText xml:space="preserve"> PAGEREF _Toc224159456 \h </w:instrText>
            </w:r>
            <w:r>
              <w:rPr>
                <w:noProof/>
                <w:webHidden/>
              </w:rPr>
            </w:r>
            <w:r>
              <w:rPr>
                <w:noProof/>
                <w:webHidden/>
              </w:rPr>
              <w:fldChar w:fldCharType="separate"/>
            </w:r>
            <w:r>
              <w:rPr>
                <w:noProof/>
                <w:webHidden/>
              </w:rPr>
              <w:t>20</w:t>
            </w:r>
            <w:r>
              <w:rPr>
                <w:noProof/>
                <w:webHidden/>
              </w:rPr>
              <w:fldChar w:fldCharType="end"/>
            </w:r>
          </w:hyperlink>
        </w:p>
        <w:p w14:paraId="1A5AF2D0" w14:textId="29F25648"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7" w:history="1">
            <w:r w:rsidRPr="00FC343C">
              <w:rPr>
                <w:rStyle w:val="Hyperlink"/>
                <w:rFonts w:cs="Times New Roman"/>
                <w:noProof/>
              </w:rPr>
              <w:t>7.0 References</w:t>
            </w:r>
            <w:r>
              <w:rPr>
                <w:noProof/>
                <w:webHidden/>
              </w:rPr>
              <w:tab/>
            </w:r>
            <w:r>
              <w:rPr>
                <w:noProof/>
                <w:webHidden/>
              </w:rPr>
              <w:fldChar w:fldCharType="begin"/>
            </w:r>
            <w:r>
              <w:rPr>
                <w:noProof/>
                <w:webHidden/>
              </w:rPr>
              <w:instrText xml:space="preserve"> PAGEREF _Toc224159457 \h </w:instrText>
            </w:r>
            <w:r>
              <w:rPr>
                <w:noProof/>
                <w:webHidden/>
              </w:rPr>
            </w:r>
            <w:r>
              <w:rPr>
                <w:noProof/>
                <w:webHidden/>
              </w:rPr>
              <w:fldChar w:fldCharType="separate"/>
            </w:r>
            <w:r>
              <w:rPr>
                <w:noProof/>
                <w:webHidden/>
              </w:rPr>
              <w:t>21</w:t>
            </w:r>
            <w:r>
              <w:rPr>
                <w:noProof/>
                <w:webHidden/>
              </w:rPr>
              <w:fldChar w:fldCharType="end"/>
            </w:r>
          </w:hyperlink>
        </w:p>
        <w:p w14:paraId="7593C805" w14:textId="2E21E0F1" w:rsidR="00D8246C" w:rsidRPr="00E93370" w:rsidRDefault="00D8246C" w:rsidP="007304D6">
          <w:pPr>
            <w:rPr>
              <w:rFonts w:cs="Times New Roman"/>
            </w:rPr>
          </w:pPr>
          <w:r w:rsidRPr="00E93370">
            <w:rPr>
              <w:rFonts w:cs="Times New Roman"/>
              <w:b/>
              <w:bCs/>
              <w:noProof/>
            </w:rPr>
            <w:fldChar w:fldCharType="end"/>
          </w:r>
        </w:p>
      </w:sdtContent>
    </w:sdt>
    <w:p w14:paraId="416D4C25" w14:textId="77777777" w:rsidR="00D8246C" w:rsidRPr="00E93370" w:rsidRDefault="00D8246C" w:rsidP="00D8246C">
      <w:pPr>
        <w:jc w:val="left"/>
        <w:rPr>
          <w:rFonts w:cs="Times New Roman"/>
        </w:rPr>
      </w:pPr>
      <w:r w:rsidRPr="00E93370">
        <w:rPr>
          <w:rFonts w:cs="Times New Roman"/>
        </w:rPr>
        <w:br w:type="page"/>
      </w:r>
    </w:p>
    <w:p w14:paraId="190F09AD" w14:textId="77777777" w:rsidR="00D8246C" w:rsidRPr="00E93370" w:rsidRDefault="00595798" w:rsidP="00D8246C">
      <w:pPr>
        <w:pStyle w:val="Heading1"/>
        <w:rPr>
          <w:rFonts w:cs="Times New Roman"/>
        </w:rPr>
      </w:pPr>
      <w:bookmarkStart w:id="0" w:name="_Toc224159442"/>
      <w:r>
        <w:rPr>
          <w:rFonts w:cs="Times New Roman"/>
        </w:rPr>
        <w:t xml:space="preserve">1.0 </w:t>
      </w:r>
      <w:r w:rsidR="00D8246C" w:rsidRPr="00E93370">
        <w:rPr>
          <w:rFonts w:cs="Times New Roman"/>
        </w:rPr>
        <w:t>Introduction</w:t>
      </w:r>
      <w:bookmarkEnd w:id="0"/>
    </w:p>
    <w:p w14:paraId="70F2EA57" w14:textId="3527D81E" w:rsidR="0034433C" w:rsidRPr="0034433C" w:rsidRDefault="0034433C" w:rsidP="0034433C">
      <w:r w:rsidRPr="0034433C">
        <w:t>Budgeting is a key instrument of financial management that allows organisations to plan, organise and manage their financial resources to ac</w:t>
      </w:r>
      <w:r w:rsidR="008A4FF2">
        <w:t xml:space="preserve">complish their strategic goals. </w:t>
      </w:r>
      <w:r w:rsidRPr="0034433C">
        <w:t>In the case of retail companies with multiple branches, including Silver Stitch Ltd, a chain of twelve high-quality clothing stores, proper budgeting is especially crucial in ensuring that the company does not run out of money and can control its operational expenses</w:t>
      </w:r>
      <w:r w:rsidR="008A4FF2">
        <w:t>.</w:t>
      </w:r>
    </w:p>
    <w:p w14:paraId="32150A29" w14:textId="06B4A909" w:rsidR="0034433C" w:rsidRPr="0034433C" w:rsidRDefault="0034433C" w:rsidP="0034433C">
      <w:r w:rsidRPr="0034433C">
        <w:t xml:space="preserve">This report has been commissioned </w:t>
      </w:r>
      <w:r w:rsidR="003435F9">
        <w:t>for</w:t>
      </w:r>
      <w:r w:rsidRPr="0034433C">
        <w:t xml:space="preserve"> the directors of Silver Stitch Ltd, who are undergoing a bank request to clear an overdraft amount of 30 000 by the close of the budget period. There are four requirements addressed in the report. Part A is a stock budget, cash budget and budgeted profit and loss account for t</w:t>
      </w:r>
      <w:r w:rsidR="00CD6BB6">
        <w:t>he six months till 31 December</w:t>
      </w:r>
      <w:r w:rsidRPr="0034433C">
        <w:t xml:space="preserve">. Part B will evaluate the financial issues as identified in Part A and suggest management recommendations. Part C </w:t>
      </w:r>
      <w:r>
        <w:t xml:space="preserve">discusses </w:t>
      </w:r>
      <w:r w:rsidRPr="0034433C">
        <w:t>the organisational environment, which budgetary control needs to succeed, and the behavioural aspects that the management needs to consider. Part D is a critical analysis of conventional budgeting methods within a fast-changing business environment.</w:t>
      </w:r>
    </w:p>
    <w:p w14:paraId="6C3398CA" w14:textId="40DA5BDC" w:rsidR="0034433C" w:rsidRPr="0034433C" w:rsidRDefault="0034433C" w:rsidP="0034433C">
      <w:r w:rsidRPr="0034433C">
        <w:t xml:space="preserve">The report is based on a blend of scholarly literature, professional accounting models and the financial information presented. </w:t>
      </w:r>
      <w:r w:rsidR="00520084">
        <w:t>B</w:t>
      </w:r>
      <w:r w:rsidRPr="0034433C">
        <w:t xml:space="preserve">udgets can fulfil </w:t>
      </w:r>
      <w:r w:rsidR="003435F9">
        <w:t>several</w:t>
      </w:r>
      <w:r w:rsidRPr="0034433C">
        <w:t xml:space="preserve"> functions at the same time, fulfilling the role of planning papers, communication sources, and performance standards, and the efficiency that they can demonstrate is critically dependent on the circumstances under which they are prepared and operated. This report attempts to discuss all these dimensions as they apply to the situation of Silver Stitch Ltd.</w:t>
      </w:r>
    </w:p>
    <w:p w14:paraId="12796BAE" w14:textId="77777777" w:rsidR="0034433C" w:rsidRPr="0034433C" w:rsidRDefault="0034433C" w:rsidP="0034433C">
      <w:r w:rsidRPr="0034433C">
        <w:t> </w:t>
      </w:r>
    </w:p>
    <w:p w14:paraId="5724B412" w14:textId="77777777" w:rsidR="0034433C" w:rsidRDefault="0034433C">
      <w:pPr>
        <w:spacing w:after="160" w:line="259" w:lineRule="auto"/>
        <w:jc w:val="left"/>
      </w:pPr>
      <w:r>
        <w:br w:type="page"/>
      </w:r>
    </w:p>
    <w:p w14:paraId="361D09C8" w14:textId="77777777" w:rsidR="0034433C" w:rsidRPr="0034433C" w:rsidRDefault="00094A79" w:rsidP="0034433C">
      <w:pPr>
        <w:pStyle w:val="Heading1"/>
      </w:pPr>
      <w:bookmarkStart w:id="1" w:name="_Toc224159443"/>
      <w:r>
        <w:t xml:space="preserve">2.0 </w:t>
      </w:r>
      <w:r w:rsidR="0034433C" w:rsidRPr="0034433C">
        <w:t xml:space="preserve">PART (a) - </w:t>
      </w:r>
      <w:r w:rsidR="00505D1D" w:rsidRPr="0034433C">
        <w:t>Numerical Workings</w:t>
      </w:r>
      <w:bookmarkEnd w:id="1"/>
    </w:p>
    <w:p w14:paraId="130CFF12" w14:textId="77777777" w:rsidR="0034433C" w:rsidRPr="0034433C" w:rsidRDefault="0034433C" w:rsidP="0034433C">
      <w:pPr>
        <w:pStyle w:val="Heading2"/>
      </w:pPr>
      <w:bookmarkStart w:id="2" w:name="_Toc224159444"/>
      <w:r w:rsidRPr="0034433C">
        <w:t>1. Stock Budget</w:t>
      </w:r>
      <w:bookmarkEnd w:id="2"/>
    </w:p>
    <w:p w14:paraId="74A21EF7" w14:textId="716972A9" w:rsidR="0034433C" w:rsidRPr="00D52F3A" w:rsidRDefault="00D52F3A" w:rsidP="00D52F3A">
      <w:pPr>
        <w:jc w:val="center"/>
        <w:rPr>
          <w:b/>
        </w:rPr>
      </w:pPr>
      <w:r w:rsidRPr="00D52F3A">
        <w:rPr>
          <w:b/>
        </w:rPr>
        <w:t xml:space="preserve">Stock Budget for the Six Months to </w:t>
      </w:r>
      <w:r w:rsidR="00C93C10" w:rsidRPr="00C93C10">
        <w:rPr>
          <w:b/>
        </w:rPr>
        <w:t>31 December</w:t>
      </w:r>
    </w:p>
    <w:tbl>
      <w:tblPr>
        <w:tblStyle w:val="TableGrid"/>
        <w:tblW w:w="0" w:type="auto"/>
        <w:tblLook w:val="04A0" w:firstRow="1" w:lastRow="0" w:firstColumn="1" w:lastColumn="0" w:noHBand="0" w:noVBand="1"/>
      </w:tblPr>
      <w:tblGrid>
        <w:gridCol w:w="3145"/>
        <w:gridCol w:w="1715"/>
        <w:gridCol w:w="898"/>
        <w:gridCol w:w="898"/>
        <w:gridCol w:w="898"/>
        <w:gridCol w:w="898"/>
        <w:gridCol w:w="898"/>
      </w:tblGrid>
      <w:tr w:rsidR="00C93C10" w:rsidRPr="00C93C10" w14:paraId="0392D7E6" w14:textId="77777777" w:rsidTr="00B52630">
        <w:trPr>
          <w:trHeight w:val="630"/>
        </w:trPr>
        <w:tc>
          <w:tcPr>
            <w:tcW w:w="3145" w:type="dxa"/>
            <w:hideMark/>
          </w:tcPr>
          <w:p w14:paraId="77AFBBB0" w14:textId="77777777" w:rsidR="00C93C10" w:rsidRPr="00C93C10" w:rsidRDefault="00C93C10" w:rsidP="00C93C10">
            <w:pPr>
              <w:jc w:val="center"/>
              <w:rPr>
                <w:b/>
                <w:bCs/>
                <w:sz w:val="22"/>
              </w:rPr>
            </w:pPr>
            <w:r w:rsidRPr="00C93C10">
              <w:rPr>
                <w:b/>
                <w:bCs/>
                <w:sz w:val="22"/>
              </w:rPr>
              <w:t>Particulars</w:t>
            </w:r>
          </w:p>
        </w:tc>
        <w:tc>
          <w:tcPr>
            <w:tcW w:w="1715" w:type="dxa"/>
            <w:hideMark/>
          </w:tcPr>
          <w:p w14:paraId="2BC057FC" w14:textId="77777777" w:rsidR="00C93C10" w:rsidRPr="00C93C10" w:rsidRDefault="00C93C10">
            <w:pPr>
              <w:jc w:val="center"/>
              <w:rPr>
                <w:b/>
                <w:bCs/>
                <w:sz w:val="22"/>
              </w:rPr>
            </w:pPr>
            <w:r w:rsidRPr="00C93C10">
              <w:rPr>
                <w:b/>
                <w:bCs/>
                <w:sz w:val="22"/>
              </w:rPr>
              <w:t>July</w:t>
            </w:r>
            <w:r w:rsidRPr="00C93C10">
              <w:rPr>
                <w:b/>
                <w:bCs/>
                <w:sz w:val="22"/>
              </w:rPr>
              <w:br/>
              <w:t>£000</w:t>
            </w:r>
          </w:p>
        </w:tc>
        <w:tc>
          <w:tcPr>
            <w:tcW w:w="898" w:type="dxa"/>
            <w:hideMark/>
          </w:tcPr>
          <w:p w14:paraId="0CFC1A91" w14:textId="77777777" w:rsidR="00C93C10" w:rsidRPr="00C93C10" w:rsidRDefault="00C93C10">
            <w:pPr>
              <w:jc w:val="center"/>
              <w:rPr>
                <w:b/>
                <w:bCs/>
                <w:sz w:val="22"/>
              </w:rPr>
            </w:pPr>
            <w:r w:rsidRPr="00C93C10">
              <w:rPr>
                <w:b/>
                <w:bCs/>
                <w:sz w:val="22"/>
              </w:rPr>
              <w:t>Aug</w:t>
            </w:r>
            <w:r w:rsidRPr="00C93C10">
              <w:rPr>
                <w:b/>
                <w:bCs/>
                <w:sz w:val="22"/>
              </w:rPr>
              <w:br/>
              <w:t>£000</w:t>
            </w:r>
          </w:p>
        </w:tc>
        <w:tc>
          <w:tcPr>
            <w:tcW w:w="898" w:type="dxa"/>
            <w:hideMark/>
          </w:tcPr>
          <w:p w14:paraId="3E93F31C" w14:textId="77777777" w:rsidR="00C93C10" w:rsidRPr="00C93C10" w:rsidRDefault="00C93C10">
            <w:pPr>
              <w:jc w:val="center"/>
              <w:rPr>
                <w:b/>
                <w:bCs/>
                <w:sz w:val="22"/>
              </w:rPr>
            </w:pPr>
            <w:r w:rsidRPr="00C93C10">
              <w:rPr>
                <w:b/>
                <w:bCs/>
                <w:sz w:val="22"/>
              </w:rPr>
              <w:t>Sept</w:t>
            </w:r>
            <w:r w:rsidRPr="00C93C10">
              <w:rPr>
                <w:b/>
                <w:bCs/>
                <w:sz w:val="22"/>
              </w:rPr>
              <w:br/>
              <w:t>£000</w:t>
            </w:r>
          </w:p>
        </w:tc>
        <w:tc>
          <w:tcPr>
            <w:tcW w:w="898" w:type="dxa"/>
            <w:hideMark/>
          </w:tcPr>
          <w:p w14:paraId="4CE2491F" w14:textId="77777777" w:rsidR="00C93C10" w:rsidRPr="00C93C10" w:rsidRDefault="00C93C10">
            <w:pPr>
              <w:jc w:val="center"/>
              <w:rPr>
                <w:b/>
                <w:bCs/>
                <w:sz w:val="22"/>
              </w:rPr>
            </w:pPr>
            <w:r w:rsidRPr="00C93C10">
              <w:rPr>
                <w:b/>
                <w:bCs/>
                <w:sz w:val="22"/>
              </w:rPr>
              <w:t>Oct</w:t>
            </w:r>
            <w:r w:rsidRPr="00C93C10">
              <w:rPr>
                <w:b/>
                <w:bCs/>
                <w:sz w:val="22"/>
              </w:rPr>
              <w:br/>
              <w:t>£000</w:t>
            </w:r>
          </w:p>
        </w:tc>
        <w:tc>
          <w:tcPr>
            <w:tcW w:w="898" w:type="dxa"/>
            <w:hideMark/>
          </w:tcPr>
          <w:p w14:paraId="201BFCD6" w14:textId="77777777" w:rsidR="00C93C10" w:rsidRPr="00C93C10" w:rsidRDefault="00C93C10">
            <w:pPr>
              <w:jc w:val="center"/>
              <w:rPr>
                <w:b/>
                <w:bCs/>
                <w:sz w:val="22"/>
              </w:rPr>
            </w:pPr>
            <w:r w:rsidRPr="00C93C10">
              <w:rPr>
                <w:b/>
                <w:bCs/>
                <w:sz w:val="22"/>
              </w:rPr>
              <w:t>Nov</w:t>
            </w:r>
            <w:r w:rsidRPr="00C93C10">
              <w:rPr>
                <w:b/>
                <w:bCs/>
                <w:sz w:val="22"/>
              </w:rPr>
              <w:br/>
              <w:t>£000</w:t>
            </w:r>
          </w:p>
        </w:tc>
        <w:tc>
          <w:tcPr>
            <w:tcW w:w="898" w:type="dxa"/>
            <w:hideMark/>
          </w:tcPr>
          <w:p w14:paraId="6CBF57A9" w14:textId="77777777" w:rsidR="00C93C10" w:rsidRPr="00C93C10" w:rsidRDefault="00C93C10">
            <w:pPr>
              <w:jc w:val="center"/>
              <w:rPr>
                <w:b/>
                <w:bCs/>
                <w:sz w:val="22"/>
              </w:rPr>
            </w:pPr>
            <w:r w:rsidRPr="00C93C10">
              <w:rPr>
                <w:b/>
                <w:bCs/>
                <w:sz w:val="22"/>
              </w:rPr>
              <w:t>Dec</w:t>
            </w:r>
            <w:r w:rsidRPr="00C93C10">
              <w:rPr>
                <w:b/>
                <w:bCs/>
                <w:sz w:val="22"/>
              </w:rPr>
              <w:br/>
              <w:t>£000</w:t>
            </w:r>
          </w:p>
        </w:tc>
      </w:tr>
      <w:tr w:rsidR="00C93C10" w:rsidRPr="00C93C10" w14:paraId="4B00EDE8" w14:textId="77777777" w:rsidTr="00B52630">
        <w:trPr>
          <w:trHeight w:val="360"/>
        </w:trPr>
        <w:tc>
          <w:tcPr>
            <w:tcW w:w="3145" w:type="dxa"/>
            <w:noWrap/>
            <w:hideMark/>
          </w:tcPr>
          <w:p w14:paraId="33713C71" w14:textId="77777777" w:rsidR="00C93C10" w:rsidRPr="00C93C10" w:rsidRDefault="00C93C10" w:rsidP="00C93C10">
            <w:pPr>
              <w:jc w:val="center"/>
              <w:rPr>
                <w:sz w:val="22"/>
              </w:rPr>
            </w:pPr>
            <w:r w:rsidRPr="00C93C10">
              <w:rPr>
                <w:sz w:val="22"/>
              </w:rPr>
              <w:t>Opening stock</w:t>
            </w:r>
          </w:p>
        </w:tc>
        <w:tc>
          <w:tcPr>
            <w:tcW w:w="1715" w:type="dxa"/>
            <w:hideMark/>
          </w:tcPr>
          <w:p w14:paraId="1A288322" w14:textId="77777777" w:rsidR="00C93C10" w:rsidRPr="00C93C10" w:rsidRDefault="00C93C10">
            <w:pPr>
              <w:jc w:val="center"/>
              <w:rPr>
                <w:sz w:val="22"/>
              </w:rPr>
            </w:pPr>
            <w:r w:rsidRPr="00C93C10">
              <w:rPr>
                <w:sz w:val="22"/>
              </w:rPr>
              <w:t>100</w:t>
            </w:r>
          </w:p>
        </w:tc>
        <w:tc>
          <w:tcPr>
            <w:tcW w:w="898" w:type="dxa"/>
            <w:hideMark/>
          </w:tcPr>
          <w:p w14:paraId="1F3B7F27" w14:textId="77777777" w:rsidR="00C93C10" w:rsidRPr="00C93C10" w:rsidRDefault="00C93C10">
            <w:pPr>
              <w:jc w:val="center"/>
              <w:rPr>
                <w:sz w:val="22"/>
              </w:rPr>
            </w:pPr>
            <w:r w:rsidRPr="00C93C10">
              <w:rPr>
                <w:sz w:val="22"/>
              </w:rPr>
              <w:t>154</w:t>
            </w:r>
          </w:p>
        </w:tc>
        <w:tc>
          <w:tcPr>
            <w:tcW w:w="898" w:type="dxa"/>
            <w:hideMark/>
          </w:tcPr>
          <w:p w14:paraId="4889BFCD" w14:textId="77777777" w:rsidR="00C93C10" w:rsidRPr="00C93C10" w:rsidRDefault="00C93C10">
            <w:pPr>
              <w:jc w:val="center"/>
              <w:rPr>
                <w:sz w:val="22"/>
              </w:rPr>
            </w:pPr>
            <w:r w:rsidRPr="00C93C10">
              <w:rPr>
                <w:sz w:val="22"/>
              </w:rPr>
              <w:t>186</w:t>
            </w:r>
          </w:p>
        </w:tc>
        <w:tc>
          <w:tcPr>
            <w:tcW w:w="898" w:type="dxa"/>
            <w:hideMark/>
          </w:tcPr>
          <w:p w14:paraId="679003FF" w14:textId="77777777" w:rsidR="00C93C10" w:rsidRPr="00C93C10" w:rsidRDefault="00C93C10">
            <w:pPr>
              <w:jc w:val="center"/>
              <w:rPr>
                <w:sz w:val="22"/>
              </w:rPr>
            </w:pPr>
            <w:r w:rsidRPr="00C93C10">
              <w:rPr>
                <w:sz w:val="22"/>
              </w:rPr>
              <w:t>230</w:t>
            </w:r>
          </w:p>
        </w:tc>
        <w:tc>
          <w:tcPr>
            <w:tcW w:w="898" w:type="dxa"/>
            <w:hideMark/>
          </w:tcPr>
          <w:p w14:paraId="1AF63664" w14:textId="77777777" w:rsidR="00C93C10" w:rsidRPr="00C93C10" w:rsidRDefault="00C93C10">
            <w:pPr>
              <w:jc w:val="center"/>
              <w:rPr>
                <w:sz w:val="22"/>
              </w:rPr>
            </w:pPr>
            <w:r w:rsidRPr="00C93C10">
              <w:rPr>
                <w:sz w:val="22"/>
              </w:rPr>
              <w:t>296</w:t>
            </w:r>
          </w:p>
        </w:tc>
        <w:tc>
          <w:tcPr>
            <w:tcW w:w="898" w:type="dxa"/>
            <w:hideMark/>
          </w:tcPr>
          <w:p w14:paraId="72914B41" w14:textId="77777777" w:rsidR="00C93C10" w:rsidRPr="00C93C10" w:rsidRDefault="00C93C10">
            <w:pPr>
              <w:jc w:val="center"/>
              <w:rPr>
                <w:sz w:val="22"/>
              </w:rPr>
            </w:pPr>
            <w:r w:rsidRPr="00C93C10">
              <w:rPr>
                <w:sz w:val="22"/>
              </w:rPr>
              <w:t>336</w:t>
            </w:r>
          </w:p>
        </w:tc>
      </w:tr>
      <w:tr w:rsidR="00C93C10" w:rsidRPr="00C93C10" w14:paraId="49D9EE5B" w14:textId="77777777" w:rsidTr="00B52630">
        <w:trPr>
          <w:trHeight w:val="360"/>
        </w:trPr>
        <w:tc>
          <w:tcPr>
            <w:tcW w:w="3145" w:type="dxa"/>
            <w:noWrap/>
            <w:hideMark/>
          </w:tcPr>
          <w:p w14:paraId="7DB3A954" w14:textId="77777777" w:rsidR="00C93C10" w:rsidRPr="00C93C10" w:rsidRDefault="00C93C10" w:rsidP="00C93C10">
            <w:pPr>
              <w:jc w:val="center"/>
              <w:rPr>
                <w:sz w:val="22"/>
              </w:rPr>
            </w:pPr>
            <w:r w:rsidRPr="00C93C10">
              <w:rPr>
                <w:sz w:val="22"/>
              </w:rPr>
              <w:t>Stock purchased</w:t>
            </w:r>
          </w:p>
        </w:tc>
        <w:tc>
          <w:tcPr>
            <w:tcW w:w="1715" w:type="dxa"/>
            <w:hideMark/>
          </w:tcPr>
          <w:p w14:paraId="707409BA" w14:textId="77777777" w:rsidR="00C93C10" w:rsidRPr="00C93C10" w:rsidRDefault="00C93C10">
            <w:pPr>
              <w:jc w:val="center"/>
              <w:rPr>
                <w:sz w:val="22"/>
              </w:rPr>
            </w:pPr>
            <w:r w:rsidRPr="00C93C10">
              <w:rPr>
                <w:sz w:val="22"/>
              </w:rPr>
              <w:t>180</w:t>
            </w:r>
          </w:p>
        </w:tc>
        <w:tc>
          <w:tcPr>
            <w:tcW w:w="898" w:type="dxa"/>
            <w:hideMark/>
          </w:tcPr>
          <w:p w14:paraId="2EA61B7C" w14:textId="77777777" w:rsidR="00C93C10" w:rsidRPr="00C93C10" w:rsidRDefault="00C93C10">
            <w:pPr>
              <w:jc w:val="center"/>
              <w:rPr>
                <w:sz w:val="22"/>
              </w:rPr>
            </w:pPr>
            <w:r w:rsidRPr="00C93C10">
              <w:rPr>
                <w:sz w:val="22"/>
              </w:rPr>
              <w:t>170</w:t>
            </w:r>
          </w:p>
        </w:tc>
        <w:tc>
          <w:tcPr>
            <w:tcW w:w="898" w:type="dxa"/>
            <w:hideMark/>
          </w:tcPr>
          <w:p w14:paraId="357921B7" w14:textId="77777777" w:rsidR="00C93C10" w:rsidRPr="00C93C10" w:rsidRDefault="00C93C10">
            <w:pPr>
              <w:jc w:val="center"/>
              <w:rPr>
                <w:sz w:val="22"/>
              </w:rPr>
            </w:pPr>
            <w:r w:rsidRPr="00C93C10">
              <w:rPr>
                <w:sz w:val="22"/>
              </w:rPr>
              <w:t>200</w:t>
            </w:r>
          </w:p>
        </w:tc>
        <w:tc>
          <w:tcPr>
            <w:tcW w:w="898" w:type="dxa"/>
            <w:hideMark/>
          </w:tcPr>
          <w:p w14:paraId="030F2FC4" w14:textId="77777777" w:rsidR="00C93C10" w:rsidRPr="00C93C10" w:rsidRDefault="00C93C10">
            <w:pPr>
              <w:jc w:val="center"/>
              <w:rPr>
                <w:sz w:val="22"/>
              </w:rPr>
            </w:pPr>
            <w:r w:rsidRPr="00C93C10">
              <w:rPr>
                <w:sz w:val="22"/>
              </w:rPr>
              <w:t>210</w:t>
            </w:r>
          </w:p>
        </w:tc>
        <w:tc>
          <w:tcPr>
            <w:tcW w:w="898" w:type="dxa"/>
            <w:hideMark/>
          </w:tcPr>
          <w:p w14:paraId="78A83436" w14:textId="77777777" w:rsidR="00C93C10" w:rsidRPr="00C93C10" w:rsidRDefault="00C93C10">
            <w:pPr>
              <w:jc w:val="center"/>
              <w:rPr>
                <w:sz w:val="22"/>
              </w:rPr>
            </w:pPr>
            <w:r w:rsidRPr="00C93C10">
              <w:rPr>
                <w:sz w:val="22"/>
              </w:rPr>
              <w:t>190</w:t>
            </w:r>
          </w:p>
        </w:tc>
        <w:tc>
          <w:tcPr>
            <w:tcW w:w="898" w:type="dxa"/>
            <w:hideMark/>
          </w:tcPr>
          <w:p w14:paraId="67E7FCCB" w14:textId="77777777" w:rsidR="00C93C10" w:rsidRPr="00C93C10" w:rsidRDefault="00C93C10">
            <w:pPr>
              <w:jc w:val="center"/>
              <w:rPr>
                <w:sz w:val="22"/>
              </w:rPr>
            </w:pPr>
            <w:r w:rsidRPr="00C93C10">
              <w:rPr>
                <w:sz w:val="22"/>
              </w:rPr>
              <w:t>220</w:t>
            </w:r>
          </w:p>
        </w:tc>
      </w:tr>
      <w:tr w:rsidR="00C93C10" w:rsidRPr="00C93C10" w14:paraId="3B5CD621" w14:textId="77777777" w:rsidTr="00B52630">
        <w:trPr>
          <w:trHeight w:val="360"/>
        </w:trPr>
        <w:tc>
          <w:tcPr>
            <w:tcW w:w="3145" w:type="dxa"/>
            <w:noWrap/>
            <w:hideMark/>
          </w:tcPr>
          <w:p w14:paraId="489A0781" w14:textId="77777777" w:rsidR="00C93C10" w:rsidRPr="00C93C10" w:rsidRDefault="00C93C10" w:rsidP="00C93C10">
            <w:pPr>
              <w:jc w:val="center"/>
              <w:rPr>
                <w:sz w:val="22"/>
              </w:rPr>
            </w:pPr>
            <w:r w:rsidRPr="00C93C10">
              <w:rPr>
                <w:sz w:val="22"/>
              </w:rPr>
              <w:t>Cost of stock sold (60% of sales)</w:t>
            </w:r>
          </w:p>
        </w:tc>
        <w:tc>
          <w:tcPr>
            <w:tcW w:w="1715" w:type="dxa"/>
            <w:hideMark/>
          </w:tcPr>
          <w:p w14:paraId="581EAFA9" w14:textId="77777777" w:rsidR="00C93C10" w:rsidRPr="00C93C10" w:rsidRDefault="00C93C10">
            <w:pPr>
              <w:jc w:val="center"/>
              <w:rPr>
                <w:sz w:val="22"/>
              </w:rPr>
            </w:pPr>
            <w:r w:rsidRPr="00C93C10">
              <w:rPr>
                <w:sz w:val="22"/>
              </w:rPr>
              <w:t>(126)</w:t>
            </w:r>
          </w:p>
        </w:tc>
        <w:tc>
          <w:tcPr>
            <w:tcW w:w="898" w:type="dxa"/>
            <w:hideMark/>
          </w:tcPr>
          <w:p w14:paraId="2C45D165" w14:textId="77777777" w:rsidR="00C93C10" w:rsidRPr="00C93C10" w:rsidRDefault="00C93C10">
            <w:pPr>
              <w:jc w:val="center"/>
              <w:rPr>
                <w:sz w:val="22"/>
              </w:rPr>
            </w:pPr>
            <w:r w:rsidRPr="00C93C10">
              <w:rPr>
                <w:sz w:val="22"/>
              </w:rPr>
              <w:t>(138)</w:t>
            </w:r>
          </w:p>
        </w:tc>
        <w:tc>
          <w:tcPr>
            <w:tcW w:w="898" w:type="dxa"/>
            <w:hideMark/>
          </w:tcPr>
          <w:p w14:paraId="0D7ED1DB" w14:textId="77777777" w:rsidR="00C93C10" w:rsidRPr="00C93C10" w:rsidRDefault="00C93C10">
            <w:pPr>
              <w:jc w:val="center"/>
              <w:rPr>
                <w:sz w:val="22"/>
              </w:rPr>
            </w:pPr>
            <w:r w:rsidRPr="00C93C10">
              <w:rPr>
                <w:sz w:val="22"/>
              </w:rPr>
              <w:t>(156)</w:t>
            </w:r>
          </w:p>
        </w:tc>
        <w:tc>
          <w:tcPr>
            <w:tcW w:w="898" w:type="dxa"/>
            <w:hideMark/>
          </w:tcPr>
          <w:p w14:paraId="554580F2" w14:textId="77777777" w:rsidR="00C93C10" w:rsidRPr="00C93C10" w:rsidRDefault="00C93C10">
            <w:pPr>
              <w:jc w:val="center"/>
              <w:rPr>
                <w:sz w:val="22"/>
              </w:rPr>
            </w:pPr>
            <w:r w:rsidRPr="00C93C10">
              <w:rPr>
                <w:sz w:val="22"/>
              </w:rPr>
              <w:t>(144)</w:t>
            </w:r>
          </w:p>
        </w:tc>
        <w:tc>
          <w:tcPr>
            <w:tcW w:w="898" w:type="dxa"/>
            <w:hideMark/>
          </w:tcPr>
          <w:p w14:paraId="66709B34" w14:textId="77777777" w:rsidR="00C93C10" w:rsidRPr="00C93C10" w:rsidRDefault="00C93C10">
            <w:pPr>
              <w:jc w:val="center"/>
              <w:rPr>
                <w:sz w:val="22"/>
              </w:rPr>
            </w:pPr>
            <w:r w:rsidRPr="00C93C10">
              <w:rPr>
                <w:sz w:val="22"/>
              </w:rPr>
              <w:t>(150)</w:t>
            </w:r>
          </w:p>
        </w:tc>
        <w:tc>
          <w:tcPr>
            <w:tcW w:w="898" w:type="dxa"/>
            <w:hideMark/>
          </w:tcPr>
          <w:p w14:paraId="08FF0B30" w14:textId="77777777" w:rsidR="00C93C10" w:rsidRPr="00C93C10" w:rsidRDefault="00C93C10">
            <w:pPr>
              <w:jc w:val="center"/>
              <w:rPr>
                <w:sz w:val="22"/>
              </w:rPr>
            </w:pPr>
            <w:r w:rsidRPr="00C93C10">
              <w:rPr>
                <w:sz w:val="22"/>
              </w:rPr>
              <w:t>(168)</w:t>
            </w:r>
          </w:p>
        </w:tc>
      </w:tr>
      <w:tr w:rsidR="00C93C10" w:rsidRPr="00C93C10" w14:paraId="7BBEA2B1" w14:textId="77777777" w:rsidTr="00B52630">
        <w:trPr>
          <w:trHeight w:val="360"/>
        </w:trPr>
        <w:tc>
          <w:tcPr>
            <w:tcW w:w="3145" w:type="dxa"/>
            <w:noWrap/>
            <w:hideMark/>
          </w:tcPr>
          <w:p w14:paraId="738F7179" w14:textId="77777777" w:rsidR="00C93C10" w:rsidRPr="00C93C10" w:rsidRDefault="00C93C10" w:rsidP="00C93C10">
            <w:pPr>
              <w:jc w:val="center"/>
              <w:rPr>
                <w:b/>
                <w:bCs/>
                <w:sz w:val="22"/>
              </w:rPr>
            </w:pPr>
            <w:r w:rsidRPr="00C93C10">
              <w:rPr>
                <w:b/>
                <w:bCs/>
                <w:sz w:val="22"/>
              </w:rPr>
              <w:t>Closing stock</w:t>
            </w:r>
          </w:p>
        </w:tc>
        <w:tc>
          <w:tcPr>
            <w:tcW w:w="1715" w:type="dxa"/>
            <w:hideMark/>
          </w:tcPr>
          <w:p w14:paraId="610125B7" w14:textId="77777777" w:rsidR="00C93C10" w:rsidRPr="00C93C10" w:rsidRDefault="00C93C10">
            <w:pPr>
              <w:jc w:val="center"/>
              <w:rPr>
                <w:b/>
                <w:bCs/>
                <w:sz w:val="22"/>
              </w:rPr>
            </w:pPr>
            <w:r w:rsidRPr="00C93C10">
              <w:rPr>
                <w:b/>
                <w:bCs/>
                <w:sz w:val="22"/>
              </w:rPr>
              <w:t>154</w:t>
            </w:r>
          </w:p>
        </w:tc>
        <w:tc>
          <w:tcPr>
            <w:tcW w:w="898" w:type="dxa"/>
            <w:hideMark/>
          </w:tcPr>
          <w:p w14:paraId="0410D9F1" w14:textId="77777777" w:rsidR="00C93C10" w:rsidRPr="00C93C10" w:rsidRDefault="00C93C10">
            <w:pPr>
              <w:jc w:val="center"/>
              <w:rPr>
                <w:b/>
                <w:bCs/>
                <w:sz w:val="22"/>
              </w:rPr>
            </w:pPr>
            <w:r w:rsidRPr="00C93C10">
              <w:rPr>
                <w:b/>
                <w:bCs/>
                <w:sz w:val="22"/>
              </w:rPr>
              <w:t>186</w:t>
            </w:r>
          </w:p>
        </w:tc>
        <w:tc>
          <w:tcPr>
            <w:tcW w:w="898" w:type="dxa"/>
            <w:hideMark/>
          </w:tcPr>
          <w:p w14:paraId="15859AB7" w14:textId="77777777" w:rsidR="00C93C10" w:rsidRPr="00C93C10" w:rsidRDefault="00C93C10">
            <w:pPr>
              <w:jc w:val="center"/>
              <w:rPr>
                <w:b/>
                <w:bCs/>
                <w:sz w:val="22"/>
              </w:rPr>
            </w:pPr>
            <w:r w:rsidRPr="00C93C10">
              <w:rPr>
                <w:b/>
                <w:bCs/>
                <w:sz w:val="22"/>
              </w:rPr>
              <w:t>230</w:t>
            </w:r>
          </w:p>
        </w:tc>
        <w:tc>
          <w:tcPr>
            <w:tcW w:w="898" w:type="dxa"/>
            <w:hideMark/>
          </w:tcPr>
          <w:p w14:paraId="418D1FBE" w14:textId="77777777" w:rsidR="00C93C10" w:rsidRPr="00C93C10" w:rsidRDefault="00C93C10">
            <w:pPr>
              <w:jc w:val="center"/>
              <w:rPr>
                <w:b/>
                <w:bCs/>
                <w:sz w:val="22"/>
              </w:rPr>
            </w:pPr>
            <w:r w:rsidRPr="00C93C10">
              <w:rPr>
                <w:b/>
                <w:bCs/>
                <w:sz w:val="22"/>
              </w:rPr>
              <w:t>296</w:t>
            </w:r>
          </w:p>
        </w:tc>
        <w:tc>
          <w:tcPr>
            <w:tcW w:w="898" w:type="dxa"/>
            <w:hideMark/>
          </w:tcPr>
          <w:p w14:paraId="5E079DE1" w14:textId="77777777" w:rsidR="00C93C10" w:rsidRPr="00C93C10" w:rsidRDefault="00C93C10">
            <w:pPr>
              <w:jc w:val="center"/>
              <w:rPr>
                <w:b/>
                <w:bCs/>
                <w:sz w:val="22"/>
              </w:rPr>
            </w:pPr>
            <w:r w:rsidRPr="00C93C10">
              <w:rPr>
                <w:b/>
                <w:bCs/>
                <w:sz w:val="22"/>
              </w:rPr>
              <w:t>336</w:t>
            </w:r>
          </w:p>
        </w:tc>
        <w:tc>
          <w:tcPr>
            <w:tcW w:w="898" w:type="dxa"/>
            <w:hideMark/>
          </w:tcPr>
          <w:p w14:paraId="6540A31E" w14:textId="77777777" w:rsidR="00C93C10" w:rsidRPr="00C93C10" w:rsidRDefault="00C93C10">
            <w:pPr>
              <w:jc w:val="center"/>
              <w:rPr>
                <w:b/>
                <w:bCs/>
                <w:sz w:val="22"/>
              </w:rPr>
            </w:pPr>
            <w:r w:rsidRPr="00C93C10">
              <w:rPr>
                <w:b/>
                <w:bCs/>
                <w:sz w:val="22"/>
              </w:rPr>
              <w:t>388</w:t>
            </w:r>
          </w:p>
        </w:tc>
      </w:tr>
    </w:tbl>
    <w:p w14:paraId="26FBFC6F" w14:textId="7B62CCA8" w:rsidR="0034433C" w:rsidRPr="0034433C" w:rsidRDefault="00FB57E3" w:rsidP="00ED2764">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w:t>
      </w:r>
      <w:r w:rsidRPr="00FB57E3">
        <w:t xml:space="preserve">Stock Budget for the Six Months to </w:t>
      </w:r>
      <w:r w:rsidR="00ED2764" w:rsidRPr="00ED2764">
        <w:t>31 December</w:t>
      </w:r>
      <w:r>
        <w:t>, Source: (</w:t>
      </w:r>
      <w:r w:rsidR="00A03F18">
        <w:t>Riaz, 2026</w:t>
      </w:r>
      <w:r>
        <w:t>).</w:t>
      </w:r>
    </w:p>
    <w:p w14:paraId="4D57F1A1" w14:textId="77777777" w:rsidR="0034433C" w:rsidRDefault="0034433C">
      <w:pPr>
        <w:spacing w:after="160" w:line="259" w:lineRule="auto"/>
        <w:jc w:val="left"/>
        <w:rPr>
          <w:rFonts w:eastAsiaTheme="majorEastAsia" w:cstheme="majorBidi"/>
          <w:b/>
          <w:sz w:val="28"/>
          <w:szCs w:val="26"/>
        </w:rPr>
      </w:pPr>
      <w:r>
        <w:br w:type="page"/>
      </w:r>
    </w:p>
    <w:p w14:paraId="41DD9B1C" w14:textId="77777777" w:rsidR="00DC33F3" w:rsidRDefault="00DC33F3" w:rsidP="00DC33F3"/>
    <w:p w14:paraId="6D94510B" w14:textId="77777777" w:rsidR="00DC33F3" w:rsidRPr="00DC33F3" w:rsidRDefault="00DC33F3" w:rsidP="00DC33F3">
      <w:pPr>
        <w:pStyle w:val="Heading2"/>
      </w:pPr>
      <w:bookmarkStart w:id="3" w:name="_Toc224159445"/>
      <w:r>
        <w:t xml:space="preserve">2. </w:t>
      </w:r>
      <w:r w:rsidRPr="00DC33F3">
        <w:t>Cash Budget</w:t>
      </w:r>
      <w:bookmarkEnd w:id="3"/>
    </w:p>
    <w:p w14:paraId="6DF604F6" w14:textId="65164526" w:rsidR="00094A79" w:rsidRPr="00DC33F3" w:rsidRDefault="00DC33F3" w:rsidP="00DC33F3">
      <w:pPr>
        <w:jc w:val="center"/>
        <w:rPr>
          <w:b/>
        </w:rPr>
      </w:pPr>
      <w:r w:rsidRPr="00DC33F3">
        <w:rPr>
          <w:b/>
        </w:rPr>
        <w:t xml:space="preserve">Cash Budget for the Six Months to </w:t>
      </w:r>
      <w:r w:rsidR="00C93C10" w:rsidRPr="00C93C10">
        <w:rPr>
          <w:b/>
        </w:rPr>
        <w:t>31 December</w:t>
      </w:r>
    </w:p>
    <w:tbl>
      <w:tblPr>
        <w:tblStyle w:val="TableGrid"/>
        <w:tblW w:w="0" w:type="auto"/>
        <w:tblLook w:val="04A0" w:firstRow="1" w:lastRow="0" w:firstColumn="1" w:lastColumn="0" w:noHBand="0" w:noVBand="1"/>
      </w:tblPr>
      <w:tblGrid>
        <w:gridCol w:w="2864"/>
        <w:gridCol w:w="1081"/>
        <w:gridCol w:w="1081"/>
        <w:gridCol w:w="1081"/>
        <w:gridCol w:w="1081"/>
        <w:gridCol w:w="1081"/>
        <w:gridCol w:w="1081"/>
      </w:tblGrid>
      <w:tr w:rsidR="00C93C10" w:rsidRPr="00C93C10" w14:paraId="22B00B8A" w14:textId="77777777" w:rsidTr="00BC6348">
        <w:trPr>
          <w:trHeight w:val="630"/>
        </w:trPr>
        <w:tc>
          <w:tcPr>
            <w:tcW w:w="3099" w:type="dxa"/>
            <w:hideMark/>
          </w:tcPr>
          <w:p w14:paraId="2719BB60" w14:textId="77777777" w:rsidR="00C93C10" w:rsidRPr="00C93C10" w:rsidRDefault="00C93C10" w:rsidP="00C93C10">
            <w:pPr>
              <w:rPr>
                <w:b/>
                <w:bCs/>
                <w:sz w:val="22"/>
              </w:rPr>
            </w:pPr>
            <w:r w:rsidRPr="00C93C10">
              <w:rPr>
                <w:b/>
                <w:bCs/>
                <w:sz w:val="22"/>
              </w:rPr>
              <w:t>Particulars</w:t>
            </w:r>
          </w:p>
        </w:tc>
        <w:tc>
          <w:tcPr>
            <w:tcW w:w="1041" w:type="dxa"/>
            <w:hideMark/>
          </w:tcPr>
          <w:p w14:paraId="213613AA" w14:textId="77777777" w:rsidR="00C93C10" w:rsidRPr="00C93C10" w:rsidRDefault="00C93C10" w:rsidP="00C93C10">
            <w:pPr>
              <w:rPr>
                <w:b/>
                <w:bCs/>
                <w:sz w:val="22"/>
              </w:rPr>
            </w:pPr>
            <w:r w:rsidRPr="00C93C10">
              <w:rPr>
                <w:b/>
                <w:bCs/>
                <w:sz w:val="22"/>
              </w:rPr>
              <w:t>July</w:t>
            </w:r>
            <w:r w:rsidRPr="00C93C10">
              <w:rPr>
                <w:b/>
                <w:bCs/>
                <w:sz w:val="22"/>
              </w:rPr>
              <w:br/>
              <w:t>£000</w:t>
            </w:r>
          </w:p>
        </w:tc>
        <w:tc>
          <w:tcPr>
            <w:tcW w:w="1042" w:type="dxa"/>
            <w:hideMark/>
          </w:tcPr>
          <w:p w14:paraId="329D26AB" w14:textId="77777777" w:rsidR="00C93C10" w:rsidRPr="00C93C10" w:rsidRDefault="00C93C10" w:rsidP="00C93C10">
            <w:pPr>
              <w:rPr>
                <w:b/>
                <w:bCs/>
                <w:sz w:val="22"/>
              </w:rPr>
            </w:pPr>
            <w:r w:rsidRPr="00C93C10">
              <w:rPr>
                <w:b/>
                <w:bCs/>
                <w:sz w:val="22"/>
              </w:rPr>
              <w:t>Aug</w:t>
            </w:r>
            <w:r w:rsidRPr="00C93C10">
              <w:rPr>
                <w:b/>
                <w:bCs/>
                <w:sz w:val="22"/>
              </w:rPr>
              <w:br/>
              <w:t>£000</w:t>
            </w:r>
          </w:p>
        </w:tc>
        <w:tc>
          <w:tcPr>
            <w:tcW w:w="1042" w:type="dxa"/>
            <w:hideMark/>
          </w:tcPr>
          <w:p w14:paraId="51E133A7" w14:textId="77777777" w:rsidR="00C93C10" w:rsidRPr="00C93C10" w:rsidRDefault="00C93C10" w:rsidP="00C93C10">
            <w:pPr>
              <w:rPr>
                <w:b/>
                <w:bCs/>
                <w:sz w:val="22"/>
              </w:rPr>
            </w:pPr>
            <w:r w:rsidRPr="00C93C10">
              <w:rPr>
                <w:b/>
                <w:bCs/>
                <w:sz w:val="22"/>
              </w:rPr>
              <w:t>Sept</w:t>
            </w:r>
            <w:r w:rsidRPr="00C93C10">
              <w:rPr>
                <w:b/>
                <w:bCs/>
                <w:sz w:val="22"/>
              </w:rPr>
              <w:br/>
              <w:t>£000</w:t>
            </w:r>
          </w:p>
        </w:tc>
        <w:tc>
          <w:tcPr>
            <w:tcW w:w="1042" w:type="dxa"/>
            <w:hideMark/>
          </w:tcPr>
          <w:p w14:paraId="47877D16" w14:textId="77777777" w:rsidR="00C93C10" w:rsidRPr="00C93C10" w:rsidRDefault="00C93C10" w:rsidP="00C93C10">
            <w:pPr>
              <w:rPr>
                <w:b/>
                <w:bCs/>
                <w:sz w:val="22"/>
              </w:rPr>
            </w:pPr>
            <w:r w:rsidRPr="00C93C10">
              <w:rPr>
                <w:b/>
                <w:bCs/>
                <w:sz w:val="22"/>
              </w:rPr>
              <w:t>Oct</w:t>
            </w:r>
            <w:r w:rsidRPr="00C93C10">
              <w:rPr>
                <w:b/>
                <w:bCs/>
                <w:sz w:val="22"/>
              </w:rPr>
              <w:br/>
              <w:t>£000</w:t>
            </w:r>
          </w:p>
        </w:tc>
        <w:tc>
          <w:tcPr>
            <w:tcW w:w="1042" w:type="dxa"/>
            <w:hideMark/>
          </w:tcPr>
          <w:p w14:paraId="33D692A7" w14:textId="77777777" w:rsidR="00C93C10" w:rsidRPr="00C93C10" w:rsidRDefault="00C93C10" w:rsidP="00C93C10">
            <w:pPr>
              <w:rPr>
                <w:b/>
                <w:bCs/>
                <w:sz w:val="22"/>
              </w:rPr>
            </w:pPr>
            <w:r w:rsidRPr="00C93C10">
              <w:rPr>
                <w:b/>
                <w:bCs/>
                <w:sz w:val="22"/>
              </w:rPr>
              <w:t>Nov</w:t>
            </w:r>
            <w:r w:rsidRPr="00C93C10">
              <w:rPr>
                <w:b/>
                <w:bCs/>
                <w:sz w:val="22"/>
              </w:rPr>
              <w:br/>
              <w:t>£000</w:t>
            </w:r>
          </w:p>
        </w:tc>
        <w:tc>
          <w:tcPr>
            <w:tcW w:w="1042" w:type="dxa"/>
            <w:hideMark/>
          </w:tcPr>
          <w:p w14:paraId="49C4EC74" w14:textId="77777777" w:rsidR="00C93C10" w:rsidRPr="00C93C10" w:rsidRDefault="00C93C10" w:rsidP="00C93C10">
            <w:pPr>
              <w:rPr>
                <w:b/>
                <w:bCs/>
                <w:sz w:val="22"/>
              </w:rPr>
            </w:pPr>
            <w:r w:rsidRPr="00C93C10">
              <w:rPr>
                <w:b/>
                <w:bCs/>
                <w:sz w:val="22"/>
              </w:rPr>
              <w:t>Dec</w:t>
            </w:r>
            <w:r w:rsidRPr="00C93C10">
              <w:rPr>
                <w:b/>
                <w:bCs/>
                <w:sz w:val="22"/>
              </w:rPr>
              <w:br/>
              <w:t>£000</w:t>
            </w:r>
          </w:p>
        </w:tc>
      </w:tr>
      <w:tr w:rsidR="00C93C10" w:rsidRPr="00C93C10" w14:paraId="5A91E5C2" w14:textId="77777777" w:rsidTr="00BC6348">
        <w:trPr>
          <w:trHeight w:val="315"/>
        </w:trPr>
        <w:tc>
          <w:tcPr>
            <w:tcW w:w="3099" w:type="dxa"/>
            <w:noWrap/>
            <w:hideMark/>
          </w:tcPr>
          <w:p w14:paraId="56B7681A" w14:textId="77777777" w:rsidR="00C93C10" w:rsidRPr="00C93C10" w:rsidRDefault="00C93C10" w:rsidP="00C93C10">
            <w:pPr>
              <w:rPr>
                <w:b/>
                <w:bCs/>
                <w:sz w:val="22"/>
              </w:rPr>
            </w:pPr>
            <w:r w:rsidRPr="00C93C10">
              <w:rPr>
                <w:b/>
                <w:bCs/>
                <w:sz w:val="22"/>
              </w:rPr>
              <w:t>Cash receipts</w:t>
            </w:r>
          </w:p>
        </w:tc>
        <w:tc>
          <w:tcPr>
            <w:tcW w:w="1041" w:type="dxa"/>
            <w:noWrap/>
            <w:hideMark/>
          </w:tcPr>
          <w:p w14:paraId="55218569" w14:textId="77777777" w:rsidR="00C93C10" w:rsidRPr="00C93C10" w:rsidRDefault="00C93C10">
            <w:pPr>
              <w:rPr>
                <w:sz w:val="22"/>
              </w:rPr>
            </w:pPr>
            <w:r w:rsidRPr="00C93C10">
              <w:rPr>
                <w:sz w:val="22"/>
              </w:rPr>
              <w:t> </w:t>
            </w:r>
          </w:p>
        </w:tc>
        <w:tc>
          <w:tcPr>
            <w:tcW w:w="1042" w:type="dxa"/>
            <w:noWrap/>
            <w:hideMark/>
          </w:tcPr>
          <w:p w14:paraId="0207F06E" w14:textId="77777777" w:rsidR="00C93C10" w:rsidRPr="00C93C10" w:rsidRDefault="00C93C10">
            <w:pPr>
              <w:rPr>
                <w:sz w:val="22"/>
              </w:rPr>
            </w:pPr>
            <w:r w:rsidRPr="00C93C10">
              <w:rPr>
                <w:sz w:val="22"/>
              </w:rPr>
              <w:t> </w:t>
            </w:r>
          </w:p>
        </w:tc>
        <w:tc>
          <w:tcPr>
            <w:tcW w:w="1042" w:type="dxa"/>
            <w:noWrap/>
            <w:hideMark/>
          </w:tcPr>
          <w:p w14:paraId="059F52ED" w14:textId="77777777" w:rsidR="00C93C10" w:rsidRPr="00C93C10" w:rsidRDefault="00C93C10">
            <w:pPr>
              <w:rPr>
                <w:sz w:val="22"/>
              </w:rPr>
            </w:pPr>
            <w:r w:rsidRPr="00C93C10">
              <w:rPr>
                <w:sz w:val="22"/>
              </w:rPr>
              <w:t> </w:t>
            </w:r>
          </w:p>
        </w:tc>
        <w:tc>
          <w:tcPr>
            <w:tcW w:w="1042" w:type="dxa"/>
            <w:noWrap/>
            <w:hideMark/>
          </w:tcPr>
          <w:p w14:paraId="4C3D12F5" w14:textId="77777777" w:rsidR="00C93C10" w:rsidRPr="00C93C10" w:rsidRDefault="00C93C10">
            <w:pPr>
              <w:rPr>
                <w:sz w:val="22"/>
              </w:rPr>
            </w:pPr>
            <w:r w:rsidRPr="00C93C10">
              <w:rPr>
                <w:sz w:val="22"/>
              </w:rPr>
              <w:t> </w:t>
            </w:r>
          </w:p>
        </w:tc>
        <w:tc>
          <w:tcPr>
            <w:tcW w:w="1042" w:type="dxa"/>
            <w:noWrap/>
            <w:hideMark/>
          </w:tcPr>
          <w:p w14:paraId="5E0D2F10" w14:textId="77777777" w:rsidR="00C93C10" w:rsidRPr="00C93C10" w:rsidRDefault="00C93C10">
            <w:pPr>
              <w:rPr>
                <w:sz w:val="22"/>
              </w:rPr>
            </w:pPr>
            <w:r w:rsidRPr="00C93C10">
              <w:rPr>
                <w:sz w:val="22"/>
              </w:rPr>
              <w:t> </w:t>
            </w:r>
          </w:p>
        </w:tc>
        <w:tc>
          <w:tcPr>
            <w:tcW w:w="1042" w:type="dxa"/>
            <w:noWrap/>
            <w:hideMark/>
          </w:tcPr>
          <w:p w14:paraId="3AD36336" w14:textId="77777777" w:rsidR="00C93C10" w:rsidRPr="00C93C10" w:rsidRDefault="00C93C10">
            <w:pPr>
              <w:rPr>
                <w:sz w:val="22"/>
              </w:rPr>
            </w:pPr>
            <w:r w:rsidRPr="00C93C10">
              <w:rPr>
                <w:sz w:val="22"/>
              </w:rPr>
              <w:t> </w:t>
            </w:r>
          </w:p>
        </w:tc>
      </w:tr>
      <w:tr w:rsidR="00C93C10" w:rsidRPr="00C93C10" w14:paraId="0E8D5D4A" w14:textId="77777777" w:rsidTr="00BC6348">
        <w:trPr>
          <w:trHeight w:val="360"/>
        </w:trPr>
        <w:tc>
          <w:tcPr>
            <w:tcW w:w="3099" w:type="dxa"/>
            <w:noWrap/>
            <w:hideMark/>
          </w:tcPr>
          <w:p w14:paraId="2A2826D5" w14:textId="77777777" w:rsidR="00C93C10" w:rsidRPr="00C93C10" w:rsidRDefault="00C93C10" w:rsidP="00C93C10">
            <w:pPr>
              <w:rPr>
                <w:sz w:val="22"/>
              </w:rPr>
            </w:pPr>
            <w:r w:rsidRPr="00C93C10">
              <w:rPr>
                <w:sz w:val="22"/>
              </w:rPr>
              <w:t>Sales</w:t>
            </w:r>
          </w:p>
        </w:tc>
        <w:tc>
          <w:tcPr>
            <w:tcW w:w="1041" w:type="dxa"/>
            <w:hideMark/>
          </w:tcPr>
          <w:p w14:paraId="61668DAC" w14:textId="77777777" w:rsidR="00C93C10" w:rsidRPr="00C93C10" w:rsidRDefault="00C93C10" w:rsidP="00C93C10">
            <w:pPr>
              <w:rPr>
                <w:sz w:val="22"/>
              </w:rPr>
            </w:pPr>
            <w:r w:rsidRPr="00C93C10">
              <w:rPr>
                <w:sz w:val="22"/>
              </w:rPr>
              <w:t>210.000</w:t>
            </w:r>
          </w:p>
        </w:tc>
        <w:tc>
          <w:tcPr>
            <w:tcW w:w="1042" w:type="dxa"/>
            <w:hideMark/>
          </w:tcPr>
          <w:p w14:paraId="3655E696" w14:textId="77777777" w:rsidR="00C93C10" w:rsidRPr="00C93C10" w:rsidRDefault="00C93C10" w:rsidP="00C93C10">
            <w:pPr>
              <w:rPr>
                <w:sz w:val="22"/>
              </w:rPr>
            </w:pPr>
            <w:r w:rsidRPr="00C93C10">
              <w:rPr>
                <w:sz w:val="22"/>
              </w:rPr>
              <w:t>230.000</w:t>
            </w:r>
          </w:p>
        </w:tc>
        <w:tc>
          <w:tcPr>
            <w:tcW w:w="1042" w:type="dxa"/>
            <w:hideMark/>
          </w:tcPr>
          <w:p w14:paraId="187BDFF0" w14:textId="77777777" w:rsidR="00C93C10" w:rsidRPr="00C93C10" w:rsidRDefault="00C93C10" w:rsidP="00C93C10">
            <w:pPr>
              <w:rPr>
                <w:sz w:val="22"/>
              </w:rPr>
            </w:pPr>
            <w:r w:rsidRPr="00C93C10">
              <w:rPr>
                <w:sz w:val="22"/>
              </w:rPr>
              <w:t>260.000</w:t>
            </w:r>
          </w:p>
        </w:tc>
        <w:tc>
          <w:tcPr>
            <w:tcW w:w="1042" w:type="dxa"/>
            <w:hideMark/>
          </w:tcPr>
          <w:p w14:paraId="634AACB0" w14:textId="77777777" w:rsidR="00C93C10" w:rsidRPr="00C93C10" w:rsidRDefault="00C93C10" w:rsidP="00C93C10">
            <w:pPr>
              <w:rPr>
                <w:sz w:val="22"/>
              </w:rPr>
            </w:pPr>
            <w:r w:rsidRPr="00C93C10">
              <w:rPr>
                <w:sz w:val="22"/>
              </w:rPr>
              <w:t>240.000</w:t>
            </w:r>
          </w:p>
        </w:tc>
        <w:tc>
          <w:tcPr>
            <w:tcW w:w="1042" w:type="dxa"/>
            <w:hideMark/>
          </w:tcPr>
          <w:p w14:paraId="42CFC61C" w14:textId="77777777" w:rsidR="00C93C10" w:rsidRPr="00C93C10" w:rsidRDefault="00C93C10" w:rsidP="00C93C10">
            <w:pPr>
              <w:rPr>
                <w:sz w:val="22"/>
              </w:rPr>
            </w:pPr>
            <w:r w:rsidRPr="00C93C10">
              <w:rPr>
                <w:sz w:val="22"/>
              </w:rPr>
              <w:t>250.000</w:t>
            </w:r>
          </w:p>
        </w:tc>
        <w:tc>
          <w:tcPr>
            <w:tcW w:w="1042" w:type="dxa"/>
            <w:hideMark/>
          </w:tcPr>
          <w:p w14:paraId="37F008C6" w14:textId="77777777" w:rsidR="00C93C10" w:rsidRPr="00C93C10" w:rsidRDefault="00C93C10" w:rsidP="00C93C10">
            <w:pPr>
              <w:rPr>
                <w:sz w:val="22"/>
              </w:rPr>
            </w:pPr>
            <w:r w:rsidRPr="00C93C10">
              <w:rPr>
                <w:sz w:val="22"/>
              </w:rPr>
              <w:t>280.000</w:t>
            </w:r>
          </w:p>
        </w:tc>
      </w:tr>
      <w:tr w:rsidR="00C93C10" w:rsidRPr="00C93C10" w14:paraId="018EDA01" w14:textId="77777777" w:rsidTr="00BC6348">
        <w:trPr>
          <w:trHeight w:val="360"/>
        </w:trPr>
        <w:tc>
          <w:tcPr>
            <w:tcW w:w="3099" w:type="dxa"/>
            <w:noWrap/>
            <w:hideMark/>
          </w:tcPr>
          <w:p w14:paraId="60408CB0" w14:textId="77777777" w:rsidR="00C93C10" w:rsidRPr="00C93C10" w:rsidRDefault="00C93C10" w:rsidP="00C93C10">
            <w:pPr>
              <w:rPr>
                <w:b/>
                <w:bCs/>
                <w:sz w:val="22"/>
              </w:rPr>
            </w:pPr>
            <w:r w:rsidRPr="00C93C10">
              <w:rPr>
                <w:b/>
                <w:bCs/>
                <w:sz w:val="22"/>
              </w:rPr>
              <w:t>Total receipts</w:t>
            </w:r>
          </w:p>
        </w:tc>
        <w:tc>
          <w:tcPr>
            <w:tcW w:w="1041" w:type="dxa"/>
            <w:hideMark/>
          </w:tcPr>
          <w:p w14:paraId="27622D9B" w14:textId="77777777" w:rsidR="00C93C10" w:rsidRPr="00C93C10" w:rsidRDefault="00C93C10" w:rsidP="00C93C10">
            <w:pPr>
              <w:rPr>
                <w:b/>
                <w:bCs/>
                <w:sz w:val="22"/>
              </w:rPr>
            </w:pPr>
            <w:r w:rsidRPr="00C93C10">
              <w:rPr>
                <w:b/>
                <w:bCs/>
                <w:sz w:val="22"/>
              </w:rPr>
              <w:t>210.000</w:t>
            </w:r>
          </w:p>
        </w:tc>
        <w:tc>
          <w:tcPr>
            <w:tcW w:w="1042" w:type="dxa"/>
            <w:hideMark/>
          </w:tcPr>
          <w:p w14:paraId="7C7C5BD6" w14:textId="77777777" w:rsidR="00C93C10" w:rsidRPr="00C93C10" w:rsidRDefault="00C93C10" w:rsidP="00C93C10">
            <w:pPr>
              <w:rPr>
                <w:b/>
                <w:bCs/>
                <w:sz w:val="22"/>
              </w:rPr>
            </w:pPr>
            <w:r w:rsidRPr="00C93C10">
              <w:rPr>
                <w:b/>
                <w:bCs/>
                <w:sz w:val="22"/>
              </w:rPr>
              <w:t>230.000</w:t>
            </w:r>
          </w:p>
        </w:tc>
        <w:tc>
          <w:tcPr>
            <w:tcW w:w="1042" w:type="dxa"/>
            <w:hideMark/>
          </w:tcPr>
          <w:p w14:paraId="49DC1A5A" w14:textId="77777777" w:rsidR="00C93C10" w:rsidRPr="00C93C10" w:rsidRDefault="00C93C10" w:rsidP="00C93C10">
            <w:pPr>
              <w:rPr>
                <w:b/>
                <w:bCs/>
                <w:sz w:val="22"/>
              </w:rPr>
            </w:pPr>
            <w:r w:rsidRPr="00C93C10">
              <w:rPr>
                <w:b/>
                <w:bCs/>
                <w:sz w:val="22"/>
              </w:rPr>
              <w:t>260.000</w:t>
            </w:r>
          </w:p>
        </w:tc>
        <w:tc>
          <w:tcPr>
            <w:tcW w:w="1042" w:type="dxa"/>
            <w:hideMark/>
          </w:tcPr>
          <w:p w14:paraId="1BEBC10B" w14:textId="77777777" w:rsidR="00C93C10" w:rsidRPr="00C93C10" w:rsidRDefault="00C93C10" w:rsidP="00C93C10">
            <w:pPr>
              <w:rPr>
                <w:b/>
                <w:bCs/>
                <w:sz w:val="22"/>
              </w:rPr>
            </w:pPr>
            <w:r w:rsidRPr="00C93C10">
              <w:rPr>
                <w:b/>
                <w:bCs/>
                <w:sz w:val="22"/>
              </w:rPr>
              <w:t>240.000</w:t>
            </w:r>
          </w:p>
        </w:tc>
        <w:tc>
          <w:tcPr>
            <w:tcW w:w="1042" w:type="dxa"/>
            <w:hideMark/>
          </w:tcPr>
          <w:p w14:paraId="3E598E60" w14:textId="77777777" w:rsidR="00C93C10" w:rsidRPr="00C93C10" w:rsidRDefault="00C93C10" w:rsidP="00C93C10">
            <w:pPr>
              <w:rPr>
                <w:b/>
                <w:bCs/>
                <w:sz w:val="22"/>
              </w:rPr>
            </w:pPr>
            <w:r w:rsidRPr="00C93C10">
              <w:rPr>
                <w:b/>
                <w:bCs/>
                <w:sz w:val="22"/>
              </w:rPr>
              <w:t>250.000</w:t>
            </w:r>
          </w:p>
        </w:tc>
        <w:tc>
          <w:tcPr>
            <w:tcW w:w="1042" w:type="dxa"/>
            <w:hideMark/>
          </w:tcPr>
          <w:p w14:paraId="0CB7C861" w14:textId="77777777" w:rsidR="00C93C10" w:rsidRPr="00C93C10" w:rsidRDefault="00C93C10" w:rsidP="00C93C10">
            <w:pPr>
              <w:rPr>
                <w:b/>
                <w:bCs/>
                <w:sz w:val="22"/>
              </w:rPr>
            </w:pPr>
            <w:r w:rsidRPr="00C93C10">
              <w:rPr>
                <w:b/>
                <w:bCs/>
                <w:sz w:val="22"/>
              </w:rPr>
              <w:t>280.000</w:t>
            </w:r>
          </w:p>
        </w:tc>
      </w:tr>
      <w:tr w:rsidR="00C93C10" w:rsidRPr="00C93C10" w14:paraId="4FBBA31C" w14:textId="77777777" w:rsidTr="00BC6348">
        <w:trPr>
          <w:trHeight w:val="315"/>
        </w:trPr>
        <w:tc>
          <w:tcPr>
            <w:tcW w:w="3099" w:type="dxa"/>
            <w:noWrap/>
            <w:hideMark/>
          </w:tcPr>
          <w:p w14:paraId="604E04A5" w14:textId="77777777" w:rsidR="00C93C10" w:rsidRPr="00C93C10" w:rsidRDefault="00C93C10" w:rsidP="00C93C10">
            <w:pPr>
              <w:rPr>
                <w:b/>
                <w:bCs/>
                <w:sz w:val="22"/>
              </w:rPr>
            </w:pPr>
            <w:r w:rsidRPr="00C93C10">
              <w:rPr>
                <w:b/>
                <w:bCs/>
                <w:sz w:val="22"/>
              </w:rPr>
              <w:t>Cash payments</w:t>
            </w:r>
          </w:p>
        </w:tc>
        <w:tc>
          <w:tcPr>
            <w:tcW w:w="1041" w:type="dxa"/>
            <w:noWrap/>
            <w:hideMark/>
          </w:tcPr>
          <w:p w14:paraId="2C151532" w14:textId="77777777" w:rsidR="00C93C10" w:rsidRPr="00C93C10" w:rsidRDefault="00C93C10">
            <w:pPr>
              <w:rPr>
                <w:sz w:val="22"/>
              </w:rPr>
            </w:pPr>
            <w:r w:rsidRPr="00C93C10">
              <w:rPr>
                <w:sz w:val="22"/>
              </w:rPr>
              <w:t> </w:t>
            </w:r>
          </w:p>
        </w:tc>
        <w:tc>
          <w:tcPr>
            <w:tcW w:w="1042" w:type="dxa"/>
            <w:noWrap/>
            <w:hideMark/>
          </w:tcPr>
          <w:p w14:paraId="3FDAE9A5" w14:textId="77777777" w:rsidR="00C93C10" w:rsidRPr="00C93C10" w:rsidRDefault="00C93C10">
            <w:pPr>
              <w:rPr>
                <w:sz w:val="22"/>
              </w:rPr>
            </w:pPr>
            <w:r w:rsidRPr="00C93C10">
              <w:rPr>
                <w:sz w:val="22"/>
              </w:rPr>
              <w:t> </w:t>
            </w:r>
          </w:p>
        </w:tc>
        <w:tc>
          <w:tcPr>
            <w:tcW w:w="1042" w:type="dxa"/>
            <w:noWrap/>
            <w:hideMark/>
          </w:tcPr>
          <w:p w14:paraId="4C42278C" w14:textId="77777777" w:rsidR="00C93C10" w:rsidRPr="00C93C10" w:rsidRDefault="00C93C10">
            <w:pPr>
              <w:rPr>
                <w:sz w:val="22"/>
              </w:rPr>
            </w:pPr>
            <w:r w:rsidRPr="00C93C10">
              <w:rPr>
                <w:sz w:val="22"/>
              </w:rPr>
              <w:t> </w:t>
            </w:r>
          </w:p>
        </w:tc>
        <w:tc>
          <w:tcPr>
            <w:tcW w:w="1042" w:type="dxa"/>
            <w:noWrap/>
            <w:hideMark/>
          </w:tcPr>
          <w:p w14:paraId="20F40013" w14:textId="77777777" w:rsidR="00C93C10" w:rsidRPr="00C93C10" w:rsidRDefault="00C93C10">
            <w:pPr>
              <w:rPr>
                <w:sz w:val="22"/>
              </w:rPr>
            </w:pPr>
            <w:r w:rsidRPr="00C93C10">
              <w:rPr>
                <w:sz w:val="22"/>
              </w:rPr>
              <w:t> </w:t>
            </w:r>
          </w:p>
        </w:tc>
        <w:tc>
          <w:tcPr>
            <w:tcW w:w="1042" w:type="dxa"/>
            <w:noWrap/>
            <w:hideMark/>
          </w:tcPr>
          <w:p w14:paraId="4BB3A70D" w14:textId="77777777" w:rsidR="00C93C10" w:rsidRPr="00C93C10" w:rsidRDefault="00C93C10">
            <w:pPr>
              <w:rPr>
                <w:sz w:val="22"/>
              </w:rPr>
            </w:pPr>
            <w:r w:rsidRPr="00C93C10">
              <w:rPr>
                <w:sz w:val="22"/>
              </w:rPr>
              <w:t> </w:t>
            </w:r>
          </w:p>
        </w:tc>
        <w:tc>
          <w:tcPr>
            <w:tcW w:w="1042" w:type="dxa"/>
            <w:noWrap/>
            <w:hideMark/>
          </w:tcPr>
          <w:p w14:paraId="461C88DF" w14:textId="77777777" w:rsidR="00C93C10" w:rsidRPr="00C93C10" w:rsidRDefault="00C93C10">
            <w:pPr>
              <w:rPr>
                <w:sz w:val="22"/>
              </w:rPr>
            </w:pPr>
            <w:r w:rsidRPr="00C93C10">
              <w:rPr>
                <w:sz w:val="22"/>
              </w:rPr>
              <w:t> </w:t>
            </w:r>
          </w:p>
        </w:tc>
      </w:tr>
      <w:tr w:rsidR="00C93C10" w:rsidRPr="00C93C10" w14:paraId="53EE0654" w14:textId="77777777" w:rsidTr="00BC6348">
        <w:trPr>
          <w:trHeight w:val="360"/>
        </w:trPr>
        <w:tc>
          <w:tcPr>
            <w:tcW w:w="3099" w:type="dxa"/>
            <w:noWrap/>
            <w:hideMark/>
          </w:tcPr>
          <w:p w14:paraId="6C6D49AD" w14:textId="77777777" w:rsidR="00C93C10" w:rsidRPr="00C93C10" w:rsidRDefault="00C93C10" w:rsidP="00C93C10">
            <w:pPr>
              <w:rPr>
                <w:sz w:val="22"/>
              </w:rPr>
            </w:pPr>
            <w:r w:rsidRPr="00C93C10">
              <w:rPr>
                <w:sz w:val="22"/>
              </w:rPr>
              <w:t>Administration expenses (exc. depreciation)</w:t>
            </w:r>
          </w:p>
        </w:tc>
        <w:tc>
          <w:tcPr>
            <w:tcW w:w="1041" w:type="dxa"/>
            <w:hideMark/>
          </w:tcPr>
          <w:p w14:paraId="37B07041" w14:textId="77777777" w:rsidR="00C93C10" w:rsidRPr="00C93C10" w:rsidRDefault="00C93C10" w:rsidP="00C93C10">
            <w:pPr>
              <w:rPr>
                <w:sz w:val="22"/>
              </w:rPr>
            </w:pPr>
            <w:r w:rsidRPr="00C93C10">
              <w:rPr>
                <w:sz w:val="22"/>
              </w:rPr>
              <w:t>(17.000)</w:t>
            </w:r>
          </w:p>
        </w:tc>
        <w:tc>
          <w:tcPr>
            <w:tcW w:w="1042" w:type="dxa"/>
            <w:hideMark/>
          </w:tcPr>
          <w:p w14:paraId="06CF3194" w14:textId="77777777" w:rsidR="00C93C10" w:rsidRPr="00C93C10" w:rsidRDefault="00C93C10" w:rsidP="00C93C10">
            <w:pPr>
              <w:rPr>
                <w:sz w:val="22"/>
              </w:rPr>
            </w:pPr>
            <w:r w:rsidRPr="00C93C10">
              <w:rPr>
                <w:sz w:val="22"/>
              </w:rPr>
              <w:t>(18.000)</w:t>
            </w:r>
          </w:p>
        </w:tc>
        <w:tc>
          <w:tcPr>
            <w:tcW w:w="1042" w:type="dxa"/>
            <w:hideMark/>
          </w:tcPr>
          <w:p w14:paraId="55ADA493" w14:textId="77777777" w:rsidR="00C93C10" w:rsidRPr="00C93C10" w:rsidRDefault="00C93C10" w:rsidP="00C93C10">
            <w:pPr>
              <w:rPr>
                <w:sz w:val="22"/>
              </w:rPr>
            </w:pPr>
            <w:r w:rsidRPr="00C93C10">
              <w:rPr>
                <w:sz w:val="22"/>
              </w:rPr>
              <w:t>(19.000)</w:t>
            </w:r>
          </w:p>
        </w:tc>
        <w:tc>
          <w:tcPr>
            <w:tcW w:w="1042" w:type="dxa"/>
            <w:hideMark/>
          </w:tcPr>
          <w:p w14:paraId="018F82E2" w14:textId="77777777" w:rsidR="00C93C10" w:rsidRPr="00C93C10" w:rsidRDefault="00C93C10" w:rsidP="00C93C10">
            <w:pPr>
              <w:rPr>
                <w:sz w:val="22"/>
              </w:rPr>
            </w:pPr>
            <w:r w:rsidRPr="00C93C10">
              <w:rPr>
                <w:sz w:val="22"/>
              </w:rPr>
              <w:t>(20.000)</w:t>
            </w:r>
          </w:p>
        </w:tc>
        <w:tc>
          <w:tcPr>
            <w:tcW w:w="1042" w:type="dxa"/>
            <w:hideMark/>
          </w:tcPr>
          <w:p w14:paraId="799CC5A8" w14:textId="77777777" w:rsidR="00C93C10" w:rsidRPr="00C93C10" w:rsidRDefault="00C93C10" w:rsidP="00C93C10">
            <w:pPr>
              <w:rPr>
                <w:sz w:val="22"/>
              </w:rPr>
            </w:pPr>
            <w:r w:rsidRPr="00C93C10">
              <w:rPr>
                <w:sz w:val="22"/>
              </w:rPr>
              <w:t>(21.000)</w:t>
            </w:r>
          </w:p>
        </w:tc>
        <w:tc>
          <w:tcPr>
            <w:tcW w:w="1042" w:type="dxa"/>
            <w:hideMark/>
          </w:tcPr>
          <w:p w14:paraId="0E57A8A9" w14:textId="77777777" w:rsidR="00C93C10" w:rsidRPr="00C93C10" w:rsidRDefault="00C93C10" w:rsidP="00C93C10">
            <w:pPr>
              <w:rPr>
                <w:sz w:val="22"/>
              </w:rPr>
            </w:pPr>
            <w:r w:rsidRPr="00C93C10">
              <w:rPr>
                <w:sz w:val="22"/>
              </w:rPr>
              <w:t>(22.000)</w:t>
            </w:r>
          </w:p>
        </w:tc>
      </w:tr>
      <w:tr w:rsidR="00C93C10" w:rsidRPr="00C93C10" w14:paraId="2EDD34B3" w14:textId="77777777" w:rsidTr="00BC6348">
        <w:trPr>
          <w:trHeight w:val="360"/>
        </w:trPr>
        <w:tc>
          <w:tcPr>
            <w:tcW w:w="3099" w:type="dxa"/>
            <w:noWrap/>
            <w:hideMark/>
          </w:tcPr>
          <w:p w14:paraId="6D75A16D" w14:textId="77777777" w:rsidR="00C93C10" w:rsidRPr="00C93C10" w:rsidRDefault="00C93C10" w:rsidP="00C93C10">
            <w:pPr>
              <w:rPr>
                <w:sz w:val="22"/>
              </w:rPr>
            </w:pPr>
            <w:r w:rsidRPr="00C93C10">
              <w:rPr>
                <w:sz w:val="22"/>
              </w:rPr>
              <w:t>Stock purchased (one month arrears)</w:t>
            </w:r>
          </w:p>
        </w:tc>
        <w:tc>
          <w:tcPr>
            <w:tcW w:w="1041" w:type="dxa"/>
            <w:hideMark/>
          </w:tcPr>
          <w:p w14:paraId="54BEB56D" w14:textId="77777777" w:rsidR="00C93C10" w:rsidRPr="00C93C10" w:rsidRDefault="00C93C10" w:rsidP="00C93C10">
            <w:pPr>
              <w:rPr>
                <w:sz w:val="22"/>
              </w:rPr>
            </w:pPr>
            <w:r w:rsidRPr="00C93C10">
              <w:rPr>
                <w:sz w:val="22"/>
              </w:rPr>
              <w:t>(150.000)</w:t>
            </w:r>
          </w:p>
        </w:tc>
        <w:tc>
          <w:tcPr>
            <w:tcW w:w="1042" w:type="dxa"/>
            <w:hideMark/>
          </w:tcPr>
          <w:p w14:paraId="334306EB" w14:textId="77777777" w:rsidR="00C93C10" w:rsidRPr="00C93C10" w:rsidRDefault="00C93C10" w:rsidP="00C93C10">
            <w:pPr>
              <w:rPr>
                <w:sz w:val="22"/>
              </w:rPr>
            </w:pPr>
            <w:r w:rsidRPr="00C93C10">
              <w:rPr>
                <w:sz w:val="22"/>
              </w:rPr>
              <w:t>(180.000)</w:t>
            </w:r>
          </w:p>
        </w:tc>
        <w:tc>
          <w:tcPr>
            <w:tcW w:w="1042" w:type="dxa"/>
            <w:hideMark/>
          </w:tcPr>
          <w:p w14:paraId="2D6D2390" w14:textId="77777777" w:rsidR="00C93C10" w:rsidRPr="00C93C10" w:rsidRDefault="00C93C10" w:rsidP="00C93C10">
            <w:pPr>
              <w:rPr>
                <w:sz w:val="22"/>
              </w:rPr>
            </w:pPr>
            <w:r w:rsidRPr="00C93C10">
              <w:rPr>
                <w:sz w:val="22"/>
              </w:rPr>
              <w:t>(170.000)</w:t>
            </w:r>
          </w:p>
        </w:tc>
        <w:tc>
          <w:tcPr>
            <w:tcW w:w="1042" w:type="dxa"/>
            <w:hideMark/>
          </w:tcPr>
          <w:p w14:paraId="4EFA1C02" w14:textId="77777777" w:rsidR="00C93C10" w:rsidRPr="00C93C10" w:rsidRDefault="00C93C10" w:rsidP="00C93C10">
            <w:pPr>
              <w:rPr>
                <w:sz w:val="22"/>
              </w:rPr>
            </w:pPr>
            <w:r w:rsidRPr="00C93C10">
              <w:rPr>
                <w:sz w:val="22"/>
              </w:rPr>
              <w:t>(200.000)</w:t>
            </w:r>
          </w:p>
        </w:tc>
        <w:tc>
          <w:tcPr>
            <w:tcW w:w="1042" w:type="dxa"/>
            <w:hideMark/>
          </w:tcPr>
          <w:p w14:paraId="6C116A9D" w14:textId="77777777" w:rsidR="00C93C10" w:rsidRPr="00C93C10" w:rsidRDefault="00C93C10" w:rsidP="00C93C10">
            <w:pPr>
              <w:rPr>
                <w:sz w:val="22"/>
              </w:rPr>
            </w:pPr>
            <w:r w:rsidRPr="00C93C10">
              <w:rPr>
                <w:sz w:val="22"/>
              </w:rPr>
              <w:t>(210.000)</w:t>
            </w:r>
          </w:p>
        </w:tc>
        <w:tc>
          <w:tcPr>
            <w:tcW w:w="1042" w:type="dxa"/>
            <w:hideMark/>
          </w:tcPr>
          <w:p w14:paraId="73340CD5" w14:textId="77777777" w:rsidR="00C93C10" w:rsidRPr="00C93C10" w:rsidRDefault="00C93C10" w:rsidP="00C93C10">
            <w:pPr>
              <w:rPr>
                <w:sz w:val="22"/>
              </w:rPr>
            </w:pPr>
            <w:r w:rsidRPr="00C93C10">
              <w:rPr>
                <w:sz w:val="22"/>
              </w:rPr>
              <w:t>(190.000)</w:t>
            </w:r>
          </w:p>
        </w:tc>
      </w:tr>
      <w:tr w:rsidR="00C93C10" w:rsidRPr="00C93C10" w14:paraId="69D17ED0" w14:textId="77777777" w:rsidTr="00BC6348">
        <w:trPr>
          <w:trHeight w:val="360"/>
        </w:trPr>
        <w:tc>
          <w:tcPr>
            <w:tcW w:w="3099" w:type="dxa"/>
            <w:noWrap/>
            <w:hideMark/>
          </w:tcPr>
          <w:p w14:paraId="773B9176" w14:textId="1C50BA96" w:rsidR="00C93C10" w:rsidRPr="00C93C10" w:rsidRDefault="00C93C10" w:rsidP="00C93C10">
            <w:pPr>
              <w:rPr>
                <w:sz w:val="22"/>
              </w:rPr>
            </w:pPr>
            <w:r w:rsidRPr="00C93C10">
              <w:rPr>
                <w:sz w:val="22"/>
              </w:rPr>
              <w:t xml:space="preserve">Repayment of loan (capital </w:t>
            </w:r>
            <w:r w:rsidR="008170F1">
              <w:rPr>
                <w:sz w:val="22"/>
              </w:rPr>
              <w:t xml:space="preserve">+ interest </w:t>
            </w:r>
            <w:r w:rsidRPr="00C93C10">
              <w:rPr>
                <w:sz w:val="22"/>
              </w:rPr>
              <w:t>element)</w:t>
            </w:r>
          </w:p>
        </w:tc>
        <w:tc>
          <w:tcPr>
            <w:tcW w:w="1041" w:type="dxa"/>
            <w:hideMark/>
          </w:tcPr>
          <w:p w14:paraId="43486549" w14:textId="47F40212" w:rsidR="00C93C10" w:rsidRPr="00C93C10" w:rsidRDefault="00BC6348" w:rsidP="00C93C10">
            <w:pPr>
              <w:rPr>
                <w:sz w:val="22"/>
              </w:rPr>
            </w:pPr>
            <w:r>
              <w:rPr>
                <w:sz w:val="22"/>
              </w:rPr>
              <w:t>(5</w:t>
            </w:r>
            <w:r w:rsidR="00C93C10" w:rsidRPr="00C93C10">
              <w:rPr>
                <w:sz w:val="22"/>
              </w:rPr>
              <w:t>.000)</w:t>
            </w:r>
          </w:p>
        </w:tc>
        <w:tc>
          <w:tcPr>
            <w:tcW w:w="1042" w:type="dxa"/>
            <w:hideMark/>
          </w:tcPr>
          <w:p w14:paraId="4B628074" w14:textId="463D513B" w:rsidR="00C93C10" w:rsidRPr="00C93C10" w:rsidRDefault="00BC6348" w:rsidP="00C93C10">
            <w:pPr>
              <w:rPr>
                <w:sz w:val="22"/>
              </w:rPr>
            </w:pPr>
            <w:r>
              <w:rPr>
                <w:sz w:val="22"/>
              </w:rPr>
              <w:t>(5</w:t>
            </w:r>
            <w:r w:rsidR="00C93C10" w:rsidRPr="00C93C10">
              <w:rPr>
                <w:sz w:val="22"/>
              </w:rPr>
              <w:t>.000)</w:t>
            </w:r>
          </w:p>
        </w:tc>
        <w:tc>
          <w:tcPr>
            <w:tcW w:w="1042" w:type="dxa"/>
            <w:hideMark/>
          </w:tcPr>
          <w:p w14:paraId="1CE6C14D" w14:textId="578B22DA" w:rsidR="00C93C10" w:rsidRPr="00C93C10" w:rsidRDefault="00BC6348" w:rsidP="00C93C10">
            <w:pPr>
              <w:rPr>
                <w:sz w:val="22"/>
              </w:rPr>
            </w:pPr>
            <w:r>
              <w:rPr>
                <w:sz w:val="22"/>
              </w:rPr>
              <w:t>(5</w:t>
            </w:r>
            <w:r w:rsidR="00C93C10" w:rsidRPr="00C93C10">
              <w:rPr>
                <w:sz w:val="22"/>
              </w:rPr>
              <w:t>.000)</w:t>
            </w:r>
          </w:p>
        </w:tc>
        <w:tc>
          <w:tcPr>
            <w:tcW w:w="1042" w:type="dxa"/>
            <w:hideMark/>
          </w:tcPr>
          <w:p w14:paraId="5B9274AC" w14:textId="6C4A8551" w:rsidR="00C93C10" w:rsidRPr="00C93C10" w:rsidRDefault="00BC6348" w:rsidP="00C93C10">
            <w:pPr>
              <w:rPr>
                <w:sz w:val="22"/>
              </w:rPr>
            </w:pPr>
            <w:r>
              <w:rPr>
                <w:sz w:val="22"/>
              </w:rPr>
              <w:t>(5</w:t>
            </w:r>
            <w:r w:rsidR="00C93C10" w:rsidRPr="00C93C10">
              <w:rPr>
                <w:sz w:val="22"/>
              </w:rPr>
              <w:t>.000)</w:t>
            </w:r>
          </w:p>
        </w:tc>
        <w:tc>
          <w:tcPr>
            <w:tcW w:w="1042" w:type="dxa"/>
            <w:hideMark/>
          </w:tcPr>
          <w:p w14:paraId="1C92D230" w14:textId="1C5B7222" w:rsidR="00C93C10" w:rsidRPr="00C93C10" w:rsidRDefault="00BC6348" w:rsidP="00C93C10">
            <w:pPr>
              <w:rPr>
                <w:sz w:val="22"/>
              </w:rPr>
            </w:pPr>
            <w:r>
              <w:rPr>
                <w:sz w:val="22"/>
              </w:rPr>
              <w:t>(5</w:t>
            </w:r>
            <w:r w:rsidR="00C93C10" w:rsidRPr="00C93C10">
              <w:rPr>
                <w:sz w:val="22"/>
              </w:rPr>
              <w:t>.000)</w:t>
            </w:r>
          </w:p>
        </w:tc>
        <w:tc>
          <w:tcPr>
            <w:tcW w:w="1042" w:type="dxa"/>
            <w:hideMark/>
          </w:tcPr>
          <w:p w14:paraId="47963DE6" w14:textId="26B16EFA" w:rsidR="00C93C10" w:rsidRPr="00C93C10" w:rsidRDefault="00BC6348" w:rsidP="00C93C10">
            <w:pPr>
              <w:rPr>
                <w:sz w:val="22"/>
              </w:rPr>
            </w:pPr>
            <w:r>
              <w:rPr>
                <w:sz w:val="22"/>
              </w:rPr>
              <w:t>(5</w:t>
            </w:r>
            <w:r w:rsidR="00C93C10" w:rsidRPr="00C93C10">
              <w:rPr>
                <w:sz w:val="22"/>
              </w:rPr>
              <w:t>.000)</w:t>
            </w:r>
          </w:p>
        </w:tc>
      </w:tr>
      <w:tr w:rsidR="00C93C10" w:rsidRPr="00C93C10" w14:paraId="262C8C6C" w14:textId="77777777" w:rsidTr="00BC6348">
        <w:trPr>
          <w:trHeight w:val="360"/>
        </w:trPr>
        <w:tc>
          <w:tcPr>
            <w:tcW w:w="3099" w:type="dxa"/>
            <w:noWrap/>
            <w:hideMark/>
          </w:tcPr>
          <w:p w14:paraId="24FADEBC" w14:textId="77777777" w:rsidR="00C93C10" w:rsidRPr="00C93C10" w:rsidRDefault="00C93C10" w:rsidP="00C93C10">
            <w:pPr>
              <w:rPr>
                <w:sz w:val="22"/>
              </w:rPr>
            </w:pPr>
            <w:r w:rsidRPr="00C93C10">
              <w:rPr>
                <w:sz w:val="22"/>
              </w:rPr>
              <w:t>Selling expenses (previous month)</w:t>
            </w:r>
          </w:p>
        </w:tc>
        <w:tc>
          <w:tcPr>
            <w:tcW w:w="1041" w:type="dxa"/>
            <w:hideMark/>
          </w:tcPr>
          <w:p w14:paraId="473F9EB9" w14:textId="77777777" w:rsidR="00C93C10" w:rsidRPr="00C93C10" w:rsidRDefault="00C93C10" w:rsidP="00C93C10">
            <w:pPr>
              <w:rPr>
                <w:sz w:val="22"/>
              </w:rPr>
            </w:pPr>
            <w:r w:rsidRPr="00C93C10">
              <w:rPr>
                <w:sz w:val="22"/>
              </w:rPr>
              <w:t>(5.000)</w:t>
            </w:r>
          </w:p>
        </w:tc>
        <w:tc>
          <w:tcPr>
            <w:tcW w:w="1042" w:type="dxa"/>
            <w:hideMark/>
          </w:tcPr>
          <w:p w14:paraId="6EB90389" w14:textId="77777777" w:rsidR="00C93C10" w:rsidRPr="00C93C10" w:rsidRDefault="00C93C10" w:rsidP="00C93C10">
            <w:pPr>
              <w:rPr>
                <w:sz w:val="22"/>
              </w:rPr>
            </w:pPr>
            <w:r w:rsidRPr="00C93C10">
              <w:rPr>
                <w:sz w:val="22"/>
              </w:rPr>
              <w:t>(6.000)</w:t>
            </w:r>
          </w:p>
        </w:tc>
        <w:tc>
          <w:tcPr>
            <w:tcW w:w="1042" w:type="dxa"/>
            <w:hideMark/>
          </w:tcPr>
          <w:p w14:paraId="4AC980ED" w14:textId="77777777" w:rsidR="00C93C10" w:rsidRPr="00C93C10" w:rsidRDefault="00C93C10" w:rsidP="00C93C10">
            <w:pPr>
              <w:rPr>
                <w:sz w:val="22"/>
              </w:rPr>
            </w:pPr>
            <w:r w:rsidRPr="00C93C10">
              <w:rPr>
                <w:sz w:val="22"/>
              </w:rPr>
              <w:t>(7.000)</w:t>
            </w:r>
          </w:p>
        </w:tc>
        <w:tc>
          <w:tcPr>
            <w:tcW w:w="1042" w:type="dxa"/>
            <w:hideMark/>
          </w:tcPr>
          <w:p w14:paraId="2F63DC24" w14:textId="77777777" w:rsidR="00C93C10" w:rsidRPr="00C93C10" w:rsidRDefault="00C93C10" w:rsidP="00C93C10">
            <w:pPr>
              <w:rPr>
                <w:sz w:val="22"/>
              </w:rPr>
            </w:pPr>
            <w:r w:rsidRPr="00C93C10">
              <w:rPr>
                <w:sz w:val="22"/>
              </w:rPr>
              <w:t>(8.000)</w:t>
            </w:r>
          </w:p>
        </w:tc>
        <w:tc>
          <w:tcPr>
            <w:tcW w:w="1042" w:type="dxa"/>
            <w:hideMark/>
          </w:tcPr>
          <w:p w14:paraId="250114F7" w14:textId="77777777" w:rsidR="00C93C10" w:rsidRPr="00C93C10" w:rsidRDefault="00C93C10" w:rsidP="00C93C10">
            <w:pPr>
              <w:rPr>
                <w:sz w:val="22"/>
              </w:rPr>
            </w:pPr>
            <w:r w:rsidRPr="00C93C10">
              <w:rPr>
                <w:sz w:val="22"/>
              </w:rPr>
              <w:t>(9.000)</w:t>
            </w:r>
          </w:p>
        </w:tc>
        <w:tc>
          <w:tcPr>
            <w:tcW w:w="1042" w:type="dxa"/>
            <w:hideMark/>
          </w:tcPr>
          <w:p w14:paraId="358E10F0" w14:textId="77777777" w:rsidR="00C93C10" w:rsidRPr="00C93C10" w:rsidRDefault="00C93C10" w:rsidP="00C93C10">
            <w:pPr>
              <w:rPr>
                <w:sz w:val="22"/>
              </w:rPr>
            </w:pPr>
            <w:r w:rsidRPr="00C93C10">
              <w:rPr>
                <w:sz w:val="22"/>
              </w:rPr>
              <w:t>(7.000)</w:t>
            </w:r>
          </w:p>
        </w:tc>
      </w:tr>
      <w:tr w:rsidR="00C93C10" w:rsidRPr="00C93C10" w14:paraId="2EE76130" w14:textId="77777777" w:rsidTr="00BC6348">
        <w:trPr>
          <w:trHeight w:val="360"/>
        </w:trPr>
        <w:tc>
          <w:tcPr>
            <w:tcW w:w="3099" w:type="dxa"/>
            <w:noWrap/>
            <w:hideMark/>
          </w:tcPr>
          <w:p w14:paraId="1613DEC8" w14:textId="77777777" w:rsidR="00C93C10" w:rsidRPr="00C93C10" w:rsidRDefault="00C93C10" w:rsidP="00C93C10">
            <w:pPr>
              <w:rPr>
                <w:sz w:val="22"/>
              </w:rPr>
            </w:pPr>
            <w:r w:rsidRPr="00C93C10">
              <w:rPr>
                <w:sz w:val="22"/>
              </w:rPr>
              <w:t>Taxation paid</w:t>
            </w:r>
          </w:p>
        </w:tc>
        <w:tc>
          <w:tcPr>
            <w:tcW w:w="1041" w:type="dxa"/>
            <w:hideMark/>
          </w:tcPr>
          <w:p w14:paraId="13566671" w14:textId="77777777" w:rsidR="00C93C10" w:rsidRPr="00C93C10" w:rsidRDefault="00C93C10" w:rsidP="00C93C10">
            <w:pPr>
              <w:rPr>
                <w:sz w:val="22"/>
              </w:rPr>
            </w:pPr>
            <w:r w:rsidRPr="00C93C10">
              <w:rPr>
                <w:sz w:val="22"/>
              </w:rPr>
              <w:t>-</w:t>
            </w:r>
          </w:p>
        </w:tc>
        <w:tc>
          <w:tcPr>
            <w:tcW w:w="1042" w:type="dxa"/>
            <w:hideMark/>
          </w:tcPr>
          <w:p w14:paraId="74A4B0F9" w14:textId="77777777" w:rsidR="00C93C10" w:rsidRPr="00C93C10" w:rsidRDefault="00C93C10" w:rsidP="00C93C10">
            <w:pPr>
              <w:rPr>
                <w:sz w:val="22"/>
              </w:rPr>
            </w:pPr>
            <w:r w:rsidRPr="00C93C10">
              <w:rPr>
                <w:sz w:val="22"/>
              </w:rPr>
              <w:t>-</w:t>
            </w:r>
          </w:p>
        </w:tc>
        <w:tc>
          <w:tcPr>
            <w:tcW w:w="1042" w:type="dxa"/>
            <w:hideMark/>
          </w:tcPr>
          <w:p w14:paraId="6D263BF0" w14:textId="77777777" w:rsidR="00C93C10" w:rsidRPr="00C93C10" w:rsidRDefault="00C93C10" w:rsidP="00C93C10">
            <w:pPr>
              <w:rPr>
                <w:sz w:val="22"/>
              </w:rPr>
            </w:pPr>
            <w:r w:rsidRPr="00C93C10">
              <w:rPr>
                <w:sz w:val="22"/>
              </w:rPr>
              <w:t>(18.000)</w:t>
            </w:r>
          </w:p>
        </w:tc>
        <w:tc>
          <w:tcPr>
            <w:tcW w:w="1042" w:type="dxa"/>
            <w:hideMark/>
          </w:tcPr>
          <w:p w14:paraId="6ED64D36" w14:textId="77777777" w:rsidR="00C93C10" w:rsidRPr="00C93C10" w:rsidRDefault="00C93C10" w:rsidP="00C93C10">
            <w:pPr>
              <w:rPr>
                <w:sz w:val="22"/>
              </w:rPr>
            </w:pPr>
            <w:r w:rsidRPr="00C93C10">
              <w:rPr>
                <w:sz w:val="22"/>
              </w:rPr>
              <w:t>-</w:t>
            </w:r>
          </w:p>
        </w:tc>
        <w:tc>
          <w:tcPr>
            <w:tcW w:w="1042" w:type="dxa"/>
            <w:hideMark/>
          </w:tcPr>
          <w:p w14:paraId="2E5D0788" w14:textId="77777777" w:rsidR="00C93C10" w:rsidRPr="00C93C10" w:rsidRDefault="00C93C10" w:rsidP="00C93C10">
            <w:pPr>
              <w:rPr>
                <w:sz w:val="22"/>
              </w:rPr>
            </w:pPr>
            <w:r w:rsidRPr="00C93C10">
              <w:rPr>
                <w:sz w:val="22"/>
              </w:rPr>
              <w:t>-</w:t>
            </w:r>
          </w:p>
        </w:tc>
        <w:tc>
          <w:tcPr>
            <w:tcW w:w="1042" w:type="dxa"/>
            <w:hideMark/>
          </w:tcPr>
          <w:p w14:paraId="41F6AA13" w14:textId="77777777" w:rsidR="00C93C10" w:rsidRPr="00C93C10" w:rsidRDefault="00C93C10" w:rsidP="00C93C10">
            <w:pPr>
              <w:rPr>
                <w:sz w:val="22"/>
              </w:rPr>
            </w:pPr>
            <w:r w:rsidRPr="00C93C10">
              <w:rPr>
                <w:sz w:val="22"/>
              </w:rPr>
              <w:t>-</w:t>
            </w:r>
          </w:p>
        </w:tc>
      </w:tr>
      <w:tr w:rsidR="00C93C10" w:rsidRPr="00C93C10" w14:paraId="03301FE1" w14:textId="77777777" w:rsidTr="00BC6348">
        <w:trPr>
          <w:trHeight w:val="360"/>
        </w:trPr>
        <w:tc>
          <w:tcPr>
            <w:tcW w:w="3099" w:type="dxa"/>
            <w:noWrap/>
            <w:hideMark/>
          </w:tcPr>
          <w:p w14:paraId="1C6BF047" w14:textId="77777777" w:rsidR="00C93C10" w:rsidRPr="00C93C10" w:rsidRDefault="00C93C10" w:rsidP="00C93C10">
            <w:pPr>
              <w:rPr>
                <w:sz w:val="22"/>
              </w:rPr>
            </w:pPr>
            <w:r w:rsidRPr="00C93C10">
              <w:rPr>
                <w:sz w:val="22"/>
              </w:rPr>
              <w:t>Store refurbishment</w:t>
            </w:r>
          </w:p>
        </w:tc>
        <w:tc>
          <w:tcPr>
            <w:tcW w:w="1041" w:type="dxa"/>
            <w:hideMark/>
          </w:tcPr>
          <w:p w14:paraId="73ED8851" w14:textId="77777777" w:rsidR="00C93C10" w:rsidRPr="00C93C10" w:rsidRDefault="00C93C10" w:rsidP="00C93C10">
            <w:pPr>
              <w:rPr>
                <w:sz w:val="22"/>
              </w:rPr>
            </w:pPr>
            <w:r w:rsidRPr="00C93C10">
              <w:rPr>
                <w:sz w:val="22"/>
              </w:rPr>
              <w:t>(15.000)</w:t>
            </w:r>
          </w:p>
        </w:tc>
        <w:tc>
          <w:tcPr>
            <w:tcW w:w="1042" w:type="dxa"/>
            <w:hideMark/>
          </w:tcPr>
          <w:p w14:paraId="7A937F90" w14:textId="77777777" w:rsidR="00C93C10" w:rsidRPr="00C93C10" w:rsidRDefault="00C93C10" w:rsidP="00C93C10">
            <w:pPr>
              <w:rPr>
                <w:sz w:val="22"/>
              </w:rPr>
            </w:pPr>
            <w:r w:rsidRPr="00C93C10">
              <w:rPr>
                <w:sz w:val="22"/>
              </w:rPr>
              <w:t>(12.000)</w:t>
            </w:r>
          </w:p>
        </w:tc>
        <w:tc>
          <w:tcPr>
            <w:tcW w:w="1042" w:type="dxa"/>
            <w:hideMark/>
          </w:tcPr>
          <w:p w14:paraId="0791A623" w14:textId="77777777" w:rsidR="00C93C10" w:rsidRPr="00C93C10" w:rsidRDefault="00C93C10" w:rsidP="00C93C10">
            <w:pPr>
              <w:rPr>
                <w:sz w:val="22"/>
              </w:rPr>
            </w:pPr>
            <w:r w:rsidRPr="00C93C10">
              <w:rPr>
                <w:sz w:val="22"/>
              </w:rPr>
              <w:t>(10.000)</w:t>
            </w:r>
          </w:p>
        </w:tc>
        <w:tc>
          <w:tcPr>
            <w:tcW w:w="1042" w:type="dxa"/>
            <w:hideMark/>
          </w:tcPr>
          <w:p w14:paraId="799F32B3" w14:textId="77777777" w:rsidR="00C93C10" w:rsidRPr="00C93C10" w:rsidRDefault="00C93C10" w:rsidP="00C93C10">
            <w:pPr>
              <w:rPr>
                <w:sz w:val="22"/>
              </w:rPr>
            </w:pPr>
            <w:r w:rsidRPr="00C93C10">
              <w:rPr>
                <w:sz w:val="22"/>
              </w:rPr>
              <w:t>-</w:t>
            </w:r>
          </w:p>
        </w:tc>
        <w:tc>
          <w:tcPr>
            <w:tcW w:w="1042" w:type="dxa"/>
            <w:hideMark/>
          </w:tcPr>
          <w:p w14:paraId="6B6900C0" w14:textId="77777777" w:rsidR="00C93C10" w:rsidRPr="00C93C10" w:rsidRDefault="00C93C10" w:rsidP="00C93C10">
            <w:pPr>
              <w:rPr>
                <w:sz w:val="22"/>
              </w:rPr>
            </w:pPr>
            <w:r w:rsidRPr="00C93C10">
              <w:rPr>
                <w:sz w:val="22"/>
              </w:rPr>
              <w:t>-</w:t>
            </w:r>
          </w:p>
        </w:tc>
        <w:tc>
          <w:tcPr>
            <w:tcW w:w="1042" w:type="dxa"/>
            <w:hideMark/>
          </w:tcPr>
          <w:p w14:paraId="364EAC2E" w14:textId="77777777" w:rsidR="00C93C10" w:rsidRPr="00C93C10" w:rsidRDefault="00C93C10" w:rsidP="00C93C10">
            <w:pPr>
              <w:rPr>
                <w:sz w:val="22"/>
              </w:rPr>
            </w:pPr>
            <w:r w:rsidRPr="00C93C10">
              <w:rPr>
                <w:sz w:val="22"/>
              </w:rPr>
              <w:t>-</w:t>
            </w:r>
          </w:p>
        </w:tc>
      </w:tr>
      <w:tr w:rsidR="00C93C10" w:rsidRPr="00C93C10" w14:paraId="003E3B5B" w14:textId="77777777" w:rsidTr="00BC6348">
        <w:trPr>
          <w:trHeight w:val="360"/>
        </w:trPr>
        <w:tc>
          <w:tcPr>
            <w:tcW w:w="3099" w:type="dxa"/>
            <w:noWrap/>
            <w:hideMark/>
          </w:tcPr>
          <w:p w14:paraId="6843B2EF" w14:textId="77777777" w:rsidR="00C93C10" w:rsidRPr="00C93C10" w:rsidRDefault="00C93C10" w:rsidP="00C93C10">
            <w:pPr>
              <w:rPr>
                <w:sz w:val="22"/>
              </w:rPr>
            </w:pPr>
            <w:r w:rsidRPr="00C93C10">
              <w:rPr>
                <w:sz w:val="22"/>
              </w:rPr>
              <w:t>Credit card charges (2.5% x 35% x sales)</w:t>
            </w:r>
          </w:p>
        </w:tc>
        <w:tc>
          <w:tcPr>
            <w:tcW w:w="1041" w:type="dxa"/>
            <w:hideMark/>
          </w:tcPr>
          <w:p w14:paraId="08345D83" w14:textId="77777777" w:rsidR="00C93C10" w:rsidRPr="00C93C10" w:rsidRDefault="00C93C10" w:rsidP="00C93C10">
            <w:pPr>
              <w:rPr>
                <w:sz w:val="22"/>
              </w:rPr>
            </w:pPr>
            <w:r w:rsidRPr="00C93C10">
              <w:rPr>
                <w:sz w:val="22"/>
              </w:rPr>
              <w:t>(1.838)</w:t>
            </w:r>
          </w:p>
        </w:tc>
        <w:tc>
          <w:tcPr>
            <w:tcW w:w="1042" w:type="dxa"/>
            <w:hideMark/>
          </w:tcPr>
          <w:p w14:paraId="5BF4172C" w14:textId="77777777" w:rsidR="00C93C10" w:rsidRPr="00C93C10" w:rsidRDefault="00C93C10" w:rsidP="00C93C10">
            <w:pPr>
              <w:rPr>
                <w:sz w:val="22"/>
              </w:rPr>
            </w:pPr>
            <w:r w:rsidRPr="00C93C10">
              <w:rPr>
                <w:sz w:val="22"/>
              </w:rPr>
              <w:t>(2.013)</w:t>
            </w:r>
          </w:p>
        </w:tc>
        <w:tc>
          <w:tcPr>
            <w:tcW w:w="1042" w:type="dxa"/>
            <w:hideMark/>
          </w:tcPr>
          <w:p w14:paraId="3E29CFBF" w14:textId="77777777" w:rsidR="00C93C10" w:rsidRPr="00C93C10" w:rsidRDefault="00C93C10" w:rsidP="00C93C10">
            <w:pPr>
              <w:rPr>
                <w:sz w:val="22"/>
              </w:rPr>
            </w:pPr>
            <w:r w:rsidRPr="00C93C10">
              <w:rPr>
                <w:sz w:val="22"/>
              </w:rPr>
              <w:t>(2.275)</w:t>
            </w:r>
          </w:p>
        </w:tc>
        <w:tc>
          <w:tcPr>
            <w:tcW w:w="1042" w:type="dxa"/>
            <w:hideMark/>
          </w:tcPr>
          <w:p w14:paraId="6513A747" w14:textId="77777777" w:rsidR="00C93C10" w:rsidRPr="00C93C10" w:rsidRDefault="00C93C10" w:rsidP="00C93C10">
            <w:pPr>
              <w:rPr>
                <w:sz w:val="22"/>
              </w:rPr>
            </w:pPr>
            <w:r w:rsidRPr="00C93C10">
              <w:rPr>
                <w:sz w:val="22"/>
              </w:rPr>
              <w:t>(2.100)</w:t>
            </w:r>
          </w:p>
        </w:tc>
        <w:tc>
          <w:tcPr>
            <w:tcW w:w="1042" w:type="dxa"/>
            <w:hideMark/>
          </w:tcPr>
          <w:p w14:paraId="3E054747" w14:textId="77777777" w:rsidR="00C93C10" w:rsidRPr="00C93C10" w:rsidRDefault="00C93C10" w:rsidP="00C93C10">
            <w:pPr>
              <w:rPr>
                <w:sz w:val="22"/>
              </w:rPr>
            </w:pPr>
            <w:r w:rsidRPr="00C93C10">
              <w:rPr>
                <w:sz w:val="22"/>
              </w:rPr>
              <w:t>(2.188)</w:t>
            </w:r>
          </w:p>
        </w:tc>
        <w:tc>
          <w:tcPr>
            <w:tcW w:w="1042" w:type="dxa"/>
            <w:hideMark/>
          </w:tcPr>
          <w:p w14:paraId="6B8C4BA0" w14:textId="77777777" w:rsidR="00C93C10" w:rsidRPr="00C93C10" w:rsidRDefault="00C93C10" w:rsidP="00C93C10">
            <w:pPr>
              <w:rPr>
                <w:sz w:val="22"/>
              </w:rPr>
            </w:pPr>
            <w:r w:rsidRPr="00C93C10">
              <w:rPr>
                <w:sz w:val="22"/>
              </w:rPr>
              <w:t>(2.450)</w:t>
            </w:r>
          </w:p>
        </w:tc>
      </w:tr>
      <w:tr w:rsidR="00C93C10" w:rsidRPr="00C93C10" w14:paraId="18E484CD" w14:textId="77777777" w:rsidTr="00BC6348">
        <w:trPr>
          <w:trHeight w:val="360"/>
        </w:trPr>
        <w:tc>
          <w:tcPr>
            <w:tcW w:w="3099" w:type="dxa"/>
            <w:noWrap/>
            <w:hideMark/>
          </w:tcPr>
          <w:p w14:paraId="6E77B9D8" w14:textId="77777777" w:rsidR="00C93C10" w:rsidRPr="00C93C10" w:rsidRDefault="00C93C10" w:rsidP="00C93C10">
            <w:pPr>
              <w:rPr>
                <w:b/>
                <w:bCs/>
                <w:sz w:val="22"/>
              </w:rPr>
            </w:pPr>
            <w:r w:rsidRPr="00C93C10">
              <w:rPr>
                <w:b/>
                <w:bCs/>
                <w:sz w:val="22"/>
              </w:rPr>
              <w:t>Total payments</w:t>
            </w:r>
          </w:p>
        </w:tc>
        <w:tc>
          <w:tcPr>
            <w:tcW w:w="1041" w:type="dxa"/>
            <w:hideMark/>
          </w:tcPr>
          <w:p w14:paraId="02217E9F" w14:textId="77777777" w:rsidR="00C93C10" w:rsidRPr="00C93C10" w:rsidRDefault="00C93C10" w:rsidP="00C93C10">
            <w:pPr>
              <w:rPr>
                <w:b/>
                <w:bCs/>
                <w:sz w:val="22"/>
              </w:rPr>
            </w:pPr>
            <w:r w:rsidRPr="00C93C10">
              <w:rPr>
                <w:b/>
                <w:bCs/>
                <w:sz w:val="22"/>
              </w:rPr>
              <w:t>(193.838)</w:t>
            </w:r>
          </w:p>
        </w:tc>
        <w:tc>
          <w:tcPr>
            <w:tcW w:w="1042" w:type="dxa"/>
            <w:hideMark/>
          </w:tcPr>
          <w:p w14:paraId="5A0351E2" w14:textId="77777777" w:rsidR="00C93C10" w:rsidRPr="00C93C10" w:rsidRDefault="00C93C10" w:rsidP="00C93C10">
            <w:pPr>
              <w:rPr>
                <w:b/>
                <w:bCs/>
                <w:sz w:val="22"/>
              </w:rPr>
            </w:pPr>
            <w:r w:rsidRPr="00C93C10">
              <w:rPr>
                <w:b/>
                <w:bCs/>
                <w:sz w:val="22"/>
              </w:rPr>
              <w:t>(223.013)</w:t>
            </w:r>
          </w:p>
        </w:tc>
        <w:tc>
          <w:tcPr>
            <w:tcW w:w="1042" w:type="dxa"/>
            <w:hideMark/>
          </w:tcPr>
          <w:p w14:paraId="4C6926D1" w14:textId="77777777" w:rsidR="00C93C10" w:rsidRPr="00C93C10" w:rsidRDefault="00C93C10" w:rsidP="00C93C10">
            <w:pPr>
              <w:rPr>
                <w:b/>
                <w:bCs/>
                <w:sz w:val="22"/>
              </w:rPr>
            </w:pPr>
            <w:r w:rsidRPr="00C93C10">
              <w:rPr>
                <w:b/>
                <w:bCs/>
                <w:sz w:val="22"/>
              </w:rPr>
              <w:t>(231.275)</w:t>
            </w:r>
          </w:p>
        </w:tc>
        <w:tc>
          <w:tcPr>
            <w:tcW w:w="1042" w:type="dxa"/>
            <w:hideMark/>
          </w:tcPr>
          <w:p w14:paraId="7902F6FD" w14:textId="77777777" w:rsidR="00C93C10" w:rsidRPr="00C93C10" w:rsidRDefault="00C93C10" w:rsidP="00C93C10">
            <w:pPr>
              <w:rPr>
                <w:b/>
                <w:bCs/>
                <w:sz w:val="22"/>
              </w:rPr>
            </w:pPr>
            <w:r w:rsidRPr="00C93C10">
              <w:rPr>
                <w:b/>
                <w:bCs/>
                <w:sz w:val="22"/>
              </w:rPr>
              <w:t>(235.100)</w:t>
            </w:r>
          </w:p>
        </w:tc>
        <w:tc>
          <w:tcPr>
            <w:tcW w:w="1042" w:type="dxa"/>
            <w:hideMark/>
          </w:tcPr>
          <w:p w14:paraId="01CA4AAA" w14:textId="77777777" w:rsidR="00C93C10" w:rsidRPr="00C93C10" w:rsidRDefault="00C93C10" w:rsidP="00C93C10">
            <w:pPr>
              <w:rPr>
                <w:b/>
                <w:bCs/>
                <w:sz w:val="22"/>
              </w:rPr>
            </w:pPr>
            <w:r w:rsidRPr="00C93C10">
              <w:rPr>
                <w:b/>
                <w:bCs/>
                <w:sz w:val="22"/>
              </w:rPr>
              <w:t>(247.188)</w:t>
            </w:r>
          </w:p>
        </w:tc>
        <w:tc>
          <w:tcPr>
            <w:tcW w:w="1042" w:type="dxa"/>
            <w:hideMark/>
          </w:tcPr>
          <w:p w14:paraId="489F0DE2" w14:textId="77777777" w:rsidR="00C93C10" w:rsidRPr="00C93C10" w:rsidRDefault="00C93C10" w:rsidP="00C93C10">
            <w:pPr>
              <w:rPr>
                <w:b/>
                <w:bCs/>
                <w:sz w:val="22"/>
              </w:rPr>
            </w:pPr>
            <w:r w:rsidRPr="00C93C10">
              <w:rPr>
                <w:b/>
                <w:bCs/>
                <w:sz w:val="22"/>
              </w:rPr>
              <w:t>(226.450)</w:t>
            </w:r>
          </w:p>
        </w:tc>
      </w:tr>
      <w:tr w:rsidR="00C93C10" w:rsidRPr="00C93C10" w14:paraId="03C063D0" w14:textId="77777777" w:rsidTr="00BC6348">
        <w:trPr>
          <w:trHeight w:val="360"/>
        </w:trPr>
        <w:tc>
          <w:tcPr>
            <w:tcW w:w="3099" w:type="dxa"/>
            <w:noWrap/>
            <w:hideMark/>
          </w:tcPr>
          <w:p w14:paraId="11C773F5" w14:textId="77777777" w:rsidR="00C93C10" w:rsidRPr="00C93C10" w:rsidRDefault="00C93C10" w:rsidP="00C93C10">
            <w:pPr>
              <w:rPr>
                <w:b/>
                <w:bCs/>
                <w:sz w:val="22"/>
              </w:rPr>
            </w:pPr>
            <w:r w:rsidRPr="00C93C10">
              <w:rPr>
                <w:b/>
                <w:bCs/>
                <w:sz w:val="22"/>
              </w:rPr>
              <w:t>Cash surplus / (deficit)</w:t>
            </w:r>
          </w:p>
        </w:tc>
        <w:tc>
          <w:tcPr>
            <w:tcW w:w="1041" w:type="dxa"/>
            <w:hideMark/>
          </w:tcPr>
          <w:p w14:paraId="2BB83C6C" w14:textId="77777777" w:rsidR="00C93C10" w:rsidRPr="00C93C10" w:rsidRDefault="00C93C10" w:rsidP="00C93C10">
            <w:pPr>
              <w:rPr>
                <w:b/>
                <w:bCs/>
                <w:sz w:val="22"/>
              </w:rPr>
            </w:pPr>
            <w:r w:rsidRPr="00C93C10">
              <w:rPr>
                <w:b/>
                <w:bCs/>
                <w:sz w:val="22"/>
              </w:rPr>
              <w:t>16.163</w:t>
            </w:r>
          </w:p>
        </w:tc>
        <w:tc>
          <w:tcPr>
            <w:tcW w:w="1042" w:type="dxa"/>
            <w:hideMark/>
          </w:tcPr>
          <w:p w14:paraId="55F2BA79" w14:textId="77777777" w:rsidR="00C93C10" w:rsidRPr="00C93C10" w:rsidRDefault="00C93C10" w:rsidP="00C93C10">
            <w:pPr>
              <w:rPr>
                <w:b/>
                <w:bCs/>
                <w:sz w:val="22"/>
              </w:rPr>
            </w:pPr>
            <w:r w:rsidRPr="00C93C10">
              <w:rPr>
                <w:b/>
                <w:bCs/>
                <w:sz w:val="22"/>
              </w:rPr>
              <w:t>6.988</w:t>
            </w:r>
          </w:p>
        </w:tc>
        <w:tc>
          <w:tcPr>
            <w:tcW w:w="1042" w:type="dxa"/>
            <w:hideMark/>
          </w:tcPr>
          <w:p w14:paraId="5BE8997C" w14:textId="77777777" w:rsidR="00C93C10" w:rsidRPr="00C93C10" w:rsidRDefault="00C93C10" w:rsidP="00C93C10">
            <w:pPr>
              <w:rPr>
                <w:b/>
                <w:bCs/>
                <w:sz w:val="22"/>
              </w:rPr>
            </w:pPr>
            <w:r w:rsidRPr="00C93C10">
              <w:rPr>
                <w:b/>
                <w:bCs/>
                <w:sz w:val="22"/>
              </w:rPr>
              <w:t>28.725</w:t>
            </w:r>
          </w:p>
        </w:tc>
        <w:tc>
          <w:tcPr>
            <w:tcW w:w="1042" w:type="dxa"/>
            <w:hideMark/>
          </w:tcPr>
          <w:p w14:paraId="0555089C" w14:textId="77777777" w:rsidR="00C93C10" w:rsidRPr="00C93C10" w:rsidRDefault="00C93C10" w:rsidP="00C93C10">
            <w:pPr>
              <w:rPr>
                <w:b/>
                <w:bCs/>
                <w:sz w:val="22"/>
              </w:rPr>
            </w:pPr>
            <w:r w:rsidRPr="00C93C10">
              <w:rPr>
                <w:b/>
                <w:bCs/>
                <w:sz w:val="22"/>
              </w:rPr>
              <w:t>4.900</w:t>
            </w:r>
          </w:p>
        </w:tc>
        <w:tc>
          <w:tcPr>
            <w:tcW w:w="1042" w:type="dxa"/>
            <w:hideMark/>
          </w:tcPr>
          <w:p w14:paraId="2A3804FE" w14:textId="77777777" w:rsidR="00C93C10" w:rsidRPr="00C93C10" w:rsidRDefault="00C93C10" w:rsidP="00C93C10">
            <w:pPr>
              <w:rPr>
                <w:b/>
                <w:bCs/>
                <w:sz w:val="22"/>
              </w:rPr>
            </w:pPr>
            <w:r w:rsidRPr="00C93C10">
              <w:rPr>
                <w:b/>
                <w:bCs/>
                <w:sz w:val="22"/>
              </w:rPr>
              <w:t>2.813</w:t>
            </w:r>
          </w:p>
        </w:tc>
        <w:tc>
          <w:tcPr>
            <w:tcW w:w="1042" w:type="dxa"/>
            <w:hideMark/>
          </w:tcPr>
          <w:p w14:paraId="42244037" w14:textId="77777777" w:rsidR="00C93C10" w:rsidRPr="00C93C10" w:rsidRDefault="00C93C10" w:rsidP="00C93C10">
            <w:pPr>
              <w:rPr>
                <w:b/>
                <w:bCs/>
                <w:sz w:val="22"/>
              </w:rPr>
            </w:pPr>
            <w:r w:rsidRPr="00C93C10">
              <w:rPr>
                <w:b/>
                <w:bCs/>
                <w:sz w:val="22"/>
              </w:rPr>
              <w:t>53.550</w:t>
            </w:r>
          </w:p>
        </w:tc>
      </w:tr>
      <w:tr w:rsidR="00C93C10" w:rsidRPr="00C93C10" w14:paraId="47791F5A" w14:textId="77777777" w:rsidTr="00BC6348">
        <w:trPr>
          <w:trHeight w:val="360"/>
        </w:trPr>
        <w:tc>
          <w:tcPr>
            <w:tcW w:w="3099" w:type="dxa"/>
            <w:noWrap/>
            <w:hideMark/>
          </w:tcPr>
          <w:p w14:paraId="06C1D046" w14:textId="77777777" w:rsidR="00C93C10" w:rsidRPr="00C93C10" w:rsidRDefault="00C93C10" w:rsidP="00C93C10">
            <w:pPr>
              <w:rPr>
                <w:b/>
                <w:bCs/>
                <w:sz w:val="22"/>
              </w:rPr>
            </w:pPr>
            <w:r w:rsidRPr="00C93C10">
              <w:rPr>
                <w:b/>
                <w:bCs/>
                <w:sz w:val="22"/>
              </w:rPr>
              <w:t>Opening balance</w:t>
            </w:r>
          </w:p>
        </w:tc>
        <w:tc>
          <w:tcPr>
            <w:tcW w:w="1041" w:type="dxa"/>
            <w:hideMark/>
          </w:tcPr>
          <w:p w14:paraId="545FB943" w14:textId="77777777" w:rsidR="00C93C10" w:rsidRPr="00C93C10" w:rsidRDefault="00C93C10" w:rsidP="00C93C10">
            <w:pPr>
              <w:rPr>
                <w:b/>
                <w:bCs/>
                <w:sz w:val="22"/>
              </w:rPr>
            </w:pPr>
            <w:r w:rsidRPr="00C93C10">
              <w:rPr>
                <w:b/>
                <w:bCs/>
                <w:sz w:val="22"/>
              </w:rPr>
              <w:t>128.425</w:t>
            </w:r>
          </w:p>
        </w:tc>
        <w:tc>
          <w:tcPr>
            <w:tcW w:w="1042" w:type="dxa"/>
            <w:hideMark/>
          </w:tcPr>
          <w:p w14:paraId="77532324" w14:textId="77777777" w:rsidR="00C93C10" w:rsidRPr="00C93C10" w:rsidRDefault="00C93C10" w:rsidP="00C93C10">
            <w:pPr>
              <w:rPr>
                <w:b/>
                <w:bCs/>
                <w:sz w:val="22"/>
              </w:rPr>
            </w:pPr>
            <w:r w:rsidRPr="00C93C10">
              <w:rPr>
                <w:b/>
                <w:bCs/>
                <w:sz w:val="22"/>
              </w:rPr>
              <w:t>144.588</w:t>
            </w:r>
          </w:p>
        </w:tc>
        <w:tc>
          <w:tcPr>
            <w:tcW w:w="1042" w:type="dxa"/>
            <w:hideMark/>
          </w:tcPr>
          <w:p w14:paraId="4B781A2F" w14:textId="77777777" w:rsidR="00C93C10" w:rsidRPr="00C93C10" w:rsidRDefault="00C93C10" w:rsidP="00C93C10">
            <w:pPr>
              <w:rPr>
                <w:b/>
                <w:bCs/>
                <w:sz w:val="22"/>
              </w:rPr>
            </w:pPr>
            <w:r w:rsidRPr="00C93C10">
              <w:rPr>
                <w:b/>
                <w:bCs/>
                <w:sz w:val="22"/>
              </w:rPr>
              <w:t>151.575</w:t>
            </w:r>
          </w:p>
        </w:tc>
        <w:tc>
          <w:tcPr>
            <w:tcW w:w="1042" w:type="dxa"/>
            <w:hideMark/>
          </w:tcPr>
          <w:p w14:paraId="59914B86" w14:textId="77777777" w:rsidR="00C93C10" w:rsidRPr="00C93C10" w:rsidRDefault="00C93C10" w:rsidP="00C93C10">
            <w:pPr>
              <w:rPr>
                <w:b/>
                <w:bCs/>
                <w:sz w:val="22"/>
              </w:rPr>
            </w:pPr>
            <w:r w:rsidRPr="00C93C10">
              <w:rPr>
                <w:b/>
                <w:bCs/>
                <w:sz w:val="22"/>
              </w:rPr>
              <w:t>180.300</w:t>
            </w:r>
          </w:p>
        </w:tc>
        <w:tc>
          <w:tcPr>
            <w:tcW w:w="1042" w:type="dxa"/>
            <w:hideMark/>
          </w:tcPr>
          <w:p w14:paraId="360B3457" w14:textId="77777777" w:rsidR="00C93C10" w:rsidRPr="00C93C10" w:rsidRDefault="00C93C10" w:rsidP="00C93C10">
            <w:pPr>
              <w:rPr>
                <w:b/>
                <w:bCs/>
                <w:sz w:val="22"/>
              </w:rPr>
            </w:pPr>
            <w:r w:rsidRPr="00C93C10">
              <w:rPr>
                <w:b/>
                <w:bCs/>
                <w:sz w:val="22"/>
              </w:rPr>
              <w:t>185.200</w:t>
            </w:r>
          </w:p>
        </w:tc>
        <w:tc>
          <w:tcPr>
            <w:tcW w:w="1042" w:type="dxa"/>
            <w:hideMark/>
          </w:tcPr>
          <w:p w14:paraId="66E3AD38" w14:textId="77777777" w:rsidR="00C93C10" w:rsidRPr="00C93C10" w:rsidRDefault="00C93C10" w:rsidP="00C93C10">
            <w:pPr>
              <w:rPr>
                <w:b/>
                <w:bCs/>
                <w:sz w:val="22"/>
              </w:rPr>
            </w:pPr>
            <w:r w:rsidRPr="00C93C10">
              <w:rPr>
                <w:b/>
                <w:bCs/>
                <w:sz w:val="22"/>
              </w:rPr>
              <w:t>188.013</w:t>
            </w:r>
          </w:p>
        </w:tc>
      </w:tr>
      <w:tr w:rsidR="00C93C10" w:rsidRPr="00C93C10" w14:paraId="2CAC98C4" w14:textId="77777777" w:rsidTr="00BC6348">
        <w:trPr>
          <w:trHeight w:val="360"/>
        </w:trPr>
        <w:tc>
          <w:tcPr>
            <w:tcW w:w="3099" w:type="dxa"/>
            <w:noWrap/>
            <w:hideMark/>
          </w:tcPr>
          <w:p w14:paraId="0CB489A7" w14:textId="77777777" w:rsidR="00C93C10" w:rsidRPr="00C93C10" w:rsidRDefault="00C93C10" w:rsidP="00C93C10">
            <w:pPr>
              <w:rPr>
                <w:b/>
                <w:bCs/>
                <w:sz w:val="22"/>
              </w:rPr>
            </w:pPr>
            <w:r w:rsidRPr="00C93C10">
              <w:rPr>
                <w:b/>
                <w:bCs/>
                <w:sz w:val="22"/>
              </w:rPr>
              <w:t>Closing balance</w:t>
            </w:r>
          </w:p>
        </w:tc>
        <w:tc>
          <w:tcPr>
            <w:tcW w:w="1041" w:type="dxa"/>
            <w:hideMark/>
          </w:tcPr>
          <w:p w14:paraId="051189DD" w14:textId="77777777" w:rsidR="00C93C10" w:rsidRPr="00C93C10" w:rsidRDefault="00C93C10" w:rsidP="00C93C10">
            <w:pPr>
              <w:rPr>
                <w:b/>
                <w:bCs/>
                <w:sz w:val="22"/>
              </w:rPr>
            </w:pPr>
            <w:r w:rsidRPr="00C93C10">
              <w:rPr>
                <w:b/>
                <w:bCs/>
                <w:sz w:val="22"/>
              </w:rPr>
              <w:t>144.588</w:t>
            </w:r>
          </w:p>
        </w:tc>
        <w:tc>
          <w:tcPr>
            <w:tcW w:w="1042" w:type="dxa"/>
            <w:hideMark/>
          </w:tcPr>
          <w:p w14:paraId="0CE28DA0" w14:textId="77777777" w:rsidR="00C93C10" w:rsidRPr="00C93C10" w:rsidRDefault="00C93C10" w:rsidP="00C93C10">
            <w:pPr>
              <w:rPr>
                <w:b/>
                <w:bCs/>
                <w:sz w:val="22"/>
              </w:rPr>
            </w:pPr>
            <w:r w:rsidRPr="00C93C10">
              <w:rPr>
                <w:b/>
                <w:bCs/>
                <w:sz w:val="22"/>
              </w:rPr>
              <w:t>151.575</w:t>
            </w:r>
          </w:p>
        </w:tc>
        <w:tc>
          <w:tcPr>
            <w:tcW w:w="1042" w:type="dxa"/>
            <w:hideMark/>
          </w:tcPr>
          <w:p w14:paraId="6A5FD84A" w14:textId="77777777" w:rsidR="00C93C10" w:rsidRPr="00C93C10" w:rsidRDefault="00C93C10" w:rsidP="00C93C10">
            <w:pPr>
              <w:rPr>
                <w:b/>
                <w:bCs/>
                <w:sz w:val="22"/>
              </w:rPr>
            </w:pPr>
            <w:r w:rsidRPr="00C93C10">
              <w:rPr>
                <w:b/>
                <w:bCs/>
                <w:sz w:val="22"/>
              </w:rPr>
              <w:t>180.300</w:t>
            </w:r>
          </w:p>
        </w:tc>
        <w:tc>
          <w:tcPr>
            <w:tcW w:w="1042" w:type="dxa"/>
            <w:hideMark/>
          </w:tcPr>
          <w:p w14:paraId="79F96C51" w14:textId="77777777" w:rsidR="00C93C10" w:rsidRPr="00C93C10" w:rsidRDefault="00C93C10" w:rsidP="00C93C10">
            <w:pPr>
              <w:rPr>
                <w:b/>
                <w:bCs/>
                <w:sz w:val="22"/>
              </w:rPr>
            </w:pPr>
            <w:r w:rsidRPr="00C93C10">
              <w:rPr>
                <w:b/>
                <w:bCs/>
                <w:sz w:val="22"/>
              </w:rPr>
              <w:t>185.200</w:t>
            </w:r>
          </w:p>
        </w:tc>
        <w:tc>
          <w:tcPr>
            <w:tcW w:w="1042" w:type="dxa"/>
            <w:hideMark/>
          </w:tcPr>
          <w:p w14:paraId="70BD4CAB" w14:textId="77777777" w:rsidR="00C93C10" w:rsidRPr="00C93C10" w:rsidRDefault="00C93C10" w:rsidP="00C93C10">
            <w:pPr>
              <w:rPr>
                <w:b/>
                <w:bCs/>
                <w:sz w:val="22"/>
              </w:rPr>
            </w:pPr>
            <w:r w:rsidRPr="00C93C10">
              <w:rPr>
                <w:b/>
                <w:bCs/>
                <w:sz w:val="22"/>
              </w:rPr>
              <w:t>188.013</w:t>
            </w:r>
          </w:p>
        </w:tc>
        <w:tc>
          <w:tcPr>
            <w:tcW w:w="1042" w:type="dxa"/>
            <w:hideMark/>
          </w:tcPr>
          <w:p w14:paraId="29333608" w14:textId="77777777" w:rsidR="00C93C10" w:rsidRPr="00C93C10" w:rsidRDefault="00C93C10" w:rsidP="00C93C10">
            <w:pPr>
              <w:rPr>
                <w:b/>
                <w:bCs/>
                <w:sz w:val="22"/>
              </w:rPr>
            </w:pPr>
            <w:r w:rsidRPr="00C93C10">
              <w:rPr>
                <w:b/>
                <w:bCs/>
                <w:sz w:val="22"/>
              </w:rPr>
              <w:t>241.563</w:t>
            </w:r>
          </w:p>
        </w:tc>
      </w:tr>
    </w:tbl>
    <w:p w14:paraId="79997CA2" w14:textId="3B9E52C5" w:rsidR="00FB57E3" w:rsidRPr="00505D1D" w:rsidRDefault="00FB57E3" w:rsidP="00C93C10">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w:t>
      </w:r>
      <w:r w:rsidRPr="00FB57E3">
        <w:t xml:space="preserve">Cash Budget for the Six Months to </w:t>
      </w:r>
      <w:r w:rsidR="00ED2764" w:rsidRPr="00ED2764">
        <w:t>31 December</w:t>
      </w:r>
      <w:r>
        <w:t>, Source: (</w:t>
      </w:r>
      <w:r w:rsidR="00A03F18">
        <w:t>Riaz, 2026</w:t>
      </w:r>
      <w:r>
        <w:t>).</w:t>
      </w:r>
    </w:p>
    <w:p w14:paraId="602E92CC" w14:textId="77777777" w:rsidR="00505D1D" w:rsidRDefault="00505D1D">
      <w:pPr>
        <w:spacing w:after="160" w:line="259" w:lineRule="auto"/>
        <w:jc w:val="left"/>
        <w:rPr>
          <w:rFonts w:eastAsiaTheme="majorEastAsia" w:cstheme="majorBidi"/>
          <w:b/>
          <w:sz w:val="28"/>
          <w:szCs w:val="26"/>
        </w:rPr>
      </w:pPr>
      <w:r>
        <w:br w:type="page"/>
      </w:r>
    </w:p>
    <w:p w14:paraId="75C28E5F" w14:textId="77777777" w:rsidR="0034433C" w:rsidRPr="0034433C" w:rsidRDefault="0034433C" w:rsidP="00DC33F3">
      <w:pPr>
        <w:pStyle w:val="Heading2"/>
      </w:pPr>
      <w:bookmarkStart w:id="4" w:name="_Toc224159446"/>
      <w:r w:rsidRPr="0034433C">
        <w:t>3. Budgeted Profit and Loss Account</w:t>
      </w:r>
      <w:bookmarkEnd w:id="4"/>
      <w:r w:rsidRPr="0034433C">
        <w:t xml:space="preserve"> </w:t>
      </w:r>
    </w:p>
    <w:p w14:paraId="43DCD2CA" w14:textId="50CE92C7" w:rsidR="00094A79" w:rsidRPr="00094A79" w:rsidRDefault="00094A79" w:rsidP="00094A79">
      <w:pPr>
        <w:jc w:val="center"/>
        <w:rPr>
          <w:b/>
        </w:rPr>
      </w:pPr>
      <w:r w:rsidRPr="00094A79">
        <w:rPr>
          <w:b/>
        </w:rPr>
        <w:t>Budgeted Profit and Loss Acco</w:t>
      </w:r>
      <w:r w:rsidR="00C93C10">
        <w:rPr>
          <w:b/>
        </w:rPr>
        <w:t>unt for the Six Months Ending 31 December</w:t>
      </w:r>
    </w:p>
    <w:tbl>
      <w:tblPr>
        <w:tblStyle w:val="TableGrid"/>
        <w:tblW w:w="0" w:type="auto"/>
        <w:tblLook w:val="04A0" w:firstRow="1" w:lastRow="0" w:firstColumn="1" w:lastColumn="0" w:noHBand="0" w:noVBand="1"/>
      </w:tblPr>
      <w:tblGrid>
        <w:gridCol w:w="2830"/>
        <w:gridCol w:w="1701"/>
        <w:gridCol w:w="4819"/>
      </w:tblGrid>
      <w:tr w:rsidR="00463130" w:rsidRPr="00463130" w14:paraId="5BFDCDAA" w14:textId="77777777" w:rsidTr="00ED2764">
        <w:trPr>
          <w:trHeight w:val="390"/>
        </w:trPr>
        <w:tc>
          <w:tcPr>
            <w:tcW w:w="2830" w:type="dxa"/>
            <w:hideMark/>
          </w:tcPr>
          <w:p w14:paraId="2293BFBB" w14:textId="77777777" w:rsidR="00463130" w:rsidRPr="00463130" w:rsidRDefault="00463130" w:rsidP="00463130">
            <w:pPr>
              <w:rPr>
                <w:b/>
                <w:bCs/>
                <w:sz w:val="22"/>
              </w:rPr>
            </w:pPr>
            <w:r w:rsidRPr="00463130">
              <w:rPr>
                <w:b/>
                <w:bCs/>
                <w:sz w:val="22"/>
              </w:rPr>
              <w:t>Particulars</w:t>
            </w:r>
          </w:p>
        </w:tc>
        <w:tc>
          <w:tcPr>
            <w:tcW w:w="1701" w:type="dxa"/>
            <w:hideMark/>
          </w:tcPr>
          <w:p w14:paraId="192F2674" w14:textId="77777777" w:rsidR="00463130" w:rsidRPr="00463130" w:rsidRDefault="00463130" w:rsidP="00463130">
            <w:pPr>
              <w:rPr>
                <w:b/>
                <w:bCs/>
                <w:sz w:val="22"/>
              </w:rPr>
            </w:pPr>
            <w:r w:rsidRPr="00463130">
              <w:rPr>
                <w:b/>
                <w:bCs/>
                <w:sz w:val="22"/>
              </w:rPr>
              <w:t>£000</w:t>
            </w:r>
          </w:p>
        </w:tc>
        <w:tc>
          <w:tcPr>
            <w:tcW w:w="4819" w:type="dxa"/>
            <w:hideMark/>
          </w:tcPr>
          <w:p w14:paraId="40E2E87D" w14:textId="77777777" w:rsidR="00463130" w:rsidRPr="00463130" w:rsidRDefault="00463130" w:rsidP="00463130">
            <w:pPr>
              <w:rPr>
                <w:b/>
                <w:bCs/>
                <w:sz w:val="22"/>
              </w:rPr>
            </w:pPr>
            <w:r w:rsidRPr="00463130">
              <w:rPr>
                <w:b/>
                <w:bCs/>
                <w:sz w:val="22"/>
              </w:rPr>
              <w:t>Calculation</w:t>
            </w:r>
          </w:p>
        </w:tc>
      </w:tr>
      <w:tr w:rsidR="00463130" w:rsidRPr="00463130" w14:paraId="43EBB332" w14:textId="77777777" w:rsidTr="00ED2764">
        <w:trPr>
          <w:trHeight w:val="360"/>
        </w:trPr>
        <w:tc>
          <w:tcPr>
            <w:tcW w:w="2830" w:type="dxa"/>
            <w:noWrap/>
            <w:hideMark/>
          </w:tcPr>
          <w:p w14:paraId="32C7CCD3" w14:textId="77777777" w:rsidR="00463130" w:rsidRPr="00463130" w:rsidRDefault="00463130" w:rsidP="00463130">
            <w:pPr>
              <w:rPr>
                <w:sz w:val="22"/>
              </w:rPr>
            </w:pPr>
            <w:r w:rsidRPr="00463130">
              <w:rPr>
                <w:sz w:val="22"/>
              </w:rPr>
              <w:t>Sales</w:t>
            </w:r>
          </w:p>
        </w:tc>
        <w:tc>
          <w:tcPr>
            <w:tcW w:w="1701" w:type="dxa"/>
            <w:hideMark/>
          </w:tcPr>
          <w:p w14:paraId="36097ADE" w14:textId="77777777" w:rsidR="00463130" w:rsidRPr="00463130" w:rsidRDefault="00463130" w:rsidP="00463130">
            <w:pPr>
              <w:rPr>
                <w:sz w:val="22"/>
              </w:rPr>
            </w:pPr>
            <w:r w:rsidRPr="00463130">
              <w:rPr>
                <w:sz w:val="22"/>
              </w:rPr>
              <w:t>1,470</w:t>
            </w:r>
          </w:p>
        </w:tc>
        <w:tc>
          <w:tcPr>
            <w:tcW w:w="4819" w:type="dxa"/>
            <w:noWrap/>
            <w:hideMark/>
          </w:tcPr>
          <w:p w14:paraId="24BB63AD" w14:textId="77777777" w:rsidR="00463130" w:rsidRPr="00463130" w:rsidRDefault="00463130" w:rsidP="00463130">
            <w:pPr>
              <w:rPr>
                <w:sz w:val="22"/>
              </w:rPr>
            </w:pPr>
            <w:r w:rsidRPr="00463130">
              <w:rPr>
                <w:sz w:val="22"/>
              </w:rPr>
              <w:t>210+230+260+240+250+280</w:t>
            </w:r>
          </w:p>
        </w:tc>
      </w:tr>
      <w:tr w:rsidR="00463130" w:rsidRPr="00463130" w14:paraId="5B2633B9" w14:textId="77777777" w:rsidTr="00ED2764">
        <w:trPr>
          <w:trHeight w:val="360"/>
        </w:trPr>
        <w:tc>
          <w:tcPr>
            <w:tcW w:w="2830" w:type="dxa"/>
            <w:noWrap/>
            <w:hideMark/>
          </w:tcPr>
          <w:p w14:paraId="44466CB7" w14:textId="77777777" w:rsidR="00463130" w:rsidRPr="00463130" w:rsidRDefault="00463130" w:rsidP="00463130">
            <w:pPr>
              <w:rPr>
                <w:sz w:val="22"/>
              </w:rPr>
            </w:pPr>
            <w:r w:rsidRPr="00463130">
              <w:rPr>
                <w:sz w:val="22"/>
              </w:rPr>
              <w:t>Cost of goods sold</w:t>
            </w:r>
          </w:p>
        </w:tc>
        <w:tc>
          <w:tcPr>
            <w:tcW w:w="1701" w:type="dxa"/>
            <w:hideMark/>
          </w:tcPr>
          <w:p w14:paraId="5CC5835E" w14:textId="77777777" w:rsidR="00463130" w:rsidRPr="00463130" w:rsidRDefault="00463130" w:rsidP="00463130">
            <w:pPr>
              <w:rPr>
                <w:sz w:val="22"/>
              </w:rPr>
            </w:pPr>
            <w:r w:rsidRPr="00463130">
              <w:rPr>
                <w:sz w:val="22"/>
              </w:rPr>
              <w:t>(882)</w:t>
            </w:r>
          </w:p>
        </w:tc>
        <w:tc>
          <w:tcPr>
            <w:tcW w:w="4819" w:type="dxa"/>
            <w:noWrap/>
            <w:hideMark/>
          </w:tcPr>
          <w:p w14:paraId="204D93A7" w14:textId="77777777" w:rsidR="00463130" w:rsidRPr="00463130" w:rsidRDefault="00463130" w:rsidP="00463130">
            <w:pPr>
              <w:rPr>
                <w:sz w:val="22"/>
              </w:rPr>
            </w:pPr>
            <w:r w:rsidRPr="00463130">
              <w:rPr>
                <w:sz w:val="22"/>
              </w:rPr>
              <w:t>£1,470,000 x 60%</w:t>
            </w:r>
          </w:p>
        </w:tc>
      </w:tr>
      <w:tr w:rsidR="00463130" w:rsidRPr="00463130" w14:paraId="7CBBE46A" w14:textId="77777777" w:rsidTr="00ED2764">
        <w:trPr>
          <w:trHeight w:val="360"/>
        </w:trPr>
        <w:tc>
          <w:tcPr>
            <w:tcW w:w="2830" w:type="dxa"/>
            <w:noWrap/>
            <w:hideMark/>
          </w:tcPr>
          <w:p w14:paraId="639B3A0A" w14:textId="77777777" w:rsidR="00463130" w:rsidRPr="00463130" w:rsidRDefault="00463130" w:rsidP="00463130">
            <w:pPr>
              <w:rPr>
                <w:b/>
                <w:bCs/>
                <w:sz w:val="22"/>
              </w:rPr>
            </w:pPr>
            <w:r w:rsidRPr="00463130">
              <w:rPr>
                <w:b/>
                <w:bCs/>
                <w:sz w:val="22"/>
              </w:rPr>
              <w:t>Gross profit</w:t>
            </w:r>
          </w:p>
        </w:tc>
        <w:tc>
          <w:tcPr>
            <w:tcW w:w="1701" w:type="dxa"/>
            <w:hideMark/>
          </w:tcPr>
          <w:p w14:paraId="550E78CF" w14:textId="77777777" w:rsidR="00463130" w:rsidRPr="00463130" w:rsidRDefault="00463130" w:rsidP="00463130">
            <w:pPr>
              <w:rPr>
                <w:b/>
                <w:bCs/>
                <w:sz w:val="22"/>
              </w:rPr>
            </w:pPr>
            <w:r w:rsidRPr="00463130">
              <w:rPr>
                <w:b/>
                <w:bCs/>
                <w:sz w:val="22"/>
              </w:rPr>
              <w:t>588</w:t>
            </w:r>
          </w:p>
        </w:tc>
        <w:tc>
          <w:tcPr>
            <w:tcW w:w="4819" w:type="dxa"/>
            <w:noWrap/>
            <w:hideMark/>
          </w:tcPr>
          <w:p w14:paraId="273D7B9C" w14:textId="77777777" w:rsidR="00463130" w:rsidRPr="00463130" w:rsidRDefault="00463130" w:rsidP="00463130">
            <w:pPr>
              <w:rPr>
                <w:sz w:val="22"/>
              </w:rPr>
            </w:pPr>
            <w:r w:rsidRPr="00463130">
              <w:rPr>
                <w:sz w:val="22"/>
              </w:rPr>
              <w:t>£1,470,000 x 40%</w:t>
            </w:r>
          </w:p>
        </w:tc>
      </w:tr>
      <w:tr w:rsidR="00463130" w:rsidRPr="00463130" w14:paraId="6465467C" w14:textId="77777777" w:rsidTr="00ED2764">
        <w:trPr>
          <w:trHeight w:val="360"/>
        </w:trPr>
        <w:tc>
          <w:tcPr>
            <w:tcW w:w="2830" w:type="dxa"/>
            <w:noWrap/>
            <w:hideMark/>
          </w:tcPr>
          <w:p w14:paraId="4F36A10E" w14:textId="77777777" w:rsidR="00463130" w:rsidRPr="00463130" w:rsidRDefault="00463130" w:rsidP="00463130">
            <w:pPr>
              <w:rPr>
                <w:sz w:val="22"/>
              </w:rPr>
            </w:pPr>
            <w:r w:rsidRPr="00463130">
              <w:rPr>
                <w:sz w:val="22"/>
              </w:rPr>
              <w:t>Selling expenses</w:t>
            </w:r>
          </w:p>
        </w:tc>
        <w:tc>
          <w:tcPr>
            <w:tcW w:w="1701" w:type="dxa"/>
            <w:hideMark/>
          </w:tcPr>
          <w:p w14:paraId="7DCD7B50" w14:textId="77777777" w:rsidR="00463130" w:rsidRPr="00463130" w:rsidRDefault="00463130" w:rsidP="00463130">
            <w:pPr>
              <w:rPr>
                <w:sz w:val="22"/>
              </w:rPr>
            </w:pPr>
            <w:r w:rsidRPr="00463130">
              <w:rPr>
                <w:sz w:val="22"/>
              </w:rPr>
              <w:t>(45)</w:t>
            </w:r>
          </w:p>
        </w:tc>
        <w:tc>
          <w:tcPr>
            <w:tcW w:w="4819" w:type="dxa"/>
            <w:noWrap/>
            <w:hideMark/>
          </w:tcPr>
          <w:p w14:paraId="4F00951D" w14:textId="77777777" w:rsidR="00463130" w:rsidRPr="00463130" w:rsidRDefault="00463130" w:rsidP="00463130">
            <w:pPr>
              <w:rPr>
                <w:sz w:val="22"/>
              </w:rPr>
            </w:pPr>
            <w:r w:rsidRPr="00463130">
              <w:rPr>
                <w:sz w:val="22"/>
              </w:rPr>
              <w:t>6+7+8+9+7+8 (accruals basis)</w:t>
            </w:r>
          </w:p>
        </w:tc>
      </w:tr>
      <w:tr w:rsidR="00463130" w:rsidRPr="00463130" w14:paraId="03884C9C" w14:textId="77777777" w:rsidTr="00ED2764">
        <w:trPr>
          <w:trHeight w:val="360"/>
        </w:trPr>
        <w:tc>
          <w:tcPr>
            <w:tcW w:w="2830" w:type="dxa"/>
            <w:noWrap/>
            <w:hideMark/>
          </w:tcPr>
          <w:p w14:paraId="1C4DF1CB" w14:textId="77777777" w:rsidR="00463130" w:rsidRPr="00463130" w:rsidRDefault="00463130" w:rsidP="00463130">
            <w:pPr>
              <w:rPr>
                <w:sz w:val="22"/>
              </w:rPr>
            </w:pPr>
            <w:r w:rsidRPr="00463130">
              <w:rPr>
                <w:sz w:val="22"/>
              </w:rPr>
              <w:t>Administration expenses</w:t>
            </w:r>
          </w:p>
        </w:tc>
        <w:tc>
          <w:tcPr>
            <w:tcW w:w="1701" w:type="dxa"/>
            <w:hideMark/>
          </w:tcPr>
          <w:p w14:paraId="7541BE0D" w14:textId="77777777" w:rsidR="00463130" w:rsidRPr="00463130" w:rsidRDefault="00463130" w:rsidP="00463130">
            <w:pPr>
              <w:rPr>
                <w:sz w:val="22"/>
              </w:rPr>
            </w:pPr>
            <w:r w:rsidRPr="00463130">
              <w:rPr>
                <w:sz w:val="22"/>
              </w:rPr>
              <w:t>(159)</w:t>
            </w:r>
          </w:p>
        </w:tc>
        <w:tc>
          <w:tcPr>
            <w:tcW w:w="4819" w:type="dxa"/>
            <w:noWrap/>
            <w:hideMark/>
          </w:tcPr>
          <w:p w14:paraId="7624F999" w14:textId="77777777" w:rsidR="00463130" w:rsidRPr="00463130" w:rsidRDefault="00463130" w:rsidP="00463130">
            <w:pPr>
              <w:rPr>
                <w:sz w:val="22"/>
              </w:rPr>
            </w:pPr>
            <w:r w:rsidRPr="00463130">
              <w:rPr>
                <w:sz w:val="22"/>
              </w:rPr>
              <w:t>24+25+26+27+28+29 (includes depreciation)</w:t>
            </w:r>
          </w:p>
        </w:tc>
      </w:tr>
      <w:tr w:rsidR="00463130" w:rsidRPr="00463130" w14:paraId="515F1EDA" w14:textId="77777777" w:rsidTr="00ED2764">
        <w:trPr>
          <w:trHeight w:val="360"/>
        </w:trPr>
        <w:tc>
          <w:tcPr>
            <w:tcW w:w="2830" w:type="dxa"/>
            <w:noWrap/>
            <w:hideMark/>
          </w:tcPr>
          <w:p w14:paraId="1EEFB10D" w14:textId="77777777" w:rsidR="00463130" w:rsidRPr="00463130" w:rsidRDefault="00463130" w:rsidP="00463130">
            <w:pPr>
              <w:rPr>
                <w:sz w:val="22"/>
              </w:rPr>
            </w:pPr>
            <w:r w:rsidRPr="00463130">
              <w:rPr>
                <w:sz w:val="22"/>
              </w:rPr>
              <w:t>Credit card charges</w:t>
            </w:r>
          </w:p>
        </w:tc>
        <w:tc>
          <w:tcPr>
            <w:tcW w:w="1701" w:type="dxa"/>
            <w:hideMark/>
          </w:tcPr>
          <w:p w14:paraId="6C67F1EC" w14:textId="77777777" w:rsidR="00463130" w:rsidRPr="00463130" w:rsidRDefault="00463130" w:rsidP="00463130">
            <w:pPr>
              <w:rPr>
                <w:sz w:val="22"/>
              </w:rPr>
            </w:pPr>
            <w:r w:rsidRPr="00463130">
              <w:rPr>
                <w:sz w:val="22"/>
              </w:rPr>
              <w:t>(13)</w:t>
            </w:r>
          </w:p>
        </w:tc>
        <w:tc>
          <w:tcPr>
            <w:tcW w:w="4819" w:type="dxa"/>
            <w:noWrap/>
            <w:hideMark/>
          </w:tcPr>
          <w:p w14:paraId="6AB8DF65" w14:textId="77777777" w:rsidR="00463130" w:rsidRPr="00463130" w:rsidRDefault="00463130" w:rsidP="00463130">
            <w:pPr>
              <w:rPr>
                <w:sz w:val="22"/>
              </w:rPr>
            </w:pPr>
            <w:r w:rsidRPr="00463130">
              <w:rPr>
                <w:sz w:val="22"/>
              </w:rPr>
              <w:t>£1,470,000 x 35% x 2.5%</w:t>
            </w:r>
          </w:p>
        </w:tc>
      </w:tr>
      <w:tr w:rsidR="00463130" w:rsidRPr="00463130" w14:paraId="0F524CF9" w14:textId="77777777" w:rsidTr="00ED2764">
        <w:trPr>
          <w:trHeight w:val="360"/>
        </w:trPr>
        <w:tc>
          <w:tcPr>
            <w:tcW w:w="2830" w:type="dxa"/>
            <w:noWrap/>
            <w:hideMark/>
          </w:tcPr>
          <w:p w14:paraId="492F6005" w14:textId="77777777" w:rsidR="00463130" w:rsidRPr="00463130" w:rsidRDefault="00463130" w:rsidP="00463130">
            <w:pPr>
              <w:rPr>
                <w:b/>
                <w:bCs/>
                <w:sz w:val="22"/>
              </w:rPr>
            </w:pPr>
            <w:r w:rsidRPr="00463130">
              <w:rPr>
                <w:b/>
                <w:bCs/>
                <w:sz w:val="22"/>
              </w:rPr>
              <w:t>Operating profit</w:t>
            </w:r>
          </w:p>
        </w:tc>
        <w:tc>
          <w:tcPr>
            <w:tcW w:w="1701" w:type="dxa"/>
            <w:hideMark/>
          </w:tcPr>
          <w:p w14:paraId="39837CF4" w14:textId="77777777" w:rsidR="00463130" w:rsidRPr="00463130" w:rsidRDefault="00463130" w:rsidP="00463130">
            <w:pPr>
              <w:rPr>
                <w:b/>
                <w:bCs/>
                <w:sz w:val="22"/>
              </w:rPr>
            </w:pPr>
            <w:r w:rsidRPr="00463130">
              <w:rPr>
                <w:b/>
                <w:bCs/>
                <w:sz w:val="22"/>
              </w:rPr>
              <w:t>371</w:t>
            </w:r>
          </w:p>
        </w:tc>
        <w:tc>
          <w:tcPr>
            <w:tcW w:w="4819" w:type="dxa"/>
            <w:noWrap/>
            <w:hideMark/>
          </w:tcPr>
          <w:p w14:paraId="045D6E04" w14:textId="77777777" w:rsidR="00463130" w:rsidRPr="00463130" w:rsidRDefault="00463130" w:rsidP="00463130">
            <w:pPr>
              <w:rPr>
                <w:sz w:val="22"/>
              </w:rPr>
            </w:pPr>
            <w:r w:rsidRPr="00463130">
              <w:rPr>
                <w:sz w:val="22"/>
              </w:rPr>
              <w:t> </w:t>
            </w:r>
          </w:p>
        </w:tc>
      </w:tr>
      <w:tr w:rsidR="00463130" w:rsidRPr="00463130" w14:paraId="585B7072" w14:textId="77777777" w:rsidTr="00ED2764">
        <w:trPr>
          <w:trHeight w:val="360"/>
        </w:trPr>
        <w:tc>
          <w:tcPr>
            <w:tcW w:w="2830" w:type="dxa"/>
            <w:noWrap/>
            <w:hideMark/>
          </w:tcPr>
          <w:p w14:paraId="635FA4CD" w14:textId="77777777" w:rsidR="00463130" w:rsidRPr="00463130" w:rsidRDefault="00463130" w:rsidP="00463130">
            <w:pPr>
              <w:rPr>
                <w:sz w:val="22"/>
              </w:rPr>
            </w:pPr>
            <w:r w:rsidRPr="00463130">
              <w:rPr>
                <w:sz w:val="22"/>
              </w:rPr>
              <w:t>Interest payable (Note 5)</w:t>
            </w:r>
          </w:p>
        </w:tc>
        <w:tc>
          <w:tcPr>
            <w:tcW w:w="1701" w:type="dxa"/>
            <w:hideMark/>
          </w:tcPr>
          <w:p w14:paraId="67423D16" w14:textId="77777777" w:rsidR="00463130" w:rsidRPr="00463130" w:rsidRDefault="00463130" w:rsidP="00463130">
            <w:pPr>
              <w:rPr>
                <w:sz w:val="22"/>
              </w:rPr>
            </w:pPr>
            <w:r w:rsidRPr="00463130">
              <w:rPr>
                <w:sz w:val="22"/>
              </w:rPr>
              <w:t>(6)</w:t>
            </w:r>
          </w:p>
        </w:tc>
        <w:tc>
          <w:tcPr>
            <w:tcW w:w="4819" w:type="dxa"/>
            <w:noWrap/>
            <w:hideMark/>
          </w:tcPr>
          <w:p w14:paraId="732E756B" w14:textId="77777777" w:rsidR="00463130" w:rsidRPr="00463130" w:rsidRDefault="00463130" w:rsidP="00463130">
            <w:pPr>
              <w:rPr>
                <w:sz w:val="22"/>
              </w:rPr>
            </w:pPr>
            <w:r w:rsidRPr="00463130">
              <w:rPr>
                <w:sz w:val="22"/>
              </w:rPr>
              <w:t>£1,000 x 6 months</w:t>
            </w:r>
          </w:p>
        </w:tc>
      </w:tr>
      <w:tr w:rsidR="00463130" w:rsidRPr="00463130" w14:paraId="53EA4537" w14:textId="77777777" w:rsidTr="00ED2764">
        <w:trPr>
          <w:trHeight w:val="360"/>
        </w:trPr>
        <w:tc>
          <w:tcPr>
            <w:tcW w:w="2830" w:type="dxa"/>
            <w:noWrap/>
            <w:hideMark/>
          </w:tcPr>
          <w:p w14:paraId="46F5B8E1" w14:textId="77777777" w:rsidR="00463130" w:rsidRPr="00463130" w:rsidRDefault="00463130" w:rsidP="00463130">
            <w:pPr>
              <w:rPr>
                <w:b/>
                <w:bCs/>
                <w:sz w:val="22"/>
              </w:rPr>
            </w:pPr>
            <w:r w:rsidRPr="00463130">
              <w:rPr>
                <w:b/>
                <w:bCs/>
                <w:sz w:val="22"/>
              </w:rPr>
              <w:t>Profit for the period</w:t>
            </w:r>
          </w:p>
        </w:tc>
        <w:tc>
          <w:tcPr>
            <w:tcW w:w="1701" w:type="dxa"/>
            <w:hideMark/>
          </w:tcPr>
          <w:p w14:paraId="5BC2660E" w14:textId="77777777" w:rsidR="00463130" w:rsidRPr="00463130" w:rsidRDefault="00463130" w:rsidP="00463130">
            <w:pPr>
              <w:rPr>
                <w:b/>
                <w:bCs/>
                <w:sz w:val="22"/>
              </w:rPr>
            </w:pPr>
            <w:r w:rsidRPr="00463130">
              <w:rPr>
                <w:b/>
                <w:bCs/>
                <w:sz w:val="22"/>
              </w:rPr>
              <w:t>365</w:t>
            </w:r>
          </w:p>
        </w:tc>
        <w:tc>
          <w:tcPr>
            <w:tcW w:w="4819" w:type="dxa"/>
            <w:noWrap/>
            <w:hideMark/>
          </w:tcPr>
          <w:p w14:paraId="4BD20A84" w14:textId="77777777" w:rsidR="00463130" w:rsidRPr="00463130" w:rsidRDefault="00463130" w:rsidP="00463130">
            <w:pPr>
              <w:rPr>
                <w:sz w:val="22"/>
              </w:rPr>
            </w:pPr>
            <w:r w:rsidRPr="00463130">
              <w:rPr>
                <w:sz w:val="22"/>
              </w:rPr>
              <w:t> </w:t>
            </w:r>
          </w:p>
        </w:tc>
      </w:tr>
    </w:tbl>
    <w:p w14:paraId="277A2B16" w14:textId="7DDD1F0A" w:rsidR="00094A79" w:rsidRDefault="00FB57E3" w:rsidP="00ED2764">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xml:space="preserve">: </w:t>
      </w:r>
      <w:r w:rsidRPr="00FB57E3">
        <w:t xml:space="preserve">Budgeted Profit and Loss Account for the Six Months Ending </w:t>
      </w:r>
      <w:r w:rsidR="00ED2764" w:rsidRPr="00ED2764">
        <w:t>31 December</w:t>
      </w:r>
      <w:r>
        <w:t>, Source: (</w:t>
      </w:r>
      <w:r w:rsidR="00A03F18">
        <w:t>Riaz, 2026</w:t>
      </w:r>
      <w:r>
        <w:t>).</w:t>
      </w:r>
    </w:p>
    <w:p w14:paraId="17A979CB" w14:textId="73ED3F12" w:rsidR="0034433C" w:rsidRPr="0034433C" w:rsidRDefault="0034433C" w:rsidP="0034433C">
      <w:r w:rsidRPr="0034433C">
        <w:rPr>
          <w:b/>
          <w:bCs/>
        </w:rPr>
        <w:t>Gross profit margin:</w:t>
      </w:r>
      <w:r w:rsidRPr="0034433C">
        <w:t xml:space="preserve"> </w:t>
      </w:r>
      <w:r w:rsidR="00A96DC0" w:rsidRPr="00A96DC0">
        <w:t>£588,000 / £1,470,000 = 40% (as per the given margin, confirming accuracy of workings.)</w:t>
      </w:r>
    </w:p>
    <w:p w14:paraId="5BB20D8D" w14:textId="77777777" w:rsidR="0034433C" w:rsidRPr="0034433C" w:rsidRDefault="0034433C" w:rsidP="0034433C">
      <w:r w:rsidRPr="0034433C">
        <w:t> </w:t>
      </w:r>
    </w:p>
    <w:p w14:paraId="58BECBE3" w14:textId="77777777" w:rsidR="00D52F3A" w:rsidRDefault="00D52F3A">
      <w:pPr>
        <w:spacing w:after="160" w:line="259" w:lineRule="auto"/>
        <w:jc w:val="left"/>
      </w:pPr>
      <w:r>
        <w:br w:type="page"/>
      </w:r>
    </w:p>
    <w:p w14:paraId="2AA0B25C" w14:textId="77777777" w:rsidR="0034433C" w:rsidRPr="0034433C" w:rsidRDefault="0034433C" w:rsidP="00D52F3A">
      <w:pPr>
        <w:pStyle w:val="Heading1"/>
      </w:pPr>
      <w:bookmarkStart w:id="5" w:name="_Toc224159447"/>
      <w:r w:rsidRPr="0034433C">
        <w:t>3.0 Part (b): Problems Identified and Management Actions</w:t>
      </w:r>
      <w:bookmarkEnd w:id="5"/>
    </w:p>
    <w:p w14:paraId="71E746AA" w14:textId="58749F2F" w:rsidR="0034433C" w:rsidRDefault="0034433C" w:rsidP="0034433C">
      <w:r w:rsidRPr="0034433C">
        <w:t xml:space="preserve">The cash budget shows that Silver Stitch Ltd manages to settle its £30,000 overdraft in the month of June as the immediate bank requirement. But a more detailed look at the monthly numbers reveals that there are a number of hidden financial issues that the management should take </w:t>
      </w:r>
      <w:r w:rsidR="00553DE7">
        <w:t xml:space="preserve">the </w:t>
      </w:r>
      <w:r w:rsidRPr="0034433C">
        <w:t>initiative to address. Budgets ought to be prepared, not just as a paper and stored, but as diagnostic tools to indicate areas of financial risk and make the right corrective decisions (</w:t>
      </w:r>
      <w:proofErr w:type="spellStart"/>
      <w:r w:rsidRPr="0034433C">
        <w:t>Appuhami</w:t>
      </w:r>
      <w:proofErr w:type="spellEnd"/>
      <w:r w:rsidRPr="0034433C">
        <w:t xml:space="preserve">, </w:t>
      </w:r>
      <w:proofErr w:type="spellStart"/>
      <w:r w:rsidRPr="0034433C">
        <w:t>Bhuiyan</w:t>
      </w:r>
      <w:proofErr w:type="spellEnd"/>
      <w:r w:rsidRPr="0034433C">
        <w:t xml:space="preserve"> and </w:t>
      </w:r>
      <w:proofErr w:type="spellStart"/>
      <w:r w:rsidRPr="0034433C">
        <w:t>Boedker</w:t>
      </w:r>
      <w:proofErr w:type="spellEnd"/>
      <w:r w:rsidRPr="0034433C">
        <w:t>, 2024). Budgetary analysis is one of the primary factors of business sustainability, especially in the case of retail businesses with multiple locations (</w:t>
      </w:r>
      <w:proofErr w:type="spellStart"/>
      <w:r w:rsidRPr="0034433C">
        <w:t>Matsoso</w:t>
      </w:r>
      <w:proofErr w:type="spellEnd"/>
      <w:r w:rsidRPr="0034433C">
        <w:t xml:space="preserve">, </w:t>
      </w:r>
      <w:proofErr w:type="spellStart"/>
      <w:r w:rsidRPr="0034433C">
        <w:t>Nyathi</w:t>
      </w:r>
      <w:proofErr w:type="spellEnd"/>
      <w:r w:rsidRPr="0034433C">
        <w:t xml:space="preserve"> and </w:t>
      </w:r>
      <w:proofErr w:type="spellStart"/>
      <w:r w:rsidRPr="0034433C">
        <w:t>Nakpodia</w:t>
      </w:r>
      <w:proofErr w:type="spellEnd"/>
      <w:r w:rsidRPr="0034433C">
        <w:t>, 2021).</w:t>
      </w:r>
    </w:p>
    <w:p w14:paraId="508EE064" w14:textId="77777777" w:rsidR="00FB57E3" w:rsidRDefault="00FB57E3" w:rsidP="00FB57E3">
      <w:pPr>
        <w:keepNext/>
        <w:jc w:val="center"/>
      </w:pPr>
      <w:r>
        <w:rPr>
          <w:noProof/>
          <w:lang w:eastAsia="en-GB"/>
        </w:rPr>
        <w:drawing>
          <wp:inline distT="0" distB="0" distL="0" distR="0" wp14:anchorId="587508F7" wp14:editId="6B6E346D">
            <wp:extent cx="4745403" cy="36787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9722" cy="3682049"/>
                    </a:xfrm>
                    <a:prstGeom prst="rect">
                      <a:avLst/>
                    </a:prstGeom>
                  </pic:spPr>
                </pic:pic>
              </a:graphicData>
            </a:graphic>
          </wp:inline>
        </w:drawing>
      </w:r>
    </w:p>
    <w:p w14:paraId="1443471B" w14:textId="1FFE5546" w:rsidR="00FB57E3" w:rsidRPr="0034433C" w:rsidRDefault="00FB57E3" w:rsidP="00FB57E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Key Financial Problem Identified, Source: (</w:t>
      </w:r>
      <w:r w:rsidR="00A03F18">
        <w:t>Riaz, 2026</w:t>
      </w:r>
      <w:r>
        <w:t>).</w:t>
      </w:r>
    </w:p>
    <w:p w14:paraId="740B8410" w14:textId="77777777" w:rsidR="0034433C" w:rsidRPr="00D52F3A" w:rsidRDefault="0034433C" w:rsidP="0034433C">
      <w:pPr>
        <w:rPr>
          <w:b/>
        </w:rPr>
      </w:pPr>
      <w:r w:rsidRPr="00D52F3A">
        <w:rPr>
          <w:b/>
        </w:rPr>
        <w:t>Problem 1: Narrow Monthly Cash Surpluses</w:t>
      </w:r>
    </w:p>
    <w:p w14:paraId="78D64EEC" w14:textId="0D0BA585" w:rsidR="0034433C" w:rsidRPr="0034433C" w:rsidRDefault="0034433C" w:rsidP="0034433C">
      <w:r w:rsidRPr="0034433C">
        <w:t xml:space="preserve">Despite an increase in the closing balance of cash between </w:t>
      </w:r>
      <w:r w:rsidR="000A5783">
        <w:t xml:space="preserve">July </w:t>
      </w:r>
      <w:r w:rsidRPr="0034433C">
        <w:t xml:space="preserve">and November of </w:t>
      </w:r>
      <w:r w:rsidR="000A5783" w:rsidRPr="000A5783">
        <w:t>£144,588</w:t>
      </w:r>
      <w:r w:rsidR="000A5783">
        <w:t xml:space="preserve"> </w:t>
      </w:r>
      <w:r w:rsidRPr="0034433C">
        <w:t>and</w:t>
      </w:r>
      <w:r w:rsidR="001A5D69" w:rsidRPr="001A5D69">
        <w:t xml:space="preserve"> </w:t>
      </w:r>
      <w:r w:rsidR="001A5D69">
        <w:t>£188,013</w:t>
      </w:r>
      <w:r w:rsidRPr="0034433C">
        <w:t xml:space="preserve">, respectively, the monthly surpluses are very small. </w:t>
      </w:r>
      <w:r w:rsidR="00595798">
        <w:t xml:space="preserve">For </w:t>
      </w:r>
      <w:r w:rsidRPr="0034433C">
        <w:t xml:space="preserve">example, the months of October and November only make £4,900 and £2,813, respectively. This tightening margin has minimal cover against unplanned spending or </w:t>
      </w:r>
      <w:r w:rsidRPr="003435F9">
        <w:rPr>
          <w:color w:val="000000" w:themeColor="text1"/>
        </w:rPr>
        <w:t xml:space="preserve">revenue deficits. </w:t>
      </w:r>
      <w:r w:rsidR="00A805C0" w:rsidRPr="003435F9">
        <w:rPr>
          <w:color w:val="000000" w:themeColor="text1"/>
        </w:rPr>
        <w:t>A company whose current ratio is below the suggested standard of 2 to 1, such as Silver Stitch Ltd</w:t>
      </w:r>
      <w:r w:rsidR="00F659BD" w:rsidRPr="003435F9">
        <w:rPr>
          <w:color w:val="000000" w:themeColor="text1"/>
        </w:rPr>
        <w:t>,</w:t>
      </w:r>
      <w:r w:rsidR="00A805C0" w:rsidRPr="003435F9">
        <w:rPr>
          <w:color w:val="000000" w:themeColor="text1"/>
        </w:rPr>
        <w:t xml:space="preserve"> with its small monthly surpluses and current liabilities of loans, will be at greater risk of receiving a cash call across its twelve-store network. The monthly tracking of the liquidity ratio would enable the directors to know when their cash positions are poor before the situation becomes alarming. </w:t>
      </w:r>
      <w:r w:rsidRPr="003435F9">
        <w:rPr>
          <w:color w:val="000000" w:themeColor="text1"/>
        </w:rPr>
        <w:t xml:space="preserve">Companies </w:t>
      </w:r>
      <w:r w:rsidRPr="0034433C">
        <w:t xml:space="preserve">that have been exposed to cash flow shocks and have liquidity buffers that are inadequate are exposed to very high risks of financial distress (Brown, Gustafson and Ivanov, 2021). The management of healthy cash also involves the removal of </w:t>
      </w:r>
      <w:r w:rsidR="00F659BD" w:rsidRPr="0034433C">
        <w:t>deficits</w:t>
      </w:r>
      <w:r w:rsidR="00553DE7">
        <w:t>,</w:t>
      </w:r>
      <w:r w:rsidR="00F659BD">
        <w:t xml:space="preserve"> but</w:t>
      </w:r>
      <w:r w:rsidRPr="0034433C">
        <w:t xml:space="preserve"> ensuring that there are proper positive balances as protection of operations (</w:t>
      </w:r>
      <w:proofErr w:type="spellStart"/>
      <w:r w:rsidRPr="0034433C">
        <w:t>Atrill</w:t>
      </w:r>
      <w:proofErr w:type="spellEnd"/>
      <w:r w:rsidRPr="0034433C">
        <w:t xml:space="preserve"> and </w:t>
      </w:r>
      <w:proofErr w:type="spellStart"/>
      <w:r w:rsidRPr="0034433C">
        <w:t>McLaney</w:t>
      </w:r>
      <w:proofErr w:type="spellEnd"/>
      <w:r w:rsidRPr="0034433C">
        <w:t>, 2021). The management style must, therefore, consider the introduction of a minimum cash reserve policy because structured cash reserves are one of the best measures of surviving financial stress during the turbulent trading conditions (</w:t>
      </w:r>
      <w:proofErr w:type="spellStart"/>
      <w:r w:rsidRPr="0034433C">
        <w:t>Przychocka</w:t>
      </w:r>
      <w:proofErr w:type="spellEnd"/>
      <w:r w:rsidRPr="0034433C">
        <w:t xml:space="preserve">, </w:t>
      </w:r>
      <w:proofErr w:type="spellStart"/>
      <w:r w:rsidRPr="0034433C">
        <w:t>Sikorski</w:t>
      </w:r>
      <w:proofErr w:type="spellEnd"/>
      <w:r w:rsidRPr="0034433C">
        <w:t xml:space="preserve"> and </w:t>
      </w:r>
      <w:proofErr w:type="spellStart"/>
      <w:r w:rsidRPr="0034433C">
        <w:t>Milewski</w:t>
      </w:r>
      <w:proofErr w:type="spellEnd"/>
      <w:r w:rsidRPr="0034433C">
        <w:t>, 2024).</w:t>
      </w:r>
    </w:p>
    <w:p w14:paraId="509EB057" w14:textId="77777777" w:rsidR="0034433C" w:rsidRPr="00D52F3A" w:rsidRDefault="0034433C" w:rsidP="0034433C">
      <w:pPr>
        <w:rPr>
          <w:b/>
        </w:rPr>
      </w:pPr>
      <w:r w:rsidRPr="00D52F3A">
        <w:rPr>
          <w:b/>
        </w:rPr>
        <w:t xml:space="preserve">Problem 2: Rising Stock Levels and </w:t>
      </w:r>
      <w:proofErr w:type="spellStart"/>
      <w:r w:rsidRPr="00D52F3A">
        <w:rPr>
          <w:b/>
        </w:rPr>
        <w:t>Overpurchasing</w:t>
      </w:r>
      <w:proofErr w:type="spellEnd"/>
    </w:p>
    <w:p w14:paraId="72DFD624" w14:textId="262095BB" w:rsidR="0034433C" w:rsidRPr="0034433C" w:rsidRDefault="0034433C" w:rsidP="0034433C">
      <w:r w:rsidRPr="0034433C">
        <w:t xml:space="preserve">The stock budget shows a steady accumulation of inventory over the time period, with the closing stock increasing as </w:t>
      </w:r>
      <w:r w:rsidRPr="003435F9">
        <w:rPr>
          <w:color w:val="000000" w:themeColor="text1"/>
        </w:rPr>
        <w:t xml:space="preserve">high as </w:t>
      </w:r>
      <w:r w:rsidR="007248CF" w:rsidRPr="003435F9">
        <w:rPr>
          <w:color w:val="000000" w:themeColor="text1"/>
        </w:rPr>
        <w:t>£388,000 in December</w:t>
      </w:r>
      <w:r w:rsidRPr="003435F9">
        <w:rPr>
          <w:color w:val="000000" w:themeColor="text1"/>
        </w:rPr>
        <w:t xml:space="preserve">, which is far above the required minimum stock of £50,000. </w:t>
      </w:r>
      <w:r w:rsidR="00A805C0" w:rsidRPr="003435F9">
        <w:rPr>
          <w:color w:val="000000" w:themeColor="text1"/>
        </w:rPr>
        <w:t xml:space="preserve">The stock turnover ratio of Silver Stitch Ltd would be decreasing over the period since closing stock increases between the months of July and December to £154,000 and £388,000, respectively. The declining stock turnover ratio is </w:t>
      </w:r>
      <w:r w:rsidR="00F659BD" w:rsidRPr="003435F9">
        <w:rPr>
          <w:color w:val="000000" w:themeColor="text1"/>
        </w:rPr>
        <w:t>an</w:t>
      </w:r>
      <w:r w:rsidR="00A805C0" w:rsidRPr="003435F9">
        <w:rPr>
          <w:color w:val="000000" w:themeColor="text1"/>
        </w:rPr>
        <w:t xml:space="preserve"> indicator of growing amounts of the working capital involved in the unsold inventory and less money to attend to the operational needs like the loan repayment</w:t>
      </w:r>
      <w:r w:rsidR="00A00E7A" w:rsidRPr="003435F9">
        <w:rPr>
          <w:color w:val="000000" w:themeColor="text1"/>
        </w:rPr>
        <w:t xml:space="preserve"> (Mohamed, </w:t>
      </w:r>
      <w:proofErr w:type="spellStart"/>
      <w:r w:rsidR="00A00E7A" w:rsidRPr="003435F9">
        <w:rPr>
          <w:color w:val="000000" w:themeColor="text1"/>
        </w:rPr>
        <w:t>Kerosi</w:t>
      </w:r>
      <w:proofErr w:type="spellEnd"/>
      <w:r w:rsidR="00A00E7A" w:rsidRPr="003435F9">
        <w:rPr>
          <w:color w:val="000000" w:themeColor="text1"/>
        </w:rPr>
        <w:t xml:space="preserve"> and </w:t>
      </w:r>
      <w:proofErr w:type="spellStart"/>
      <w:r w:rsidR="00A00E7A" w:rsidRPr="003435F9">
        <w:rPr>
          <w:color w:val="000000" w:themeColor="text1"/>
        </w:rPr>
        <w:t>Tirimba</w:t>
      </w:r>
      <w:proofErr w:type="spellEnd"/>
      <w:r w:rsidR="00A00E7A" w:rsidRPr="003435F9">
        <w:rPr>
          <w:color w:val="000000" w:themeColor="text1"/>
        </w:rPr>
        <w:t>, 2016).</w:t>
      </w:r>
      <w:r w:rsidR="00A805C0" w:rsidRPr="003435F9">
        <w:rPr>
          <w:color w:val="000000" w:themeColor="text1"/>
        </w:rPr>
        <w:t xml:space="preserve"> </w:t>
      </w:r>
      <w:r w:rsidRPr="003435F9">
        <w:rPr>
          <w:color w:val="000000" w:themeColor="text1"/>
        </w:rPr>
        <w:t xml:space="preserve">This </w:t>
      </w:r>
      <w:r w:rsidRPr="0034433C">
        <w:t>trend shows that anticipated purchases are significantly out of the sales volume of stock being sold per month. One of the main causes of cash flow inefficiency in organisations is poor inventory management since the amount of capital tied up in stocks that cannot be utilised elsewhere cannot be used to advan</w:t>
      </w:r>
      <w:r w:rsidR="00A00E7A">
        <w:t xml:space="preserve">ce other operational functions </w:t>
      </w:r>
      <w:r w:rsidR="00A00E7A" w:rsidRPr="00A00E7A">
        <w:t xml:space="preserve">(Mohamed, </w:t>
      </w:r>
      <w:proofErr w:type="spellStart"/>
      <w:r w:rsidR="00A00E7A" w:rsidRPr="00A00E7A">
        <w:t>Kerosi</w:t>
      </w:r>
      <w:proofErr w:type="spellEnd"/>
      <w:r w:rsidR="00A00E7A" w:rsidRPr="00A00E7A">
        <w:t xml:space="preserve"> and </w:t>
      </w:r>
      <w:proofErr w:type="spellStart"/>
      <w:r w:rsidR="00A00E7A" w:rsidRPr="00A00E7A">
        <w:t>Tirimba</w:t>
      </w:r>
      <w:proofErr w:type="spellEnd"/>
      <w:r w:rsidR="00A00E7A" w:rsidRPr="00A00E7A">
        <w:t>, 2016).</w:t>
      </w:r>
      <w:r w:rsidRPr="0034433C">
        <w:t xml:space="preserve"> The management of working capital is a vital aspect of financial performance that is mostly underrated in businesses that have complicated supply chains (Seal, Garrison and Noreen, 2018). The buying timetable needs to be critically examined by the management, with the stock orders to be adjusted more in line with real demand in sales, especially in those periods that the stock has accumulated the highest level of excess.</w:t>
      </w:r>
    </w:p>
    <w:p w14:paraId="60C876AD" w14:textId="77777777" w:rsidR="0096649F" w:rsidRDefault="0096649F" w:rsidP="0034433C">
      <w:pPr>
        <w:rPr>
          <w:b/>
        </w:rPr>
      </w:pPr>
    </w:p>
    <w:p w14:paraId="1027096F" w14:textId="30023C1A" w:rsidR="0034433C" w:rsidRPr="00D52F3A" w:rsidRDefault="0034433C" w:rsidP="0034433C">
      <w:pPr>
        <w:rPr>
          <w:b/>
        </w:rPr>
      </w:pPr>
      <w:r w:rsidRPr="00D52F3A">
        <w:rPr>
          <w:b/>
        </w:rPr>
        <w:t>Problem 3: Large Stock Payments Suppressing Cash Flow</w:t>
      </w:r>
    </w:p>
    <w:p w14:paraId="44A19F72" w14:textId="12D991D2" w:rsidR="0034433C" w:rsidRPr="0034433C" w:rsidRDefault="007248CF" w:rsidP="0034433C">
      <w:r w:rsidRPr="007248CF">
        <w:t>Since the suppliers are paid one month in arrears, the cash budget shows huge stock payments since August, and the highest payment is in November of £210,000 for purchases made in October alone.</w:t>
      </w:r>
      <w:r>
        <w:t xml:space="preserve"> </w:t>
      </w:r>
      <w:r w:rsidR="00A805C0" w:rsidRPr="003435F9">
        <w:rPr>
          <w:color w:val="000000" w:themeColor="text1"/>
        </w:rPr>
        <w:t>Silver Stitch Ltd is currently operating on a credit of about 30 days. This would be an immediate reduction in cash stress, especially in October and November, whe</w:t>
      </w:r>
      <w:r w:rsidR="003435F9" w:rsidRPr="003435F9">
        <w:rPr>
          <w:color w:val="000000" w:themeColor="text1"/>
        </w:rPr>
        <w:t>n</w:t>
      </w:r>
      <w:r w:rsidR="00A805C0" w:rsidRPr="003435F9">
        <w:rPr>
          <w:color w:val="000000" w:themeColor="text1"/>
        </w:rPr>
        <w:t xml:space="preserve"> the business will have surpluses of just 600 and 400 days, respectively, and this would provide the business with more financial room during its twelve-store operation. </w:t>
      </w:r>
      <w:r w:rsidR="0034433C" w:rsidRPr="003435F9">
        <w:rPr>
          <w:color w:val="000000" w:themeColor="text1"/>
        </w:rPr>
        <w:t xml:space="preserve">Such </w:t>
      </w:r>
      <w:r w:rsidR="0034433C" w:rsidRPr="0034433C">
        <w:t>large outflows have a huge impact on the cash surpluses in the months. Late payment requirements, though they are very useful in the short term to reach liquidity, may impose concentrated cash strain in the later periods if not properly planned and monitored (</w:t>
      </w:r>
      <w:r w:rsidR="006F2BC0">
        <w:t xml:space="preserve">Okeke </w:t>
      </w:r>
      <w:r w:rsidR="0034433C" w:rsidRPr="0034433C">
        <w:t xml:space="preserve">et al., 2024). The incongruence between the purchasing cycles and the cash availability is a typical source of the liquidity strain in the expanding retail corporations (Mohamed, </w:t>
      </w:r>
      <w:proofErr w:type="spellStart"/>
      <w:r w:rsidR="0034433C" w:rsidRPr="0034433C">
        <w:t>Kerosi</w:t>
      </w:r>
      <w:proofErr w:type="spellEnd"/>
      <w:r w:rsidR="0034433C" w:rsidRPr="0034433C">
        <w:t xml:space="preserve"> and </w:t>
      </w:r>
      <w:proofErr w:type="spellStart"/>
      <w:r w:rsidR="0034433C" w:rsidRPr="0034433C">
        <w:t>Tirimba</w:t>
      </w:r>
      <w:proofErr w:type="spellEnd"/>
      <w:r w:rsidR="0034433C" w:rsidRPr="0034433C">
        <w:t>, 2016). The management ought to strike a long credit with suppliers, such as changing to two months' credit instead of one month's credit, which would moderate the outflows significantly.</w:t>
      </w:r>
    </w:p>
    <w:p w14:paraId="076EB421" w14:textId="77777777" w:rsidR="0034433C" w:rsidRPr="00D52F3A" w:rsidRDefault="0034433C" w:rsidP="0034433C">
      <w:pPr>
        <w:rPr>
          <w:b/>
        </w:rPr>
      </w:pPr>
      <w:r w:rsidRPr="00D52F3A">
        <w:rPr>
          <w:b/>
        </w:rPr>
        <w:t>Problem 4: Store Refurbishment Expenditure</w:t>
      </w:r>
    </w:p>
    <w:p w14:paraId="14B6E2F3" w14:textId="7EB9E3A1" w:rsidR="007248CF" w:rsidRDefault="007248CF" w:rsidP="0034433C">
      <w:r w:rsidRPr="007248CF">
        <w:t xml:space="preserve">The refurbishment programme is a </w:t>
      </w:r>
      <w:r w:rsidRPr="003435F9">
        <w:rPr>
          <w:color w:val="000000" w:themeColor="text1"/>
        </w:rPr>
        <w:t xml:space="preserve">major expenditure of cash of £37,000 in July, August and September when stock payments are also at their peak. </w:t>
      </w:r>
      <w:r w:rsidR="00A805C0" w:rsidRPr="003435F9">
        <w:rPr>
          <w:color w:val="000000" w:themeColor="text1"/>
        </w:rPr>
        <w:t xml:space="preserve">Allocating capital expenditure of £37,000 to the same three months as the highest stock payments of £150,000, £180,000 and £170,000, respectively, would have a significant adverse effect on the cash position of Silver Stitch Ltd. Even redistributing £10,000 of refurbishment to October or even November would make a significant difference in the cash position. </w:t>
      </w:r>
      <w:r w:rsidRPr="003435F9">
        <w:rPr>
          <w:color w:val="000000" w:themeColor="text1"/>
        </w:rPr>
        <w:t xml:space="preserve">This occurs </w:t>
      </w:r>
      <w:r w:rsidRPr="007248CF">
        <w:t>because the concentration of capital spending over a similar period with the highest operational outflows puts the business in a financial vulnerability by exerting compounding effects on cash balances (Bhimani et al., 2024). The spend</w:t>
      </w:r>
      <w:r w:rsidR="00553DE7">
        <w:t>ing</w:t>
      </w:r>
      <w:r w:rsidRPr="007248CF">
        <w:t xml:space="preserve"> timing decisions should be cautiously planned based on the cash flow projections to prevent the establishment of unnecessary liquidity risks (Horner, 2020). The management must then contemplate staging the refurbishment schedule in a different manner, taking one part of the refurbishment to October or November when the monthly surpluses are relatively more stable.</w:t>
      </w:r>
    </w:p>
    <w:p w14:paraId="6DB7D62C" w14:textId="3A817D76" w:rsidR="0034433C" w:rsidRPr="00D52F3A" w:rsidRDefault="0034433C" w:rsidP="0034433C">
      <w:pPr>
        <w:rPr>
          <w:b/>
        </w:rPr>
      </w:pPr>
      <w:r w:rsidRPr="00D52F3A">
        <w:rPr>
          <w:b/>
        </w:rPr>
        <w:t>Problem 5: Credit Card Charges Eroding Profitability</w:t>
      </w:r>
    </w:p>
    <w:p w14:paraId="40A053F0" w14:textId="22CCF4EE" w:rsidR="0034433C" w:rsidRPr="0034433C" w:rsidRDefault="0034433C" w:rsidP="0034433C">
      <w:r w:rsidRPr="0034433C">
        <w:t xml:space="preserve">The credit card expenses amount to about </w:t>
      </w:r>
      <w:r w:rsidR="000A5783" w:rsidRPr="000A5783">
        <w:t>£13,000</w:t>
      </w:r>
      <w:r w:rsidR="000A5783">
        <w:t xml:space="preserve"> </w:t>
      </w:r>
      <w:r w:rsidRPr="0034433C">
        <w:t xml:space="preserve">in the course of six months. Since 35% of the customers use credit cards and the cost of each transaction is 2.5% processing, it is a recurring cost that will directly decrease net receipts </w:t>
      </w:r>
      <w:r w:rsidRPr="003435F9">
        <w:rPr>
          <w:color w:val="000000" w:themeColor="text1"/>
        </w:rPr>
        <w:t>every month.</w:t>
      </w:r>
      <w:r w:rsidR="00A805C0" w:rsidRPr="003435F9">
        <w:rPr>
          <w:color w:val="000000" w:themeColor="text1"/>
        </w:rPr>
        <w:t xml:space="preserve"> In the case of Silver Stitch Ltd, the net profit margin will be about 24.8% (£365,000/£1,470,000), as the gross profit margin will be 40, but the margin will be decreased by the credit card charge of £13,000. Direct ways to enhance net profitability in all twelve stores would be by renegotiating the processing rate or incentivising alternative payments. </w:t>
      </w:r>
      <w:r w:rsidRPr="003435F9">
        <w:rPr>
          <w:color w:val="000000" w:themeColor="text1"/>
        </w:rPr>
        <w:t xml:space="preserve"> Such </w:t>
      </w:r>
      <w:r w:rsidRPr="0034433C">
        <w:t>incremental financial costs are a weakness in the retail business's financial management that is characterised by a lack of awareness, and when compounded over a trading period, they are material (</w:t>
      </w:r>
      <w:proofErr w:type="spellStart"/>
      <w:r w:rsidRPr="0034433C">
        <w:t>Eniola</w:t>
      </w:r>
      <w:proofErr w:type="spellEnd"/>
      <w:r w:rsidRPr="0034433C">
        <w:t xml:space="preserve"> and </w:t>
      </w:r>
      <w:proofErr w:type="spellStart"/>
      <w:r w:rsidRPr="0034433C">
        <w:t>Entebang</w:t>
      </w:r>
      <w:proofErr w:type="spellEnd"/>
      <w:r w:rsidRPr="0034433C">
        <w:t>, 2017). This type of service charge needs to be clearly budgeted and tracked instead of being considered as unavoidable background costs (</w:t>
      </w:r>
      <w:proofErr w:type="spellStart"/>
      <w:r w:rsidRPr="0034433C">
        <w:t>Atrill</w:t>
      </w:r>
      <w:proofErr w:type="spellEnd"/>
      <w:r w:rsidRPr="0034433C">
        <w:t xml:space="preserve"> and </w:t>
      </w:r>
      <w:proofErr w:type="spellStart"/>
      <w:r w:rsidRPr="0034433C">
        <w:t>McLaney</w:t>
      </w:r>
      <w:proofErr w:type="spellEnd"/>
      <w:r w:rsidRPr="0034433C">
        <w:t xml:space="preserve">, 2018). The management needs to consider the option of renegotiating the credit card processing rate or whether it can </w:t>
      </w:r>
      <w:r w:rsidR="00553DE7">
        <w:t>offer</w:t>
      </w:r>
      <w:r w:rsidRPr="0034433C">
        <w:t xml:space="preserve"> an incentive for alternative ways of making payments to limit the exposure in the long run to such charges.</w:t>
      </w:r>
    </w:p>
    <w:p w14:paraId="31896E59" w14:textId="77777777" w:rsidR="00D52F3A" w:rsidRDefault="00D52F3A">
      <w:pPr>
        <w:spacing w:after="160" w:line="259" w:lineRule="auto"/>
        <w:jc w:val="left"/>
      </w:pPr>
      <w:r>
        <w:br w:type="page"/>
      </w:r>
    </w:p>
    <w:p w14:paraId="005B0F06" w14:textId="48C308EE" w:rsidR="0034433C" w:rsidRDefault="0034433C" w:rsidP="00D52F3A">
      <w:pPr>
        <w:pStyle w:val="Heading1"/>
      </w:pPr>
      <w:bookmarkStart w:id="6" w:name="_Toc224159448"/>
      <w:r w:rsidRPr="0034433C">
        <w:t>4.0 Part (c): Budgetary Control and Behavioural Considerations</w:t>
      </w:r>
      <w:bookmarkEnd w:id="6"/>
    </w:p>
    <w:p w14:paraId="405BFF9E" w14:textId="77777777" w:rsidR="00D52F3A" w:rsidRPr="00D52F3A" w:rsidRDefault="00D52F3A" w:rsidP="00D52F3A">
      <w:pPr>
        <w:pStyle w:val="Heading2"/>
      </w:pPr>
      <w:bookmarkStart w:id="7" w:name="_Toc224159449"/>
      <w:r>
        <w:t xml:space="preserve">4.1 </w:t>
      </w:r>
      <w:r w:rsidRPr="00D52F3A">
        <w:t>Conditions for Successful Budgetary Control</w:t>
      </w:r>
      <w:bookmarkEnd w:id="7"/>
    </w:p>
    <w:p w14:paraId="246A3136" w14:textId="77777777" w:rsidR="0034433C" w:rsidRDefault="0034433C" w:rsidP="0034433C">
      <w:r w:rsidRPr="0034433C">
        <w:t>Budgeting is not an accounting exercise but is a complicated organisational undertaking, which needs adequate structural, cultural, and managerial underpinnings to provide results that count (Drury, 2021). A system of budgetary control needs several conditions important within an organisation in order to work effectively.</w:t>
      </w:r>
    </w:p>
    <w:p w14:paraId="18EE9A32" w14:textId="77777777" w:rsidR="006A14D0" w:rsidRDefault="006A14D0" w:rsidP="006A14D0">
      <w:pPr>
        <w:keepNext/>
      </w:pPr>
      <w:r>
        <w:rPr>
          <w:noProof/>
          <w:lang w:eastAsia="en-GB"/>
        </w:rPr>
        <w:drawing>
          <wp:inline distT="0" distB="0" distL="0" distR="0" wp14:anchorId="1F149AEA" wp14:editId="76AA8C98">
            <wp:extent cx="5943600" cy="368573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49E1EC6" w14:textId="5B5EA1CE" w:rsidR="006A14D0" w:rsidRPr="0034433C" w:rsidRDefault="006A14D0" w:rsidP="006A14D0">
      <w:pPr>
        <w:pStyle w:val="Caption"/>
        <w:jc w:val="center"/>
      </w:pPr>
      <w:r>
        <w:t xml:space="preserve">Figure </w:t>
      </w:r>
      <w:r>
        <w:fldChar w:fldCharType="begin"/>
      </w:r>
      <w:r>
        <w:instrText xml:space="preserve"> SEQ Figure \* ARABIC </w:instrText>
      </w:r>
      <w:r>
        <w:fldChar w:fldCharType="separate"/>
      </w:r>
      <w:r w:rsidR="00FB57E3">
        <w:rPr>
          <w:noProof/>
        </w:rPr>
        <w:t>2</w:t>
      </w:r>
      <w:r>
        <w:fldChar w:fldCharType="end"/>
      </w:r>
      <w:r>
        <w:t>: Successful Budgetary Control Conditions, Source: (</w:t>
      </w:r>
      <w:r w:rsidR="00A03F18">
        <w:t>Riaz, 2026</w:t>
      </w:r>
      <w:r>
        <w:t>).</w:t>
      </w:r>
    </w:p>
    <w:p w14:paraId="110F44A9" w14:textId="77777777" w:rsidR="0034433C" w:rsidRPr="00D52F3A" w:rsidRDefault="0034433C" w:rsidP="0034433C">
      <w:pPr>
        <w:rPr>
          <w:b/>
        </w:rPr>
      </w:pPr>
      <w:r w:rsidRPr="00D52F3A">
        <w:rPr>
          <w:b/>
        </w:rPr>
        <w:t>Top Management Support and Commitment</w:t>
      </w:r>
    </w:p>
    <w:p w14:paraId="11C9B9C0" w14:textId="77777777" w:rsidR="0034433C" w:rsidRPr="0034433C" w:rsidRDefault="0034433C" w:rsidP="0034433C">
      <w:r w:rsidRPr="0034433C">
        <w:t>One of the most essential prerequisites of successful budgetary control is visible and real commitment by the senior management (Ramlall and Grobbelaar, 2024). Without this, the budgets will not be taken seriously at the operational levels, as they will not promote the behaviours required to control the finances. Attitudes of the upper management have a direct impact on the involvement of the lower-level managers, and where the top management is not committed, the whole system becomes unbelievable. Financial planning frameworks can only produce anything significant when the leadership promotes their usage and continues to reiterate their significance throughout the organisation (</w:t>
      </w:r>
      <w:proofErr w:type="spellStart"/>
      <w:r w:rsidRPr="0034433C">
        <w:t>Kolitz</w:t>
      </w:r>
      <w:proofErr w:type="spellEnd"/>
      <w:r w:rsidRPr="0034433C">
        <w:t>, 2017).</w:t>
      </w:r>
    </w:p>
    <w:p w14:paraId="02E7B0A1" w14:textId="77777777" w:rsidR="0034433C" w:rsidRPr="0034433C" w:rsidRDefault="0034433C" w:rsidP="0034433C">
      <w:r w:rsidRPr="00D52F3A">
        <w:rPr>
          <w:b/>
        </w:rPr>
        <w:t>Clear</w:t>
      </w:r>
      <w:r w:rsidRPr="0034433C">
        <w:t xml:space="preserve"> </w:t>
      </w:r>
      <w:r w:rsidRPr="00D52F3A">
        <w:rPr>
          <w:b/>
        </w:rPr>
        <w:t>Organisational Goals and Strategic Alignment</w:t>
      </w:r>
    </w:p>
    <w:p w14:paraId="0D6FB49B" w14:textId="6CC48363" w:rsidR="0034433C" w:rsidRPr="0034433C" w:rsidRDefault="0034433C" w:rsidP="0034433C">
      <w:r w:rsidRPr="0034433C">
        <w:t xml:space="preserve">Budgets should be well aligned to the strategic goals of the organisation because budgets that are made without </w:t>
      </w:r>
      <w:r w:rsidR="00553DE7">
        <w:t xml:space="preserve">a </w:t>
      </w:r>
      <w:r w:rsidRPr="0034433C">
        <w:t>strategy lose touch and become irrelevant documents that do not have a lot of relevance to the real priorities of the organisation (</w:t>
      </w:r>
      <w:proofErr w:type="spellStart"/>
      <w:r w:rsidRPr="0034433C">
        <w:t>Alhasnawi</w:t>
      </w:r>
      <w:proofErr w:type="spellEnd"/>
      <w:r w:rsidRPr="0034433C">
        <w:t xml:space="preserve"> et al., 2024). The clarity of budget goals has been proven to have a strong impact on enhancing the performance of the managers as well</w:t>
      </w:r>
      <w:r w:rsidR="00553DE7">
        <w:t>,</w:t>
      </w:r>
      <w:r w:rsidRPr="0034433C">
        <w:t xml:space="preserve"> since every employee knows his or her part in achieving the financial goals. Cost budgets that are made without the consideration of the strategic direction often lead to the misallocation of resources and performance targets (Datar and Rajan, 2017).</w:t>
      </w:r>
    </w:p>
    <w:p w14:paraId="117066EB" w14:textId="77777777" w:rsidR="0034433C" w:rsidRPr="00D52F3A" w:rsidRDefault="0034433C" w:rsidP="0034433C">
      <w:pPr>
        <w:rPr>
          <w:b/>
        </w:rPr>
      </w:pPr>
      <w:r w:rsidRPr="00D52F3A">
        <w:rPr>
          <w:b/>
        </w:rPr>
        <w:t>Reliable Management Information Systems</w:t>
      </w:r>
    </w:p>
    <w:p w14:paraId="2029103A" w14:textId="77777777" w:rsidR="0034433C" w:rsidRPr="0034433C" w:rsidRDefault="0034433C" w:rsidP="0034433C">
      <w:r w:rsidRPr="0034433C">
        <w:t>Effective budgetary control requires that there is accurate, timely and relevant financial information (Bergmann et al., 2020). Managers are unable to track variances meaningfully and make effective corrective decisions without good data systems. Digitisation of the budgeting process, such as business analytics tools, has been revealed to raise the satisfaction with the results of budgeting and financial decision-making levels considerably. Management information determines the level of budgetary control directly because the decisions made can only be as good as the data on which they are made (</w:t>
      </w:r>
      <w:proofErr w:type="spellStart"/>
      <w:r w:rsidRPr="0034433C">
        <w:t>Atrill</w:t>
      </w:r>
      <w:proofErr w:type="spellEnd"/>
      <w:r w:rsidRPr="0034433C">
        <w:t xml:space="preserve"> and </w:t>
      </w:r>
      <w:proofErr w:type="spellStart"/>
      <w:r w:rsidRPr="0034433C">
        <w:t>McLaney</w:t>
      </w:r>
      <w:proofErr w:type="spellEnd"/>
      <w:r w:rsidRPr="0034433C">
        <w:t>, 2021).</w:t>
      </w:r>
    </w:p>
    <w:p w14:paraId="62604627" w14:textId="77777777" w:rsidR="0034433C" w:rsidRPr="00D52F3A" w:rsidRDefault="0034433C" w:rsidP="0034433C">
      <w:pPr>
        <w:rPr>
          <w:b/>
        </w:rPr>
      </w:pPr>
      <w:r w:rsidRPr="00D52F3A">
        <w:rPr>
          <w:b/>
        </w:rPr>
        <w:t>Participative Budgeting and Employee Involvement</w:t>
      </w:r>
    </w:p>
    <w:p w14:paraId="22703224" w14:textId="77777777" w:rsidR="0034433C" w:rsidRPr="0034433C" w:rsidRDefault="0034433C" w:rsidP="0034433C">
      <w:r w:rsidRPr="0034433C">
        <w:t>It is commonly known that involvement in the budgeting process is a highly important prerequisite to success because when budget holders are involved in defining their own goals, they feel more ownership and dedication towards them in terms of accomplishment (Koomson et al., 2025). It has also been observed that innovative behaviour mediates the relationship between budgetary participation and task performance, implying that the engagement of employees on a deeper level creates wider organisational benefits than have been imposed by financial control. Budget participation also has a positive influence on the performance of managers, as it improves motivation, commitment and the quality of financial planning in general (</w:t>
      </w:r>
      <w:proofErr w:type="spellStart"/>
      <w:r w:rsidRPr="0034433C">
        <w:t>Alhasnawi</w:t>
      </w:r>
      <w:proofErr w:type="spellEnd"/>
      <w:r w:rsidRPr="0034433C">
        <w:t xml:space="preserve"> et al., 2024).</w:t>
      </w:r>
    </w:p>
    <w:p w14:paraId="45405F1A" w14:textId="6B7B6444" w:rsidR="0034433C" w:rsidRPr="00D52F3A" w:rsidRDefault="0034433C" w:rsidP="0034433C">
      <w:pPr>
        <w:rPr>
          <w:b/>
        </w:rPr>
      </w:pPr>
      <w:r w:rsidRPr="00D52F3A">
        <w:rPr>
          <w:b/>
        </w:rPr>
        <w:t xml:space="preserve">Regular Monitoring </w:t>
      </w:r>
      <w:r w:rsidR="00E92002">
        <w:rPr>
          <w:b/>
        </w:rPr>
        <w:t>and Tracking KPI</w:t>
      </w:r>
    </w:p>
    <w:p w14:paraId="518D41FC" w14:textId="09B8B982" w:rsidR="0034433C" w:rsidRDefault="0034433C" w:rsidP="0034433C">
      <w:r w:rsidRPr="0034433C">
        <w:t>An annual budget that is not evaluated against actual performance is not very useful (</w:t>
      </w:r>
      <w:proofErr w:type="spellStart"/>
      <w:r w:rsidRPr="0034433C">
        <w:t>Nkundabanyanga</w:t>
      </w:r>
      <w:proofErr w:type="spellEnd"/>
      <w:r w:rsidRPr="0034433C">
        <w:t xml:space="preserve"> et al., 2023). Environmental uncertainty and the organisational culture are some contingency factors that have a big impact on the effectiveness with which the budget actors react to the variances and take corrective action. The most direct and easy-to-act-upon key performance indicators relate directly to budget targets and give the management the best insights as to whether the performance is not going as planned (Marr, 2013).</w:t>
      </w:r>
    </w:p>
    <w:p w14:paraId="370BACE3" w14:textId="77777777" w:rsidR="00E92002" w:rsidRPr="00E92002" w:rsidRDefault="00E92002" w:rsidP="00E92002">
      <w:r w:rsidRPr="00E92002">
        <w:t xml:space="preserve">Budgetary control must identify and track certain Key Performance Indicators (KPIs) that will transform budgetary goals into performance indicators (Marr, 2013). In the case of Silver Stitch Ltd, some of the relevant KPIs would be gross profit margin (must be maintained at 40%), the amount of closing cash at the end of the month, which will have to be positive (due to the </w:t>
      </w:r>
      <w:proofErr w:type="spellStart"/>
      <w:r w:rsidRPr="00E92002">
        <w:t>overpurchasing</w:t>
      </w:r>
      <w:proofErr w:type="spellEnd"/>
      <w:r w:rsidRPr="00E92002">
        <w:t xml:space="preserve"> trend observed in Part A), and the ratio of credit card charges to sales. According to Drury (2021), KPIs have to be directly related to strategic goals to be substantial so that managers can take action on variances and not merely note them down. Where actual performance is not on budget, such as when closing stock is still increasing over and above 388,000, or monthly cash surpluses are less than a certain minimum, the management should be authorised to enquire and act. Periodic reporting of KPI thus makes the budget not a fixed plan but a control tool (</w:t>
      </w:r>
      <w:proofErr w:type="spellStart"/>
      <w:r w:rsidRPr="00E92002">
        <w:t>Atrill</w:t>
      </w:r>
      <w:proofErr w:type="spellEnd"/>
      <w:r w:rsidRPr="00E92002">
        <w:t xml:space="preserve"> and </w:t>
      </w:r>
      <w:proofErr w:type="spellStart"/>
      <w:r w:rsidRPr="00E92002">
        <w:t>McLaney</w:t>
      </w:r>
      <w:proofErr w:type="spellEnd"/>
      <w:r w:rsidRPr="00E92002">
        <w:t>, 2021).</w:t>
      </w:r>
    </w:p>
    <w:p w14:paraId="0EB161AF" w14:textId="77777777" w:rsidR="00E92002" w:rsidRPr="0034433C" w:rsidRDefault="00E92002" w:rsidP="0034433C"/>
    <w:p w14:paraId="47E95C7F" w14:textId="77777777" w:rsidR="00C423E0" w:rsidRDefault="00C423E0">
      <w:pPr>
        <w:spacing w:after="160" w:line="259" w:lineRule="auto"/>
        <w:jc w:val="left"/>
        <w:rPr>
          <w:rFonts w:eastAsiaTheme="majorEastAsia" w:cstheme="majorBidi"/>
          <w:b/>
          <w:sz w:val="28"/>
          <w:szCs w:val="26"/>
        </w:rPr>
      </w:pPr>
      <w:r>
        <w:br w:type="page"/>
      </w:r>
    </w:p>
    <w:p w14:paraId="33293CB6" w14:textId="0750F590" w:rsidR="0034433C" w:rsidRPr="00D52F3A" w:rsidRDefault="00D52F3A" w:rsidP="00D52F3A">
      <w:pPr>
        <w:pStyle w:val="Heading2"/>
      </w:pPr>
      <w:bookmarkStart w:id="8" w:name="_Toc224159450"/>
      <w:r>
        <w:t xml:space="preserve">4.2 </w:t>
      </w:r>
      <w:r w:rsidR="0034433C" w:rsidRPr="00D52F3A">
        <w:t>Behavioural Considerations in Budgeting</w:t>
      </w:r>
      <w:bookmarkEnd w:id="8"/>
    </w:p>
    <w:p w14:paraId="500AD5A0" w14:textId="77777777" w:rsidR="0034433C" w:rsidRDefault="0034433C" w:rsidP="0034433C">
      <w:r w:rsidRPr="0034433C">
        <w:t>In addition to the above structural conditions, the implementation of a budgeting system generates a serious behavioural dynamic that might or might not facilitate its effectiveness.</w:t>
      </w:r>
    </w:p>
    <w:p w14:paraId="4AB24E37" w14:textId="77777777" w:rsidR="006A14D0" w:rsidRDefault="006A14D0" w:rsidP="006A14D0">
      <w:pPr>
        <w:keepNext/>
      </w:pPr>
      <w:r>
        <w:rPr>
          <w:noProof/>
          <w:lang w:eastAsia="en-GB"/>
        </w:rPr>
        <w:drawing>
          <wp:inline distT="0" distB="0" distL="0" distR="0" wp14:anchorId="17872CAB" wp14:editId="37C94FE6">
            <wp:extent cx="5908431" cy="3137096"/>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6F6DD2" w14:textId="7EC1F7CF" w:rsidR="006A14D0" w:rsidRPr="0034433C" w:rsidRDefault="006A14D0" w:rsidP="006A14D0">
      <w:pPr>
        <w:pStyle w:val="Caption"/>
        <w:jc w:val="center"/>
      </w:pPr>
      <w:r>
        <w:t xml:space="preserve">Figure </w:t>
      </w:r>
      <w:r>
        <w:fldChar w:fldCharType="begin"/>
      </w:r>
      <w:r>
        <w:instrText xml:space="preserve"> SEQ Figure \* ARABIC </w:instrText>
      </w:r>
      <w:r>
        <w:fldChar w:fldCharType="separate"/>
      </w:r>
      <w:r w:rsidR="00FB57E3">
        <w:rPr>
          <w:noProof/>
        </w:rPr>
        <w:t>3</w:t>
      </w:r>
      <w:r>
        <w:fldChar w:fldCharType="end"/>
      </w:r>
      <w:r>
        <w:t xml:space="preserve">: </w:t>
      </w:r>
      <w:r w:rsidRPr="006A14D0">
        <w:t>Behavioural Considerations in Budgeting</w:t>
      </w:r>
      <w:r>
        <w:t>, Source: (</w:t>
      </w:r>
      <w:r w:rsidR="00A03F18">
        <w:t>Riaz, 2026</w:t>
      </w:r>
      <w:r>
        <w:t>).</w:t>
      </w:r>
    </w:p>
    <w:p w14:paraId="0ED4E2F7" w14:textId="77777777" w:rsidR="0034433C" w:rsidRPr="00D52F3A" w:rsidRDefault="0034433C" w:rsidP="0034433C">
      <w:pPr>
        <w:rPr>
          <w:b/>
        </w:rPr>
      </w:pPr>
      <w:r w:rsidRPr="00D52F3A">
        <w:rPr>
          <w:b/>
        </w:rPr>
        <w:t>1. Budget Slack and Padding</w:t>
      </w:r>
    </w:p>
    <w:p w14:paraId="1813D0C2" w14:textId="49F14D79" w:rsidR="0034433C" w:rsidRPr="0034433C" w:rsidRDefault="0034433C" w:rsidP="0034433C">
      <w:r w:rsidRPr="0034433C">
        <w:t>It is a common practice for managers to purposely overstate budget estimates to establish a slack, allowing the targets to be met more easily and avoiding any criticism directed towards them (Libby and Lindsay, 2019). Budgetary slack distorts management information and performance assessment</w:t>
      </w:r>
      <w:r w:rsidR="00553DE7">
        <w:t>,</w:t>
      </w:r>
      <w:r w:rsidRPr="0034433C">
        <w:t xml:space="preserve"> and eventually squanders the organisational resources. In cases where slack is systemic, performance benchmarks in terms of budget are completely unreliable (Walsh, 2008).</w:t>
      </w:r>
    </w:p>
    <w:p w14:paraId="4B3C70B4" w14:textId="77777777" w:rsidR="0034433C" w:rsidRPr="00D52F3A" w:rsidRDefault="0034433C" w:rsidP="0034433C">
      <w:pPr>
        <w:rPr>
          <w:b/>
        </w:rPr>
      </w:pPr>
      <w:r w:rsidRPr="00D52F3A">
        <w:rPr>
          <w:b/>
        </w:rPr>
        <w:t>2. Dysfunctional and Gaming Behaviour</w:t>
      </w:r>
    </w:p>
    <w:p w14:paraId="68BC7524" w14:textId="1750FAC1" w:rsidR="0034433C" w:rsidRPr="0034433C" w:rsidRDefault="0034433C" w:rsidP="0034433C">
      <w:r w:rsidRPr="0034433C">
        <w:t xml:space="preserve">Closely connected to </w:t>
      </w:r>
      <w:r w:rsidR="003435F9">
        <w:t>S</w:t>
      </w:r>
      <w:r w:rsidRPr="0034433C">
        <w:t>lack is the larger issue of dysfunctional behaviour, where managers are controlling its activities to achieve budget targets instead of actually enhancing performance (Ramlall and Grobbelaar, 2024).</w:t>
      </w:r>
      <w:r w:rsidR="00D52F3A">
        <w:t xml:space="preserve"> For example</w:t>
      </w:r>
      <w:r w:rsidRPr="0034433C">
        <w:t xml:space="preserve">, a store manager may postpone necessary maintenance </w:t>
      </w:r>
      <w:r w:rsidRPr="003435F9">
        <w:rPr>
          <w:color w:val="000000" w:themeColor="text1"/>
        </w:rPr>
        <w:t xml:space="preserve">spending just to ensure that he/she does not exceed his/her budget during a specific month. </w:t>
      </w:r>
      <w:r w:rsidR="00304F10" w:rsidRPr="003435F9">
        <w:rPr>
          <w:color w:val="000000" w:themeColor="text1"/>
        </w:rPr>
        <w:t xml:space="preserve">Gaming is a specific type of intentional alteration of financial numbers or managerial choices to meet budget requirements, which is a purposeful manipulation of organisational performance data rather than any actual enhancement (Libby and Lindsay, 2019). </w:t>
      </w:r>
      <w:r w:rsidRPr="003435F9">
        <w:rPr>
          <w:color w:val="000000" w:themeColor="text1"/>
        </w:rPr>
        <w:t xml:space="preserve">The </w:t>
      </w:r>
      <w:r w:rsidRPr="0034433C">
        <w:t>introduction of beyond budgeting initiatives has occurred in different organisations specifically due to the fact that traditional budget models encourage this type of short-term, target-based behaviour at the peril of long-term value creation (</w:t>
      </w:r>
      <w:proofErr w:type="spellStart"/>
      <w:r w:rsidRPr="0034433C">
        <w:t>Sandalgaard</w:t>
      </w:r>
      <w:proofErr w:type="spellEnd"/>
      <w:r w:rsidRPr="0034433C">
        <w:t xml:space="preserve"> and </w:t>
      </w:r>
      <w:proofErr w:type="spellStart"/>
      <w:r w:rsidRPr="0034433C">
        <w:t>Bukh</w:t>
      </w:r>
      <w:proofErr w:type="spellEnd"/>
      <w:r w:rsidRPr="0034433C">
        <w:t>, 2014).</w:t>
      </w:r>
    </w:p>
    <w:p w14:paraId="20E6D86C" w14:textId="77777777" w:rsidR="0034433C" w:rsidRPr="00D52F3A" w:rsidRDefault="0034433C" w:rsidP="0034433C">
      <w:pPr>
        <w:rPr>
          <w:b/>
        </w:rPr>
      </w:pPr>
      <w:r w:rsidRPr="00D52F3A">
        <w:rPr>
          <w:b/>
        </w:rPr>
        <w:t>3. Motivation and Target Difficulty</w:t>
      </w:r>
    </w:p>
    <w:p w14:paraId="530961C1" w14:textId="1B4B0C64" w:rsidR="0034433C" w:rsidRPr="0034433C" w:rsidRDefault="0034433C" w:rsidP="0034433C">
      <w:r w:rsidRPr="0034433C">
        <w:t>Budget target levels influence staff motivation strongly since targets that seem impossible lead to frustration and disinterest, and targets that are overly lenient offer a lack of challenge (Bergmann et al., 2020). The conflict between stretch goals and realistic</w:t>
      </w:r>
      <w:r w:rsidR="00553DE7">
        <w:t>ally</w:t>
      </w:r>
      <w:r w:rsidRPr="0034433C">
        <w:t xml:space="preserve"> possible goals is one of the most enduring dilemmas in behavioural management accounting that has to be meticulously balanced by the management (Bhimani, 2006).</w:t>
      </w:r>
    </w:p>
    <w:p w14:paraId="29F7FDA2" w14:textId="77777777" w:rsidR="0034433C" w:rsidRPr="00D52F3A" w:rsidRDefault="0034433C" w:rsidP="0034433C">
      <w:pPr>
        <w:rPr>
          <w:b/>
        </w:rPr>
      </w:pPr>
      <w:r w:rsidRPr="00D52F3A">
        <w:rPr>
          <w:b/>
        </w:rPr>
        <w:t>4. Resistance to Change</w:t>
      </w:r>
    </w:p>
    <w:p w14:paraId="29CA057F" w14:textId="77777777" w:rsidR="0034433C" w:rsidRPr="0034433C" w:rsidRDefault="0034433C" w:rsidP="0034433C">
      <w:r w:rsidRPr="0034433C">
        <w:t>Employees may be unwilling to accept a new system of budgeting, especially when it is an introduction or a dramatic revision, especially when they see budgets as spying tools instead of helpful ones (</w:t>
      </w:r>
      <w:proofErr w:type="spellStart"/>
      <w:r w:rsidRPr="0034433C">
        <w:t>Nkundabanyanga</w:t>
      </w:r>
      <w:proofErr w:type="spellEnd"/>
      <w:r w:rsidRPr="0034433C">
        <w:t xml:space="preserve"> et al., 2023). How the budget actors will react to new budgeting structures is moderated significantly by the organisational culture and structural conditions. The management should thus invest in communication, training and change management to create acceptance and trust in the budgeting system at the very beginning (Seal, Garrison and Noreen, 2018).</w:t>
      </w:r>
    </w:p>
    <w:p w14:paraId="4641A437" w14:textId="77777777" w:rsidR="00D52F3A" w:rsidRDefault="00D52F3A">
      <w:pPr>
        <w:spacing w:after="160" w:line="259" w:lineRule="auto"/>
        <w:jc w:val="left"/>
      </w:pPr>
      <w:r>
        <w:br w:type="page"/>
      </w:r>
    </w:p>
    <w:p w14:paraId="5F45ABF8" w14:textId="77777777" w:rsidR="0034433C" w:rsidRPr="0034433C" w:rsidRDefault="0034433C" w:rsidP="00D52F3A">
      <w:pPr>
        <w:pStyle w:val="Heading1"/>
      </w:pPr>
      <w:bookmarkStart w:id="9" w:name="_Toc224159451"/>
      <w:r w:rsidRPr="0034433C">
        <w:t>5.0 Part (d): Critical Evaluation of Traditional Budgeting Approaches</w:t>
      </w:r>
      <w:bookmarkEnd w:id="9"/>
    </w:p>
    <w:p w14:paraId="0EE328B5" w14:textId="77777777" w:rsidR="0034433C" w:rsidRPr="0034433C" w:rsidRDefault="0034433C" w:rsidP="0034433C">
      <w:r w:rsidRPr="0034433C">
        <w:t>The majority of financial planning tools, incremental budgeting, which is the most practised form of traditional budgeting, has been the dominant tool of financial planning in organisations for more than a century (Berg, Johanson and Madsen, 2024). In this method, the budget of last year is considered as a baseline, and the budget is adjusted either upwards or downwards by a given percentage to reflect expected changes of the costs or revenues. Although this approach is quite easy and easy to understand, it has received a lot of criticism regardless of the academic and practitioner circles, especially in rapidly evolving and more uncertain business environments (Drury, 2021).</w:t>
      </w:r>
    </w:p>
    <w:p w14:paraId="3B9D528A" w14:textId="77777777" w:rsidR="0034433C" w:rsidRPr="0034433C" w:rsidRDefault="00D52F3A" w:rsidP="00D52F3A">
      <w:pPr>
        <w:pStyle w:val="Heading2"/>
      </w:pPr>
      <w:bookmarkStart w:id="10" w:name="_Toc224159452"/>
      <w:r>
        <w:t xml:space="preserve">5.1 </w:t>
      </w:r>
      <w:r w:rsidR="0034433C" w:rsidRPr="0034433C">
        <w:t>Inherent Flaws in Traditional Budgeting</w:t>
      </w:r>
      <w:bookmarkEnd w:id="10"/>
    </w:p>
    <w:p w14:paraId="1D74471C" w14:textId="29272030" w:rsidR="0034433C" w:rsidRPr="0034433C" w:rsidRDefault="0034433C" w:rsidP="0034433C">
      <w:r w:rsidRPr="0034433C">
        <w:t>The backward nature of traditional budgeting is one of the most basic shortcomings associated with this approach. Since incremental budgets make use of past values, it implies that they tend to entrench current inefficiencies instead of questioning them, continuing to follow spending patterns that might not be supported by current strategic priorities (Coyte</w:t>
      </w:r>
      <w:r w:rsidR="00595798">
        <w:t>, Messner and Zhou, 2022). For instance</w:t>
      </w:r>
      <w:r w:rsidRPr="0034433C">
        <w:t xml:space="preserve">, a department that had been overspent last year may just be allocated more base the next year, whether the spending actually provided value </w:t>
      </w:r>
      <w:r w:rsidRPr="003435F9">
        <w:rPr>
          <w:color w:val="000000" w:themeColor="text1"/>
        </w:rPr>
        <w:t xml:space="preserve">or not. </w:t>
      </w:r>
      <w:r w:rsidR="00FE15FE" w:rsidRPr="003435F9">
        <w:rPr>
          <w:color w:val="000000" w:themeColor="text1"/>
        </w:rPr>
        <w:t>In the case of Silver Stitch Ltd, incremental budgeting would create a risk in that, by introducing the over-purchasing trend into the future budgets, the company would inflate the stocks and deteriorate the working capital position each year. Also</w:t>
      </w:r>
      <w:r w:rsidR="00F659BD" w:rsidRPr="003435F9">
        <w:rPr>
          <w:color w:val="000000" w:themeColor="text1"/>
        </w:rPr>
        <w:t>,</w:t>
      </w:r>
      <w:r w:rsidR="00FE15FE" w:rsidRPr="003435F9">
        <w:rPr>
          <w:color w:val="000000" w:themeColor="text1"/>
        </w:rPr>
        <w:t xml:space="preserve"> the Business Return on Capital Employed (ROCE), which is the operating profit divided by the capital employed, would decrease with time in case the capital remains tied up in excess inventory instead of being put to productive use in the twelve-store network. </w:t>
      </w:r>
      <w:r w:rsidRPr="003435F9">
        <w:rPr>
          <w:color w:val="000000" w:themeColor="text1"/>
        </w:rPr>
        <w:t xml:space="preserve">It is also </w:t>
      </w:r>
      <w:r w:rsidRPr="0034433C">
        <w:t>a great drawback of the logic of the allocation of resources because past spending becomes the main determinant of the budgets in the future instead of organisational need or strategic relevance (</w:t>
      </w:r>
      <w:proofErr w:type="spellStart"/>
      <w:r w:rsidRPr="0034433C">
        <w:t>Atrill</w:t>
      </w:r>
      <w:proofErr w:type="spellEnd"/>
      <w:r w:rsidRPr="0034433C">
        <w:t xml:space="preserve"> and </w:t>
      </w:r>
      <w:proofErr w:type="spellStart"/>
      <w:r w:rsidRPr="0034433C">
        <w:t>McLaney</w:t>
      </w:r>
      <w:proofErr w:type="spellEnd"/>
      <w:r w:rsidRPr="0034433C">
        <w:t>, 2021).</w:t>
      </w:r>
    </w:p>
    <w:p w14:paraId="10D8C1E2" w14:textId="5D0A8C54" w:rsidR="0034433C" w:rsidRPr="0034433C" w:rsidRDefault="0034433C" w:rsidP="0034433C">
      <w:r w:rsidRPr="0034433C">
        <w:t>Another well-documented drawback is that it is too cumbersome and costly in terms of time and money to prepare the budget in the traditional way. Once the budgeting cycle is annual, it is usually a long, resource-consuming and highly politicised process that often takes up much management focus on value-creating processes (Libby and Lindsay, 2010). According to field research carried out by Henttu-Aho and Järvinen (2013), organisations have often realised that conventional budgeting processes are not flexible and are ill-equipped to operate in an environment where market conditions evolve quite quickly. In rapid-paced retailing, such as in the case of the budget drawn in October and the next calendar year, the whole process could be outdated by the end of February, making the whole process a question of doubt</w:t>
      </w:r>
      <w:r w:rsidR="00ED730C">
        <w:t xml:space="preserve"> </w:t>
      </w:r>
      <w:r w:rsidR="00ED730C" w:rsidRPr="00ED730C">
        <w:t>(</w:t>
      </w:r>
      <w:proofErr w:type="spellStart"/>
      <w:r w:rsidR="00ED730C" w:rsidRPr="00ED730C">
        <w:t>Bunget</w:t>
      </w:r>
      <w:proofErr w:type="spellEnd"/>
      <w:r w:rsidR="00ED730C" w:rsidRPr="00ED730C">
        <w:t>, 2021).</w:t>
      </w:r>
    </w:p>
    <w:p w14:paraId="277EF010" w14:textId="77777777" w:rsidR="0034433C" w:rsidRPr="0034433C" w:rsidRDefault="00D52F3A" w:rsidP="00D52F3A">
      <w:pPr>
        <w:pStyle w:val="Heading2"/>
      </w:pPr>
      <w:bookmarkStart w:id="11" w:name="_Toc224159453"/>
      <w:r>
        <w:t xml:space="preserve">5.2 </w:t>
      </w:r>
      <w:r w:rsidR="0034433C" w:rsidRPr="0034433C">
        <w:t>Gaming and Dysfunctional Behaviour</w:t>
      </w:r>
      <w:bookmarkEnd w:id="11"/>
    </w:p>
    <w:p w14:paraId="4BCC6D7A" w14:textId="6C707263" w:rsidR="0034433C" w:rsidRPr="0034433C" w:rsidRDefault="0034433C" w:rsidP="0034433C">
      <w:r w:rsidRPr="0034433C">
        <w:t>In addition to technical restrictions, the conventional budgets present strong impetuses to dysfunctional behaviour. Managers under a fixed budget target are often involved in gaming, i.e., creating slack by inflating cost estimates, shifting needed spending to later periods, or accelerating the recognition of revenue to meet short-term targets (</w:t>
      </w:r>
      <w:proofErr w:type="spellStart"/>
      <w:r w:rsidRPr="0034433C">
        <w:t>Berland</w:t>
      </w:r>
      <w:proofErr w:type="spellEnd"/>
      <w:r w:rsidRPr="0034433C">
        <w:t xml:space="preserve">, Curtis and </w:t>
      </w:r>
      <w:proofErr w:type="spellStart"/>
      <w:r w:rsidRPr="0034433C">
        <w:t>Sponem</w:t>
      </w:r>
      <w:proofErr w:type="spellEnd"/>
      <w:r w:rsidRPr="0034433C">
        <w:t xml:space="preserve">, 2018). </w:t>
      </w:r>
      <w:r w:rsidR="00304F10" w:rsidRPr="003435F9">
        <w:rPr>
          <w:color w:val="000000" w:themeColor="text1"/>
        </w:rPr>
        <w:t>Such behaviour of gaming is especially harmful within the context of multi-store retailing like Silver Stitch Ltd, where individual store managers can use such behaviour to manipulate local figures to achieve targets, giving a falsified view of the financial health of the entire organisation (Batt, 2025).</w:t>
      </w:r>
      <w:r w:rsidR="00B504BB" w:rsidRPr="003435F9">
        <w:rPr>
          <w:color w:val="000000" w:themeColor="text1"/>
        </w:rPr>
        <w:t xml:space="preserve"> </w:t>
      </w:r>
      <w:r w:rsidR="00C423E0" w:rsidRPr="003435F9">
        <w:rPr>
          <w:color w:val="000000" w:themeColor="text1"/>
        </w:rPr>
        <w:t xml:space="preserve">One </w:t>
      </w:r>
      <w:r w:rsidRPr="0034433C">
        <w:t>cannot call these behaviours an exception</w:t>
      </w:r>
      <w:r w:rsidR="00553DE7">
        <w:t>,</w:t>
      </w:r>
      <w:r w:rsidRPr="0034433C">
        <w:t xml:space="preserve"> but rather predictable reactions to the performance pressure that fixed budget targets instil. The ultimate result of this kind of gaming is to misrepresent the financial data </w:t>
      </w:r>
      <w:r w:rsidR="00553DE7">
        <w:t xml:space="preserve">that </w:t>
      </w:r>
      <w:r w:rsidRPr="0034433C">
        <w:t>the top management has access to, which compromises the control purpose that budgets are meant to accomplish (Batt, 2025).</w:t>
      </w:r>
    </w:p>
    <w:p w14:paraId="7C90CF16" w14:textId="77777777" w:rsidR="0034433C" w:rsidRPr="0034433C" w:rsidRDefault="00D52F3A" w:rsidP="00D52F3A">
      <w:pPr>
        <w:pStyle w:val="Heading2"/>
      </w:pPr>
      <w:bookmarkStart w:id="12" w:name="_Toc224159454"/>
      <w:r>
        <w:t xml:space="preserve">5.3 </w:t>
      </w:r>
      <w:r w:rsidR="0034433C" w:rsidRPr="0034433C">
        <w:t>Alternative Approaches</w:t>
      </w:r>
      <w:bookmarkEnd w:id="12"/>
    </w:p>
    <w:p w14:paraId="5A65832A" w14:textId="30E129FD" w:rsidR="0034433C" w:rsidRPr="0034433C" w:rsidRDefault="0034433C" w:rsidP="0034433C">
      <w:r w:rsidRPr="0034433C">
        <w:t>To address these criticisms, a number of other alternative budgeting models have emerged. Zero-based budgeting compels the managers to make justification of each line of expenditure at the start of every budget period</w:t>
      </w:r>
      <w:r w:rsidR="00553DE7">
        <w:t>,</w:t>
      </w:r>
      <w:r w:rsidRPr="0034433C">
        <w:t xml:space="preserve"> as compared to rolling forward of previous year budgets. According to Coyte, Messner and Zhou (2022), the recent resurgence of zero-based budgeting among large companies was motivated by the necessity to get rid of the cost-based inefficiencies that incremental budgeting had enabled to build over the years, unchallenged. Although zero-based budgeting is a superior method to overcome the issue of embedded inefficiency, it is significantly more time-consuming and resource-intensive than incremental methods, which restricts its applicability in smaller organisations (Horngren, Datar and Rajan, 2021).</w:t>
      </w:r>
    </w:p>
    <w:p w14:paraId="0365CBFC" w14:textId="77777777" w:rsidR="0034433C" w:rsidRPr="0034433C" w:rsidRDefault="0034433C" w:rsidP="0034433C">
      <w:r w:rsidRPr="0034433C">
        <w:t xml:space="preserve">Another more realistic option is rolling budgets, which entails the frequent refurbishment of estimates quarterly or monthly instead of depending on an annual plan. The strategy keeps planning timely across the year and enables organisations to be more adaptive in changing circumstances (Bhimani et al., 2024). The Beyond Budgeting model, which is most developed by Hope and Fraser, goes even further as it promotes the total rejection of fixed annual budgets in favour of decentralised, adaptive performance management. The study conducted by </w:t>
      </w:r>
      <w:proofErr w:type="spellStart"/>
      <w:r w:rsidRPr="0034433C">
        <w:t>Bukh</w:t>
      </w:r>
      <w:proofErr w:type="spellEnd"/>
      <w:r w:rsidRPr="0034433C">
        <w:t xml:space="preserve">, </w:t>
      </w:r>
      <w:proofErr w:type="spellStart"/>
      <w:r w:rsidRPr="0034433C">
        <w:t>Ringgaard</w:t>
      </w:r>
      <w:proofErr w:type="spellEnd"/>
      <w:r w:rsidRPr="0034433C">
        <w:t xml:space="preserve"> and </w:t>
      </w:r>
      <w:proofErr w:type="spellStart"/>
      <w:r w:rsidRPr="0034433C">
        <w:t>Sandalgaard</w:t>
      </w:r>
      <w:proofErr w:type="spellEnd"/>
      <w:r w:rsidRPr="0034433C">
        <w:t xml:space="preserve"> (2025) on organisations that had embraced principles of Beyond Budgeting discovered that even though much flexibility and responsiveness was attained, most organisations would soon revert to some aspects of traditional budgeting to ensure financial discipline and accountability to stakeholders.</w:t>
      </w:r>
    </w:p>
    <w:p w14:paraId="734F4155" w14:textId="77777777" w:rsidR="0034433C" w:rsidRPr="0034433C" w:rsidRDefault="00D52F3A" w:rsidP="00D52F3A">
      <w:pPr>
        <w:pStyle w:val="Heading2"/>
      </w:pPr>
      <w:bookmarkStart w:id="13" w:name="_Toc224159455"/>
      <w:r>
        <w:t xml:space="preserve">5.4 </w:t>
      </w:r>
      <w:r w:rsidR="0034433C" w:rsidRPr="0034433C">
        <w:t>Critical Assessment</w:t>
      </w:r>
      <w:bookmarkEnd w:id="13"/>
    </w:p>
    <w:p w14:paraId="428A6253" w14:textId="3BF9A7DD" w:rsidR="0034433C" w:rsidRPr="0034433C" w:rsidRDefault="0034433C" w:rsidP="0034433C">
      <w:r w:rsidRPr="0034433C">
        <w:t>It should be noted that despite the long-established limitations, traditional budgeting still has a true practical use in stable and predictable conditions where historical information forms a valid foundation for future planning (Berg, Johanson and Ma</w:t>
      </w:r>
      <w:r w:rsidRPr="003435F9">
        <w:rPr>
          <w:color w:val="000000" w:themeColor="text1"/>
        </w:rPr>
        <w:t xml:space="preserve">dsen, 2024). </w:t>
      </w:r>
      <w:r w:rsidR="00FE15FE" w:rsidRPr="003435F9">
        <w:rPr>
          <w:color w:val="000000" w:themeColor="text1"/>
        </w:rPr>
        <w:t xml:space="preserve">In the case of the Silver Stitch Ltd company that has a bank loan with a recent cleared overdraft, the gearing of the business implies that financial discipline cannot be compromised. A business that is highly geared and has fixed debt liabilities is less adaptable to absorb the effects of bad budgetary control, so there is a need for some form of structured budgeting despite supplementing the traditional incremental model with more flexible methods. </w:t>
      </w:r>
      <w:r w:rsidRPr="003435F9">
        <w:rPr>
          <w:color w:val="000000" w:themeColor="text1"/>
        </w:rPr>
        <w:t xml:space="preserve">The </w:t>
      </w:r>
      <w:r w:rsidRPr="0034433C">
        <w:t>modern organisations need not necessarily give up the traditional budgeting; however, the challenge lies in supplementing it or adapting it intelligently. Seal, Garrison and Noreen (2018) confirm that the most efficient organisations are those that consider budgeting as an evolving and dynamic process, as opposed to an annual ritual, and embrace the rigidity of the traditional methods and the flexibility of more adaptable ones to fit their operational environment.</w:t>
      </w:r>
    </w:p>
    <w:p w14:paraId="39E62835" w14:textId="58C5CFF7" w:rsidR="00D52F3A" w:rsidRDefault="0034433C" w:rsidP="00ED730C">
      <w:r w:rsidRPr="0034433C">
        <w:t> </w:t>
      </w:r>
    </w:p>
    <w:p w14:paraId="4DA14634" w14:textId="77777777" w:rsidR="0034433C" w:rsidRPr="0034433C" w:rsidRDefault="0034433C" w:rsidP="00D52F3A">
      <w:pPr>
        <w:pStyle w:val="Heading1"/>
      </w:pPr>
      <w:bookmarkStart w:id="14" w:name="_Toc224159456"/>
      <w:r w:rsidRPr="0034433C">
        <w:t>6.0 Conclusion</w:t>
      </w:r>
      <w:bookmarkEnd w:id="14"/>
    </w:p>
    <w:p w14:paraId="3F0F27A3" w14:textId="77777777" w:rsidR="0034433C" w:rsidRPr="0034433C" w:rsidRDefault="0034433C" w:rsidP="0034433C">
      <w:r w:rsidRPr="0034433C">
        <w:t>This report has discussed the financial position of Silver Stitch Ltd by preparing a stock budget, cash budget and budgeted profit and loss account for the six-month period ending on 30 November. It is shown in the analysis that although the business is able to work towards eradicating its overdraft in the month of June, a number of serious issues are present, such as the existence of a number of tight cash surpluses in a month, excess inventory and the cumulative effect of simultaneous refurbishment spending and high stock payments. To deal with these problems, it is necessary to act proactively and intervene with management in order to avoid being passive and depending on the current budget. The suggested measures, such as renegotiating terms of business with suppliers and a more gradual phase of capital spending, would have a significant positive influence on the financial stability of the business in its network of twelve stores.</w:t>
      </w:r>
    </w:p>
    <w:p w14:paraId="43705D86" w14:textId="512D2C3A" w:rsidR="0034433C" w:rsidRPr="0034433C" w:rsidRDefault="0034433C" w:rsidP="0034433C">
      <w:r w:rsidRPr="0034433C">
        <w:t>In a wider sense, it is clear in this report that the effectiveness of any budgeting system is not only based on the level of accuracy of the figures generated but also on the organisational environment and the dynamics of behaviour in relation to the usage of such figures. The conventional budgeting methods, though comfortable and available, have established shortcomings in dynamic business processes, and organisations like Silver Stitch Ltd would eventually realise the benefits of implementing more flexible and participative budgeting processes. Finally, it is true that budgets are as effective as the management choices, cultural commitment and strategic alignment that encompass their implementation and constant revision.</w:t>
      </w:r>
    </w:p>
    <w:p w14:paraId="48C0B831" w14:textId="77777777" w:rsidR="007978FB" w:rsidRDefault="007978FB" w:rsidP="00EC364D">
      <w:pPr>
        <w:rPr>
          <w:rFonts w:eastAsiaTheme="majorEastAsia"/>
          <w:sz w:val="32"/>
          <w:szCs w:val="32"/>
        </w:rPr>
      </w:pPr>
      <w:r>
        <w:br w:type="page"/>
      </w:r>
    </w:p>
    <w:p w14:paraId="246719D4" w14:textId="77777777" w:rsidR="00D8246C" w:rsidRPr="00E93370" w:rsidRDefault="00595798" w:rsidP="00D8246C">
      <w:pPr>
        <w:pStyle w:val="Heading1"/>
        <w:rPr>
          <w:rFonts w:cs="Times New Roman"/>
        </w:rPr>
      </w:pPr>
      <w:bookmarkStart w:id="15" w:name="_Toc224159457"/>
      <w:r>
        <w:rPr>
          <w:rFonts w:cs="Times New Roman"/>
        </w:rPr>
        <w:t xml:space="preserve">7.0 </w:t>
      </w:r>
      <w:r w:rsidR="00D8246C" w:rsidRPr="00E93370">
        <w:rPr>
          <w:rFonts w:cs="Times New Roman"/>
        </w:rPr>
        <w:t>References</w:t>
      </w:r>
      <w:bookmarkEnd w:id="15"/>
    </w:p>
    <w:p w14:paraId="5DECE2D9" w14:textId="77777777" w:rsidR="00F659BD" w:rsidRPr="00342660" w:rsidRDefault="00F659BD" w:rsidP="00342660">
      <w:pPr>
        <w:rPr>
          <w:rFonts w:cs="Times New Roman"/>
        </w:rPr>
      </w:pPr>
      <w:r w:rsidRPr="00342660">
        <w:rPr>
          <w:rFonts w:cs="Times New Roman"/>
        </w:rPr>
        <w:t xml:space="preserve">Alhasnawi, M.Y., Mohd Said, R., </w:t>
      </w:r>
      <w:proofErr w:type="spellStart"/>
      <w:r w:rsidRPr="00342660">
        <w:rPr>
          <w:rFonts w:cs="Times New Roman"/>
        </w:rPr>
        <w:t>Alshdaifat</w:t>
      </w:r>
      <w:proofErr w:type="spellEnd"/>
      <w:r w:rsidRPr="00342660">
        <w:rPr>
          <w:rFonts w:cs="Times New Roman"/>
        </w:rPr>
        <w:t xml:space="preserve">, S.M., </w:t>
      </w:r>
      <w:proofErr w:type="spellStart"/>
      <w:r w:rsidRPr="00342660">
        <w:rPr>
          <w:rFonts w:cs="Times New Roman"/>
        </w:rPr>
        <w:t>Elorabi</w:t>
      </w:r>
      <w:proofErr w:type="spellEnd"/>
      <w:r w:rsidRPr="00342660">
        <w:rPr>
          <w:rFonts w:cs="Times New Roman"/>
        </w:rPr>
        <w:t>, K.A., Al-Hasnawi, M.H. and Khudhair, A.H. (2024)</w:t>
      </w:r>
      <w:r>
        <w:rPr>
          <w:rFonts w:cs="Times New Roman"/>
        </w:rPr>
        <w:t xml:space="preserve">. </w:t>
      </w:r>
      <w:r w:rsidRPr="00342660">
        <w:rPr>
          <w:rFonts w:cs="Times New Roman"/>
        </w:rPr>
        <w:t xml:space="preserve">How does budget participation affect managerial performance in the higher education sector? A mediated-moderated model, </w:t>
      </w:r>
      <w:r w:rsidRPr="00342660">
        <w:rPr>
          <w:rFonts w:cs="Times New Roman"/>
          <w:i/>
          <w:iCs/>
        </w:rPr>
        <w:t>Asian Journal of Accounting Research</w:t>
      </w:r>
      <w:r w:rsidRPr="00342660">
        <w:rPr>
          <w:rFonts w:cs="Times New Roman"/>
        </w:rPr>
        <w:t xml:space="preserve">, 9(4), pp. 325–339. </w:t>
      </w:r>
      <w:hyperlink r:id="rId20" w:history="1">
        <w:r w:rsidRPr="00342660">
          <w:rPr>
            <w:rStyle w:val="Hyperlink"/>
            <w:rFonts w:cs="Times New Roman"/>
          </w:rPr>
          <w:t>https://doi.org/10.1108/AJAR-12-2023-0405</w:t>
        </w:r>
      </w:hyperlink>
    </w:p>
    <w:p w14:paraId="63C77898" w14:textId="77777777" w:rsidR="00F659BD" w:rsidRPr="00342660" w:rsidRDefault="00F659BD" w:rsidP="00342660">
      <w:pPr>
        <w:rPr>
          <w:rFonts w:cs="Times New Roman"/>
        </w:rPr>
      </w:pPr>
      <w:proofErr w:type="spellStart"/>
      <w:r w:rsidRPr="00342660">
        <w:rPr>
          <w:rFonts w:cs="Times New Roman"/>
        </w:rPr>
        <w:t>Appuhami</w:t>
      </w:r>
      <w:proofErr w:type="spellEnd"/>
      <w:r w:rsidRPr="00342660">
        <w:rPr>
          <w:rFonts w:cs="Times New Roman"/>
        </w:rPr>
        <w:t>, R., Bhuiyan, F. and Boedker, C. (2024)</w:t>
      </w:r>
      <w:r>
        <w:rPr>
          <w:rFonts w:cs="Times New Roman"/>
        </w:rPr>
        <w:t xml:space="preserve">. </w:t>
      </w:r>
      <w:r w:rsidRPr="00342660">
        <w:rPr>
          <w:rFonts w:cs="Times New Roman"/>
        </w:rPr>
        <w:t xml:space="preserve">Navigating frugality and creativity urgencies: the role of diagnostic use of budgets and goal clarity, </w:t>
      </w:r>
      <w:r w:rsidRPr="00342660">
        <w:rPr>
          <w:rFonts w:cs="Times New Roman"/>
          <w:i/>
          <w:iCs/>
        </w:rPr>
        <w:t>Journal of Management Control</w:t>
      </w:r>
      <w:r w:rsidRPr="00342660">
        <w:rPr>
          <w:rFonts w:cs="Times New Roman"/>
        </w:rPr>
        <w:t xml:space="preserve">, 35(2), pp. 235–264. </w:t>
      </w:r>
      <w:hyperlink r:id="rId21" w:history="1">
        <w:r w:rsidRPr="00342660">
          <w:rPr>
            <w:rStyle w:val="Hyperlink"/>
            <w:rFonts w:cs="Times New Roman"/>
          </w:rPr>
          <w:t>https://link.springer.com/article/10.1007/s00187-024-00372-7</w:t>
        </w:r>
      </w:hyperlink>
    </w:p>
    <w:p w14:paraId="766A5048" w14:textId="77777777" w:rsidR="00F659BD" w:rsidRPr="00342660" w:rsidRDefault="00F659BD" w:rsidP="00342660">
      <w:pPr>
        <w:rPr>
          <w:rFonts w:cs="Times New Roman"/>
        </w:rPr>
      </w:pPr>
      <w:proofErr w:type="spellStart"/>
      <w:r w:rsidRPr="00342660">
        <w:rPr>
          <w:rFonts w:cs="Times New Roman"/>
        </w:rPr>
        <w:t>Atrill</w:t>
      </w:r>
      <w:proofErr w:type="spellEnd"/>
      <w:r w:rsidRPr="00342660">
        <w:rPr>
          <w:rFonts w:cs="Times New Roman"/>
        </w:rPr>
        <w:t>, P. and McLaney, E. (2018)</w:t>
      </w:r>
      <w:r>
        <w:rPr>
          <w:rFonts w:cs="Times New Roman"/>
        </w:rPr>
        <w:t xml:space="preserve">. </w:t>
      </w:r>
      <w:r w:rsidRPr="00342660">
        <w:rPr>
          <w:rFonts w:cs="Times New Roman"/>
          <w:i/>
          <w:iCs/>
        </w:rPr>
        <w:t>Accounting and Finance for Non-Specialists</w:t>
      </w:r>
      <w:r w:rsidRPr="00342660">
        <w:rPr>
          <w:rFonts w:cs="Times New Roman"/>
        </w:rPr>
        <w:t xml:space="preserve">. 11th </w:t>
      </w:r>
      <w:proofErr w:type="spellStart"/>
      <w:r w:rsidRPr="00342660">
        <w:rPr>
          <w:rFonts w:cs="Times New Roman"/>
        </w:rPr>
        <w:t>edn</w:t>
      </w:r>
      <w:proofErr w:type="spellEnd"/>
      <w:r w:rsidRPr="00342660">
        <w:rPr>
          <w:rFonts w:cs="Times New Roman"/>
        </w:rPr>
        <w:t>. Harlow: Pearson Education Limited.</w:t>
      </w:r>
    </w:p>
    <w:p w14:paraId="6796DE07" w14:textId="77777777" w:rsidR="00F659BD" w:rsidRPr="00342660" w:rsidRDefault="00F659BD" w:rsidP="00342660">
      <w:pPr>
        <w:rPr>
          <w:rFonts w:cs="Times New Roman"/>
        </w:rPr>
      </w:pPr>
      <w:proofErr w:type="spellStart"/>
      <w:r w:rsidRPr="00342660">
        <w:rPr>
          <w:rFonts w:cs="Times New Roman"/>
        </w:rPr>
        <w:t>Atrill</w:t>
      </w:r>
      <w:proofErr w:type="spellEnd"/>
      <w:r w:rsidRPr="00342660">
        <w:rPr>
          <w:rFonts w:cs="Times New Roman"/>
        </w:rPr>
        <w:t>, P. and McLaney, E. (2021)</w:t>
      </w:r>
      <w:r>
        <w:rPr>
          <w:rFonts w:cs="Times New Roman"/>
        </w:rPr>
        <w:t xml:space="preserve">. </w:t>
      </w:r>
      <w:r w:rsidRPr="00342660">
        <w:rPr>
          <w:rFonts w:cs="Times New Roman"/>
          <w:i/>
          <w:iCs/>
        </w:rPr>
        <w:t>Management Accounting for Decision Makers</w:t>
      </w:r>
      <w:r w:rsidRPr="00342660">
        <w:rPr>
          <w:rFonts w:cs="Times New Roman"/>
        </w:rPr>
        <w:t xml:space="preserve">. 10th </w:t>
      </w:r>
      <w:proofErr w:type="spellStart"/>
      <w:r w:rsidRPr="00342660">
        <w:rPr>
          <w:rFonts w:cs="Times New Roman"/>
        </w:rPr>
        <w:t>edn</w:t>
      </w:r>
      <w:proofErr w:type="spellEnd"/>
      <w:r w:rsidRPr="00342660">
        <w:rPr>
          <w:rFonts w:cs="Times New Roman"/>
        </w:rPr>
        <w:t>. Harlow: Pearson Education Limited.</w:t>
      </w:r>
    </w:p>
    <w:p w14:paraId="21D0A6C2" w14:textId="77777777" w:rsidR="00F659BD" w:rsidRPr="00342660" w:rsidRDefault="00F659BD" w:rsidP="00342660">
      <w:pPr>
        <w:rPr>
          <w:rFonts w:cs="Times New Roman"/>
        </w:rPr>
      </w:pPr>
      <w:r w:rsidRPr="00342660">
        <w:rPr>
          <w:rFonts w:cs="Times New Roman"/>
        </w:rPr>
        <w:t>Batt, C.E. (2025)</w:t>
      </w:r>
      <w:r>
        <w:rPr>
          <w:rFonts w:cs="Times New Roman"/>
        </w:rPr>
        <w:t xml:space="preserve">. </w:t>
      </w:r>
      <w:r w:rsidRPr="00342660">
        <w:rPr>
          <w:rFonts w:cs="Times New Roman"/>
        </w:rPr>
        <w:t xml:space="preserve">Empirical budgeting research in accounting journals: review, critique, and research agenda, </w:t>
      </w:r>
      <w:r w:rsidRPr="00342660">
        <w:rPr>
          <w:rFonts w:cs="Times New Roman"/>
          <w:i/>
          <w:iCs/>
        </w:rPr>
        <w:t>Accounting, Finance and Governance Review</w:t>
      </w:r>
      <w:r w:rsidRPr="00342660">
        <w:rPr>
          <w:rFonts w:cs="Times New Roman"/>
        </w:rPr>
        <w:t xml:space="preserve">, 34. </w:t>
      </w:r>
      <w:hyperlink r:id="rId22" w:history="1">
        <w:r w:rsidRPr="00342660">
          <w:rPr>
            <w:rStyle w:val="Hyperlink"/>
            <w:rFonts w:cs="Times New Roman"/>
          </w:rPr>
          <w:t>https://doi.org/10.52399/001c.140425</w:t>
        </w:r>
      </w:hyperlink>
    </w:p>
    <w:p w14:paraId="5C9A2FC0" w14:textId="77777777" w:rsidR="00F659BD" w:rsidRPr="00342660" w:rsidRDefault="00F659BD" w:rsidP="00342660">
      <w:pPr>
        <w:rPr>
          <w:rFonts w:cs="Times New Roman"/>
        </w:rPr>
      </w:pPr>
      <w:r w:rsidRPr="00342660">
        <w:rPr>
          <w:rFonts w:cs="Times New Roman"/>
        </w:rPr>
        <w:t>Berg, T., Johanson, D. and Madsen, D.O. (2024)</w:t>
      </w:r>
      <w:r>
        <w:rPr>
          <w:rFonts w:cs="Times New Roman"/>
        </w:rPr>
        <w:t xml:space="preserve">. </w:t>
      </w:r>
      <w:r w:rsidRPr="00342660">
        <w:rPr>
          <w:rFonts w:cs="Times New Roman"/>
        </w:rPr>
        <w:t xml:space="preserve">Budgetary control and beyond budgeting from a historical perspective: insights from re-visiting the 1922 book by James O. McKinsey, </w:t>
      </w:r>
      <w:r w:rsidRPr="00342660">
        <w:rPr>
          <w:rFonts w:cs="Times New Roman"/>
          <w:i/>
          <w:iCs/>
        </w:rPr>
        <w:t>Management and Organi</w:t>
      </w:r>
      <w:r>
        <w:rPr>
          <w:rFonts w:cs="Times New Roman"/>
          <w:i/>
          <w:iCs/>
        </w:rPr>
        <w:t>s</w:t>
      </w:r>
      <w:r w:rsidRPr="00342660">
        <w:rPr>
          <w:rFonts w:cs="Times New Roman"/>
          <w:i/>
          <w:iCs/>
        </w:rPr>
        <w:t>ational History</w:t>
      </w:r>
      <w:r w:rsidRPr="00342660">
        <w:rPr>
          <w:rFonts w:cs="Times New Roman"/>
        </w:rPr>
        <w:t xml:space="preserve">, 19(3), pp. 182–198. </w:t>
      </w:r>
      <w:hyperlink r:id="rId23" w:history="1">
        <w:r w:rsidRPr="00342660">
          <w:rPr>
            <w:rStyle w:val="Hyperlink"/>
            <w:rFonts w:cs="Times New Roman"/>
          </w:rPr>
          <w:t>https://doi.org/10.1080/17449359.2024.2371333</w:t>
        </w:r>
      </w:hyperlink>
    </w:p>
    <w:p w14:paraId="2226B956" w14:textId="77777777" w:rsidR="00F659BD" w:rsidRPr="00342660" w:rsidRDefault="00F659BD" w:rsidP="00342660">
      <w:pPr>
        <w:rPr>
          <w:rFonts w:cs="Times New Roman"/>
        </w:rPr>
      </w:pPr>
      <w:r w:rsidRPr="00342660">
        <w:rPr>
          <w:rFonts w:cs="Times New Roman"/>
        </w:rPr>
        <w:t>Bergmann, M., Brück, C., Knauer, T. and Schwering, A. (2020) 'Digiti</w:t>
      </w:r>
      <w:r>
        <w:rPr>
          <w:rFonts w:cs="Times New Roman"/>
        </w:rPr>
        <w:t>s</w:t>
      </w:r>
      <w:r w:rsidRPr="00342660">
        <w:rPr>
          <w:rFonts w:cs="Times New Roman"/>
        </w:rPr>
        <w:t xml:space="preserve">ation of the budgeting process: determinants of the use of business analytics and its effect on satisfaction with the budgeting process, </w:t>
      </w:r>
      <w:r w:rsidRPr="00342660">
        <w:rPr>
          <w:rFonts w:cs="Times New Roman"/>
          <w:i/>
          <w:iCs/>
        </w:rPr>
        <w:t>Journal of Management Control</w:t>
      </w:r>
      <w:r w:rsidRPr="00342660">
        <w:rPr>
          <w:rFonts w:cs="Times New Roman"/>
        </w:rPr>
        <w:t xml:space="preserve">, 31(1), pp. 25–54. </w:t>
      </w:r>
      <w:hyperlink r:id="rId24" w:history="1">
        <w:r w:rsidRPr="00342660">
          <w:rPr>
            <w:rStyle w:val="Hyperlink"/>
            <w:rFonts w:cs="Times New Roman"/>
          </w:rPr>
          <w:t>https://link.springer.com/article/10.1007/s00187-019-00291-y</w:t>
        </w:r>
      </w:hyperlink>
    </w:p>
    <w:p w14:paraId="42A0D0E3" w14:textId="77777777" w:rsidR="00F659BD" w:rsidRPr="00342660" w:rsidRDefault="00F659BD" w:rsidP="00342660">
      <w:pPr>
        <w:rPr>
          <w:rFonts w:cs="Times New Roman"/>
        </w:rPr>
      </w:pPr>
      <w:r w:rsidRPr="00342660">
        <w:rPr>
          <w:rFonts w:cs="Times New Roman"/>
        </w:rPr>
        <w:t xml:space="preserve">Berland, N., Curtis, E. and </w:t>
      </w:r>
      <w:proofErr w:type="spellStart"/>
      <w:r w:rsidRPr="00342660">
        <w:rPr>
          <w:rFonts w:cs="Times New Roman"/>
        </w:rPr>
        <w:t>Sponem</w:t>
      </w:r>
      <w:proofErr w:type="spellEnd"/>
      <w:r w:rsidRPr="00342660">
        <w:rPr>
          <w:rFonts w:cs="Times New Roman"/>
        </w:rPr>
        <w:t>, S. (2018)</w:t>
      </w:r>
      <w:r>
        <w:rPr>
          <w:rFonts w:cs="Times New Roman"/>
        </w:rPr>
        <w:t xml:space="preserve">. </w:t>
      </w:r>
      <w:r w:rsidRPr="00342660">
        <w:rPr>
          <w:rFonts w:cs="Times New Roman"/>
        </w:rPr>
        <w:t xml:space="preserve">Exposing organisational tensions with a non-traditional budgeting system, </w:t>
      </w:r>
      <w:r w:rsidRPr="00342660">
        <w:rPr>
          <w:rFonts w:cs="Times New Roman"/>
          <w:i/>
          <w:iCs/>
        </w:rPr>
        <w:t>Journal of Applied Accounting Research</w:t>
      </w:r>
      <w:r w:rsidRPr="00342660">
        <w:rPr>
          <w:rFonts w:cs="Times New Roman"/>
        </w:rPr>
        <w:t xml:space="preserve">, 19(1), pp. 122–140. </w:t>
      </w:r>
      <w:hyperlink r:id="rId25" w:history="1">
        <w:r w:rsidRPr="00342660">
          <w:rPr>
            <w:rStyle w:val="Hyperlink"/>
            <w:rFonts w:cs="Times New Roman"/>
          </w:rPr>
          <w:t>https://doi.org/10.1108/JAAR-01-2016-0010</w:t>
        </w:r>
      </w:hyperlink>
    </w:p>
    <w:p w14:paraId="2E7A7A98" w14:textId="77777777" w:rsidR="00F659BD" w:rsidRPr="00342660" w:rsidRDefault="00F659BD" w:rsidP="00342660">
      <w:pPr>
        <w:rPr>
          <w:rFonts w:cs="Times New Roman"/>
        </w:rPr>
      </w:pPr>
      <w:r w:rsidRPr="00342660">
        <w:rPr>
          <w:rFonts w:cs="Times New Roman"/>
        </w:rPr>
        <w:t>Bhimani, A. (ed.) (2006)</w:t>
      </w:r>
      <w:r>
        <w:rPr>
          <w:rFonts w:cs="Times New Roman"/>
        </w:rPr>
        <w:t>.</w:t>
      </w:r>
      <w:r w:rsidRPr="00342660">
        <w:rPr>
          <w:rFonts w:cs="Times New Roman"/>
        </w:rPr>
        <w:t xml:space="preserve"> </w:t>
      </w:r>
      <w:r w:rsidRPr="00342660">
        <w:rPr>
          <w:rFonts w:cs="Times New Roman"/>
          <w:i/>
          <w:iCs/>
        </w:rPr>
        <w:t>Contemporary Issues in Management Accounting</w:t>
      </w:r>
      <w:r w:rsidRPr="00342660">
        <w:rPr>
          <w:rFonts w:cs="Times New Roman"/>
        </w:rPr>
        <w:t>. Oxford: Oxford University Press.</w:t>
      </w:r>
    </w:p>
    <w:p w14:paraId="2BBDE2CD" w14:textId="77777777" w:rsidR="00F659BD" w:rsidRPr="00342660" w:rsidRDefault="00F659BD" w:rsidP="00342660">
      <w:pPr>
        <w:rPr>
          <w:rFonts w:cs="Times New Roman"/>
        </w:rPr>
      </w:pPr>
      <w:r w:rsidRPr="00342660">
        <w:rPr>
          <w:rFonts w:cs="Times New Roman"/>
        </w:rPr>
        <w:t xml:space="preserve">Bhimani, A., Sivabalan, P., </w:t>
      </w:r>
      <w:proofErr w:type="spellStart"/>
      <w:r w:rsidRPr="00342660">
        <w:rPr>
          <w:rFonts w:cs="Times New Roman"/>
        </w:rPr>
        <w:t>Soonawalla</w:t>
      </w:r>
      <w:proofErr w:type="spellEnd"/>
      <w:r w:rsidRPr="00342660">
        <w:rPr>
          <w:rFonts w:cs="Times New Roman"/>
        </w:rPr>
        <w:t>, K. and Wakefield, J. (2024)</w:t>
      </w:r>
      <w:r>
        <w:rPr>
          <w:rFonts w:cs="Times New Roman"/>
        </w:rPr>
        <w:t xml:space="preserve">. </w:t>
      </w:r>
      <w:r w:rsidRPr="00342660">
        <w:rPr>
          <w:rFonts w:cs="Times New Roman"/>
        </w:rPr>
        <w:t xml:space="preserve">Annual budgets and rolling budgets use in UK and Australian firms, </w:t>
      </w:r>
      <w:r w:rsidRPr="00342660">
        <w:rPr>
          <w:rFonts w:cs="Times New Roman"/>
          <w:i/>
          <w:iCs/>
        </w:rPr>
        <w:t>Journal of Management Control</w:t>
      </w:r>
      <w:r w:rsidRPr="00342660">
        <w:rPr>
          <w:rFonts w:cs="Times New Roman"/>
        </w:rPr>
        <w:t xml:space="preserve">, 35(4), pp. 509–561. </w:t>
      </w:r>
      <w:hyperlink r:id="rId26" w:history="1">
        <w:r w:rsidRPr="00342660">
          <w:rPr>
            <w:rStyle w:val="Hyperlink"/>
            <w:rFonts w:cs="Times New Roman"/>
          </w:rPr>
          <w:t>https://link.springer.com/article/10.1007/s00187-024-00382-5</w:t>
        </w:r>
      </w:hyperlink>
    </w:p>
    <w:p w14:paraId="2EB29430" w14:textId="77777777" w:rsidR="00F659BD" w:rsidRPr="00342660" w:rsidRDefault="00F659BD" w:rsidP="00342660">
      <w:pPr>
        <w:rPr>
          <w:rFonts w:cs="Times New Roman"/>
        </w:rPr>
      </w:pPr>
      <w:r w:rsidRPr="00342660">
        <w:rPr>
          <w:rFonts w:cs="Times New Roman"/>
        </w:rPr>
        <w:t>Brown, J.R., Gustafson, M.T. and Ivanov, I.T. (2021)</w:t>
      </w:r>
      <w:r>
        <w:rPr>
          <w:rFonts w:cs="Times New Roman"/>
        </w:rPr>
        <w:t xml:space="preserve">. </w:t>
      </w:r>
      <w:r w:rsidRPr="00342660">
        <w:rPr>
          <w:rFonts w:cs="Times New Roman"/>
        </w:rPr>
        <w:t xml:space="preserve">Weathering cash flow shocks, </w:t>
      </w:r>
      <w:r w:rsidRPr="00342660">
        <w:rPr>
          <w:rFonts w:cs="Times New Roman"/>
          <w:i/>
          <w:iCs/>
        </w:rPr>
        <w:t>The Journal of Finance</w:t>
      </w:r>
      <w:r w:rsidRPr="00342660">
        <w:rPr>
          <w:rFonts w:cs="Times New Roman"/>
        </w:rPr>
        <w:t xml:space="preserve">, 76(4), pp. 1731–1772. </w:t>
      </w:r>
      <w:hyperlink r:id="rId27" w:history="1">
        <w:r w:rsidRPr="00342660">
          <w:rPr>
            <w:rStyle w:val="Hyperlink"/>
            <w:rFonts w:cs="Times New Roman"/>
          </w:rPr>
          <w:t>https://doi.org/10.1111/jofi.13024</w:t>
        </w:r>
      </w:hyperlink>
    </w:p>
    <w:p w14:paraId="13EBB461" w14:textId="77777777" w:rsidR="00F659BD" w:rsidRPr="00342660" w:rsidRDefault="00F659BD" w:rsidP="00342660">
      <w:pPr>
        <w:rPr>
          <w:rFonts w:cs="Times New Roman"/>
        </w:rPr>
      </w:pPr>
      <w:r w:rsidRPr="00342660">
        <w:rPr>
          <w:rFonts w:cs="Times New Roman"/>
        </w:rPr>
        <w:t xml:space="preserve">Bukh, P.N., Ringgaard, A. and </w:t>
      </w:r>
      <w:proofErr w:type="spellStart"/>
      <w:r w:rsidRPr="00342660">
        <w:rPr>
          <w:rFonts w:cs="Times New Roman"/>
        </w:rPr>
        <w:t>Sandalgaard</w:t>
      </w:r>
      <w:proofErr w:type="spellEnd"/>
      <w:r w:rsidRPr="00342660">
        <w:rPr>
          <w:rFonts w:cs="Times New Roman"/>
        </w:rPr>
        <w:t>, N. (2025)</w:t>
      </w:r>
      <w:r>
        <w:rPr>
          <w:rFonts w:cs="Times New Roman"/>
        </w:rPr>
        <w:t xml:space="preserve">. </w:t>
      </w:r>
      <w:r w:rsidRPr="00342660">
        <w:rPr>
          <w:rFonts w:cs="Times New Roman"/>
        </w:rPr>
        <w:t xml:space="preserve">Moving beyond Beyond Budgeting: a case study of the dynamic interrelationships between budgets and forecasts, </w:t>
      </w:r>
      <w:r w:rsidRPr="00342660">
        <w:rPr>
          <w:rFonts w:cs="Times New Roman"/>
          <w:i/>
          <w:iCs/>
        </w:rPr>
        <w:t>European Accounting Review</w:t>
      </w:r>
      <w:r w:rsidRPr="00342660">
        <w:rPr>
          <w:rFonts w:cs="Times New Roman"/>
        </w:rPr>
        <w:t xml:space="preserve">, 34(3), pp. 1221–1247. </w:t>
      </w:r>
      <w:hyperlink r:id="rId28" w:history="1">
        <w:r w:rsidRPr="00342660">
          <w:rPr>
            <w:rStyle w:val="Hyperlink"/>
            <w:rFonts w:cs="Times New Roman"/>
          </w:rPr>
          <w:t>https://doi.org/10.1080/09638180.2024.2362681</w:t>
        </w:r>
      </w:hyperlink>
    </w:p>
    <w:p w14:paraId="5473B6E4" w14:textId="77777777" w:rsidR="00F659BD" w:rsidRPr="00342660" w:rsidRDefault="00F659BD" w:rsidP="00342660">
      <w:pPr>
        <w:rPr>
          <w:rFonts w:cs="Times New Roman"/>
        </w:rPr>
      </w:pPr>
      <w:proofErr w:type="spellStart"/>
      <w:r w:rsidRPr="00342660">
        <w:rPr>
          <w:rFonts w:cs="Times New Roman"/>
        </w:rPr>
        <w:t>Bunget</w:t>
      </w:r>
      <w:proofErr w:type="spellEnd"/>
      <w:r w:rsidRPr="00342660">
        <w:rPr>
          <w:rFonts w:cs="Times New Roman"/>
        </w:rPr>
        <w:t>, O.C. (2021)</w:t>
      </w:r>
      <w:r>
        <w:rPr>
          <w:rFonts w:cs="Times New Roman"/>
        </w:rPr>
        <w:t xml:space="preserve">. </w:t>
      </w:r>
      <w:r w:rsidRPr="00342660">
        <w:rPr>
          <w:rFonts w:cs="Times New Roman"/>
        </w:rPr>
        <w:t xml:space="preserve">Reconsidering budgeting after the COVID-19 outbreak, </w:t>
      </w:r>
      <w:r w:rsidRPr="00342660">
        <w:rPr>
          <w:rFonts w:cs="Times New Roman"/>
          <w:i/>
          <w:iCs/>
        </w:rPr>
        <w:t xml:space="preserve">Audit </w:t>
      </w:r>
      <w:proofErr w:type="spellStart"/>
      <w:r w:rsidRPr="00342660">
        <w:rPr>
          <w:rFonts w:cs="Times New Roman"/>
          <w:i/>
          <w:iCs/>
        </w:rPr>
        <w:t>Financiar</w:t>
      </w:r>
      <w:proofErr w:type="spellEnd"/>
      <w:r w:rsidRPr="00342660">
        <w:rPr>
          <w:rFonts w:cs="Times New Roman"/>
        </w:rPr>
        <w:t xml:space="preserve">, 19(162). </w:t>
      </w:r>
      <w:hyperlink r:id="rId29" w:history="1">
        <w:r w:rsidRPr="00342660">
          <w:rPr>
            <w:rStyle w:val="Hyperlink"/>
            <w:rFonts w:cs="Times New Roman"/>
          </w:rPr>
          <w:t>https://econpapers.repec.org/article/audaudfin/v_3a19_3ay_3a2021_3ai_3a162_3ap_3a351.htm</w:t>
        </w:r>
      </w:hyperlink>
    </w:p>
    <w:p w14:paraId="763C37DE" w14:textId="77777777" w:rsidR="00F659BD" w:rsidRPr="00342660" w:rsidRDefault="00F659BD" w:rsidP="00342660">
      <w:pPr>
        <w:rPr>
          <w:rFonts w:cs="Times New Roman"/>
        </w:rPr>
      </w:pPr>
      <w:r w:rsidRPr="00342660">
        <w:rPr>
          <w:rFonts w:cs="Times New Roman"/>
        </w:rPr>
        <w:t>Coyte, R., Messner, M. and Zhou, S. (2022)</w:t>
      </w:r>
      <w:r>
        <w:rPr>
          <w:rFonts w:cs="Times New Roman"/>
        </w:rPr>
        <w:t xml:space="preserve">. </w:t>
      </w:r>
      <w:r w:rsidRPr="00342660">
        <w:rPr>
          <w:rFonts w:cs="Times New Roman"/>
        </w:rPr>
        <w:t xml:space="preserve">The revival of zero-based budgeting: drivers and consequences of firm-level adoptions, </w:t>
      </w:r>
      <w:r w:rsidRPr="00342660">
        <w:rPr>
          <w:rFonts w:cs="Times New Roman"/>
          <w:i/>
          <w:iCs/>
        </w:rPr>
        <w:t>Accounting and Finance</w:t>
      </w:r>
      <w:r w:rsidRPr="00342660">
        <w:rPr>
          <w:rFonts w:cs="Times New Roman"/>
        </w:rPr>
        <w:t xml:space="preserve">, 62(3), pp. 3147–3188. </w:t>
      </w:r>
      <w:hyperlink r:id="rId30" w:history="1">
        <w:r w:rsidRPr="00342660">
          <w:rPr>
            <w:rStyle w:val="Hyperlink"/>
            <w:rFonts w:cs="Times New Roman"/>
          </w:rPr>
          <w:t>https://doi.org/10.1111/acfi.12884</w:t>
        </w:r>
      </w:hyperlink>
    </w:p>
    <w:p w14:paraId="7F384731" w14:textId="77777777" w:rsidR="00F659BD" w:rsidRPr="00342660" w:rsidRDefault="00F659BD" w:rsidP="00342660">
      <w:pPr>
        <w:rPr>
          <w:rFonts w:cs="Times New Roman"/>
        </w:rPr>
      </w:pPr>
      <w:r w:rsidRPr="00342660">
        <w:rPr>
          <w:rFonts w:cs="Times New Roman"/>
        </w:rPr>
        <w:t>Datar, S.M. and Rajan, M.V. (2017)</w:t>
      </w:r>
      <w:r>
        <w:rPr>
          <w:rFonts w:cs="Times New Roman"/>
        </w:rPr>
        <w:t>.</w:t>
      </w:r>
      <w:r w:rsidRPr="00342660">
        <w:rPr>
          <w:rFonts w:cs="Times New Roman"/>
        </w:rPr>
        <w:t xml:space="preserve"> </w:t>
      </w:r>
      <w:r w:rsidRPr="00342660">
        <w:rPr>
          <w:rFonts w:cs="Times New Roman"/>
          <w:i/>
          <w:iCs/>
        </w:rPr>
        <w:t>Horngren's Cost Accounting: A Managerial Emphasis</w:t>
      </w:r>
      <w:r w:rsidRPr="00342660">
        <w:rPr>
          <w:rFonts w:cs="Times New Roman"/>
        </w:rPr>
        <w:t xml:space="preserve">. 11th </w:t>
      </w:r>
      <w:proofErr w:type="spellStart"/>
      <w:r w:rsidRPr="00342660">
        <w:rPr>
          <w:rFonts w:cs="Times New Roman"/>
        </w:rPr>
        <w:t>edn</w:t>
      </w:r>
      <w:proofErr w:type="spellEnd"/>
      <w:r w:rsidRPr="00342660">
        <w:rPr>
          <w:rFonts w:cs="Times New Roman"/>
        </w:rPr>
        <w:t>. London: Pearson.</w:t>
      </w:r>
    </w:p>
    <w:p w14:paraId="2D101345" w14:textId="77777777" w:rsidR="00F659BD" w:rsidRPr="00342660" w:rsidRDefault="00F659BD" w:rsidP="00342660">
      <w:pPr>
        <w:rPr>
          <w:rFonts w:cs="Times New Roman"/>
        </w:rPr>
      </w:pPr>
      <w:r w:rsidRPr="00342660">
        <w:rPr>
          <w:rFonts w:cs="Times New Roman"/>
        </w:rPr>
        <w:t>Drury, C. (2021)</w:t>
      </w:r>
      <w:r>
        <w:rPr>
          <w:rFonts w:cs="Times New Roman"/>
        </w:rPr>
        <w:t>.</w:t>
      </w:r>
      <w:r w:rsidRPr="00342660">
        <w:rPr>
          <w:rFonts w:cs="Times New Roman"/>
        </w:rPr>
        <w:t xml:space="preserve"> </w:t>
      </w:r>
      <w:r w:rsidRPr="00342660">
        <w:rPr>
          <w:rFonts w:cs="Times New Roman"/>
          <w:i/>
          <w:iCs/>
        </w:rPr>
        <w:t>Management and Cost Accounting</w:t>
      </w:r>
      <w:r w:rsidRPr="00342660">
        <w:rPr>
          <w:rFonts w:cs="Times New Roman"/>
        </w:rPr>
        <w:t xml:space="preserve">. 11th </w:t>
      </w:r>
      <w:proofErr w:type="spellStart"/>
      <w:r w:rsidRPr="00342660">
        <w:rPr>
          <w:rFonts w:cs="Times New Roman"/>
        </w:rPr>
        <w:t>edn</w:t>
      </w:r>
      <w:proofErr w:type="spellEnd"/>
      <w:r w:rsidRPr="00342660">
        <w:rPr>
          <w:rFonts w:cs="Times New Roman"/>
        </w:rPr>
        <w:t>. London: Prentice Hall.</w:t>
      </w:r>
    </w:p>
    <w:p w14:paraId="5CC00A44" w14:textId="77777777" w:rsidR="00F659BD" w:rsidRPr="00342660" w:rsidRDefault="00F659BD" w:rsidP="00342660">
      <w:pPr>
        <w:rPr>
          <w:rFonts w:cs="Times New Roman"/>
        </w:rPr>
      </w:pPr>
      <w:r w:rsidRPr="00342660">
        <w:rPr>
          <w:rFonts w:cs="Times New Roman"/>
        </w:rPr>
        <w:t>Dyson, J.R. (2020)</w:t>
      </w:r>
      <w:r>
        <w:rPr>
          <w:rFonts w:cs="Times New Roman"/>
        </w:rPr>
        <w:t>.</w:t>
      </w:r>
      <w:r w:rsidRPr="00342660">
        <w:rPr>
          <w:rFonts w:cs="Times New Roman"/>
        </w:rPr>
        <w:t xml:space="preserve"> </w:t>
      </w:r>
      <w:r w:rsidRPr="00342660">
        <w:rPr>
          <w:rFonts w:cs="Times New Roman"/>
          <w:i/>
          <w:iCs/>
        </w:rPr>
        <w:t>Accounting for Non-Accounting Students</w:t>
      </w:r>
      <w:r w:rsidRPr="00342660">
        <w:rPr>
          <w:rFonts w:cs="Times New Roman"/>
        </w:rPr>
        <w:t xml:space="preserve">. 10th </w:t>
      </w:r>
      <w:proofErr w:type="spellStart"/>
      <w:r w:rsidRPr="00342660">
        <w:rPr>
          <w:rFonts w:cs="Times New Roman"/>
        </w:rPr>
        <w:t>edn</w:t>
      </w:r>
      <w:proofErr w:type="spellEnd"/>
      <w:r w:rsidRPr="00342660">
        <w:rPr>
          <w:rFonts w:cs="Times New Roman"/>
        </w:rPr>
        <w:t>. London: Pearson.</w:t>
      </w:r>
    </w:p>
    <w:p w14:paraId="4E56C87D" w14:textId="77777777" w:rsidR="00F659BD" w:rsidRPr="00342660" w:rsidRDefault="00F659BD" w:rsidP="00342660">
      <w:pPr>
        <w:rPr>
          <w:rFonts w:cs="Times New Roman"/>
        </w:rPr>
      </w:pPr>
      <w:r w:rsidRPr="00342660">
        <w:rPr>
          <w:rFonts w:cs="Times New Roman"/>
        </w:rPr>
        <w:t xml:space="preserve">Eniola, A.A. and </w:t>
      </w:r>
      <w:proofErr w:type="spellStart"/>
      <w:r w:rsidRPr="00342660">
        <w:rPr>
          <w:rFonts w:cs="Times New Roman"/>
        </w:rPr>
        <w:t>Entebang</w:t>
      </w:r>
      <w:proofErr w:type="spellEnd"/>
      <w:r w:rsidRPr="00342660">
        <w:rPr>
          <w:rFonts w:cs="Times New Roman"/>
        </w:rPr>
        <w:t>, H. (2017)</w:t>
      </w:r>
      <w:r>
        <w:rPr>
          <w:rFonts w:cs="Times New Roman"/>
        </w:rPr>
        <w:t xml:space="preserve">. </w:t>
      </w:r>
      <w:r w:rsidRPr="00342660">
        <w:rPr>
          <w:rFonts w:cs="Times New Roman"/>
        </w:rPr>
        <w:t xml:space="preserve">SME managers and financial literacy, </w:t>
      </w:r>
      <w:r w:rsidRPr="00342660">
        <w:rPr>
          <w:rFonts w:cs="Times New Roman"/>
          <w:i/>
          <w:iCs/>
        </w:rPr>
        <w:t>Global Business Review</w:t>
      </w:r>
      <w:r w:rsidRPr="00342660">
        <w:rPr>
          <w:rFonts w:cs="Times New Roman"/>
        </w:rPr>
        <w:t xml:space="preserve">, 18(3), pp. 559–576. </w:t>
      </w:r>
      <w:hyperlink r:id="rId31" w:history="1">
        <w:r w:rsidRPr="00342660">
          <w:rPr>
            <w:rStyle w:val="Hyperlink"/>
            <w:rFonts w:cs="Times New Roman"/>
          </w:rPr>
          <w:t>https://doi.org/10.1177/0972150917692063</w:t>
        </w:r>
      </w:hyperlink>
    </w:p>
    <w:p w14:paraId="725651ED" w14:textId="77777777" w:rsidR="00F659BD" w:rsidRPr="00342660" w:rsidRDefault="00F659BD" w:rsidP="00342660">
      <w:pPr>
        <w:rPr>
          <w:rFonts w:cs="Times New Roman"/>
        </w:rPr>
      </w:pPr>
      <w:r w:rsidRPr="00342660">
        <w:rPr>
          <w:rFonts w:cs="Times New Roman"/>
        </w:rPr>
        <w:t>Henttu-Aho, T. and Järvinen, J. (2013)</w:t>
      </w:r>
      <w:r>
        <w:rPr>
          <w:rFonts w:cs="Times New Roman"/>
        </w:rPr>
        <w:t xml:space="preserve">. </w:t>
      </w:r>
      <w:r w:rsidRPr="00342660">
        <w:rPr>
          <w:rFonts w:cs="Times New Roman"/>
        </w:rPr>
        <w:t xml:space="preserve">A field study of the emerging practice of beyond budgeting in industrial companies: an institutional perspective, </w:t>
      </w:r>
      <w:r w:rsidRPr="00342660">
        <w:rPr>
          <w:rFonts w:cs="Times New Roman"/>
          <w:i/>
          <w:iCs/>
        </w:rPr>
        <w:t>European Accounting Review</w:t>
      </w:r>
      <w:r w:rsidRPr="00342660">
        <w:rPr>
          <w:rFonts w:cs="Times New Roman"/>
        </w:rPr>
        <w:t xml:space="preserve">, 22(4), pp. 765–785. </w:t>
      </w:r>
      <w:hyperlink r:id="rId32" w:history="1">
        <w:r w:rsidRPr="00342660">
          <w:rPr>
            <w:rStyle w:val="Hyperlink"/>
            <w:rFonts w:cs="Times New Roman"/>
          </w:rPr>
          <w:t>https://doi.org/10.1080/09638180.2012.758596</w:t>
        </w:r>
      </w:hyperlink>
    </w:p>
    <w:p w14:paraId="7491EE3A" w14:textId="77777777" w:rsidR="00F659BD" w:rsidRPr="00342660" w:rsidRDefault="00F659BD" w:rsidP="00342660">
      <w:pPr>
        <w:rPr>
          <w:rFonts w:cs="Times New Roman"/>
        </w:rPr>
      </w:pPr>
      <w:r w:rsidRPr="00342660">
        <w:rPr>
          <w:rFonts w:cs="Times New Roman"/>
        </w:rPr>
        <w:t>Horner, D. (2020)</w:t>
      </w:r>
      <w:r>
        <w:rPr>
          <w:rFonts w:cs="Times New Roman"/>
        </w:rPr>
        <w:t xml:space="preserve">. </w:t>
      </w:r>
      <w:r w:rsidRPr="00342660">
        <w:rPr>
          <w:rFonts w:cs="Times New Roman"/>
          <w:i/>
          <w:iCs/>
        </w:rPr>
        <w:t>Accounting for Non-Accountants</w:t>
      </w:r>
      <w:r w:rsidRPr="00342660">
        <w:rPr>
          <w:rFonts w:cs="Times New Roman"/>
        </w:rPr>
        <w:t xml:space="preserve">. 12th </w:t>
      </w:r>
      <w:proofErr w:type="spellStart"/>
      <w:r w:rsidRPr="00342660">
        <w:rPr>
          <w:rFonts w:cs="Times New Roman"/>
        </w:rPr>
        <w:t>edn</w:t>
      </w:r>
      <w:proofErr w:type="spellEnd"/>
      <w:r w:rsidRPr="00342660">
        <w:rPr>
          <w:rFonts w:cs="Times New Roman"/>
        </w:rPr>
        <w:t>. London: Kogan Press.</w:t>
      </w:r>
    </w:p>
    <w:p w14:paraId="1D6D0DF3" w14:textId="77777777" w:rsidR="00F659BD" w:rsidRPr="00342660" w:rsidRDefault="00F659BD" w:rsidP="00342660">
      <w:pPr>
        <w:rPr>
          <w:rFonts w:cs="Times New Roman"/>
        </w:rPr>
      </w:pPr>
      <w:proofErr w:type="spellStart"/>
      <w:r w:rsidRPr="00342660">
        <w:rPr>
          <w:rFonts w:cs="Times New Roman"/>
        </w:rPr>
        <w:t>Kolitz</w:t>
      </w:r>
      <w:proofErr w:type="spellEnd"/>
      <w:r w:rsidRPr="00342660">
        <w:rPr>
          <w:rFonts w:cs="Times New Roman"/>
        </w:rPr>
        <w:t>, D. (2017)</w:t>
      </w:r>
      <w:r>
        <w:rPr>
          <w:rFonts w:cs="Times New Roman"/>
        </w:rPr>
        <w:t xml:space="preserve">. </w:t>
      </w:r>
      <w:r w:rsidRPr="00342660">
        <w:rPr>
          <w:rFonts w:cs="Times New Roman"/>
          <w:i/>
          <w:iCs/>
        </w:rPr>
        <w:t>Financial Accounting: A Concepts-based Introduction</w:t>
      </w:r>
      <w:r w:rsidRPr="00342660">
        <w:rPr>
          <w:rFonts w:cs="Times New Roman"/>
        </w:rPr>
        <w:t>. Oxon: Routledge.</w:t>
      </w:r>
    </w:p>
    <w:p w14:paraId="7BBCE5E3" w14:textId="77777777" w:rsidR="00F659BD" w:rsidRPr="00342660" w:rsidRDefault="00F659BD" w:rsidP="00342660">
      <w:pPr>
        <w:rPr>
          <w:rFonts w:cs="Times New Roman"/>
        </w:rPr>
      </w:pPr>
      <w:r w:rsidRPr="00342660">
        <w:rPr>
          <w:rFonts w:cs="Times New Roman"/>
        </w:rPr>
        <w:t xml:space="preserve">Koomson, S., </w:t>
      </w:r>
      <w:proofErr w:type="spellStart"/>
      <w:r w:rsidRPr="00342660">
        <w:rPr>
          <w:rFonts w:cs="Times New Roman"/>
        </w:rPr>
        <w:t>Azadda</w:t>
      </w:r>
      <w:proofErr w:type="spellEnd"/>
      <w:r w:rsidRPr="00342660">
        <w:rPr>
          <w:rFonts w:cs="Times New Roman"/>
        </w:rPr>
        <w:t xml:space="preserve">, W.N., </w:t>
      </w:r>
      <w:proofErr w:type="spellStart"/>
      <w:r w:rsidRPr="00342660">
        <w:rPr>
          <w:rFonts w:cs="Times New Roman"/>
        </w:rPr>
        <w:t>Opoku</w:t>
      </w:r>
      <w:proofErr w:type="spellEnd"/>
      <w:r w:rsidRPr="00342660">
        <w:rPr>
          <w:rFonts w:cs="Times New Roman"/>
        </w:rPr>
        <w:t xml:space="preserve"> </w:t>
      </w:r>
      <w:proofErr w:type="spellStart"/>
      <w:r w:rsidRPr="00342660">
        <w:rPr>
          <w:rFonts w:cs="Times New Roman"/>
        </w:rPr>
        <w:t>Mensah</w:t>
      </w:r>
      <w:proofErr w:type="spellEnd"/>
      <w:r w:rsidRPr="00342660">
        <w:rPr>
          <w:rFonts w:cs="Times New Roman"/>
        </w:rPr>
        <w:t xml:space="preserve">, A. and </w:t>
      </w:r>
      <w:proofErr w:type="spellStart"/>
      <w:r w:rsidRPr="00342660">
        <w:rPr>
          <w:rFonts w:cs="Times New Roman"/>
        </w:rPr>
        <w:t>Gbadago</w:t>
      </w:r>
      <w:proofErr w:type="spellEnd"/>
      <w:r w:rsidRPr="00342660">
        <w:rPr>
          <w:rFonts w:cs="Times New Roman"/>
        </w:rPr>
        <w:t>, F.Y. (2025)</w:t>
      </w:r>
      <w:r>
        <w:rPr>
          <w:rFonts w:cs="Times New Roman"/>
        </w:rPr>
        <w:t xml:space="preserve">. </w:t>
      </w:r>
      <w:r w:rsidRPr="00342660">
        <w:rPr>
          <w:rFonts w:cs="Times New Roman"/>
        </w:rPr>
        <w:t xml:space="preserve">Does innovative behaviour intervene between budgetary participation and performance in the public sector?, </w:t>
      </w:r>
      <w:r w:rsidRPr="00342660">
        <w:rPr>
          <w:rFonts w:cs="Times New Roman"/>
          <w:i/>
          <w:iCs/>
        </w:rPr>
        <w:t>International Journal of Innovation Science</w:t>
      </w:r>
      <w:r w:rsidRPr="00342660">
        <w:rPr>
          <w:rFonts w:cs="Times New Roman"/>
        </w:rPr>
        <w:t xml:space="preserve">, 17(2), pp. 438–462. </w:t>
      </w:r>
      <w:hyperlink r:id="rId33" w:history="1">
        <w:r w:rsidRPr="00342660">
          <w:rPr>
            <w:rStyle w:val="Hyperlink"/>
            <w:rFonts w:cs="Times New Roman"/>
          </w:rPr>
          <w:t>https://doi.org/10.1108/IJIS-04-2023-0084</w:t>
        </w:r>
      </w:hyperlink>
    </w:p>
    <w:p w14:paraId="18CC21AA" w14:textId="77777777" w:rsidR="00F659BD" w:rsidRPr="00342660" w:rsidRDefault="00F659BD" w:rsidP="00342660">
      <w:pPr>
        <w:rPr>
          <w:rFonts w:cs="Times New Roman"/>
        </w:rPr>
      </w:pPr>
      <w:r w:rsidRPr="00342660">
        <w:rPr>
          <w:rFonts w:cs="Times New Roman"/>
        </w:rPr>
        <w:t>Libby, T. and Lindsay, R.M. (2010)</w:t>
      </w:r>
      <w:r>
        <w:rPr>
          <w:rFonts w:cs="Times New Roman"/>
        </w:rPr>
        <w:t xml:space="preserve">. </w:t>
      </w:r>
      <w:r w:rsidRPr="00342660">
        <w:rPr>
          <w:rFonts w:cs="Times New Roman"/>
        </w:rPr>
        <w:t xml:space="preserve">Beyond budgeting or budgeting reconsidered? A survey of North-American budgeting practice, </w:t>
      </w:r>
      <w:r w:rsidRPr="00342660">
        <w:rPr>
          <w:rFonts w:cs="Times New Roman"/>
          <w:i/>
          <w:iCs/>
        </w:rPr>
        <w:t>Management Accounting Research</w:t>
      </w:r>
      <w:r w:rsidRPr="00342660">
        <w:rPr>
          <w:rFonts w:cs="Times New Roman"/>
        </w:rPr>
        <w:t xml:space="preserve">, 21(1), pp. 56–75. </w:t>
      </w:r>
      <w:hyperlink r:id="rId34" w:history="1">
        <w:r w:rsidRPr="00342660">
          <w:rPr>
            <w:rStyle w:val="Hyperlink"/>
            <w:rFonts w:cs="Times New Roman"/>
          </w:rPr>
          <w:t>https://doi.org/10.1016/j.mar.2009.10.003</w:t>
        </w:r>
      </w:hyperlink>
    </w:p>
    <w:p w14:paraId="6A343552" w14:textId="77777777" w:rsidR="00F659BD" w:rsidRPr="00342660" w:rsidRDefault="00F659BD" w:rsidP="00342660">
      <w:pPr>
        <w:rPr>
          <w:rFonts w:cs="Times New Roman"/>
        </w:rPr>
      </w:pPr>
      <w:r w:rsidRPr="00342660">
        <w:rPr>
          <w:rFonts w:cs="Times New Roman"/>
        </w:rPr>
        <w:t>Libby, T. and Lindsay, R.M. (2019)</w:t>
      </w:r>
      <w:r>
        <w:rPr>
          <w:rFonts w:cs="Times New Roman"/>
        </w:rPr>
        <w:t xml:space="preserve">. </w:t>
      </w:r>
      <w:r w:rsidRPr="00342660">
        <w:rPr>
          <w:rFonts w:cs="Times New Roman"/>
        </w:rPr>
        <w:t xml:space="preserve">The effects of superior trust and budget-based controls on budgetary gaming and budget value, </w:t>
      </w:r>
      <w:r w:rsidRPr="00342660">
        <w:rPr>
          <w:rFonts w:cs="Times New Roman"/>
          <w:i/>
          <w:iCs/>
        </w:rPr>
        <w:t>Journal of Management Accounting Research</w:t>
      </w:r>
      <w:r w:rsidRPr="00342660">
        <w:rPr>
          <w:rFonts w:cs="Times New Roman"/>
        </w:rPr>
        <w:t xml:space="preserve">, 31(3), pp. 153–184. </w:t>
      </w:r>
      <w:hyperlink r:id="rId35" w:history="1">
        <w:r w:rsidRPr="00342660">
          <w:rPr>
            <w:rStyle w:val="Hyperlink"/>
            <w:rFonts w:cs="Times New Roman"/>
          </w:rPr>
          <w:t>https://doi.org/10.2308/jmar-52238</w:t>
        </w:r>
      </w:hyperlink>
    </w:p>
    <w:p w14:paraId="6FEE7E53" w14:textId="77777777" w:rsidR="00F659BD" w:rsidRPr="00342660" w:rsidRDefault="00F659BD" w:rsidP="00342660">
      <w:pPr>
        <w:rPr>
          <w:rFonts w:cs="Times New Roman"/>
        </w:rPr>
      </w:pPr>
      <w:r w:rsidRPr="00342660">
        <w:rPr>
          <w:rFonts w:cs="Times New Roman"/>
        </w:rPr>
        <w:t xml:space="preserve">Marr, B. (2013) </w:t>
      </w:r>
      <w:r w:rsidRPr="00342660">
        <w:rPr>
          <w:rFonts w:cs="Times New Roman"/>
          <w:i/>
          <w:iCs/>
        </w:rPr>
        <w:t>Key Performance Indicators (KPI)</w:t>
      </w:r>
      <w:r w:rsidRPr="00342660">
        <w:rPr>
          <w:rFonts w:cs="Times New Roman"/>
        </w:rPr>
        <w:t>. Harlow: Pearson.</w:t>
      </w:r>
    </w:p>
    <w:p w14:paraId="2B7139CE" w14:textId="77777777" w:rsidR="00F659BD" w:rsidRPr="00342660" w:rsidRDefault="00F659BD" w:rsidP="00342660">
      <w:pPr>
        <w:rPr>
          <w:rFonts w:cs="Times New Roman"/>
        </w:rPr>
      </w:pPr>
      <w:r w:rsidRPr="00342660">
        <w:rPr>
          <w:rFonts w:cs="Times New Roman"/>
        </w:rPr>
        <w:t xml:space="preserve">Matsoso, M.L., Nyathi, M. and </w:t>
      </w:r>
      <w:proofErr w:type="spellStart"/>
      <w:r w:rsidRPr="00342660">
        <w:rPr>
          <w:rFonts w:cs="Times New Roman"/>
        </w:rPr>
        <w:t>Nakpodia</w:t>
      </w:r>
      <w:proofErr w:type="spellEnd"/>
      <w:r w:rsidRPr="00342660">
        <w:rPr>
          <w:rFonts w:cs="Times New Roman"/>
        </w:rPr>
        <w:t>, F.A. (2021)</w:t>
      </w:r>
      <w:r>
        <w:rPr>
          <w:rFonts w:cs="Times New Roman"/>
        </w:rPr>
        <w:t xml:space="preserve">. </w:t>
      </w:r>
      <w:r w:rsidRPr="00342660">
        <w:rPr>
          <w:rFonts w:cs="Times New Roman"/>
        </w:rPr>
        <w:t xml:space="preserve">An assessment of budgeting and budgetary controls among small and medium-sized enterprises: evidence from a developing economy, </w:t>
      </w:r>
      <w:r w:rsidRPr="00342660">
        <w:rPr>
          <w:rFonts w:cs="Times New Roman"/>
          <w:i/>
          <w:iCs/>
        </w:rPr>
        <w:t>Journal of Accounting in Emerging Economies</w:t>
      </w:r>
      <w:r w:rsidRPr="00342660">
        <w:rPr>
          <w:rFonts w:cs="Times New Roman"/>
        </w:rPr>
        <w:t xml:space="preserve">, 11(4), pp. 552–577. </w:t>
      </w:r>
      <w:hyperlink r:id="rId36" w:history="1">
        <w:r w:rsidRPr="00342660">
          <w:rPr>
            <w:rStyle w:val="Hyperlink"/>
            <w:rFonts w:cs="Times New Roman"/>
          </w:rPr>
          <w:t>https://doi.org/10.1108/JAEE-04-2020-0082</w:t>
        </w:r>
      </w:hyperlink>
    </w:p>
    <w:p w14:paraId="31C34CDC" w14:textId="77777777" w:rsidR="00F659BD" w:rsidRPr="00342660" w:rsidRDefault="00F659BD" w:rsidP="00342660">
      <w:pPr>
        <w:rPr>
          <w:rFonts w:cs="Times New Roman"/>
        </w:rPr>
      </w:pPr>
      <w:r w:rsidRPr="00342660">
        <w:rPr>
          <w:rFonts w:cs="Times New Roman"/>
        </w:rPr>
        <w:t xml:space="preserve">Mohamed, I.A., Kerosi, E. and </w:t>
      </w:r>
      <w:proofErr w:type="spellStart"/>
      <w:r w:rsidRPr="00342660">
        <w:rPr>
          <w:rFonts w:cs="Times New Roman"/>
        </w:rPr>
        <w:t>Tirimba</w:t>
      </w:r>
      <w:proofErr w:type="spellEnd"/>
      <w:r w:rsidRPr="00342660">
        <w:rPr>
          <w:rFonts w:cs="Times New Roman"/>
        </w:rPr>
        <w:t>, O.I. (2016)</w:t>
      </w:r>
      <w:r>
        <w:rPr>
          <w:rFonts w:cs="Times New Roman"/>
        </w:rPr>
        <w:t xml:space="preserve">. </w:t>
      </w:r>
      <w:r w:rsidRPr="00342660">
        <w:rPr>
          <w:rFonts w:cs="Times New Roman"/>
        </w:rPr>
        <w:t xml:space="preserve">An analysis of the effectiveness of budgetary control techniques on organisational performance, </w:t>
      </w:r>
      <w:r w:rsidRPr="00342660">
        <w:rPr>
          <w:rFonts w:cs="Times New Roman"/>
          <w:i/>
          <w:iCs/>
        </w:rPr>
        <w:t>International Journal of Business and Management</w:t>
      </w:r>
      <w:r w:rsidRPr="00342660">
        <w:rPr>
          <w:rFonts w:cs="Times New Roman"/>
        </w:rPr>
        <w:t xml:space="preserve">, 11(4), pp. 19–37. </w:t>
      </w:r>
      <w:hyperlink r:id="rId37" w:history="1">
        <w:r w:rsidRPr="00342660">
          <w:rPr>
            <w:rStyle w:val="Hyperlink"/>
            <w:rFonts w:cs="Times New Roman"/>
          </w:rPr>
          <w:t>https://www.ijbmer.com/docs/volumes/vol6issue6/ijbmer2015060603.pdf</w:t>
        </w:r>
      </w:hyperlink>
    </w:p>
    <w:p w14:paraId="2C68502A" w14:textId="77777777" w:rsidR="00F659BD" w:rsidRPr="00342660" w:rsidRDefault="00F659BD" w:rsidP="00342660">
      <w:pPr>
        <w:rPr>
          <w:rFonts w:cs="Times New Roman"/>
        </w:rPr>
      </w:pPr>
      <w:proofErr w:type="spellStart"/>
      <w:r w:rsidRPr="00342660">
        <w:rPr>
          <w:rFonts w:cs="Times New Roman"/>
        </w:rPr>
        <w:t>Nkundabanyanga</w:t>
      </w:r>
      <w:proofErr w:type="spellEnd"/>
      <w:r w:rsidRPr="00342660">
        <w:rPr>
          <w:rFonts w:cs="Times New Roman"/>
        </w:rPr>
        <w:t xml:space="preserve">, S.K., </w:t>
      </w:r>
      <w:proofErr w:type="spellStart"/>
      <w:r w:rsidRPr="00342660">
        <w:rPr>
          <w:rFonts w:cs="Times New Roman"/>
        </w:rPr>
        <w:t>Jayasinghe</w:t>
      </w:r>
      <w:proofErr w:type="spellEnd"/>
      <w:r w:rsidRPr="00342660">
        <w:rPr>
          <w:rFonts w:cs="Times New Roman"/>
        </w:rPr>
        <w:t xml:space="preserve">, K., Abaho, E. and </w:t>
      </w:r>
      <w:proofErr w:type="spellStart"/>
      <w:r w:rsidRPr="00342660">
        <w:rPr>
          <w:rFonts w:cs="Times New Roman"/>
        </w:rPr>
        <w:t>Mugambe</w:t>
      </w:r>
      <w:proofErr w:type="spellEnd"/>
      <w:r w:rsidRPr="00342660">
        <w:rPr>
          <w:rFonts w:cs="Times New Roman"/>
        </w:rPr>
        <w:t>, K. (2023)</w:t>
      </w:r>
      <w:r>
        <w:rPr>
          <w:rFonts w:cs="Times New Roman"/>
        </w:rPr>
        <w:t xml:space="preserve">. </w:t>
      </w:r>
      <w:r w:rsidRPr="00342660">
        <w:rPr>
          <w:rFonts w:cs="Times New Roman"/>
        </w:rPr>
        <w:t xml:space="preserve">Contingency factors and budget actors' behaviour during COVID-19: the case of Uganda, </w:t>
      </w:r>
      <w:r w:rsidRPr="00342660">
        <w:rPr>
          <w:rFonts w:cs="Times New Roman"/>
          <w:i/>
          <w:iCs/>
        </w:rPr>
        <w:t>Journal of Public Budgeting, Accounting and Financial Management</w:t>
      </w:r>
      <w:r w:rsidRPr="00342660">
        <w:rPr>
          <w:rFonts w:cs="Times New Roman"/>
        </w:rPr>
        <w:t xml:space="preserve">, 35(3), pp. 354–384. </w:t>
      </w:r>
      <w:hyperlink r:id="rId38" w:history="1">
        <w:r w:rsidRPr="00342660">
          <w:rPr>
            <w:rStyle w:val="Hyperlink"/>
            <w:rFonts w:cs="Times New Roman"/>
          </w:rPr>
          <w:t>https://doi.org/10.1108/JPBAFM-03-2021-0058</w:t>
        </w:r>
      </w:hyperlink>
    </w:p>
    <w:p w14:paraId="38D83699" w14:textId="77777777" w:rsidR="00F659BD" w:rsidRPr="00342660" w:rsidRDefault="00F659BD" w:rsidP="00342660">
      <w:pPr>
        <w:rPr>
          <w:rFonts w:cs="Times New Roman"/>
        </w:rPr>
      </w:pPr>
      <w:r w:rsidRPr="00342660">
        <w:rPr>
          <w:rFonts w:cs="Times New Roman"/>
        </w:rPr>
        <w:t xml:space="preserve">Okeke, N.I., Bakare, O.A. and </w:t>
      </w:r>
      <w:proofErr w:type="spellStart"/>
      <w:r w:rsidRPr="00342660">
        <w:rPr>
          <w:rFonts w:cs="Times New Roman"/>
        </w:rPr>
        <w:t>Achumie</w:t>
      </w:r>
      <w:proofErr w:type="spellEnd"/>
      <w:r w:rsidRPr="00342660">
        <w:rPr>
          <w:rFonts w:cs="Times New Roman"/>
        </w:rPr>
        <w:t>, G.O. (2024)</w:t>
      </w:r>
      <w:r>
        <w:rPr>
          <w:rFonts w:cs="Times New Roman"/>
        </w:rPr>
        <w:t xml:space="preserve">. </w:t>
      </w:r>
      <w:r w:rsidRPr="00342660">
        <w:rPr>
          <w:rFonts w:cs="Times New Roman"/>
        </w:rPr>
        <w:t xml:space="preserve">Forecasting financial stability in SMEs: a comprehensive analysis of strategic budgeting and revenue management, </w:t>
      </w:r>
      <w:r w:rsidRPr="00342660">
        <w:rPr>
          <w:rFonts w:cs="Times New Roman"/>
          <w:i/>
          <w:iCs/>
        </w:rPr>
        <w:t>Open Access Research Journal of Multidisciplinary Studies</w:t>
      </w:r>
      <w:r w:rsidRPr="00342660">
        <w:rPr>
          <w:rFonts w:cs="Times New Roman"/>
        </w:rPr>
        <w:t xml:space="preserve">, 8(1), pp. 139–149.  </w:t>
      </w:r>
      <w:hyperlink r:id="rId39" w:history="1">
        <w:r w:rsidRPr="00342660">
          <w:rPr>
            <w:rStyle w:val="Hyperlink"/>
            <w:rFonts w:cs="Times New Roman"/>
          </w:rPr>
          <w:t>https://doi.org/10.53022/oarjms.2024.8.1.0055</w:t>
        </w:r>
      </w:hyperlink>
    </w:p>
    <w:p w14:paraId="59B34F2B" w14:textId="77777777" w:rsidR="00F659BD" w:rsidRPr="00342660" w:rsidRDefault="00F659BD" w:rsidP="00342660">
      <w:pPr>
        <w:rPr>
          <w:rFonts w:cs="Times New Roman"/>
        </w:rPr>
      </w:pPr>
      <w:proofErr w:type="spellStart"/>
      <w:r w:rsidRPr="00342660">
        <w:rPr>
          <w:rFonts w:cs="Times New Roman"/>
        </w:rPr>
        <w:t>Przychocka</w:t>
      </w:r>
      <w:proofErr w:type="spellEnd"/>
      <w:r w:rsidRPr="00342660">
        <w:rPr>
          <w:rFonts w:cs="Times New Roman"/>
        </w:rPr>
        <w:t>, I., Sikorski, M. and Milewski, L. (2024)</w:t>
      </w:r>
      <w:r>
        <w:rPr>
          <w:rFonts w:cs="Times New Roman"/>
        </w:rPr>
        <w:t xml:space="preserve">. </w:t>
      </w:r>
      <w:r w:rsidRPr="00342660">
        <w:rPr>
          <w:rFonts w:cs="Times New Roman"/>
        </w:rPr>
        <w:t xml:space="preserve">Cash flow management in small and medium enterprises in times of economic uncertainty, </w:t>
      </w:r>
      <w:r w:rsidRPr="00342660">
        <w:rPr>
          <w:rFonts w:cs="Times New Roman"/>
          <w:i/>
          <w:iCs/>
        </w:rPr>
        <w:t>European Research Studies Journal</w:t>
      </w:r>
      <w:r w:rsidRPr="00342660">
        <w:rPr>
          <w:rFonts w:cs="Times New Roman"/>
        </w:rPr>
        <w:t xml:space="preserve">, 27(1), pp. 60–74. </w:t>
      </w:r>
      <w:hyperlink r:id="rId40" w:history="1">
        <w:r w:rsidRPr="00342660">
          <w:rPr>
            <w:rStyle w:val="Hyperlink"/>
            <w:rFonts w:cs="Times New Roman"/>
          </w:rPr>
          <w:t>https://www.um.edu.mt/library/oar/handle/123456789/121732</w:t>
        </w:r>
      </w:hyperlink>
    </w:p>
    <w:p w14:paraId="4EF0F851" w14:textId="77777777" w:rsidR="00F659BD" w:rsidRPr="00342660" w:rsidRDefault="00F659BD" w:rsidP="00342660">
      <w:pPr>
        <w:rPr>
          <w:rFonts w:cs="Times New Roman"/>
        </w:rPr>
      </w:pPr>
      <w:r w:rsidRPr="00342660">
        <w:rPr>
          <w:rFonts w:cs="Times New Roman"/>
        </w:rPr>
        <w:t>Ramlall, R. and Grobbelaar, S. (2024)</w:t>
      </w:r>
      <w:r>
        <w:rPr>
          <w:rFonts w:cs="Times New Roman"/>
        </w:rPr>
        <w:t xml:space="preserve">. </w:t>
      </w:r>
      <w:r w:rsidRPr="00342660">
        <w:rPr>
          <w:rFonts w:cs="Times New Roman"/>
        </w:rPr>
        <w:t xml:space="preserve">Deficiencies in the traditional budgeting process cause the negative behaviour of budgetary slacking, </w:t>
      </w:r>
      <w:r w:rsidRPr="00342660">
        <w:rPr>
          <w:rFonts w:cs="Times New Roman"/>
          <w:i/>
          <w:iCs/>
        </w:rPr>
        <w:t>South African Journal of Business Management</w:t>
      </w:r>
      <w:r w:rsidRPr="00342660">
        <w:rPr>
          <w:rFonts w:cs="Times New Roman"/>
        </w:rPr>
        <w:t xml:space="preserve">, 55(1), p. 4348. </w:t>
      </w:r>
      <w:hyperlink r:id="rId41" w:history="1">
        <w:r w:rsidRPr="00342660">
          <w:rPr>
            <w:rStyle w:val="Hyperlink"/>
            <w:rFonts w:cs="Times New Roman"/>
          </w:rPr>
          <w:t>https://hdl.handle.net/10520/ejc-busman_v55_n1_a4348</w:t>
        </w:r>
      </w:hyperlink>
    </w:p>
    <w:p w14:paraId="0D731126" w14:textId="77777777" w:rsidR="00F659BD" w:rsidRPr="00342660" w:rsidRDefault="00F659BD" w:rsidP="00342660">
      <w:pPr>
        <w:rPr>
          <w:rFonts w:cs="Times New Roman"/>
        </w:rPr>
      </w:pPr>
      <w:proofErr w:type="spellStart"/>
      <w:r w:rsidRPr="00342660">
        <w:rPr>
          <w:rFonts w:cs="Times New Roman"/>
        </w:rPr>
        <w:t>Sandalgaard</w:t>
      </w:r>
      <w:proofErr w:type="spellEnd"/>
      <w:r w:rsidRPr="00342660">
        <w:rPr>
          <w:rFonts w:cs="Times New Roman"/>
        </w:rPr>
        <w:t>, N. and Bukh, P.N. (2014)</w:t>
      </w:r>
      <w:r>
        <w:rPr>
          <w:rFonts w:cs="Times New Roman"/>
        </w:rPr>
        <w:t xml:space="preserve">. </w:t>
      </w:r>
      <w:r w:rsidRPr="00342660">
        <w:rPr>
          <w:rFonts w:cs="Times New Roman"/>
        </w:rPr>
        <w:t xml:space="preserve">Beyond budgeting and change: a case study, </w:t>
      </w:r>
      <w:r w:rsidRPr="00342660">
        <w:rPr>
          <w:rFonts w:cs="Times New Roman"/>
          <w:i/>
          <w:iCs/>
        </w:rPr>
        <w:t>Journal of Accounting and Organi</w:t>
      </w:r>
      <w:r>
        <w:rPr>
          <w:rFonts w:cs="Times New Roman"/>
          <w:i/>
          <w:iCs/>
        </w:rPr>
        <w:t>s</w:t>
      </w:r>
      <w:r w:rsidRPr="00342660">
        <w:rPr>
          <w:rFonts w:cs="Times New Roman"/>
          <w:i/>
          <w:iCs/>
        </w:rPr>
        <w:t>ational Change</w:t>
      </w:r>
      <w:r w:rsidRPr="00342660">
        <w:rPr>
          <w:rFonts w:cs="Times New Roman"/>
        </w:rPr>
        <w:t xml:space="preserve">, 10(3), pp. 409–423. </w:t>
      </w:r>
      <w:hyperlink r:id="rId42" w:history="1">
        <w:r w:rsidRPr="00342660">
          <w:rPr>
            <w:rStyle w:val="Hyperlink"/>
            <w:rFonts w:cs="Times New Roman"/>
          </w:rPr>
          <w:t>https://doi.org/10.1108/JAOC-05-2012-0032</w:t>
        </w:r>
      </w:hyperlink>
    </w:p>
    <w:p w14:paraId="12658A7E" w14:textId="77777777" w:rsidR="00F659BD" w:rsidRPr="00342660" w:rsidRDefault="00F659BD" w:rsidP="00342660">
      <w:pPr>
        <w:rPr>
          <w:rFonts w:cs="Times New Roman"/>
        </w:rPr>
      </w:pPr>
      <w:r w:rsidRPr="00342660">
        <w:rPr>
          <w:rFonts w:cs="Times New Roman"/>
        </w:rPr>
        <w:t>Seal, W., Garrison, R.H. and Noreen, E. (2018)</w:t>
      </w:r>
      <w:r>
        <w:rPr>
          <w:rFonts w:cs="Times New Roman"/>
        </w:rPr>
        <w:t>.</w:t>
      </w:r>
      <w:r w:rsidRPr="00342660">
        <w:rPr>
          <w:rFonts w:cs="Times New Roman"/>
        </w:rPr>
        <w:t xml:space="preserve"> </w:t>
      </w:r>
      <w:r w:rsidRPr="00342660">
        <w:rPr>
          <w:rFonts w:cs="Times New Roman"/>
          <w:i/>
          <w:iCs/>
        </w:rPr>
        <w:t>Management Accounting</w:t>
      </w:r>
      <w:r w:rsidRPr="00342660">
        <w:rPr>
          <w:rFonts w:cs="Times New Roman"/>
        </w:rPr>
        <w:t xml:space="preserve">. 6th </w:t>
      </w:r>
      <w:proofErr w:type="spellStart"/>
      <w:r w:rsidRPr="00342660">
        <w:rPr>
          <w:rFonts w:cs="Times New Roman"/>
        </w:rPr>
        <w:t>edn</w:t>
      </w:r>
      <w:proofErr w:type="spellEnd"/>
      <w:r w:rsidRPr="00342660">
        <w:rPr>
          <w:rFonts w:cs="Times New Roman"/>
        </w:rPr>
        <w:t>. UK: McGraw</w:t>
      </w:r>
      <w:r>
        <w:rPr>
          <w:rFonts w:cs="Times New Roman"/>
        </w:rPr>
        <w:t>-</w:t>
      </w:r>
      <w:r w:rsidRPr="00342660">
        <w:rPr>
          <w:rFonts w:cs="Times New Roman"/>
        </w:rPr>
        <w:t>Hill.</w:t>
      </w:r>
    </w:p>
    <w:p w14:paraId="5C7EB347" w14:textId="77777777" w:rsidR="00F659BD" w:rsidRPr="00342660" w:rsidRDefault="00F659BD" w:rsidP="00342660">
      <w:pPr>
        <w:rPr>
          <w:rFonts w:cs="Times New Roman"/>
        </w:rPr>
      </w:pPr>
      <w:r w:rsidRPr="00342660">
        <w:rPr>
          <w:rFonts w:cs="Times New Roman"/>
        </w:rPr>
        <w:t>Walsh, C. (2008)</w:t>
      </w:r>
      <w:r>
        <w:rPr>
          <w:rFonts w:cs="Times New Roman"/>
        </w:rPr>
        <w:t xml:space="preserve">. </w:t>
      </w:r>
      <w:r w:rsidRPr="00342660">
        <w:rPr>
          <w:rFonts w:cs="Times New Roman"/>
          <w:i/>
          <w:iCs/>
        </w:rPr>
        <w:t>Key Management Ratios</w:t>
      </w:r>
      <w:r w:rsidRPr="00342660">
        <w:rPr>
          <w:rFonts w:cs="Times New Roman"/>
        </w:rPr>
        <w:t xml:space="preserve">. 4th </w:t>
      </w:r>
      <w:proofErr w:type="spellStart"/>
      <w:r w:rsidRPr="00342660">
        <w:rPr>
          <w:rFonts w:cs="Times New Roman"/>
        </w:rPr>
        <w:t>edn</w:t>
      </w:r>
      <w:proofErr w:type="spellEnd"/>
      <w:r w:rsidRPr="00342660">
        <w:rPr>
          <w:rFonts w:cs="Times New Roman"/>
        </w:rPr>
        <w:t>. UK: Prentice Hall.</w:t>
      </w:r>
    </w:p>
    <w:p w14:paraId="761502AD" w14:textId="77777777" w:rsidR="00D8246C" w:rsidRPr="00E93370" w:rsidRDefault="00D8246C" w:rsidP="00667434">
      <w:pPr>
        <w:rPr>
          <w:rFonts w:cs="Times New Roman"/>
        </w:rPr>
      </w:pPr>
    </w:p>
    <w:sectPr w:rsidR="00D8246C" w:rsidRPr="00E93370" w:rsidSect="00F55A37">
      <w:footerReference w:type="defaul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4BC56" w14:textId="77777777" w:rsidR="0045183E" w:rsidRDefault="0045183E" w:rsidP="00A5230E">
      <w:pPr>
        <w:spacing w:after="0" w:line="240" w:lineRule="auto"/>
      </w:pPr>
      <w:r>
        <w:separator/>
      </w:r>
    </w:p>
  </w:endnote>
  <w:endnote w:type="continuationSeparator" w:id="0">
    <w:p w14:paraId="3DC1FAF4" w14:textId="77777777" w:rsidR="0045183E" w:rsidRDefault="0045183E"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503756"/>
      <w:docPartObj>
        <w:docPartGallery w:val="Page Numbers (Bottom of Page)"/>
        <w:docPartUnique/>
      </w:docPartObj>
    </w:sdtPr>
    <w:sdtEndPr>
      <w:rPr>
        <w:noProof/>
      </w:rPr>
    </w:sdtEndPr>
    <w:sdtContent>
      <w:p w14:paraId="16B4DFE5" w14:textId="64C92807" w:rsidR="00A00E7A" w:rsidRDefault="00A00E7A">
        <w:pPr>
          <w:pStyle w:val="Footer"/>
          <w:jc w:val="right"/>
        </w:pPr>
        <w:r>
          <w:fldChar w:fldCharType="begin"/>
        </w:r>
        <w:r>
          <w:instrText xml:space="preserve"> PAGE   \* MERGEFORMAT </w:instrText>
        </w:r>
        <w:r>
          <w:fldChar w:fldCharType="separate"/>
        </w:r>
        <w:r w:rsidR="008A3B1C">
          <w:rPr>
            <w:noProof/>
          </w:rPr>
          <w:t>24</w:t>
        </w:r>
        <w:r>
          <w:rPr>
            <w:noProof/>
          </w:rPr>
          <w:fldChar w:fldCharType="end"/>
        </w:r>
      </w:p>
    </w:sdtContent>
  </w:sdt>
  <w:p w14:paraId="33FE1BF9" w14:textId="77777777" w:rsidR="00A00E7A" w:rsidRDefault="00A00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438F4" w14:textId="77777777" w:rsidR="0045183E" w:rsidRDefault="0045183E" w:rsidP="00A5230E">
      <w:pPr>
        <w:spacing w:after="0" w:line="240" w:lineRule="auto"/>
      </w:pPr>
      <w:r>
        <w:separator/>
      </w:r>
    </w:p>
  </w:footnote>
  <w:footnote w:type="continuationSeparator" w:id="0">
    <w:p w14:paraId="120FE6E7" w14:textId="77777777" w:rsidR="0045183E" w:rsidRDefault="0045183E"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802DB"/>
    <w:multiLevelType w:val="hybridMultilevel"/>
    <w:tmpl w:val="73DC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94282"/>
    <w:multiLevelType w:val="multilevel"/>
    <w:tmpl w:val="829AC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C26C0C"/>
    <w:multiLevelType w:val="hybridMultilevel"/>
    <w:tmpl w:val="CDA60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A579DE"/>
    <w:multiLevelType w:val="multilevel"/>
    <w:tmpl w:val="09AC4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611204">
    <w:abstractNumId w:val="1"/>
  </w:num>
  <w:num w:numId="2" w16cid:durableId="1209879769">
    <w:abstractNumId w:val="3"/>
  </w:num>
  <w:num w:numId="3" w16cid:durableId="569001589">
    <w:abstractNumId w:val="2"/>
  </w:num>
  <w:num w:numId="4" w16cid:durableId="192395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7"/>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319E8"/>
    <w:rsid w:val="00056745"/>
    <w:rsid w:val="0007562B"/>
    <w:rsid w:val="00092EBD"/>
    <w:rsid w:val="00094A79"/>
    <w:rsid w:val="000A5783"/>
    <w:rsid w:val="000C6491"/>
    <w:rsid w:val="000E0CFD"/>
    <w:rsid w:val="00125A63"/>
    <w:rsid w:val="00134EE8"/>
    <w:rsid w:val="001A5D69"/>
    <w:rsid w:val="001B76EA"/>
    <w:rsid w:val="001E34FB"/>
    <w:rsid w:val="00220140"/>
    <w:rsid w:val="00297571"/>
    <w:rsid w:val="002C7F22"/>
    <w:rsid w:val="002D3482"/>
    <w:rsid w:val="002F5C77"/>
    <w:rsid w:val="00304F10"/>
    <w:rsid w:val="00342660"/>
    <w:rsid w:val="003435F9"/>
    <w:rsid w:val="0034433C"/>
    <w:rsid w:val="003A0BA9"/>
    <w:rsid w:val="00442BFE"/>
    <w:rsid w:val="00444F7D"/>
    <w:rsid w:val="0045183E"/>
    <w:rsid w:val="00461B66"/>
    <w:rsid w:val="00463130"/>
    <w:rsid w:val="004A45F8"/>
    <w:rsid w:val="004A6039"/>
    <w:rsid w:val="004B7F5B"/>
    <w:rsid w:val="004C3B16"/>
    <w:rsid w:val="004C666A"/>
    <w:rsid w:val="00505D1D"/>
    <w:rsid w:val="00520084"/>
    <w:rsid w:val="00526E06"/>
    <w:rsid w:val="00553DE7"/>
    <w:rsid w:val="00595798"/>
    <w:rsid w:val="005B4C21"/>
    <w:rsid w:val="005F2BBE"/>
    <w:rsid w:val="00613C4E"/>
    <w:rsid w:val="00625792"/>
    <w:rsid w:val="006621A6"/>
    <w:rsid w:val="00664A56"/>
    <w:rsid w:val="00667434"/>
    <w:rsid w:val="006A14D0"/>
    <w:rsid w:val="006F2BC0"/>
    <w:rsid w:val="007248CF"/>
    <w:rsid w:val="007304D6"/>
    <w:rsid w:val="00736BE2"/>
    <w:rsid w:val="00795E13"/>
    <w:rsid w:val="007978FB"/>
    <w:rsid w:val="00804F80"/>
    <w:rsid w:val="008170F1"/>
    <w:rsid w:val="00824D00"/>
    <w:rsid w:val="00851E18"/>
    <w:rsid w:val="00874EB0"/>
    <w:rsid w:val="008A3B1C"/>
    <w:rsid w:val="008A4FF2"/>
    <w:rsid w:val="008D0009"/>
    <w:rsid w:val="008D2C3E"/>
    <w:rsid w:val="00953559"/>
    <w:rsid w:val="0096649F"/>
    <w:rsid w:val="00972037"/>
    <w:rsid w:val="009C4929"/>
    <w:rsid w:val="009E7770"/>
    <w:rsid w:val="00A00E7A"/>
    <w:rsid w:val="00A014BA"/>
    <w:rsid w:val="00A036E8"/>
    <w:rsid w:val="00A03F18"/>
    <w:rsid w:val="00A15A20"/>
    <w:rsid w:val="00A470DE"/>
    <w:rsid w:val="00A5230E"/>
    <w:rsid w:val="00A6444C"/>
    <w:rsid w:val="00A805C0"/>
    <w:rsid w:val="00A96DC0"/>
    <w:rsid w:val="00AA4CDA"/>
    <w:rsid w:val="00AC7BBE"/>
    <w:rsid w:val="00AD694B"/>
    <w:rsid w:val="00AF154F"/>
    <w:rsid w:val="00B04DDD"/>
    <w:rsid w:val="00B05ABF"/>
    <w:rsid w:val="00B06A1A"/>
    <w:rsid w:val="00B13D39"/>
    <w:rsid w:val="00B22393"/>
    <w:rsid w:val="00B461AC"/>
    <w:rsid w:val="00B46B6C"/>
    <w:rsid w:val="00B504BB"/>
    <w:rsid w:val="00B52630"/>
    <w:rsid w:val="00B972E4"/>
    <w:rsid w:val="00BB6562"/>
    <w:rsid w:val="00BC6348"/>
    <w:rsid w:val="00BC6BA2"/>
    <w:rsid w:val="00BF35F2"/>
    <w:rsid w:val="00C423E0"/>
    <w:rsid w:val="00C908AB"/>
    <w:rsid w:val="00C931FC"/>
    <w:rsid w:val="00C93C10"/>
    <w:rsid w:val="00CB0D7F"/>
    <w:rsid w:val="00CB76EB"/>
    <w:rsid w:val="00CD6BB6"/>
    <w:rsid w:val="00D36572"/>
    <w:rsid w:val="00D41C55"/>
    <w:rsid w:val="00D52F3A"/>
    <w:rsid w:val="00D57ED1"/>
    <w:rsid w:val="00D8246C"/>
    <w:rsid w:val="00D86123"/>
    <w:rsid w:val="00D93D41"/>
    <w:rsid w:val="00D97AD7"/>
    <w:rsid w:val="00DC33F3"/>
    <w:rsid w:val="00DC500D"/>
    <w:rsid w:val="00E11729"/>
    <w:rsid w:val="00E12A64"/>
    <w:rsid w:val="00E869B1"/>
    <w:rsid w:val="00E92002"/>
    <w:rsid w:val="00E93370"/>
    <w:rsid w:val="00EA24B1"/>
    <w:rsid w:val="00EC364D"/>
    <w:rsid w:val="00ED2764"/>
    <w:rsid w:val="00ED730C"/>
    <w:rsid w:val="00EF2C8D"/>
    <w:rsid w:val="00F36D2E"/>
    <w:rsid w:val="00F55A37"/>
    <w:rsid w:val="00F659BD"/>
    <w:rsid w:val="00F8763E"/>
    <w:rsid w:val="00F905DC"/>
    <w:rsid w:val="00FA412F"/>
    <w:rsid w:val="00FA444B"/>
    <w:rsid w:val="00FB57E3"/>
    <w:rsid w:val="00FE1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7B58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D1D"/>
    <w:pPr>
      <w:spacing w:after="200" w:line="360" w:lineRule="auto"/>
      <w:jc w:val="both"/>
    </w:pPr>
    <w:rPr>
      <w:rFonts w:ascii="Arial" w:hAnsi="Arial"/>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TOC2">
    <w:name w:val="toc 2"/>
    <w:basedOn w:val="Normal"/>
    <w:next w:val="Normal"/>
    <w:autoRedefine/>
    <w:uiPriority w:val="39"/>
    <w:unhideWhenUsed/>
    <w:rsid w:val="00C931FC"/>
    <w:pPr>
      <w:spacing w:after="100"/>
      <w:ind w:left="240"/>
    </w:pPr>
  </w:style>
  <w:style w:type="table" w:styleId="TableGrid">
    <w:name w:val="Table Grid"/>
    <w:basedOn w:val="TableNormal"/>
    <w:uiPriority w:val="39"/>
    <w:rsid w:val="001B7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6EA"/>
    <w:pPr>
      <w:spacing w:line="240" w:lineRule="auto"/>
    </w:pPr>
    <w:rPr>
      <w:i/>
      <w:iCs/>
      <w:color w:val="44546A" w:themeColor="text2"/>
      <w:sz w:val="18"/>
      <w:szCs w:val="18"/>
    </w:rPr>
  </w:style>
  <w:style w:type="table" w:customStyle="1" w:styleId="TableGrid1">
    <w:name w:val="Table Grid1"/>
    <w:basedOn w:val="TableNormal"/>
    <w:next w:val="TableGrid"/>
    <w:uiPriority w:val="39"/>
    <w:rsid w:val="0034433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4433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52F3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6DC0"/>
    <w:pPr>
      <w:ind w:left="720"/>
      <w:contextualSpacing/>
    </w:pPr>
  </w:style>
  <w:style w:type="paragraph" w:styleId="NormalWeb">
    <w:name w:val="Normal (Web)"/>
    <w:basedOn w:val="Normal"/>
    <w:uiPriority w:val="99"/>
    <w:semiHidden/>
    <w:unhideWhenUsed/>
    <w:rsid w:val="00B46B6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F659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2727">
      <w:bodyDiv w:val="1"/>
      <w:marLeft w:val="0"/>
      <w:marRight w:val="0"/>
      <w:marTop w:val="0"/>
      <w:marBottom w:val="0"/>
      <w:divBdr>
        <w:top w:val="none" w:sz="0" w:space="0" w:color="auto"/>
        <w:left w:val="none" w:sz="0" w:space="0" w:color="auto"/>
        <w:bottom w:val="none" w:sz="0" w:space="0" w:color="auto"/>
        <w:right w:val="none" w:sz="0" w:space="0" w:color="auto"/>
      </w:divBdr>
    </w:div>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182793713">
      <w:bodyDiv w:val="1"/>
      <w:marLeft w:val="0"/>
      <w:marRight w:val="0"/>
      <w:marTop w:val="0"/>
      <w:marBottom w:val="0"/>
      <w:divBdr>
        <w:top w:val="none" w:sz="0" w:space="0" w:color="auto"/>
        <w:left w:val="none" w:sz="0" w:space="0" w:color="auto"/>
        <w:bottom w:val="none" w:sz="0" w:space="0" w:color="auto"/>
        <w:right w:val="none" w:sz="0" w:space="0" w:color="auto"/>
      </w:divBdr>
    </w:div>
    <w:div w:id="227348310">
      <w:bodyDiv w:val="1"/>
      <w:marLeft w:val="0"/>
      <w:marRight w:val="0"/>
      <w:marTop w:val="0"/>
      <w:marBottom w:val="0"/>
      <w:divBdr>
        <w:top w:val="none" w:sz="0" w:space="0" w:color="auto"/>
        <w:left w:val="none" w:sz="0" w:space="0" w:color="auto"/>
        <w:bottom w:val="none" w:sz="0" w:space="0" w:color="auto"/>
        <w:right w:val="none" w:sz="0" w:space="0" w:color="auto"/>
      </w:divBdr>
    </w:div>
    <w:div w:id="250546121">
      <w:bodyDiv w:val="1"/>
      <w:marLeft w:val="0"/>
      <w:marRight w:val="0"/>
      <w:marTop w:val="0"/>
      <w:marBottom w:val="0"/>
      <w:divBdr>
        <w:top w:val="none" w:sz="0" w:space="0" w:color="auto"/>
        <w:left w:val="none" w:sz="0" w:space="0" w:color="auto"/>
        <w:bottom w:val="none" w:sz="0" w:space="0" w:color="auto"/>
        <w:right w:val="none" w:sz="0" w:space="0" w:color="auto"/>
      </w:divBdr>
    </w:div>
    <w:div w:id="332029256">
      <w:bodyDiv w:val="1"/>
      <w:marLeft w:val="0"/>
      <w:marRight w:val="0"/>
      <w:marTop w:val="0"/>
      <w:marBottom w:val="0"/>
      <w:divBdr>
        <w:top w:val="none" w:sz="0" w:space="0" w:color="auto"/>
        <w:left w:val="none" w:sz="0" w:space="0" w:color="auto"/>
        <w:bottom w:val="none" w:sz="0" w:space="0" w:color="auto"/>
        <w:right w:val="none" w:sz="0" w:space="0" w:color="auto"/>
      </w:divBdr>
    </w:div>
    <w:div w:id="759134065">
      <w:bodyDiv w:val="1"/>
      <w:marLeft w:val="0"/>
      <w:marRight w:val="0"/>
      <w:marTop w:val="0"/>
      <w:marBottom w:val="0"/>
      <w:divBdr>
        <w:top w:val="none" w:sz="0" w:space="0" w:color="auto"/>
        <w:left w:val="none" w:sz="0" w:space="0" w:color="auto"/>
        <w:bottom w:val="none" w:sz="0" w:space="0" w:color="auto"/>
        <w:right w:val="none" w:sz="0" w:space="0" w:color="auto"/>
      </w:divBdr>
    </w:div>
    <w:div w:id="844367455">
      <w:bodyDiv w:val="1"/>
      <w:marLeft w:val="0"/>
      <w:marRight w:val="0"/>
      <w:marTop w:val="0"/>
      <w:marBottom w:val="0"/>
      <w:divBdr>
        <w:top w:val="none" w:sz="0" w:space="0" w:color="auto"/>
        <w:left w:val="none" w:sz="0" w:space="0" w:color="auto"/>
        <w:bottom w:val="none" w:sz="0" w:space="0" w:color="auto"/>
        <w:right w:val="none" w:sz="0" w:space="0" w:color="auto"/>
      </w:divBdr>
    </w:div>
    <w:div w:id="1226719968">
      <w:bodyDiv w:val="1"/>
      <w:marLeft w:val="0"/>
      <w:marRight w:val="0"/>
      <w:marTop w:val="0"/>
      <w:marBottom w:val="0"/>
      <w:divBdr>
        <w:top w:val="none" w:sz="0" w:space="0" w:color="auto"/>
        <w:left w:val="none" w:sz="0" w:space="0" w:color="auto"/>
        <w:bottom w:val="none" w:sz="0" w:space="0" w:color="auto"/>
        <w:right w:val="none" w:sz="0" w:space="0" w:color="auto"/>
      </w:divBdr>
    </w:div>
    <w:div w:id="1444574731">
      <w:bodyDiv w:val="1"/>
      <w:marLeft w:val="0"/>
      <w:marRight w:val="0"/>
      <w:marTop w:val="0"/>
      <w:marBottom w:val="0"/>
      <w:divBdr>
        <w:top w:val="none" w:sz="0" w:space="0" w:color="auto"/>
        <w:left w:val="none" w:sz="0" w:space="0" w:color="auto"/>
        <w:bottom w:val="none" w:sz="0" w:space="0" w:color="auto"/>
        <w:right w:val="none" w:sz="0" w:space="0" w:color="auto"/>
      </w:divBdr>
    </w:div>
    <w:div w:id="1488589934">
      <w:bodyDiv w:val="1"/>
      <w:marLeft w:val="0"/>
      <w:marRight w:val="0"/>
      <w:marTop w:val="0"/>
      <w:marBottom w:val="0"/>
      <w:divBdr>
        <w:top w:val="none" w:sz="0" w:space="0" w:color="auto"/>
        <w:left w:val="none" w:sz="0" w:space="0" w:color="auto"/>
        <w:bottom w:val="none" w:sz="0" w:space="0" w:color="auto"/>
        <w:right w:val="none" w:sz="0" w:space="0" w:color="auto"/>
      </w:divBdr>
    </w:div>
    <w:div w:id="1690057168">
      <w:bodyDiv w:val="1"/>
      <w:marLeft w:val="0"/>
      <w:marRight w:val="0"/>
      <w:marTop w:val="0"/>
      <w:marBottom w:val="0"/>
      <w:divBdr>
        <w:top w:val="none" w:sz="0" w:space="0" w:color="auto"/>
        <w:left w:val="none" w:sz="0" w:space="0" w:color="auto"/>
        <w:bottom w:val="none" w:sz="0" w:space="0" w:color="auto"/>
        <w:right w:val="none" w:sz="0" w:space="0" w:color="auto"/>
      </w:divBdr>
    </w:div>
    <w:div w:id="1732385703">
      <w:bodyDiv w:val="1"/>
      <w:marLeft w:val="0"/>
      <w:marRight w:val="0"/>
      <w:marTop w:val="0"/>
      <w:marBottom w:val="0"/>
      <w:divBdr>
        <w:top w:val="none" w:sz="0" w:space="0" w:color="auto"/>
        <w:left w:val="none" w:sz="0" w:space="0" w:color="auto"/>
        <w:bottom w:val="none" w:sz="0" w:space="0" w:color="auto"/>
        <w:right w:val="none" w:sz="0" w:space="0" w:color="auto"/>
      </w:divBdr>
    </w:div>
    <w:div w:id="1735737593">
      <w:bodyDiv w:val="1"/>
      <w:marLeft w:val="0"/>
      <w:marRight w:val="0"/>
      <w:marTop w:val="0"/>
      <w:marBottom w:val="0"/>
      <w:divBdr>
        <w:top w:val="none" w:sz="0" w:space="0" w:color="auto"/>
        <w:left w:val="none" w:sz="0" w:space="0" w:color="auto"/>
        <w:bottom w:val="none" w:sz="0" w:space="0" w:color="auto"/>
        <w:right w:val="none" w:sz="0" w:space="0" w:color="auto"/>
      </w:divBdr>
    </w:div>
    <w:div w:id="200273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link.springer.com/article/10.1007/s00187-024-00382-5" TargetMode="External"/><Relationship Id="rId39" Type="http://schemas.openxmlformats.org/officeDocument/2006/relationships/hyperlink" Target="https://doi.org/10.53022/oarjms.2024.8.1.0055" TargetMode="External"/><Relationship Id="rId21" Type="http://schemas.openxmlformats.org/officeDocument/2006/relationships/hyperlink" Target="https://link.springer.com/article/10.1007/s00187-024-00372-7" TargetMode="External"/><Relationship Id="rId34" Type="http://schemas.openxmlformats.org/officeDocument/2006/relationships/hyperlink" Target="https://doi.org/10.1016/j.mar.2009.10.003" TargetMode="External"/><Relationship Id="rId42" Type="http://schemas.openxmlformats.org/officeDocument/2006/relationships/hyperlink" Target="https://doi.org/10.1108/JAOC-05-2012-003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hyperlink" Target="https://econpapers.repec.org/article/audaudfin/v_3a19_3ay_3a2021_3ai_3a162_3ap_3a35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link.springer.com/article/10.1007/s00187-019-00291-y" TargetMode="External"/><Relationship Id="rId32" Type="http://schemas.openxmlformats.org/officeDocument/2006/relationships/hyperlink" Target="https://doi.org/10.1080/09638180.2012.758596" TargetMode="External"/><Relationship Id="rId37" Type="http://schemas.openxmlformats.org/officeDocument/2006/relationships/hyperlink" Target="https://www.ijbmer.com/docs/volumes/vol6issue6/ijbmer2015060603.pdf" TargetMode="External"/><Relationship Id="rId40" Type="http://schemas.openxmlformats.org/officeDocument/2006/relationships/hyperlink" Target="https://www.um.edu.mt/library/oar/handle/123456789/121732"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doi.org/10.1080/17449359.2024.2371333" TargetMode="External"/><Relationship Id="rId28" Type="http://schemas.openxmlformats.org/officeDocument/2006/relationships/hyperlink" Target="https://doi.org/10.1080/09638180.2024.2362681" TargetMode="External"/><Relationship Id="rId36" Type="http://schemas.openxmlformats.org/officeDocument/2006/relationships/hyperlink" Target="https://doi.org/10.1108/JAEE-04-2020-008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doi.org/10.1177/097215091769206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52399/001c.140425" TargetMode="External"/><Relationship Id="rId27" Type="http://schemas.openxmlformats.org/officeDocument/2006/relationships/hyperlink" Target="https://doi.org/10.1111/jofi.13024" TargetMode="External"/><Relationship Id="rId30" Type="http://schemas.openxmlformats.org/officeDocument/2006/relationships/hyperlink" Target="https://doi.org/10.1111/acfi.12884" TargetMode="External"/><Relationship Id="rId35" Type="http://schemas.openxmlformats.org/officeDocument/2006/relationships/hyperlink" Target="https://doi.org/10.2308/jmar-5223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doi.org/10.1108/JAAR-01-2016-0010" TargetMode="External"/><Relationship Id="rId33" Type="http://schemas.openxmlformats.org/officeDocument/2006/relationships/hyperlink" Target="https://doi.org/10.1108/IJIS-04-2023-0084" TargetMode="External"/><Relationship Id="rId38" Type="http://schemas.openxmlformats.org/officeDocument/2006/relationships/hyperlink" Target="https://doi.org/10.1108/JPBAFM-03-2021-0058" TargetMode="External"/><Relationship Id="rId20" Type="http://schemas.openxmlformats.org/officeDocument/2006/relationships/hyperlink" Target="https://doi.org/10.1108/AJAR-12-2023-0405" TargetMode="External"/><Relationship Id="rId41" Type="http://schemas.openxmlformats.org/officeDocument/2006/relationships/hyperlink" Target="https://hdl.handle.net/10520/ejc-busman_v55_n1_a4348"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A49CE6-FA59-487F-9F29-0BE315DCCA3C}"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US"/>
        </a:p>
      </dgm:t>
    </dgm:pt>
    <dgm:pt modelId="{A1504CEB-6829-4035-8DE5-49710908E0ED}">
      <dgm:prSet phldrT="[Text]"/>
      <dgm:spPr/>
      <dgm:t>
        <a:bodyPr/>
        <a:lstStyle/>
        <a:p>
          <a:r>
            <a:rPr lang="en-US"/>
            <a:t>Successful Budgetary Control Conditions</a:t>
          </a:r>
        </a:p>
      </dgm:t>
    </dgm:pt>
    <dgm:pt modelId="{2FF5AB32-7C7D-457E-A59A-2262D81DCD6D}" type="parTrans" cxnId="{55F20EDA-7D84-4F2A-9374-4CD33EAF133F}">
      <dgm:prSet/>
      <dgm:spPr/>
      <dgm:t>
        <a:bodyPr/>
        <a:lstStyle/>
        <a:p>
          <a:endParaRPr lang="en-US"/>
        </a:p>
      </dgm:t>
    </dgm:pt>
    <dgm:pt modelId="{EA5B448D-4857-486D-B328-08BB7BAAA1F0}" type="sibTrans" cxnId="{55F20EDA-7D84-4F2A-9374-4CD33EAF133F}">
      <dgm:prSet/>
      <dgm:spPr/>
      <dgm:t>
        <a:bodyPr/>
        <a:lstStyle/>
        <a:p>
          <a:endParaRPr lang="en-US"/>
        </a:p>
      </dgm:t>
    </dgm:pt>
    <dgm:pt modelId="{B230B5B4-958F-40B3-B756-893377882ECF}">
      <dgm:prSet phldrT="[Text]"/>
      <dgm:spPr/>
      <dgm:t>
        <a:bodyPr/>
        <a:lstStyle/>
        <a:p>
          <a:r>
            <a:rPr lang="en-US"/>
            <a:t>Top Management Support and Commitment</a:t>
          </a:r>
        </a:p>
      </dgm:t>
    </dgm:pt>
    <dgm:pt modelId="{5F5D2067-D6DA-488F-85B2-CA5244803F5C}" type="parTrans" cxnId="{86A700A8-A049-4603-8C71-A96AC542370F}">
      <dgm:prSet/>
      <dgm:spPr/>
      <dgm:t>
        <a:bodyPr/>
        <a:lstStyle/>
        <a:p>
          <a:endParaRPr lang="en-US"/>
        </a:p>
      </dgm:t>
    </dgm:pt>
    <dgm:pt modelId="{FDA6AF99-2AA0-48C6-B954-D874FBB09EB7}" type="sibTrans" cxnId="{86A700A8-A049-4603-8C71-A96AC542370F}">
      <dgm:prSet/>
      <dgm:spPr/>
      <dgm:t>
        <a:bodyPr/>
        <a:lstStyle/>
        <a:p>
          <a:endParaRPr lang="en-US"/>
        </a:p>
      </dgm:t>
    </dgm:pt>
    <dgm:pt modelId="{017C176B-43C9-4EAF-8E8C-2E1F8C1B2365}">
      <dgm:prSet/>
      <dgm:spPr/>
      <dgm:t>
        <a:bodyPr/>
        <a:lstStyle/>
        <a:p>
          <a:r>
            <a:rPr lang="en-US"/>
            <a:t>Clear Organisational Goals and Strategic Alignment</a:t>
          </a:r>
        </a:p>
      </dgm:t>
    </dgm:pt>
    <dgm:pt modelId="{3C3742D9-45A2-417C-A503-EB12C0DBA643}" type="parTrans" cxnId="{037540F8-3EA6-4555-995A-2343EAE28598}">
      <dgm:prSet/>
      <dgm:spPr/>
      <dgm:t>
        <a:bodyPr/>
        <a:lstStyle/>
        <a:p>
          <a:endParaRPr lang="en-US"/>
        </a:p>
      </dgm:t>
    </dgm:pt>
    <dgm:pt modelId="{FCC52900-B004-440F-9D6F-011076852621}" type="sibTrans" cxnId="{037540F8-3EA6-4555-995A-2343EAE28598}">
      <dgm:prSet/>
      <dgm:spPr/>
      <dgm:t>
        <a:bodyPr/>
        <a:lstStyle/>
        <a:p>
          <a:endParaRPr lang="en-US"/>
        </a:p>
      </dgm:t>
    </dgm:pt>
    <dgm:pt modelId="{1CE2A593-D6BC-4E33-88F9-06C217E800FF}">
      <dgm:prSet/>
      <dgm:spPr/>
      <dgm:t>
        <a:bodyPr/>
        <a:lstStyle/>
        <a:p>
          <a:r>
            <a:rPr lang="en-US"/>
            <a:t>Reliable Management Information Systems</a:t>
          </a:r>
        </a:p>
      </dgm:t>
    </dgm:pt>
    <dgm:pt modelId="{A9EF1393-DDD7-4702-BB0E-403E04C18BE3}" type="parTrans" cxnId="{B381701F-8CBD-4CCC-AA9E-9B6CA8F1E0E5}">
      <dgm:prSet/>
      <dgm:spPr/>
      <dgm:t>
        <a:bodyPr/>
        <a:lstStyle/>
        <a:p>
          <a:endParaRPr lang="en-US"/>
        </a:p>
      </dgm:t>
    </dgm:pt>
    <dgm:pt modelId="{98579195-F75A-4D20-82D1-0EF994F9FD7B}" type="sibTrans" cxnId="{B381701F-8CBD-4CCC-AA9E-9B6CA8F1E0E5}">
      <dgm:prSet/>
      <dgm:spPr/>
      <dgm:t>
        <a:bodyPr/>
        <a:lstStyle/>
        <a:p>
          <a:endParaRPr lang="en-US"/>
        </a:p>
      </dgm:t>
    </dgm:pt>
    <dgm:pt modelId="{BCCEA34A-E814-46C6-9297-0ACC76969C1B}">
      <dgm:prSet/>
      <dgm:spPr/>
      <dgm:t>
        <a:bodyPr/>
        <a:lstStyle/>
        <a:p>
          <a:r>
            <a:rPr lang="en-US"/>
            <a:t>Participative Budgeting and Employee Involvement</a:t>
          </a:r>
        </a:p>
      </dgm:t>
    </dgm:pt>
    <dgm:pt modelId="{A6F3AFC3-2202-4CC6-99AB-65CDAFBF6631}" type="parTrans" cxnId="{0EAAFAD1-0661-4F47-9908-22FA43C30802}">
      <dgm:prSet/>
      <dgm:spPr/>
      <dgm:t>
        <a:bodyPr/>
        <a:lstStyle/>
        <a:p>
          <a:endParaRPr lang="en-US"/>
        </a:p>
      </dgm:t>
    </dgm:pt>
    <dgm:pt modelId="{D86442E7-E8D0-4DEE-BB3B-15968088BFD0}" type="sibTrans" cxnId="{0EAAFAD1-0661-4F47-9908-22FA43C30802}">
      <dgm:prSet/>
      <dgm:spPr/>
      <dgm:t>
        <a:bodyPr/>
        <a:lstStyle/>
        <a:p>
          <a:endParaRPr lang="en-US"/>
        </a:p>
      </dgm:t>
    </dgm:pt>
    <dgm:pt modelId="{F7A23C47-C7D3-4FEA-B1DD-4F1C79B52072}">
      <dgm:prSet/>
      <dgm:spPr/>
      <dgm:t>
        <a:bodyPr/>
        <a:lstStyle/>
        <a:p>
          <a:r>
            <a:rPr lang="en-US"/>
            <a:t>Regular Monitoring and Tracking KPI</a:t>
          </a:r>
        </a:p>
      </dgm:t>
    </dgm:pt>
    <dgm:pt modelId="{1EE63A76-FF1A-47D1-A9A6-E1AEB52B6ED2}" type="parTrans" cxnId="{4A63C3B2-4687-4680-86D7-0841825B0248}">
      <dgm:prSet/>
      <dgm:spPr/>
      <dgm:t>
        <a:bodyPr/>
        <a:lstStyle/>
        <a:p>
          <a:endParaRPr lang="en-US"/>
        </a:p>
      </dgm:t>
    </dgm:pt>
    <dgm:pt modelId="{650C4091-9CD6-4C67-A738-34898DAB3897}" type="sibTrans" cxnId="{4A63C3B2-4687-4680-86D7-0841825B0248}">
      <dgm:prSet/>
      <dgm:spPr/>
      <dgm:t>
        <a:bodyPr/>
        <a:lstStyle/>
        <a:p>
          <a:endParaRPr lang="en-US"/>
        </a:p>
      </dgm:t>
    </dgm:pt>
    <dgm:pt modelId="{8AB0D7C5-FEA0-4F50-A05B-D75F26B0651F}">
      <dgm:prSet/>
      <dgm:spPr/>
      <dgm:t>
        <a:bodyPr/>
        <a:lstStyle/>
        <a:p>
          <a:endParaRPr lang="en-US"/>
        </a:p>
      </dgm:t>
    </dgm:pt>
    <dgm:pt modelId="{6136EB2D-C417-4036-B6E1-1E5D76E2C4A3}" type="parTrans" cxnId="{5070ED6C-B8A5-4F8E-A0DB-18771048256B}">
      <dgm:prSet/>
      <dgm:spPr/>
      <dgm:t>
        <a:bodyPr/>
        <a:lstStyle/>
        <a:p>
          <a:endParaRPr lang="en-US"/>
        </a:p>
      </dgm:t>
    </dgm:pt>
    <dgm:pt modelId="{F8548463-0B01-4371-AF09-6B37EAA98DF1}" type="sibTrans" cxnId="{5070ED6C-B8A5-4F8E-A0DB-18771048256B}">
      <dgm:prSet/>
      <dgm:spPr/>
      <dgm:t>
        <a:bodyPr/>
        <a:lstStyle/>
        <a:p>
          <a:endParaRPr lang="en-US"/>
        </a:p>
      </dgm:t>
    </dgm:pt>
    <dgm:pt modelId="{5464C92A-423F-4D88-94C8-80AEFD2179C5}" type="pres">
      <dgm:prSet presAssocID="{BAA49CE6-FA59-487F-9F29-0BE315DCCA3C}" presName="composite" presStyleCnt="0">
        <dgm:presLayoutVars>
          <dgm:chMax val="1"/>
          <dgm:dir/>
          <dgm:resizeHandles val="exact"/>
        </dgm:presLayoutVars>
      </dgm:prSet>
      <dgm:spPr/>
    </dgm:pt>
    <dgm:pt modelId="{B7D7B069-0D82-44B9-B02A-BE8E2BB401BD}" type="pres">
      <dgm:prSet presAssocID="{BAA49CE6-FA59-487F-9F29-0BE315DCCA3C}" presName="radial" presStyleCnt="0">
        <dgm:presLayoutVars>
          <dgm:animLvl val="ctr"/>
        </dgm:presLayoutVars>
      </dgm:prSet>
      <dgm:spPr/>
    </dgm:pt>
    <dgm:pt modelId="{179A61DF-935A-451B-A018-CD3329A625FC}" type="pres">
      <dgm:prSet presAssocID="{A1504CEB-6829-4035-8DE5-49710908E0ED}" presName="centerShape" presStyleLbl="vennNode1" presStyleIdx="0" presStyleCnt="6"/>
      <dgm:spPr/>
    </dgm:pt>
    <dgm:pt modelId="{9CF8EC0C-2C44-435C-999A-AB102321E530}" type="pres">
      <dgm:prSet presAssocID="{B230B5B4-958F-40B3-B756-893377882ECF}" presName="node" presStyleLbl="vennNode1" presStyleIdx="1" presStyleCnt="6">
        <dgm:presLayoutVars>
          <dgm:bulletEnabled val="1"/>
        </dgm:presLayoutVars>
      </dgm:prSet>
      <dgm:spPr/>
    </dgm:pt>
    <dgm:pt modelId="{4DBE9F75-63D8-4DE0-8C6D-3CF32F5D2E95}" type="pres">
      <dgm:prSet presAssocID="{017C176B-43C9-4EAF-8E8C-2E1F8C1B2365}" presName="node" presStyleLbl="vennNode1" presStyleIdx="2" presStyleCnt="6">
        <dgm:presLayoutVars>
          <dgm:bulletEnabled val="1"/>
        </dgm:presLayoutVars>
      </dgm:prSet>
      <dgm:spPr/>
    </dgm:pt>
    <dgm:pt modelId="{C5BA8754-4F2C-4325-A1F3-3AB80953F0DA}" type="pres">
      <dgm:prSet presAssocID="{1CE2A593-D6BC-4E33-88F9-06C217E800FF}" presName="node" presStyleLbl="vennNode1" presStyleIdx="3" presStyleCnt="6">
        <dgm:presLayoutVars>
          <dgm:bulletEnabled val="1"/>
        </dgm:presLayoutVars>
      </dgm:prSet>
      <dgm:spPr/>
    </dgm:pt>
    <dgm:pt modelId="{1F424976-5638-44C1-9845-0B4EE7D55669}" type="pres">
      <dgm:prSet presAssocID="{BCCEA34A-E814-46C6-9297-0ACC76969C1B}" presName="node" presStyleLbl="vennNode1" presStyleIdx="4" presStyleCnt="6">
        <dgm:presLayoutVars>
          <dgm:bulletEnabled val="1"/>
        </dgm:presLayoutVars>
      </dgm:prSet>
      <dgm:spPr/>
    </dgm:pt>
    <dgm:pt modelId="{C88D2F62-2587-40D8-9010-5C80A39B0001}" type="pres">
      <dgm:prSet presAssocID="{F7A23C47-C7D3-4FEA-B1DD-4F1C79B52072}" presName="node" presStyleLbl="vennNode1" presStyleIdx="5" presStyleCnt="6">
        <dgm:presLayoutVars>
          <dgm:bulletEnabled val="1"/>
        </dgm:presLayoutVars>
      </dgm:prSet>
      <dgm:spPr/>
    </dgm:pt>
  </dgm:ptLst>
  <dgm:cxnLst>
    <dgm:cxn modelId="{D9126418-B86E-4171-9367-0E360F8B201D}" type="presOf" srcId="{B230B5B4-958F-40B3-B756-893377882ECF}" destId="{9CF8EC0C-2C44-435C-999A-AB102321E530}" srcOrd="0" destOrd="0" presId="urn:microsoft.com/office/officeart/2005/8/layout/radial3"/>
    <dgm:cxn modelId="{AA436E1A-3B56-410B-8FB8-8CD8E6739D65}" type="presOf" srcId="{A1504CEB-6829-4035-8DE5-49710908E0ED}" destId="{179A61DF-935A-451B-A018-CD3329A625FC}" srcOrd="0" destOrd="0" presId="urn:microsoft.com/office/officeart/2005/8/layout/radial3"/>
    <dgm:cxn modelId="{B381701F-8CBD-4CCC-AA9E-9B6CA8F1E0E5}" srcId="{A1504CEB-6829-4035-8DE5-49710908E0ED}" destId="{1CE2A593-D6BC-4E33-88F9-06C217E800FF}" srcOrd="2" destOrd="0" parTransId="{A9EF1393-DDD7-4702-BB0E-403E04C18BE3}" sibTransId="{98579195-F75A-4D20-82D1-0EF994F9FD7B}"/>
    <dgm:cxn modelId="{CBB1A036-74A6-41CD-8B82-3E5F10D73E05}" type="presOf" srcId="{BCCEA34A-E814-46C6-9297-0ACC76969C1B}" destId="{1F424976-5638-44C1-9845-0B4EE7D55669}" srcOrd="0" destOrd="0" presId="urn:microsoft.com/office/officeart/2005/8/layout/radial3"/>
    <dgm:cxn modelId="{B0FCC750-8F31-429C-B1F5-B558AE314768}" type="presOf" srcId="{1CE2A593-D6BC-4E33-88F9-06C217E800FF}" destId="{C5BA8754-4F2C-4325-A1F3-3AB80953F0DA}" srcOrd="0" destOrd="0" presId="urn:microsoft.com/office/officeart/2005/8/layout/radial3"/>
    <dgm:cxn modelId="{5070ED6C-B8A5-4F8E-A0DB-18771048256B}" srcId="{BAA49CE6-FA59-487F-9F29-0BE315DCCA3C}" destId="{8AB0D7C5-FEA0-4F50-A05B-D75F26B0651F}" srcOrd="1" destOrd="0" parTransId="{6136EB2D-C417-4036-B6E1-1E5D76E2C4A3}" sibTransId="{F8548463-0B01-4371-AF09-6B37EAA98DF1}"/>
    <dgm:cxn modelId="{EEAF7578-553F-4CCF-8B6D-132EEF10A241}" type="presOf" srcId="{017C176B-43C9-4EAF-8E8C-2E1F8C1B2365}" destId="{4DBE9F75-63D8-4DE0-8C6D-3CF32F5D2E95}" srcOrd="0" destOrd="0" presId="urn:microsoft.com/office/officeart/2005/8/layout/radial3"/>
    <dgm:cxn modelId="{BDCFCA83-FCF9-473B-AA14-A2505F2F974A}" type="presOf" srcId="{F7A23C47-C7D3-4FEA-B1DD-4F1C79B52072}" destId="{C88D2F62-2587-40D8-9010-5C80A39B0001}" srcOrd="0" destOrd="0" presId="urn:microsoft.com/office/officeart/2005/8/layout/radial3"/>
    <dgm:cxn modelId="{E774E88C-5A03-4AD0-A57D-1482FE65DE18}" type="presOf" srcId="{BAA49CE6-FA59-487F-9F29-0BE315DCCA3C}" destId="{5464C92A-423F-4D88-94C8-80AEFD2179C5}" srcOrd="0" destOrd="0" presId="urn:microsoft.com/office/officeart/2005/8/layout/radial3"/>
    <dgm:cxn modelId="{86A700A8-A049-4603-8C71-A96AC542370F}" srcId="{A1504CEB-6829-4035-8DE5-49710908E0ED}" destId="{B230B5B4-958F-40B3-B756-893377882ECF}" srcOrd="0" destOrd="0" parTransId="{5F5D2067-D6DA-488F-85B2-CA5244803F5C}" sibTransId="{FDA6AF99-2AA0-48C6-B954-D874FBB09EB7}"/>
    <dgm:cxn modelId="{4A63C3B2-4687-4680-86D7-0841825B0248}" srcId="{A1504CEB-6829-4035-8DE5-49710908E0ED}" destId="{F7A23C47-C7D3-4FEA-B1DD-4F1C79B52072}" srcOrd="4" destOrd="0" parTransId="{1EE63A76-FF1A-47D1-A9A6-E1AEB52B6ED2}" sibTransId="{650C4091-9CD6-4C67-A738-34898DAB3897}"/>
    <dgm:cxn modelId="{0EAAFAD1-0661-4F47-9908-22FA43C30802}" srcId="{A1504CEB-6829-4035-8DE5-49710908E0ED}" destId="{BCCEA34A-E814-46C6-9297-0ACC76969C1B}" srcOrd="3" destOrd="0" parTransId="{A6F3AFC3-2202-4CC6-99AB-65CDAFBF6631}" sibTransId="{D86442E7-E8D0-4DEE-BB3B-15968088BFD0}"/>
    <dgm:cxn modelId="{55F20EDA-7D84-4F2A-9374-4CD33EAF133F}" srcId="{BAA49CE6-FA59-487F-9F29-0BE315DCCA3C}" destId="{A1504CEB-6829-4035-8DE5-49710908E0ED}" srcOrd="0" destOrd="0" parTransId="{2FF5AB32-7C7D-457E-A59A-2262D81DCD6D}" sibTransId="{EA5B448D-4857-486D-B328-08BB7BAAA1F0}"/>
    <dgm:cxn modelId="{037540F8-3EA6-4555-995A-2343EAE28598}" srcId="{A1504CEB-6829-4035-8DE5-49710908E0ED}" destId="{017C176B-43C9-4EAF-8E8C-2E1F8C1B2365}" srcOrd="1" destOrd="0" parTransId="{3C3742D9-45A2-417C-A503-EB12C0DBA643}" sibTransId="{FCC52900-B004-440F-9D6F-011076852621}"/>
    <dgm:cxn modelId="{14EA367A-A156-44F6-B8B1-8751E35DD2CB}" type="presParOf" srcId="{5464C92A-423F-4D88-94C8-80AEFD2179C5}" destId="{B7D7B069-0D82-44B9-B02A-BE8E2BB401BD}" srcOrd="0" destOrd="0" presId="urn:microsoft.com/office/officeart/2005/8/layout/radial3"/>
    <dgm:cxn modelId="{C93FE7E2-EB74-48AB-982A-5DCD7E0B0131}" type="presParOf" srcId="{B7D7B069-0D82-44B9-B02A-BE8E2BB401BD}" destId="{179A61DF-935A-451B-A018-CD3329A625FC}" srcOrd="0" destOrd="0" presId="urn:microsoft.com/office/officeart/2005/8/layout/radial3"/>
    <dgm:cxn modelId="{420D2A65-4306-4F9F-814D-DE7D2FED17CB}" type="presParOf" srcId="{B7D7B069-0D82-44B9-B02A-BE8E2BB401BD}" destId="{9CF8EC0C-2C44-435C-999A-AB102321E530}" srcOrd="1" destOrd="0" presId="urn:microsoft.com/office/officeart/2005/8/layout/radial3"/>
    <dgm:cxn modelId="{B65284D7-2123-4417-B410-03A9A1AC93A0}" type="presParOf" srcId="{B7D7B069-0D82-44B9-B02A-BE8E2BB401BD}" destId="{4DBE9F75-63D8-4DE0-8C6D-3CF32F5D2E95}" srcOrd="2" destOrd="0" presId="urn:microsoft.com/office/officeart/2005/8/layout/radial3"/>
    <dgm:cxn modelId="{00695AB0-C2FD-46B3-A149-E0F2B737209F}" type="presParOf" srcId="{B7D7B069-0D82-44B9-B02A-BE8E2BB401BD}" destId="{C5BA8754-4F2C-4325-A1F3-3AB80953F0DA}" srcOrd="3" destOrd="0" presId="urn:microsoft.com/office/officeart/2005/8/layout/radial3"/>
    <dgm:cxn modelId="{AE3D4878-29B4-47CF-AA60-DF20A8DD5A4B}" type="presParOf" srcId="{B7D7B069-0D82-44B9-B02A-BE8E2BB401BD}" destId="{1F424976-5638-44C1-9845-0B4EE7D55669}" srcOrd="4" destOrd="0" presId="urn:microsoft.com/office/officeart/2005/8/layout/radial3"/>
    <dgm:cxn modelId="{C9A86B94-C12F-4A14-BE45-73CE1D271F2F}" type="presParOf" srcId="{B7D7B069-0D82-44B9-B02A-BE8E2BB401BD}" destId="{C88D2F62-2587-40D8-9010-5C80A39B0001}" srcOrd="5"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2A5F62-AE88-4042-85E3-02373669AC9A}" type="doc">
      <dgm:prSet loTypeId="urn:microsoft.com/office/officeart/2005/8/layout/cycle8" loCatId="cycle" qsTypeId="urn:microsoft.com/office/officeart/2005/8/quickstyle/simple5" qsCatId="simple" csTypeId="urn:microsoft.com/office/officeart/2005/8/colors/colorful5" csCatId="colorful" phldr="1"/>
      <dgm:spPr/>
    </dgm:pt>
    <dgm:pt modelId="{E58EEE0A-322B-4E67-8318-7BA9B49ECB4A}">
      <dgm:prSet phldrT="[Text]"/>
      <dgm:spPr/>
      <dgm:t>
        <a:bodyPr/>
        <a:lstStyle/>
        <a:p>
          <a:r>
            <a:rPr lang="en-US"/>
            <a:t>Budget Slack and Padding</a:t>
          </a:r>
        </a:p>
      </dgm:t>
    </dgm:pt>
    <dgm:pt modelId="{F9B38558-45BC-48D4-8B86-0CF09DF0D247}" type="parTrans" cxnId="{AADB9A9F-8429-43A7-8C49-F955C7F60C4A}">
      <dgm:prSet/>
      <dgm:spPr/>
      <dgm:t>
        <a:bodyPr/>
        <a:lstStyle/>
        <a:p>
          <a:endParaRPr lang="en-US"/>
        </a:p>
      </dgm:t>
    </dgm:pt>
    <dgm:pt modelId="{D4018F0D-C658-40E7-92A6-ED8986C513E6}" type="sibTrans" cxnId="{AADB9A9F-8429-43A7-8C49-F955C7F60C4A}">
      <dgm:prSet/>
      <dgm:spPr/>
      <dgm:t>
        <a:bodyPr/>
        <a:lstStyle/>
        <a:p>
          <a:endParaRPr lang="en-US"/>
        </a:p>
      </dgm:t>
    </dgm:pt>
    <dgm:pt modelId="{98DC3A12-F095-47AD-8D1F-C8F501078007}">
      <dgm:prSet/>
      <dgm:spPr/>
      <dgm:t>
        <a:bodyPr/>
        <a:lstStyle/>
        <a:p>
          <a:r>
            <a:rPr lang="en-US"/>
            <a:t>Dysfunctional and Gaming Behaviour</a:t>
          </a:r>
        </a:p>
      </dgm:t>
    </dgm:pt>
    <dgm:pt modelId="{B8DB890F-39B9-43A1-BF4E-92E5255AECDB}" type="parTrans" cxnId="{90965E06-6DC1-4B35-A8F4-AD87DD4269AF}">
      <dgm:prSet/>
      <dgm:spPr/>
      <dgm:t>
        <a:bodyPr/>
        <a:lstStyle/>
        <a:p>
          <a:endParaRPr lang="en-US"/>
        </a:p>
      </dgm:t>
    </dgm:pt>
    <dgm:pt modelId="{6E72CDBB-6C47-4001-B9D3-543B955018E4}" type="sibTrans" cxnId="{90965E06-6DC1-4B35-A8F4-AD87DD4269AF}">
      <dgm:prSet/>
      <dgm:spPr/>
      <dgm:t>
        <a:bodyPr/>
        <a:lstStyle/>
        <a:p>
          <a:endParaRPr lang="en-US"/>
        </a:p>
      </dgm:t>
    </dgm:pt>
    <dgm:pt modelId="{2E928951-29B0-4E76-89EE-85C1B1AF6F0B}">
      <dgm:prSet/>
      <dgm:spPr/>
      <dgm:t>
        <a:bodyPr/>
        <a:lstStyle/>
        <a:p>
          <a:r>
            <a:rPr lang="en-US"/>
            <a:t>Motivation and Target Difficulty</a:t>
          </a:r>
        </a:p>
      </dgm:t>
    </dgm:pt>
    <dgm:pt modelId="{3E2CCE40-8D9A-4E7E-BDDA-424E430796C4}" type="parTrans" cxnId="{AD5EF8A1-CB9E-46B5-835A-662C6C3E4D57}">
      <dgm:prSet/>
      <dgm:spPr/>
      <dgm:t>
        <a:bodyPr/>
        <a:lstStyle/>
        <a:p>
          <a:endParaRPr lang="en-US"/>
        </a:p>
      </dgm:t>
    </dgm:pt>
    <dgm:pt modelId="{B390DF9F-D132-4717-9849-1F5CE58D691D}" type="sibTrans" cxnId="{AD5EF8A1-CB9E-46B5-835A-662C6C3E4D57}">
      <dgm:prSet/>
      <dgm:spPr/>
      <dgm:t>
        <a:bodyPr/>
        <a:lstStyle/>
        <a:p>
          <a:endParaRPr lang="en-US"/>
        </a:p>
      </dgm:t>
    </dgm:pt>
    <dgm:pt modelId="{F31F72D3-A86E-445E-85EB-33F4B1E93A39}">
      <dgm:prSet/>
      <dgm:spPr/>
      <dgm:t>
        <a:bodyPr/>
        <a:lstStyle/>
        <a:p>
          <a:r>
            <a:rPr lang="en-US"/>
            <a:t>Resistance to Change</a:t>
          </a:r>
        </a:p>
      </dgm:t>
    </dgm:pt>
    <dgm:pt modelId="{11080130-A6B6-4C90-B4F5-A14FCFF66F82}" type="parTrans" cxnId="{395E9971-0150-42C8-A8B3-99ECF7D71387}">
      <dgm:prSet/>
      <dgm:spPr/>
      <dgm:t>
        <a:bodyPr/>
        <a:lstStyle/>
        <a:p>
          <a:endParaRPr lang="en-US"/>
        </a:p>
      </dgm:t>
    </dgm:pt>
    <dgm:pt modelId="{CED2D1C0-74DE-4EB4-8AC2-E4C131A52472}" type="sibTrans" cxnId="{395E9971-0150-42C8-A8B3-99ECF7D71387}">
      <dgm:prSet/>
      <dgm:spPr/>
      <dgm:t>
        <a:bodyPr/>
        <a:lstStyle/>
        <a:p>
          <a:endParaRPr lang="en-US"/>
        </a:p>
      </dgm:t>
    </dgm:pt>
    <dgm:pt modelId="{712C011E-2B5A-4E07-8589-F6A9CE83CA8C}" type="pres">
      <dgm:prSet presAssocID="{142A5F62-AE88-4042-85E3-02373669AC9A}" presName="compositeShape" presStyleCnt="0">
        <dgm:presLayoutVars>
          <dgm:chMax val="7"/>
          <dgm:dir/>
          <dgm:resizeHandles val="exact"/>
        </dgm:presLayoutVars>
      </dgm:prSet>
      <dgm:spPr/>
    </dgm:pt>
    <dgm:pt modelId="{6F751A67-2B59-4895-8A82-E490A2402AFB}" type="pres">
      <dgm:prSet presAssocID="{142A5F62-AE88-4042-85E3-02373669AC9A}" presName="wedge1" presStyleLbl="node1" presStyleIdx="0" presStyleCnt="4"/>
      <dgm:spPr/>
    </dgm:pt>
    <dgm:pt modelId="{619A20D8-507E-4C5C-B722-B88324366E98}" type="pres">
      <dgm:prSet presAssocID="{142A5F62-AE88-4042-85E3-02373669AC9A}" presName="dummy1a" presStyleCnt="0"/>
      <dgm:spPr/>
    </dgm:pt>
    <dgm:pt modelId="{0FF31FEA-54B6-45FD-8010-CBA98C9F4F8B}" type="pres">
      <dgm:prSet presAssocID="{142A5F62-AE88-4042-85E3-02373669AC9A}" presName="dummy1b" presStyleCnt="0"/>
      <dgm:spPr/>
    </dgm:pt>
    <dgm:pt modelId="{E2FC4308-EFBD-4B55-9247-D2DAA0B7D422}" type="pres">
      <dgm:prSet presAssocID="{142A5F62-AE88-4042-85E3-02373669AC9A}" presName="wedge1Tx" presStyleLbl="node1" presStyleIdx="0" presStyleCnt="4">
        <dgm:presLayoutVars>
          <dgm:chMax val="0"/>
          <dgm:chPref val="0"/>
          <dgm:bulletEnabled val="1"/>
        </dgm:presLayoutVars>
      </dgm:prSet>
      <dgm:spPr/>
    </dgm:pt>
    <dgm:pt modelId="{F2EE0890-D980-4FE4-AB3E-4D503EE72C9A}" type="pres">
      <dgm:prSet presAssocID="{142A5F62-AE88-4042-85E3-02373669AC9A}" presName="wedge2" presStyleLbl="node1" presStyleIdx="1" presStyleCnt="4"/>
      <dgm:spPr/>
    </dgm:pt>
    <dgm:pt modelId="{7AFEA48F-697D-478A-A530-7D78C6A0398E}" type="pres">
      <dgm:prSet presAssocID="{142A5F62-AE88-4042-85E3-02373669AC9A}" presName="dummy2a" presStyleCnt="0"/>
      <dgm:spPr/>
    </dgm:pt>
    <dgm:pt modelId="{E72D3FEF-C7A1-4BF8-BC9D-341FF6CFE62C}" type="pres">
      <dgm:prSet presAssocID="{142A5F62-AE88-4042-85E3-02373669AC9A}" presName="dummy2b" presStyleCnt="0"/>
      <dgm:spPr/>
    </dgm:pt>
    <dgm:pt modelId="{E3AA9D0C-214C-4042-B9FC-50590294264D}" type="pres">
      <dgm:prSet presAssocID="{142A5F62-AE88-4042-85E3-02373669AC9A}" presName="wedge2Tx" presStyleLbl="node1" presStyleIdx="1" presStyleCnt="4">
        <dgm:presLayoutVars>
          <dgm:chMax val="0"/>
          <dgm:chPref val="0"/>
          <dgm:bulletEnabled val="1"/>
        </dgm:presLayoutVars>
      </dgm:prSet>
      <dgm:spPr/>
    </dgm:pt>
    <dgm:pt modelId="{C7CFCD6F-6C59-43CA-9D67-3D1D9C032C3B}" type="pres">
      <dgm:prSet presAssocID="{142A5F62-AE88-4042-85E3-02373669AC9A}" presName="wedge3" presStyleLbl="node1" presStyleIdx="2" presStyleCnt="4"/>
      <dgm:spPr/>
    </dgm:pt>
    <dgm:pt modelId="{5B9CE5E3-2180-42A2-B485-3C99D0DF8381}" type="pres">
      <dgm:prSet presAssocID="{142A5F62-AE88-4042-85E3-02373669AC9A}" presName="dummy3a" presStyleCnt="0"/>
      <dgm:spPr/>
    </dgm:pt>
    <dgm:pt modelId="{77C8C0D5-1DD6-4753-BBFA-625FABC1A50C}" type="pres">
      <dgm:prSet presAssocID="{142A5F62-AE88-4042-85E3-02373669AC9A}" presName="dummy3b" presStyleCnt="0"/>
      <dgm:spPr/>
    </dgm:pt>
    <dgm:pt modelId="{8ACB1DD7-C928-4272-9AFD-E6EB7BD898A9}" type="pres">
      <dgm:prSet presAssocID="{142A5F62-AE88-4042-85E3-02373669AC9A}" presName="wedge3Tx" presStyleLbl="node1" presStyleIdx="2" presStyleCnt="4">
        <dgm:presLayoutVars>
          <dgm:chMax val="0"/>
          <dgm:chPref val="0"/>
          <dgm:bulletEnabled val="1"/>
        </dgm:presLayoutVars>
      </dgm:prSet>
      <dgm:spPr/>
    </dgm:pt>
    <dgm:pt modelId="{EBA3C503-B229-4771-BC2C-C33513B5BA63}" type="pres">
      <dgm:prSet presAssocID="{142A5F62-AE88-4042-85E3-02373669AC9A}" presName="wedge4" presStyleLbl="node1" presStyleIdx="3" presStyleCnt="4"/>
      <dgm:spPr/>
    </dgm:pt>
    <dgm:pt modelId="{DFDFEFFE-0075-4604-B7E7-698E910A7B37}" type="pres">
      <dgm:prSet presAssocID="{142A5F62-AE88-4042-85E3-02373669AC9A}" presName="dummy4a" presStyleCnt="0"/>
      <dgm:spPr/>
    </dgm:pt>
    <dgm:pt modelId="{E44C3429-0118-4CEA-AB7E-1CD94C5F3F78}" type="pres">
      <dgm:prSet presAssocID="{142A5F62-AE88-4042-85E3-02373669AC9A}" presName="dummy4b" presStyleCnt="0"/>
      <dgm:spPr/>
    </dgm:pt>
    <dgm:pt modelId="{AE0B1E8C-10A9-4D33-8086-49FF8D3B6CB2}" type="pres">
      <dgm:prSet presAssocID="{142A5F62-AE88-4042-85E3-02373669AC9A}" presName="wedge4Tx" presStyleLbl="node1" presStyleIdx="3" presStyleCnt="4">
        <dgm:presLayoutVars>
          <dgm:chMax val="0"/>
          <dgm:chPref val="0"/>
          <dgm:bulletEnabled val="1"/>
        </dgm:presLayoutVars>
      </dgm:prSet>
      <dgm:spPr/>
    </dgm:pt>
    <dgm:pt modelId="{FEBE8D7D-21D9-4822-834C-3077B9ED9479}" type="pres">
      <dgm:prSet presAssocID="{D4018F0D-C658-40E7-92A6-ED8986C513E6}" presName="arrowWedge1" presStyleLbl="fgSibTrans2D1" presStyleIdx="0" presStyleCnt="4"/>
      <dgm:spPr/>
    </dgm:pt>
    <dgm:pt modelId="{A337A7B1-2AC9-4B43-ACA2-EFE7A26A8A71}" type="pres">
      <dgm:prSet presAssocID="{6E72CDBB-6C47-4001-B9D3-543B955018E4}" presName="arrowWedge2" presStyleLbl="fgSibTrans2D1" presStyleIdx="1" presStyleCnt="4"/>
      <dgm:spPr/>
    </dgm:pt>
    <dgm:pt modelId="{731D8537-0587-4278-9B3A-9B7898CBEFC5}" type="pres">
      <dgm:prSet presAssocID="{B390DF9F-D132-4717-9849-1F5CE58D691D}" presName="arrowWedge3" presStyleLbl="fgSibTrans2D1" presStyleIdx="2" presStyleCnt="4"/>
      <dgm:spPr/>
    </dgm:pt>
    <dgm:pt modelId="{CAFDFBF9-0CDF-494A-B9B3-23D5BC282B1D}" type="pres">
      <dgm:prSet presAssocID="{CED2D1C0-74DE-4EB4-8AC2-E4C131A52472}" presName="arrowWedge4" presStyleLbl="fgSibTrans2D1" presStyleIdx="3" presStyleCnt="4"/>
      <dgm:spPr/>
    </dgm:pt>
  </dgm:ptLst>
  <dgm:cxnLst>
    <dgm:cxn modelId="{90965E06-6DC1-4B35-A8F4-AD87DD4269AF}" srcId="{142A5F62-AE88-4042-85E3-02373669AC9A}" destId="{98DC3A12-F095-47AD-8D1F-C8F501078007}" srcOrd="1" destOrd="0" parTransId="{B8DB890F-39B9-43A1-BF4E-92E5255AECDB}" sibTransId="{6E72CDBB-6C47-4001-B9D3-543B955018E4}"/>
    <dgm:cxn modelId="{42CD0E14-8D60-4FA0-80B3-53E3C6043028}" type="presOf" srcId="{142A5F62-AE88-4042-85E3-02373669AC9A}" destId="{712C011E-2B5A-4E07-8589-F6A9CE83CA8C}" srcOrd="0" destOrd="0" presId="urn:microsoft.com/office/officeart/2005/8/layout/cycle8"/>
    <dgm:cxn modelId="{3399AA1C-3536-4E7C-8606-40845BCAAA15}" type="presOf" srcId="{E58EEE0A-322B-4E67-8318-7BA9B49ECB4A}" destId="{E2FC4308-EFBD-4B55-9247-D2DAA0B7D422}" srcOrd="1" destOrd="0" presId="urn:microsoft.com/office/officeart/2005/8/layout/cycle8"/>
    <dgm:cxn modelId="{AEAB701E-84A6-4FDE-862E-A932BC123023}" type="presOf" srcId="{E58EEE0A-322B-4E67-8318-7BA9B49ECB4A}" destId="{6F751A67-2B59-4895-8A82-E490A2402AFB}" srcOrd="0" destOrd="0" presId="urn:microsoft.com/office/officeart/2005/8/layout/cycle8"/>
    <dgm:cxn modelId="{C40FF141-0E35-4283-964B-547ACB6EEF61}" type="presOf" srcId="{F31F72D3-A86E-445E-85EB-33F4B1E93A39}" destId="{AE0B1E8C-10A9-4D33-8086-49FF8D3B6CB2}" srcOrd="1" destOrd="0" presId="urn:microsoft.com/office/officeart/2005/8/layout/cycle8"/>
    <dgm:cxn modelId="{415CB05C-B59A-4FD2-A189-BD8E257725EB}" type="presOf" srcId="{2E928951-29B0-4E76-89EE-85C1B1AF6F0B}" destId="{C7CFCD6F-6C59-43CA-9D67-3D1D9C032C3B}" srcOrd="0" destOrd="0" presId="urn:microsoft.com/office/officeart/2005/8/layout/cycle8"/>
    <dgm:cxn modelId="{2C8F4568-1F31-48A8-AA42-5807A2748258}" type="presOf" srcId="{98DC3A12-F095-47AD-8D1F-C8F501078007}" destId="{E3AA9D0C-214C-4042-B9FC-50590294264D}" srcOrd="1" destOrd="0" presId="urn:microsoft.com/office/officeart/2005/8/layout/cycle8"/>
    <dgm:cxn modelId="{395E9971-0150-42C8-A8B3-99ECF7D71387}" srcId="{142A5F62-AE88-4042-85E3-02373669AC9A}" destId="{F31F72D3-A86E-445E-85EB-33F4B1E93A39}" srcOrd="3" destOrd="0" parTransId="{11080130-A6B6-4C90-B4F5-A14FCFF66F82}" sibTransId="{CED2D1C0-74DE-4EB4-8AC2-E4C131A52472}"/>
    <dgm:cxn modelId="{998FB17C-239A-44BE-AB94-A1FC774EBFC1}" type="presOf" srcId="{98DC3A12-F095-47AD-8D1F-C8F501078007}" destId="{F2EE0890-D980-4FE4-AB3E-4D503EE72C9A}" srcOrd="0" destOrd="0" presId="urn:microsoft.com/office/officeart/2005/8/layout/cycle8"/>
    <dgm:cxn modelId="{AADB9A9F-8429-43A7-8C49-F955C7F60C4A}" srcId="{142A5F62-AE88-4042-85E3-02373669AC9A}" destId="{E58EEE0A-322B-4E67-8318-7BA9B49ECB4A}" srcOrd="0" destOrd="0" parTransId="{F9B38558-45BC-48D4-8B86-0CF09DF0D247}" sibTransId="{D4018F0D-C658-40E7-92A6-ED8986C513E6}"/>
    <dgm:cxn modelId="{AD5EF8A1-CB9E-46B5-835A-662C6C3E4D57}" srcId="{142A5F62-AE88-4042-85E3-02373669AC9A}" destId="{2E928951-29B0-4E76-89EE-85C1B1AF6F0B}" srcOrd="2" destOrd="0" parTransId="{3E2CCE40-8D9A-4E7E-BDDA-424E430796C4}" sibTransId="{B390DF9F-D132-4717-9849-1F5CE58D691D}"/>
    <dgm:cxn modelId="{05D033D5-51F6-4178-B73F-D36E7BB008BA}" type="presOf" srcId="{2E928951-29B0-4E76-89EE-85C1B1AF6F0B}" destId="{8ACB1DD7-C928-4272-9AFD-E6EB7BD898A9}" srcOrd="1" destOrd="0" presId="urn:microsoft.com/office/officeart/2005/8/layout/cycle8"/>
    <dgm:cxn modelId="{0BBFC7F2-9D4B-483F-8C0A-158766E9C776}" type="presOf" srcId="{F31F72D3-A86E-445E-85EB-33F4B1E93A39}" destId="{EBA3C503-B229-4771-BC2C-C33513B5BA63}" srcOrd="0" destOrd="0" presId="urn:microsoft.com/office/officeart/2005/8/layout/cycle8"/>
    <dgm:cxn modelId="{A606A4CA-93DA-4AD4-B641-94E2068077D9}" type="presParOf" srcId="{712C011E-2B5A-4E07-8589-F6A9CE83CA8C}" destId="{6F751A67-2B59-4895-8A82-E490A2402AFB}" srcOrd="0" destOrd="0" presId="urn:microsoft.com/office/officeart/2005/8/layout/cycle8"/>
    <dgm:cxn modelId="{F76BF198-8AD3-4B76-A360-5E8733984C4F}" type="presParOf" srcId="{712C011E-2B5A-4E07-8589-F6A9CE83CA8C}" destId="{619A20D8-507E-4C5C-B722-B88324366E98}" srcOrd="1" destOrd="0" presId="urn:microsoft.com/office/officeart/2005/8/layout/cycle8"/>
    <dgm:cxn modelId="{C41A3C47-5770-4805-9FFA-08C221095052}" type="presParOf" srcId="{712C011E-2B5A-4E07-8589-F6A9CE83CA8C}" destId="{0FF31FEA-54B6-45FD-8010-CBA98C9F4F8B}" srcOrd="2" destOrd="0" presId="urn:microsoft.com/office/officeart/2005/8/layout/cycle8"/>
    <dgm:cxn modelId="{F609027D-212D-4826-A3D8-0E3DCC942714}" type="presParOf" srcId="{712C011E-2B5A-4E07-8589-F6A9CE83CA8C}" destId="{E2FC4308-EFBD-4B55-9247-D2DAA0B7D422}" srcOrd="3" destOrd="0" presId="urn:microsoft.com/office/officeart/2005/8/layout/cycle8"/>
    <dgm:cxn modelId="{BF8F3325-DECE-48B9-9967-61C936F2396B}" type="presParOf" srcId="{712C011E-2B5A-4E07-8589-F6A9CE83CA8C}" destId="{F2EE0890-D980-4FE4-AB3E-4D503EE72C9A}" srcOrd="4" destOrd="0" presId="urn:microsoft.com/office/officeart/2005/8/layout/cycle8"/>
    <dgm:cxn modelId="{BE8C91D2-FE52-4E61-B43F-F31982225431}" type="presParOf" srcId="{712C011E-2B5A-4E07-8589-F6A9CE83CA8C}" destId="{7AFEA48F-697D-478A-A530-7D78C6A0398E}" srcOrd="5" destOrd="0" presId="urn:microsoft.com/office/officeart/2005/8/layout/cycle8"/>
    <dgm:cxn modelId="{FDB8A49C-D7B1-42E2-90CA-2AF39860410B}" type="presParOf" srcId="{712C011E-2B5A-4E07-8589-F6A9CE83CA8C}" destId="{E72D3FEF-C7A1-4BF8-BC9D-341FF6CFE62C}" srcOrd="6" destOrd="0" presId="urn:microsoft.com/office/officeart/2005/8/layout/cycle8"/>
    <dgm:cxn modelId="{82E9B2AF-FF65-4346-A4ED-8789C1ED1FCD}" type="presParOf" srcId="{712C011E-2B5A-4E07-8589-F6A9CE83CA8C}" destId="{E3AA9D0C-214C-4042-B9FC-50590294264D}" srcOrd="7" destOrd="0" presId="urn:microsoft.com/office/officeart/2005/8/layout/cycle8"/>
    <dgm:cxn modelId="{367EA232-C818-46C8-B7B3-C12A252D8A23}" type="presParOf" srcId="{712C011E-2B5A-4E07-8589-F6A9CE83CA8C}" destId="{C7CFCD6F-6C59-43CA-9D67-3D1D9C032C3B}" srcOrd="8" destOrd="0" presId="urn:microsoft.com/office/officeart/2005/8/layout/cycle8"/>
    <dgm:cxn modelId="{A4FD5CBA-6B72-45CE-BC3D-F9781A8E6C64}" type="presParOf" srcId="{712C011E-2B5A-4E07-8589-F6A9CE83CA8C}" destId="{5B9CE5E3-2180-42A2-B485-3C99D0DF8381}" srcOrd="9" destOrd="0" presId="urn:microsoft.com/office/officeart/2005/8/layout/cycle8"/>
    <dgm:cxn modelId="{ACFC95BD-F70A-4EA8-AF84-B8E067AA8358}" type="presParOf" srcId="{712C011E-2B5A-4E07-8589-F6A9CE83CA8C}" destId="{77C8C0D5-1DD6-4753-BBFA-625FABC1A50C}" srcOrd="10" destOrd="0" presId="urn:microsoft.com/office/officeart/2005/8/layout/cycle8"/>
    <dgm:cxn modelId="{987157F7-3235-4322-A3B9-87F477028795}" type="presParOf" srcId="{712C011E-2B5A-4E07-8589-F6A9CE83CA8C}" destId="{8ACB1DD7-C928-4272-9AFD-E6EB7BD898A9}" srcOrd="11" destOrd="0" presId="urn:microsoft.com/office/officeart/2005/8/layout/cycle8"/>
    <dgm:cxn modelId="{CB6FE9C8-8520-4D3A-BE74-6D7F1FA6C111}" type="presParOf" srcId="{712C011E-2B5A-4E07-8589-F6A9CE83CA8C}" destId="{EBA3C503-B229-4771-BC2C-C33513B5BA63}" srcOrd="12" destOrd="0" presId="urn:microsoft.com/office/officeart/2005/8/layout/cycle8"/>
    <dgm:cxn modelId="{90E4C995-3F6C-4CE8-A203-C5B7D111D45F}" type="presParOf" srcId="{712C011E-2B5A-4E07-8589-F6A9CE83CA8C}" destId="{DFDFEFFE-0075-4604-B7E7-698E910A7B37}" srcOrd="13" destOrd="0" presId="urn:microsoft.com/office/officeart/2005/8/layout/cycle8"/>
    <dgm:cxn modelId="{29FDCD45-7C6C-45B1-B5ED-2DFAA275D331}" type="presParOf" srcId="{712C011E-2B5A-4E07-8589-F6A9CE83CA8C}" destId="{E44C3429-0118-4CEA-AB7E-1CD94C5F3F78}" srcOrd="14" destOrd="0" presId="urn:microsoft.com/office/officeart/2005/8/layout/cycle8"/>
    <dgm:cxn modelId="{A106A9F5-37B7-4FAE-AF0F-4854154170B5}" type="presParOf" srcId="{712C011E-2B5A-4E07-8589-F6A9CE83CA8C}" destId="{AE0B1E8C-10A9-4D33-8086-49FF8D3B6CB2}" srcOrd="15" destOrd="0" presId="urn:microsoft.com/office/officeart/2005/8/layout/cycle8"/>
    <dgm:cxn modelId="{60811C3C-6245-4AC0-9839-29557139C9DF}" type="presParOf" srcId="{712C011E-2B5A-4E07-8589-F6A9CE83CA8C}" destId="{FEBE8D7D-21D9-4822-834C-3077B9ED9479}" srcOrd="16" destOrd="0" presId="urn:microsoft.com/office/officeart/2005/8/layout/cycle8"/>
    <dgm:cxn modelId="{F1E1768B-BBE2-4D3F-8AD9-BF73312C2E90}" type="presParOf" srcId="{712C011E-2B5A-4E07-8589-F6A9CE83CA8C}" destId="{A337A7B1-2AC9-4B43-ACA2-EFE7A26A8A71}" srcOrd="17" destOrd="0" presId="urn:microsoft.com/office/officeart/2005/8/layout/cycle8"/>
    <dgm:cxn modelId="{538AEF2E-5C1D-40B3-B3EF-5E5EE27C4F51}" type="presParOf" srcId="{712C011E-2B5A-4E07-8589-F6A9CE83CA8C}" destId="{731D8537-0587-4278-9B3A-9B7898CBEFC5}" srcOrd="18" destOrd="0" presId="urn:microsoft.com/office/officeart/2005/8/layout/cycle8"/>
    <dgm:cxn modelId="{6513B864-2A1A-4EED-A867-D449AA930455}" type="presParOf" srcId="{712C011E-2B5A-4E07-8589-F6A9CE83CA8C}" destId="{CAFDFBF9-0CDF-494A-B9B3-23D5BC282B1D}" srcOrd="19" destOrd="0" presId="urn:microsoft.com/office/officeart/2005/8/layout/cycle8"/>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9A61DF-935A-451B-A018-CD3329A625FC}">
      <dsp:nvSpPr>
        <dsp:cNvPr id="0" name=""/>
        <dsp:cNvSpPr/>
      </dsp:nvSpPr>
      <dsp:spPr>
        <a:xfrm>
          <a:off x="1911791" y="914556"/>
          <a:ext cx="2120017" cy="2120017"/>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t>Successful Budgetary Control Conditions</a:t>
          </a:r>
        </a:p>
      </dsp:txBody>
      <dsp:txXfrm>
        <a:off x="2222260" y="1225025"/>
        <a:ext cx="1499079" cy="1499079"/>
      </dsp:txXfrm>
    </dsp:sp>
    <dsp:sp modelId="{9CF8EC0C-2C44-435C-999A-AB102321E530}">
      <dsp:nvSpPr>
        <dsp:cNvPr id="0" name=""/>
        <dsp:cNvSpPr/>
      </dsp:nvSpPr>
      <dsp:spPr>
        <a:xfrm>
          <a:off x="2441795" y="65407"/>
          <a:ext cx="1060008" cy="1060008"/>
        </a:xfrm>
        <a:prstGeom prst="ellipse">
          <a:avLst/>
        </a:prstGeom>
        <a:solidFill>
          <a:schemeClr val="accent5">
            <a:alpha val="50000"/>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Top Management Support and Commitment</a:t>
          </a:r>
        </a:p>
      </dsp:txBody>
      <dsp:txXfrm>
        <a:off x="2597030" y="220642"/>
        <a:ext cx="749538" cy="749538"/>
      </dsp:txXfrm>
    </dsp:sp>
    <dsp:sp modelId="{4DBE9F75-63D8-4DE0-8C6D-3CF32F5D2E95}">
      <dsp:nvSpPr>
        <dsp:cNvPr id="0" name=""/>
        <dsp:cNvSpPr/>
      </dsp:nvSpPr>
      <dsp:spPr>
        <a:xfrm>
          <a:off x="3753448" y="1018378"/>
          <a:ext cx="1060008" cy="1060008"/>
        </a:xfrm>
        <a:prstGeom prst="ellipse">
          <a:avLst/>
        </a:prstGeom>
        <a:solidFill>
          <a:schemeClr val="accent5">
            <a:alpha val="50000"/>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Clear Organisational Goals and Strategic Alignment</a:t>
          </a:r>
        </a:p>
      </dsp:txBody>
      <dsp:txXfrm>
        <a:off x="3908683" y="1173613"/>
        <a:ext cx="749538" cy="749538"/>
      </dsp:txXfrm>
    </dsp:sp>
    <dsp:sp modelId="{C5BA8754-4F2C-4325-A1F3-3AB80953F0DA}">
      <dsp:nvSpPr>
        <dsp:cNvPr id="0" name=""/>
        <dsp:cNvSpPr/>
      </dsp:nvSpPr>
      <dsp:spPr>
        <a:xfrm>
          <a:off x="3252441" y="2560318"/>
          <a:ext cx="1060008" cy="1060008"/>
        </a:xfrm>
        <a:prstGeom prst="ellipse">
          <a:avLst/>
        </a:prstGeom>
        <a:solidFill>
          <a:schemeClr val="accent5">
            <a:alpha val="50000"/>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Reliable Management Information Systems</a:t>
          </a:r>
        </a:p>
      </dsp:txBody>
      <dsp:txXfrm>
        <a:off x="3407676" y="2715553"/>
        <a:ext cx="749538" cy="749538"/>
      </dsp:txXfrm>
    </dsp:sp>
    <dsp:sp modelId="{1F424976-5638-44C1-9845-0B4EE7D55669}">
      <dsp:nvSpPr>
        <dsp:cNvPr id="0" name=""/>
        <dsp:cNvSpPr/>
      </dsp:nvSpPr>
      <dsp:spPr>
        <a:xfrm>
          <a:off x="1631149" y="2560318"/>
          <a:ext cx="1060008" cy="1060008"/>
        </a:xfrm>
        <a:prstGeom prst="ellipse">
          <a:avLst/>
        </a:prstGeom>
        <a:solidFill>
          <a:schemeClr val="accent5">
            <a:alpha val="50000"/>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Participative Budgeting and Employee Involvement</a:t>
          </a:r>
        </a:p>
      </dsp:txBody>
      <dsp:txXfrm>
        <a:off x="1786384" y="2715553"/>
        <a:ext cx="749538" cy="749538"/>
      </dsp:txXfrm>
    </dsp:sp>
    <dsp:sp modelId="{C88D2F62-2587-40D8-9010-5C80A39B0001}">
      <dsp:nvSpPr>
        <dsp:cNvPr id="0" name=""/>
        <dsp:cNvSpPr/>
      </dsp:nvSpPr>
      <dsp:spPr>
        <a:xfrm>
          <a:off x="1130143" y="1018378"/>
          <a:ext cx="1060008" cy="1060008"/>
        </a:xfrm>
        <a:prstGeom prst="ellipse">
          <a:avLst/>
        </a:prstGeom>
        <a:solidFill>
          <a:schemeClr val="accent5">
            <a:alpha val="50000"/>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Regular Monitoring and Tracking KPI</a:t>
          </a:r>
        </a:p>
      </dsp:txBody>
      <dsp:txXfrm>
        <a:off x="1285378" y="1173613"/>
        <a:ext cx="749538" cy="7495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751A67-2B59-4895-8A82-E490A2402AFB}">
      <dsp:nvSpPr>
        <dsp:cNvPr id="0" name=""/>
        <dsp:cNvSpPr/>
      </dsp:nvSpPr>
      <dsp:spPr>
        <a:xfrm>
          <a:off x="1662868" y="188734"/>
          <a:ext cx="2635160" cy="2635160"/>
        </a:xfrm>
        <a:prstGeom prst="pie">
          <a:avLst>
            <a:gd name="adj1" fmla="val 16200000"/>
            <a:gd name="adj2" fmla="val 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Budget Slack and Padding</a:t>
          </a:r>
        </a:p>
      </dsp:txBody>
      <dsp:txXfrm>
        <a:off x="3061699" y="734903"/>
        <a:ext cx="972499" cy="721532"/>
      </dsp:txXfrm>
    </dsp:sp>
    <dsp:sp modelId="{F2EE0890-D980-4FE4-AB3E-4D503EE72C9A}">
      <dsp:nvSpPr>
        <dsp:cNvPr id="0" name=""/>
        <dsp:cNvSpPr/>
      </dsp:nvSpPr>
      <dsp:spPr>
        <a:xfrm>
          <a:off x="1662868" y="277200"/>
          <a:ext cx="2635160" cy="2635160"/>
        </a:xfrm>
        <a:prstGeom prst="pie">
          <a:avLst>
            <a:gd name="adj1" fmla="val 0"/>
            <a:gd name="adj2" fmla="val 5400000"/>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Dysfunctional and Gaming Behaviour</a:t>
          </a:r>
        </a:p>
      </dsp:txBody>
      <dsp:txXfrm>
        <a:off x="3061699" y="1644660"/>
        <a:ext cx="972499" cy="721532"/>
      </dsp:txXfrm>
    </dsp:sp>
    <dsp:sp modelId="{C7CFCD6F-6C59-43CA-9D67-3D1D9C032C3B}">
      <dsp:nvSpPr>
        <dsp:cNvPr id="0" name=""/>
        <dsp:cNvSpPr/>
      </dsp:nvSpPr>
      <dsp:spPr>
        <a:xfrm>
          <a:off x="1574402" y="277200"/>
          <a:ext cx="2635160" cy="2635160"/>
        </a:xfrm>
        <a:prstGeom prst="pie">
          <a:avLst>
            <a:gd name="adj1" fmla="val 5400000"/>
            <a:gd name="adj2" fmla="val 10800000"/>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Motivation and Target Difficulty</a:t>
          </a:r>
        </a:p>
      </dsp:txBody>
      <dsp:txXfrm>
        <a:off x="1838231" y="1644660"/>
        <a:ext cx="972499" cy="721532"/>
      </dsp:txXfrm>
    </dsp:sp>
    <dsp:sp modelId="{EBA3C503-B229-4771-BC2C-C33513B5BA63}">
      <dsp:nvSpPr>
        <dsp:cNvPr id="0" name=""/>
        <dsp:cNvSpPr/>
      </dsp:nvSpPr>
      <dsp:spPr>
        <a:xfrm>
          <a:off x="1574402" y="188734"/>
          <a:ext cx="2635160" cy="2635160"/>
        </a:xfrm>
        <a:prstGeom prst="pie">
          <a:avLst>
            <a:gd name="adj1" fmla="val 10800000"/>
            <a:gd name="adj2" fmla="val 1620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Resistance to Change</a:t>
          </a:r>
        </a:p>
      </dsp:txBody>
      <dsp:txXfrm>
        <a:off x="1838231" y="734903"/>
        <a:ext cx="972499" cy="721532"/>
      </dsp:txXfrm>
    </dsp:sp>
    <dsp:sp modelId="{FEBE8D7D-21D9-4822-834C-3077B9ED9479}">
      <dsp:nvSpPr>
        <dsp:cNvPr id="0" name=""/>
        <dsp:cNvSpPr/>
      </dsp:nvSpPr>
      <dsp:spPr>
        <a:xfrm>
          <a:off x="1499739" y="25605"/>
          <a:ext cx="2961418" cy="2961418"/>
        </a:xfrm>
        <a:prstGeom prst="circularArrow">
          <a:avLst>
            <a:gd name="adj1" fmla="val 5085"/>
            <a:gd name="adj2" fmla="val 327528"/>
            <a:gd name="adj3" fmla="val 21272472"/>
            <a:gd name="adj4" fmla="val 16200000"/>
            <a:gd name="adj5" fmla="val 5932"/>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337A7B1-2AC9-4B43-ACA2-EFE7A26A8A71}">
      <dsp:nvSpPr>
        <dsp:cNvPr id="0" name=""/>
        <dsp:cNvSpPr/>
      </dsp:nvSpPr>
      <dsp:spPr>
        <a:xfrm>
          <a:off x="1499739" y="114071"/>
          <a:ext cx="2961418" cy="2961418"/>
        </a:xfrm>
        <a:prstGeom prst="circularArrow">
          <a:avLst>
            <a:gd name="adj1" fmla="val 5085"/>
            <a:gd name="adj2" fmla="val 327528"/>
            <a:gd name="adj3" fmla="val 5072472"/>
            <a:gd name="adj4" fmla="val 0"/>
            <a:gd name="adj5" fmla="val 5932"/>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31D8537-0587-4278-9B3A-9B7898CBEFC5}">
      <dsp:nvSpPr>
        <dsp:cNvPr id="0" name=""/>
        <dsp:cNvSpPr/>
      </dsp:nvSpPr>
      <dsp:spPr>
        <a:xfrm>
          <a:off x="1411273" y="114071"/>
          <a:ext cx="2961418" cy="2961418"/>
        </a:xfrm>
        <a:prstGeom prst="circularArrow">
          <a:avLst>
            <a:gd name="adj1" fmla="val 5085"/>
            <a:gd name="adj2" fmla="val 327528"/>
            <a:gd name="adj3" fmla="val 10472472"/>
            <a:gd name="adj4" fmla="val 5400000"/>
            <a:gd name="adj5" fmla="val 5932"/>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AFDFBF9-0CDF-494A-B9B3-23D5BC282B1D}">
      <dsp:nvSpPr>
        <dsp:cNvPr id="0" name=""/>
        <dsp:cNvSpPr/>
      </dsp:nvSpPr>
      <dsp:spPr>
        <a:xfrm>
          <a:off x="1411273" y="25605"/>
          <a:ext cx="2961418" cy="2961418"/>
        </a:xfrm>
        <a:prstGeom prst="circularArrow">
          <a:avLst>
            <a:gd name="adj1" fmla="val 5085"/>
            <a:gd name="adj2" fmla="val 327528"/>
            <a:gd name="adj3" fmla="val 15872472"/>
            <a:gd name="adj4" fmla="val 10800000"/>
            <a:gd name="adj5" fmla="val 5932"/>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646768-5E07-BC4D-88A5-39601FB8E503}">
  <we:reference id="WA200001011" version="1.4.0.0" store="Omex" storeType="OMEX"/>
  <we:alternateReferences>
    <we:reference id="WA200001011" version="1.4.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6608F-FBE9-40B8-8F44-7B0479B379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5183</Words>
  <Characters>32967</Characters>
  <Application>Microsoft Office Word</Application>
  <DocSecurity>0</DocSecurity>
  <Lines>274</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2026-03-05T13:28:00Z</dcterms:created>
  <dcterms:modified xsi:type="dcterms:W3CDTF">2026-03-18T12:23:00Z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