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3C0F135">
      <w:pPr>
        <w:widowControl w:val="0"/>
        <w:spacing w:before="275" w:line="240" w:lineRule="auto"/>
        <w:jc w:val="center"/>
        <w:rPr>
          <w:b/>
          <w:bCs/>
          <w:i/>
          <w:iCs/>
          <w:sz w:val="28"/>
          <w:szCs w:val="28"/>
        </w:rPr>
      </w:pPr>
      <w:r>
        <w:rPr>
          <w:sz w:val="28"/>
          <w:szCs w:val="28"/>
        </w:rPr>
        <w:drawing>
          <wp:inline distT="0" distB="0" distL="114300" distR="114300">
            <wp:extent cx="1739900" cy="7493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7"/>
                    <a:srcRect/>
                    <a:stretch>
                      <a:fillRect/>
                    </a:stretch>
                  </pic:blipFill>
                  <pic:spPr>
                    <a:xfrm>
                      <a:off x="0" y="0"/>
                      <a:ext cx="1739900" cy="749300"/>
                    </a:xfrm>
                    <a:prstGeom prst="rect">
                      <a:avLst/>
                    </a:prstGeom>
                  </pic:spPr>
                </pic:pic>
              </a:graphicData>
            </a:graphic>
          </wp:inline>
        </w:drawing>
      </w:r>
    </w:p>
    <w:p w14:paraId="4D891F05">
      <w:pPr>
        <w:widowControl w:val="0"/>
        <w:spacing w:before="275" w:line="240" w:lineRule="auto"/>
        <w:jc w:val="center"/>
        <w:rPr>
          <w:b/>
          <w:bCs/>
          <w:sz w:val="28"/>
          <w:szCs w:val="28"/>
        </w:rPr>
      </w:pPr>
    </w:p>
    <w:p w14:paraId="5188FDE5">
      <w:pPr>
        <w:widowControl w:val="0"/>
        <w:spacing w:before="275" w:line="240" w:lineRule="auto"/>
        <w:jc w:val="center"/>
        <w:rPr>
          <w:b/>
          <w:bCs/>
          <w:sz w:val="28"/>
          <w:szCs w:val="28"/>
        </w:rPr>
      </w:pPr>
      <w:bookmarkStart w:id="62" w:name="_GoBack"/>
      <w:bookmarkEnd w:id="62"/>
      <w:r>
        <w:rPr>
          <w:b/>
          <w:bCs/>
          <w:sz w:val="28"/>
          <w:szCs w:val="28"/>
        </w:rPr>
        <w:t>Programme: MSc Public Health and Social Care in Practice</w:t>
      </w:r>
    </w:p>
    <w:p w14:paraId="543FB609">
      <w:pPr>
        <w:widowControl w:val="0"/>
        <w:spacing w:before="275" w:line="240" w:lineRule="auto"/>
        <w:jc w:val="center"/>
        <w:rPr>
          <w:b/>
          <w:bCs/>
          <w:sz w:val="28"/>
          <w:szCs w:val="28"/>
        </w:rPr>
      </w:pPr>
      <w:r>
        <w:rPr>
          <w:b/>
          <w:bCs/>
          <w:sz w:val="28"/>
          <w:szCs w:val="28"/>
        </w:rPr>
        <w:t>Module: Health Care System Organisation and Leadership</w:t>
      </w:r>
    </w:p>
    <w:p w14:paraId="0913B7D2">
      <w:pPr>
        <w:widowControl w:val="0"/>
        <w:spacing w:before="275" w:line="240" w:lineRule="auto"/>
        <w:jc w:val="center"/>
        <w:rPr>
          <w:b/>
          <w:bCs/>
          <w:sz w:val="28"/>
          <w:szCs w:val="28"/>
        </w:rPr>
      </w:pPr>
      <w:r>
        <w:rPr>
          <w:b/>
          <w:bCs/>
          <w:sz w:val="28"/>
          <w:szCs w:val="28"/>
        </w:rPr>
        <w:t>Module code: LCHS7002</w:t>
      </w:r>
    </w:p>
    <w:p w14:paraId="0760C552">
      <w:pPr>
        <w:jc w:val="center"/>
        <w:rPr>
          <w:b/>
          <w:bCs/>
          <w:sz w:val="28"/>
          <w:szCs w:val="28"/>
        </w:rPr>
      </w:pPr>
      <w:r>
        <w:rPr>
          <w:b/>
          <w:bCs/>
          <w:sz w:val="28"/>
          <w:szCs w:val="28"/>
        </w:rPr>
        <w:t xml:space="preserve">Chosen Case study: Case Study Number </w:t>
      </w:r>
      <w:r>
        <w:rPr>
          <w:rFonts w:hint="default"/>
          <w:b/>
          <w:bCs/>
          <w:sz w:val="28"/>
          <w:szCs w:val="28"/>
          <w:lang w:val="en-IN"/>
        </w:rPr>
        <w:t>2</w:t>
      </w:r>
      <w:r>
        <w:br w:type="page"/>
      </w:r>
    </w:p>
    <w:sdt>
      <w:sdtPr>
        <w:id w:val="2060981698"/>
        <w:docPartObj>
          <w:docPartGallery w:val="Table of Contents"/>
          <w:docPartUnique/>
        </w:docPartObj>
      </w:sdtPr>
      <w:sdtEndPr>
        <w:rPr>
          <w:rFonts w:ascii="Times New Roman" w:hAnsi="Times New Roman" w:eastAsia="Times New Roman" w:cs="Times New Roman"/>
          <w:b/>
          <w:bCs/>
          <w:color w:val="auto"/>
          <w:sz w:val="24"/>
          <w:szCs w:val="24"/>
          <w:lang w:val="en-GB" w:eastAsia="en-IN"/>
        </w:rPr>
      </w:sdtEndPr>
      <w:sdtContent>
        <w:p w14:paraId="12C338A4">
          <w:pPr>
            <w:pStyle w:val="24"/>
            <w:spacing w:after="240" w:line="360" w:lineRule="auto"/>
            <w:jc w:val="center"/>
            <w:rPr>
              <w:rFonts w:ascii="Times New Roman" w:hAnsi="Times New Roman" w:cs="Times New Roman"/>
              <w:b/>
              <w:color w:val="auto"/>
              <w:sz w:val="24"/>
              <w:szCs w:val="24"/>
            </w:rPr>
          </w:pPr>
          <w:bookmarkStart w:id="0" w:name="_tr4foe1weenr" w:colFirst="0" w:colLast="0"/>
          <w:bookmarkEnd w:id="0"/>
          <w:r>
            <w:rPr>
              <w:rFonts w:ascii="Times New Roman" w:hAnsi="Times New Roman" w:cs="Times New Roman"/>
              <w:b/>
              <w:color w:val="auto"/>
              <w:sz w:val="24"/>
              <w:szCs w:val="24"/>
            </w:rPr>
            <w:t>Table of Contents</w:t>
          </w:r>
        </w:p>
        <w:p w14:paraId="594F90D2">
          <w:pPr>
            <w:pStyle w:val="15"/>
            <w:tabs>
              <w:tab w:val="right" w:leader="dot" w:pos="9019"/>
            </w:tabs>
          </w:pPr>
          <w:r>
            <w:fldChar w:fldCharType="begin"/>
          </w:r>
          <w:r>
            <w:instrText xml:space="preserve"> TOC \o "1-3" \h \z \u </w:instrText>
          </w:r>
          <w:r>
            <w:fldChar w:fldCharType="separate"/>
          </w:r>
          <w:r>
            <w:fldChar w:fldCharType="begin"/>
          </w:r>
          <w:r>
            <w:instrText xml:space="preserve"> HYPERLINK \l "_Toc236840832" </w:instrText>
          </w:r>
          <w:r>
            <w:fldChar w:fldCharType="separate"/>
          </w:r>
          <w:r>
            <w:rPr>
              <w:rStyle w:val="12"/>
            </w:rPr>
            <w:t>1. Introduction</w:t>
          </w:r>
          <w:r>
            <w:tab/>
          </w:r>
          <w:r>
            <w:fldChar w:fldCharType="begin"/>
          </w:r>
          <w:r>
            <w:instrText xml:space="preserve"> PAGEREF _Toc236840832 \h </w:instrText>
          </w:r>
          <w:r>
            <w:fldChar w:fldCharType="separate"/>
          </w:r>
          <w:r>
            <w:t>3</w:t>
          </w:r>
          <w:r>
            <w:fldChar w:fldCharType="end"/>
          </w:r>
          <w:r>
            <w:fldChar w:fldCharType="end"/>
          </w:r>
        </w:p>
        <w:p w14:paraId="2D8031C2">
          <w:pPr>
            <w:pStyle w:val="15"/>
            <w:tabs>
              <w:tab w:val="right" w:leader="dot" w:pos="9019"/>
            </w:tabs>
          </w:pPr>
          <w:r>
            <w:fldChar w:fldCharType="begin"/>
          </w:r>
          <w:r>
            <w:instrText xml:space="preserve"> HYPERLINK \l "_Toc236840833" </w:instrText>
          </w:r>
          <w:r>
            <w:fldChar w:fldCharType="separate"/>
          </w:r>
          <w:r>
            <w:rPr>
              <w:rStyle w:val="12"/>
            </w:rPr>
            <w:t>2. Main Body</w:t>
          </w:r>
          <w:r>
            <w:tab/>
          </w:r>
          <w:r>
            <w:fldChar w:fldCharType="begin"/>
          </w:r>
          <w:r>
            <w:instrText xml:space="preserve"> PAGEREF _Toc236840833 \h </w:instrText>
          </w:r>
          <w:r>
            <w:fldChar w:fldCharType="separate"/>
          </w:r>
          <w:r>
            <w:t>4</w:t>
          </w:r>
          <w:r>
            <w:fldChar w:fldCharType="end"/>
          </w:r>
          <w:r>
            <w:fldChar w:fldCharType="end"/>
          </w:r>
        </w:p>
        <w:p w14:paraId="27801899">
          <w:pPr>
            <w:pStyle w:val="15"/>
            <w:tabs>
              <w:tab w:val="right" w:leader="dot" w:pos="9019"/>
            </w:tabs>
          </w:pPr>
          <w:r>
            <w:fldChar w:fldCharType="begin"/>
          </w:r>
          <w:r>
            <w:instrText xml:space="preserve"> HYPERLINK \l "_Toc236840834" </w:instrText>
          </w:r>
          <w:r>
            <w:fldChar w:fldCharType="separate"/>
          </w:r>
          <w:r>
            <w:rPr>
              <w:rStyle w:val="12"/>
            </w:rPr>
            <w:t>2a. Determining the Problem Using Systems Thinking</w:t>
          </w:r>
          <w:r>
            <w:tab/>
          </w:r>
          <w:r>
            <w:fldChar w:fldCharType="begin"/>
          </w:r>
          <w:r>
            <w:instrText xml:space="preserve"> PAGEREF _Toc236840834 \h </w:instrText>
          </w:r>
          <w:r>
            <w:fldChar w:fldCharType="separate"/>
          </w:r>
          <w:r>
            <w:t>4</w:t>
          </w:r>
          <w:r>
            <w:fldChar w:fldCharType="end"/>
          </w:r>
          <w:r>
            <w:fldChar w:fldCharType="end"/>
          </w:r>
        </w:p>
        <w:p w14:paraId="12B41E0D">
          <w:pPr>
            <w:pStyle w:val="17"/>
            <w:tabs>
              <w:tab w:val="right" w:leader="dot" w:pos="9019"/>
            </w:tabs>
          </w:pPr>
          <w:r>
            <w:fldChar w:fldCharType="begin"/>
          </w:r>
          <w:r>
            <w:instrText xml:space="preserve"> HYPERLINK \l "_Toc236840835" </w:instrText>
          </w:r>
          <w:r>
            <w:fldChar w:fldCharType="separate"/>
          </w:r>
          <w:r>
            <w:rPr>
              <w:rStyle w:val="12"/>
            </w:rPr>
            <w:t>2a.1 Description of the Core Patient Safety Problem</w:t>
          </w:r>
          <w:r>
            <w:tab/>
          </w:r>
          <w:r>
            <w:fldChar w:fldCharType="begin"/>
          </w:r>
          <w:r>
            <w:instrText xml:space="preserve"> PAGEREF _Toc236840835 \h </w:instrText>
          </w:r>
          <w:r>
            <w:fldChar w:fldCharType="separate"/>
          </w:r>
          <w:r>
            <w:t>4</w:t>
          </w:r>
          <w:r>
            <w:fldChar w:fldCharType="end"/>
          </w:r>
          <w:r>
            <w:fldChar w:fldCharType="end"/>
          </w:r>
        </w:p>
        <w:p w14:paraId="4720967E">
          <w:pPr>
            <w:pStyle w:val="17"/>
            <w:tabs>
              <w:tab w:val="right" w:leader="dot" w:pos="9019"/>
            </w:tabs>
          </w:pPr>
          <w:r>
            <w:fldChar w:fldCharType="begin"/>
          </w:r>
          <w:r>
            <w:instrText xml:space="preserve"> HYPERLINK \l "_Toc236840836" </w:instrText>
          </w:r>
          <w:r>
            <w:fldChar w:fldCharType="separate"/>
          </w:r>
          <w:r>
            <w:rPr>
              <w:rStyle w:val="12"/>
            </w:rPr>
            <w:t>2a.2 Evidence of Patient Safety Problem Globally and Nationally</w:t>
          </w:r>
          <w:r>
            <w:tab/>
          </w:r>
          <w:r>
            <w:fldChar w:fldCharType="begin"/>
          </w:r>
          <w:r>
            <w:instrText xml:space="preserve"> PAGEREF _Toc236840836 \h </w:instrText>
          </w:r>
          <w:r>
            <w:fldChar w:fldCharType="separate"/>
          </w:r>
          <w:r>
            <w:t>5</w:t>
          </w:r>
          <w:r>
            <w:fldChar w:fldCharType="end"/>
          </w:r>
          <w:r>
            <w:fldChar w:fldCharType="end"/>
          </w:r>
        </w:p>
        <w:p w14:paraId="1FECB4FC">
          <w:pPr>
            <w:pStyle w:val="17"/>
            <w:tabs>
              <w:tab w:val="right" w:leader="dot" w:pos="9019"/>
            </w:tabs>
          </w:pPr>
          <w:r>
            <w:fldChar w:fldCharType="begin"/>
          </w:r>
          <w:r>
            <w:instrText xml:space="preserve"> HYPERLINK \l "_Toc236840837" </w:instrText>
          </w:r>
          <w:r>
            <w:fldChar w:fldCharType="separate"/>
          </w:r>
          <w:r>
            <w:rPr>
              <w:rStyle w:val="12"/>
            </w:rPr>
            <w:t>2a.3 System Weaknesses Identified through Systems Thinking</w:t>
          </w:r>
          <w:r>
            <w:tab/>
          </w:r>
          <w:r>
            <w:fldChar w:fldCharType="begin"/>
          </w:r>
          <w:r>
            <w:instrText xml:space="preserve"> PAGEREF _Toc236840837 \h </w:instrText>
          </w:r>
          <w:r>
            <w:fldChar w:fldCharType="separate"/>
          </w:r>
          <w:r>
            <w:t>7</w:t>
          </w:r>
          <w:r>
            <w:fldChar w:fldCharType="end"/>
          </w:r>
          <w:r>
            <w:fldChar w:fldCharType="end"/>
          </w:r>
        </w:p>
        <w:p w14:paraId="517940B9">
          <w:pPr>
            <w:pStyle w:val="17"/>
            <w:tabs>
              <w:tab w:val="right" w:leader="dot" w:pos="9019"/>
            </w:tabs>
          </w:pPr>
          <w:r>
            <w:fldChar w:fldCharType="begin"/>
          </w:r>
          <w:r>
            <w:instrText xml:space="preserve"> HYPERLINK \l "_Toc236840838" </w:instrText>
          </w:r>
          <w:r>
            <w:fldChar w:fldCharType="separate"/>
          </w:r>
          <w:r>
            <w:rPr>
              <w:rStyle w:val="12"/>
            </w:rPr>
            <w:t>2a.4 Rich Picture Analysis of the Patient X Case</w:t>
          </w:r>
          <w:r>
            <w:tab/>
          </w:r>
          <w:r>
            <w:fldChar w:fldCharType="begin"/>
          </w:r>
          <w:r>
            <w:instrText xml:space="preserve"> PAGEREF _Toc236840838 \h </w:instrText>
          </w:r>
          <w:r>
            <w:fldChar w:fldCharType="separate"/>
          </w:r>
          <w:r>
            <w:t>8</w:t>
          </w:r>
          <w:r>
            <w:fldChar w:fldCharType="end"/>
          </w:r>
          <w:r>
            <w:fldChar w:fldCharType="end"/>
          </w:r>
        </w:p>
        <w:p w14:paraId="2400645C">
          <w:pPr>
            <w:pStyle w:val="16"/>
            <w:tabs>
              <w:tab w:val="right" w:leader="dot" w:pos="9019"/>
            </w:tabs>
          </w:pPr>
          <w:r>
            <w:fldChar w:fldCharType="begin"/>
          </w:r>
          <w:r>
            <w:instrText xml:space="preserve"> HYPERLINK \l "_Toc236840839" </w:instrText>
          </w:r>
          <w:r>
            <w:fldChar w:fldCharType="separate"/>
          </w:r>
          <w:r>
            <w:rPr>
              <w:rStyle w:val="12"/>
            </w:rPr>
            <w:t>2b. Centralisation vs. Decentralisation</w:t>
          </w:r>
          <w:r>
            <w:tab/>
          </w:r>
          <w:r>
            <w:fldChar w:fldCharType="begin"/>
          </w:r>
          <w:r>
            <w:instrText xml:space="preserve"> PAGEREF _Toc236840839 \h </w:instrText>
          </w:r>
          <w:r>
            <w:fldChar w:fldCharType="separate"/>
          </w:r>
          <w:r>
            <w:t>9</w:t>
          </w:r>
          <w:r>
            <w:fldChar w:fldCharType="end"/>
          </w:r>
          <w:r>
            <w:fldChar w:fldCharType="end"/>
          </w:r>
        </w:p>
        <w:p w14:paraId="55C216E1">
          <w:pPr>
            <w:pStyle w:val="17"/>
            <w:tabs>
              <w:tab w:val="right" w:leader="dot" w:pos="9019"/>
            </w:tabs>
          </w:pPr>
          <w:r>
            <w:fldChar w:fldCharType="begin"/>
          </w:r>
          <w:r>
            <w:instrText xml:space="preserve"> HYPERLINK \l "_Toc236840840" </w:instrText>
          </w:r>
          <w:r>
            <w:fldChar w:fldCharType="separate"/>
          </w:r>
          <w:r>
            <w:rPr>
              <w:rStyle w:val="12"/>
            </w:rPr>
            <w:t>2b.1 Understanding Centralisation and Decentralisation in Healthcare Leadership</w:t>
          </w:r>
          <w:r>
            <w:tab/>
          </w:r>
          <w:r>
            <w:fldChar w:fldCharType="begin"/>
          </w:r>
          <w:r>
            <w:instrText xml:space="preserve"> PAGEREF _Toc236840840 \h </w:instrText>
          </w:r>
          <w:r>
            <w:fldChar w:fldCharType="separate"/>
          </w:r>
          <w:r>
            <w:t>9</w:t>
          </w:r>
          <w:r>
            <w:fldChar w:fldCharType="end"/>
          </w:r>
          <w:r>
            <w:fldChar w:fldCharType="end"/>
          </w:r>
        </w:p>
        <w:p w14:paraId="2D50226A">
          <w:pPr>
            <w:pStyle w:val="17"/>
            <w:tabs>
              <w:tab w:val="right" w:leader="dot" w:pos="9019"/>
            </w:tabs>
          </w:pPr>
          <w:r>
            <w:fldChar w:fldCharType="begin"/>
          </w:r>
          <w:r>
            <w:instrText xml:space="preserve"> HYPERLINK \l "_Toc236840841" </w:instrText>
          </w:r>
          <w:r>
            <w:fldChar w:fldCharType="separate"/>
          </w:r>
          <w:r>
            <w:rPr>
              <w:rStyle w:val="12"/>
            </w:rPr>
            <w:t>2b.2 Centralisation Failures in the Patient X Case</w:t>
          </w:r>
          <w:r>
            <w:tab/>
          </w:r>
          <w:r>
            <w:fldChar w:fldCharType="begin"/>
          </w:r>
          <w:r>
            <w:instrText xml:space="preserve"> PAGEREF _Toc236840841 \h </w:instrText>
          </w:r>
          <w:r>
            <w:fldChar w:fldCharType="separate"/>
          </w:r>
          <w:r>
            <w:t>10</w:t>
          </w:r>
          <w:r>
            <w:fldChar w:fldCharType="end"/>
          </w:r>
          <w:r>
            <w:fldChar w:fldCharType="end"/>
          </w:r>
        </w:p>
        <w:p w14:paraId="708F8769">
          <w:pPr>
            <w:pStyle w:val="17"/>
            <w:tabs>
              <w:tab w:val="right" w:leader="dot" w:pos="9019"/>
            </w:tabs>
          </w:pPr>
          <w:r>
            <w:fldChar w:fldCharType="begin"/>
          </w:r>
          <w:r>
            <w:instrText xml:space="preserve"> HYPERLINK \l "_Toc236840842" </w:instrText>
          </w:r>
          <w:r>
            <w:fldChar w:fldCharType="separate"/>
          </w:r>
          <w:r>
            <w:rPr>
              <w:rStyle w:val="12"/>
            </w:rPr>
            <w:t>2b.3 Decentralisation Failures and Local Leadership</w:t>
          </w:r>
          <w:r>
            <w:tab/>
          </w:r>
          <w:r>
            <w:fldChar w:fldCharType="begin"/>
          </w:r>
          <w:r>
            <w:instrText xml:space="preserve"> PAGEREF _Toc236840842 \h </w:instrText>
          </w:r>
          <w:r>
            <w:fldChar w:fldCharType="separate"/>
          </w:r>
          <w:r>
            <w:t>11</w:t>
          </w:r>
          <w:r>
            <w:fldChar w:fldCharType="end"/>
          </w:r>
          <w:r>
            <w:fldChar w:fldCharType="end"/>
          </w:r>
        </w:p>
        <w:p w14:paraId="6FC30D7F">
          <w:pPr>
            <w:pStyle w:val="15"/>
            <w:tabs>
              <w:tab w:val="right" w:leader="dot" w:pos="9019"/>
            </w:tabs>
          </w:pPr>
          <w:r>
            <w:fldChar w:fldCharType="begin"/>
          </w:r>
          <w:r>
            <w:instrText xml:space="preserve"> HYPERLINK \l "_Toc236840843" </w:instrText>
          </w:r>
          <w:r>
            <w:fldChar w:fldCharType="separate"/>
          </w:r>
          <w:r>
            <w:rPr>
              <w:rStyle w:val="12"/>
            </w:rPr>
            <w:t>2c. Leadership Theory Application</w:t>
          </w:r>
          <w:r>
            <w:tab/>
          </w:r>
          <w:r>
            <w:fldChar w:fldCharType="begin"/>
          </w:r>
          <w:r>
            <w:instrText xml:space="preserve"> PAGEREF _Toc236840843 \h </w:instrText>
          </w:r>
          <w:r>
            <w:fldChar w:fldCharType="separate"/>
          </w:r>
          <w:r>
            <w:t>12</w:t>
          </w:r>
          <w:r>
            <w:fldChar w:fldCharType="end"/>
          </w:r>
          <w:r>
            <w:fldChar w:fldCharType="end"/>
          </w:r>
        </w:p>
        <w:p w14:paraId="5F06D4CA">
          <w:pPr>
            <w:pStyle w:val="16"/>
            <w:tabs>
              <w:tab w:val="right" w:leader="dot" w:pos="9019"/>
            </w:tabs>
          </w:pPr>
          <w:r>
            <w:fldChar w:fldCharType="begin"/>
          </w:r>
          <w:r>
            <w:instrText xml:space="preserve"> HYPERLINK \l "_Toc236840844" </w:instrText>
          </w:r>
          <w:r>
            <w:fldChar w:fldCharType="separate"/>
          </w:r>
          <w:r>
            <w:rPr>
              <w:rStyle w:val="12"/>
            </w:rPr>
            <w:t>2c1. Great Man Theory: Limitations of Heroic and Reactive Leadership</w:t>
          </w:r>
          <w:r>
            <w:tab/>
          </w:r>
          <w:r>
            <w:fldChar w:fldCharType="begin"/>
          </w:r>
          <w:r>
            <w:instrText xml:space="preserve"> PAGEREF _Toc236840844 \h </w:instrText>
          </w:r>
          <w:r>
            <w:fldChar w:fldCharType="separate"/>
          </w:r>
          <w:r>
            <w:t>12</w:t>
          </w:r>
          <w:r>
            <w:fldChar w:fldCharType="end"/>
          </w:r>
          <w:r>
            <w:fldChar w:fldCharType="end"/>
          </w:r>
        </w:p>
        <w:p w14:paraId="645361C0">
          <w:pPr>
            <w:pStyle w:val="17"/>
            <w:tabs>
              <w:tab w:val="right" w:leader="dot" w:pos="9019"/>
            </w:tabs>
          </w:pPr>
          <w:r>
            <w:fldChar w:fldCharType="begin"/>
          </w:r>
          <w:r>
            <w:instrText xml:space="preserve"> HYPERLINK \l "_Toc236840845" </w:instrText>
          </w:r>
          <w:r>
            <w:fldChar w:fldCharType="separate"/>
          </w:r>
          <w:r>
            <w:rPr>
              <w:rStyle w:val="12"/>
            </w:rPr>
            <w:t>2c2. Trait Theory: Importance of Clinical Judgement and Emotional Intelligence</w:t>
          </w:r>
          <w:r>
            <w:tab/>
          </w:r>
          <w:r>
            <w:fldChar w:fldCharType="begin"/>
          </w:r>
          <w:r>
            <w:instrText xml:space="preserve"> PAGEREF _Toc236840845 \h </w:instrText>
          </w:r>
          <w:r>
            <w:fldChar w:fldCharType="separate"/>
          </w:r>
          <w:r>
            <w:t>12</w:t>
          </w:r>
          <w:r>
            <w:fldChar w:fldCharType="end"/>
          </w:r>
          <w:r>
            <w:fldChar w:fldCharType="end"/>
          </w:r>
        </w:p>
        <w:p w14:paraId="7F9C62B2">
          <w:pPr>
            <w:pStyle w:val="17"/>
            <w:tabs>
              <w:tab w:val="right" w:leader="dot" w:pos="9019"/>
            </w:tabs>
          </w:pPr>
          <w:r>
            <w:fldChar w:fldCharType="begin"/>
          </w:r>
          <w:r>
            <w:instrText xml:space="preserve"> HYPERLINK \l "_Toc236840846" </w:instrText>
          </w:r>
          <w:r>
            <w:fldChar w:fldCharType="separate"/>
          </w:r>
          <w:r>
            <w:rPr>
              <w:rStyle w:val="12"/>
            </w:rPr>
            <w:t>2c3. Behavioural Theory: Balancing Task Performance and Relationship-Based Leadership</w:t>
          </w:r>
          <w:r>
            <w:tab/>
          </w:r>
          <w:r>
            <w:fldChar w:fldCharType="begin"/>
          </w:r>
          <w:r>
            <w:instrText xml:space="preserve"> PAGEREF _Toc236840846 \h </w:instrText>
          </w:r>
          <w:r>
            <w:fldChar w:fldCharType="separate"/>
          </w:r>
          <w:r>
            <w:t>13</w:t>
          </w:r>
          <w:r>
            <w:fldChar w:fldCharType="end"/>
          </w:r>
          <w:r>
            <w:fldChar w:fldCharType="end"/>
          </w:r>
        </w:p>
        <w:p w14:paraId="60A44F05">
          <w:pPr>
            <w:pStyle w:val="17"/>
            <w:tabs>
              <w:tab w:val="right" w:leader="dot" w:pos="9019"/>
            </w:tabs>
          </w:pPr>
          <w:r>
            <w:fldChar w:fldCharType="begin"/>
          </w:r>
          <w:r>
            <w:instrText xml:space="preserve"> HYPERLINK \l "_Toc236840847" </w:instrText>
          </w:r>
          <w:r>
            <w:fldChar w:fldCharType="separate"/>
          </w:r>
          <w:r>
            <w:rPr>
              <w:rStyle w:val="12"/>
            </w:rPr>
            <w:t>2c4. Situational Leadership: Adapting Leadership to Clinical Complexity and Risk</w:t>
          </w:r>
          <w:r>
            <w:tab/>
          </w:r>
          <w:r>
            <w:fldChar w:fldCharType="begin"/>
          </w:r>
          <w:r>
            <w:instrText xml:space="preserve"> PAGEREF _Toc236840847 \h </w:instrText>
          </w:r>
          <w:r>
            <w:fldChar w:fldCharType="separate"/>
          </w:r>
          <w:r>
            <w:t>13</w:t>
          </w:r>
          <w:r>
            <w:fldChar w:fldCharType="end"/>
          </w:r>
          <w:r>
            <w:fldChar w:fldCharType="end"/>
          </w:r>
        </w:p>
        <w:p w14:paraId="2655ECC2">
          <w:pPr>
            <w:pStyle w:val="17"/>
            <w:tabs>
              <w:tab w:val="right" w:leader="dot" w:pos="9019"/>
            </w:tabs>
          </w:pPr>
          <w:r>
            <w:fldChar w:fldCharType="begin"/>
          </w:r>
          <w:r>
            <w:instrText xml:space="preserve"> HYPERLINK \l "_Toc236840848" </w:instrText>
          </w:r>
          <w:r>
            <w:fldChar w:fldCharType="separate"/>
          </w:r>
          <w:r>
            <w:rPr>
              <w:rStyle w:val="12"/>
            </w:rPr>
            <w:t>2c5. Tannenbaum and Schmidt Continuum: Moving Towards Shared Decision-Making</w:t>
          </w:r>
          <w:r>
            <w:tab/>
          </w:r>
          <w:r>
            <w:fldChar w:fldCharType="begin"/>
          </w:r>
          <w:r>
            <w:instrText xml:space="preserve"> PAGEREF _Toc236840848 \h </w:instrText>
          </w:r>
          <w:r>
            <w:fldChar w:fldCharType="separate"/>
          </w:r>
          <w:r>
            <w:t>14</w:t>
          </w:r>
          <w:r>
            <w:fldChar w:fldCharType="end"/>
          </w:r>
          <w:r>
            <w:fldChar w:fldCharType="end"/>
          </w:r>
        </w:p>
        <w:p w14:paraId="142BDFFC">
          <w:pPr>
            <w:pStyle w:val="17"/>
            <w:tabs>
              <w:tab w:val="right" w:leader="dot" w:pos="9019"/>
            </w:tabs>
          </w:pPr>
          <w:r>
            <w:fldChar w:fldCharType="begin"/>
          </w:r>
          <w:r>
            <w:instrText xml:space="preserve"> HYPERLINK \l "_Toc236840849" </w:instrText>
          </w:r>
          <w:r>
            <w:fldChar w:fldCharType="separate"/>
          </w:r>
          <w:r>
            <w:rPr>
              <w:rStyle w:val="12"/>
            </w:rPr>
            <w:t>2c6. Transformational Leadership: Creating a Proactive Patient Safety Culture</w:t>
          </w:r>
          <w:r>
            <w:tab/>
          </w:r>
          <w:r>
            <w:fldChar w:fldCharType="begin"/>
          </w:r>
          <w:r>
            <w:instrText xml:space="preserve"> PAGEREF _Toc236840849 \h </w:instrText>
          </w:r>
          <w:r>
            <w:fldChar w:fldCharType="separate"/>
          </w:r>
          <w:r>
            <w:t>14</w:t>
          </w:r>
          <w:r>
            <w:fldChar w:fldCharType="end"/>
          </w:r>
          <w:r>
            <w:fldChar w:fldCharType="end"/>
          </w:r>
        </w:p>
        <w:p w14:paraId="58942439">
          <w:pPr>
            <w:pStyle w:val="16"/>
            <w:tabs>
              <w:tab w:val="right" w:leader="dot" w:pos="9019"/>
            </w:tabs>
          </w:pPr>
          <w:r>
            <w:fldChar w:fldCharType="begin"/>
          </w:r>
          <w:r>
            <w:instrText xml:space="preserve"> HYPERLINK \l "_Toc236840850" </w:instrText>
          </w:r>
          <w:r>
            <w:fldChar w:fldCharType="separate"/>
          </w:r>
          <w:r>
            <w:rPr>
              <w:rStyle w:val="12"/>
            </w:rPr>
            <w:t>2d. Critique, Improvements &amp; Lessons Learned</w:t>
          </w:r>
          <w:r>
            <w:tab/>
          </w:r>
          <w:r>
            <w:fldChar w:fldCharType="begin"/>
          </w:r>
          <w:r>
            <w:instrText xml:space="preserve"> PAGEREF _Toc236840850 \h </w:instrText>
          </w:r>
          <w:r>
            <w:fldChar w:fldCharType="separate"/>
          </w:r>
          <w:r>
            <w:t>16</w:t>
          </w:r>
          <w:r>
            <w:fldChar w:fldCharType="end"/>
          </w:r>
          <w:r>
            <w:fldChar w:fldCharType="end"/>
          </w:r>
        </w:p>
        <w:p w14:paraId="32E75B0B">
          <w:pPr>
            <w:pStyle w:val="17"/>
            <w:tabs>
              <w:tab w:val="right" w:leader="dot" w:pos="9019"/>
            </w:tabs>
          </w:pPr>
          <w:r>
            <w:fldChar w:fldCharType="begin"/>
          </w:r>
          <w:r>
            <w:instrText xml:space="preserve"> HYPERLINK \l "_Toc236840851" </w:instrText>
          </w:r>
          <w:r>
            <w:fldChar w:fldCharType="separate"/>
          </w:r>
          <w:r>
            <w:rPr>
              <w:rStyle w:val="12"/>
            </w:rPr>
            <w:t>2d1. Critique of Leadership Approach and Decision-Making</w:t>
          </w:r>
          <w:r>
            <w:tab/>
          </w:r>
          <w:r>
            <w:fldChar w:fldCharType="begin"/>
          </w:r>
          <w:r>
            <w:instrText xml:space="preserve"> PAGEREF _Toc236840851 \h </w:instrText>
          </w:r>
          <w:r>
            <w:fldChar w:fldCharType="separate"/>
          </w:r>
          <w:r>
            <w:t>16</w:t>
          </w:r>
          <w:r>
            <w:fldChar w:fldCharType="end"/>
          </w:r>
          <w:r>
            <w:fldChar w:fldCharType="end"/>
          </w:r>
        </w:p>
        <w:p w14:paraId="0EB3E771">
          <w:pPr>
            <w:pStyle w:val="17"/>
            <w:tabs>
              <w:tab w:val="right" w:leader="dot" w:pos="9019"/>
            </w:tabs>
          </w:pPr>
          <w:r>
            <w:fldChar w:fldCharType="begin"/>
          </w:r>
          <w:r>
            <w:instrText xml:space="preserve"> HYPERLINK \l "_Toc236840852" </w:instrText>
          </w:r>
          <w:r>
            <w:fldChar w:fldCharType="separate"/>
          </w:r>
          <w:r>
            <w:rPr>
              <w:rStyle w:val="12"/>
            </w:rPr>
            <w:t>2d2. Digital Improvements: Electronic Prescribing and Safety Systems</w:t>
          </w:r>
          <w:r>
            <w:tab/>
          </w:r>
          <w:r>
            <w:fldChar w:fldCharType="begin"/>
          </w:r>
          <w:r>
            <w:instrText xml:space="preserve"> PAGEREF _Toc236840852 \h </w:instrText>
          </w:r>
          <w:r>
            <w:fldChar w:fldCharType="separate"/>
          </w:r>
          <w:r>
            <w:t>16</w:t>
          </w:r>
          <w:r>
            <w:fldChar w:fldCharType="end"/>
          </w:r>
          <w:r>
            <w:fldChar w:fldCharType="end"/>
          </w:r>
        </w:p>
        <w:p w14:paraId="1E2660E9">
          <w:pPr>
            <w:pStyle w:val="17"/>
            <w:tabs>
              <w:tab w:val="right" w:leader="dot" w:pos="9019"/>
            </w:tabs>
          </w:pPr>
          <w:r>
            <w:fldChar w:fldCharType="begin"/>
          </w:r>
          <w:r>
            <w:instrText xml:space="preserve"> HYPERLINK \l "_Toc236840853" </w:instrText>
          </w:r>
          <w:r>
            <w:fldChar w:fldCharType="separate"/>
          </w:r>
          <w:r>
            <w:rPr>
              <w:rStyle w:val="12"/>
            </w:rPr>
            <w:t>2d3. Psychological Safety, Culture and Staff Wellbeing</w:t>
          </w:r>
          <w:r>
            <w:tab/>
          </w:r>
          <w:r>
            <w:fldChar w:fldCharType="begin"/>
          </w:r>
          <w:r>
            <w:instrText xml:space="preserve"> PAGEREF _Toc236840853 \h </w:instrText>
          </w:r>
          <w:r>
            <w:fldChar w:fldCharType="separate"/>
          </w:r>
          <w:r>
            <w:t>17</w:t>
          </w:r>
          <w:r>
            <w:fldChar w:fldCharType="end"/>
          </w:r>
          <w:r>
            <w:fldChar w:fldCharType="end"/>
          </w:r>
        </w:p>
        <w:p w14:paraId="27122F11">
          <w:pPr>
            <w:pStyle w:val="17"/>
            <w:tabs>
              <w:tab w:val="right" w:leader="dot" w:pos="9019"/>
            </w:tabs>
          </w:pPr>
          <w:r>
            <w:fldChar w:fldCharType="begin"/>
          </w:r>
          <w:r>
            <w:instrText xml:space="preserve"> HYPERLINK \l "_Toc236840854" </w:instrText>
          </w:r>
          <w:r>
            <w:fldChar w:fldCharType="separate"/>
          </w:r>
          <w:r>
            <w:rPr>
              <w:rStyle w:val="12"/>
            </w:rPr>
            <w:t>2d4. Lessons Learned and Future Leadership Improvements</w:t>
          </w:r>
          <w:r>
            <w:tab/>
          </w:r>
          <w:r>
            <w:fldChar w:fldCharType="begin"/>
          </w:r>
          <w:r>
            <w:instrText xml:space="preserve"> PAGEREF _Toc236840854 \h </w:instrText>
          </w:r>
          <w:r>
            <w:fldChar w:fldCharType="separate"/>
          </w:r>
          <w:r>
            <w:t>17</w:t>
          </w:r>
          <w:r>
            <w:fldChar w:fldCharType="end"/>
          </w:r>
          <w:r>
            <w:fldChar w:fldCharType="end"/>
          </w:r>
        </w:p>
        <w:p w14:paraId="3BB16613">
          <w:pPr>
            <w:pStyle w:val="15"/>
            <w:tabs>
              <w:tab w:val="right" w:leader="dot" w:pos="9019"/>
            </w:tabs>
          </w:pPr>
          <w:r>
            <w:fldChar w:fldCharType="begin"/>
          </w:r>
          <w:r>
            <w:instrText xml:space="preserve"> HYPERLINK \l "_Toc236840855" </w:instrText>
          </w:r>
          <w:r>
            <w:fldChar w:fldCharType="separate"/>
          </w:r>
          <w:r>
            <w:rPr>
              <w:rStyle w:val="12"/>
            </w:rPr>
            <w:t>3. Recommendations</w:t>
          </w:r>
          <w:r>
            <w:tab/>
          </w:r>
          <w:r>
            <w:fldChar w:fldCharType="begin"/>
          </w:r>
          <w:r>
            <w:instrText xml:space="preserve"> PAGEREF _Toc236840855 \h </w:instrText>
          </w:r>
          <w:r>
            <w:fldChar w:fldCharType="separate"/>
          </w:r>
          <w:r>
            <w:t>17</w:t>
          </w:r>
          <w:r>
            <w:fldChar w:fldCharType="end"/>
          </w:r>
          <w:r>
            <w:fldChar w:fldCharType="end"/>
          </w:r>
        </w:p>
        <w:p w14:paraId="49CD0135">
          <w:pPr>
            <w:pStyle w:val="16"/>
            <w:tabs>
              <w:tab w:val="right" w:leader="dot" w:pos="9019"/>
            </w:tabs>
          </w:pPr>
          <w:r>
            <w:fldChar w:fldCharType="begin"/>
          </w:r>
          <w:r>
            <w:instrText xml:space="preserve"> HYPERLINK \l "_Toc236840856" </w:instrText>
          </w:r>
          <w:r>
            <w:fldChar w:fldCharType="separate"/>
          </w:r>
          <w:r>
            <w:rPr>
              <w:rStyle w:val="12"/>
            </w:rPr>
            <w:t>3a. Encourage Transformational and Compassionate Leadership Skills</w:t>
          </w:r>
          <w:r>
            <w:tab/>
          </w:r>
          <w:r>
            <w:fldChar w:fldCharType="begin"/>
          </w:r>
          <w:r>
            <w:instrText xml:space="preserve"> PAGEREF _Toc236840856 \h </w:instrText>
          </w:r>
          <w:r>
            <w:fldChar w:fldCharType="separate"/>
          </w:r>
          <w:r>
            <w:t>17</w:t>
          </w:r>
          <w:r>
            <w:fldChar w:fldCharType="end"/>
          </w:r>
          <w:r>
            <w:fldChar w:fldCharType="end"/>
          </w:r>
        </w:p>
        <w:p w14:paraId="5A32B64A">
          <w:pPr>
            <w:pStyle w:val="16"/>
            <w:tabs>
              <w:tab w:val="right" w:leader="dot" w:pos="9019"/>
            </w:tabs>
          </w:pPr>
          <w:r>
            <w:fldChar w:fldCharType="begin"/>
          </w:r>
          <w:r>
            <w:instrText xml:space="preserve"> HYPERLINK \l "_Toc236840857" </w:instrText>
          </w:r>
          <w:r>
            <w:fldChar w:fldCharType="separate"/>
          </w:r>
          <w:r>
            <w:rPr>
              <w:rStyle w:val="12"/>
            </w:rPr>
            <w:t>3b. Implement Enhanced Electronic Prescribing and Medication Safety Alerts</w:t>
          </w:r>
          <w:r>
            <w:tab/>
          </w:r>
          <w:r>
            <w:fldChar w:fldCharType="begin"/>
          </w:r>
          <w:r>
            <w:instrText xml:space="preserve"> PAGEREF _Toc236840857 \h </w:instrText>
          </w:r>
          <w:r>
            <w:fldChar w:fldCharType="separate"/>
          </w:r>
          <w:r>
            <w:t>18</w:t>
          </w:r>
          <w:r>
            <w:fldChar w:fldCharType="end"/>
          </w:r>
          <w:r>
            <w:fldChar w:fldCharType="end"/>
          </w:r>
        </w:p>
        <w:p w14:paraId="3B9326D1">
          <w:pPr>
            <w:pStyle w:val="16"/>
            <w:tabs>
              <w:tab w:val="right" w:leader="dot" w:pos="9019"/>
            </w:tabs>
          </w:pPr>
          <w:r>
            <w:fldChar w:fldCharType="begin"/>
          </w:r>
          <w:r>
            <w:instrText xml:space="preserve"> HYPERLINK \l "_Toc236840858" </w:instrText>
          </w:r>
          <w:r>
            <w:fldChar w:fldCharType="separate"/>
          </w:r>
          <w:r>
            <w:rPr>
              <w:rStyle w:val="12"/>
            </w:rPr>
            <w:t>3c. Introduce Daily Multidisciplinary Patient Safety Huddle</w:t>
          </w:r>
          <w:r>
            <w:tab/>
          </w:r>
          <w:r>
            <w:fldChar w:fldCharType="begin"/>
          </w:r>
          <w:r>
            <w:instrText xml:space="preserve"> PAGEREF _Toc236840858 \h </w:instrText>
          </w:r>
          <w:r>
            <w:fldChar w:fldCharType="separate"/>
          </w:r>
          <w:r>
            <w:t>18</w:t>
          </w:r>
          <w:r>
            <w:fldChar w:fldCharType="end"/>
          </w:r>
          <w:r>
            <w:fldChar w:fldCharType="end"/>
          </w:r>
        </w:p>
        <w:p w14:paraId="1F0384C0">
          <w:pPr>
            <w:pStyle w:val="16"/>
            <w:tabs>
              <w:tab w:val="right" w:leader="dot" w:pos="9019"/>
            </w:tabs>
          </w:pPr>
          <w:r>
            <w:fldChar w:fldCharType="begin"/>
          </w:r>
          <w:r>
            <w:instrText xml:space="preserve"> HYPERLINK \l "_Toc236840859" </w:instrText>
          </w:r>
          <w:r>
            <w:fldChar w:fldCharType="separate"/>
          </w:r>
          <w:r>
            <w:rPr>
              <w:rStyle w:val="12"/>
            </w:rPr>
            <w:t>3d. Enhance Psychological Safety and Speak-up Environment</w:t>
          </w:r>
          <w:r>
            <w:tab/>
          </w:r>
          <w:r>
            <w:fldChar w:fldCharType="begin"/>
          </w:r>
          <w:r>
            <w:instrText xml:space="preserve"> PAGEREF _Toc236840859 \h </w:instrText>
          </w:r>
          <w:r>
            <w:fldChar w:fldCharType="separate"/>
          </w:r>
          <w:r>
            <w:t>18</w:t>
          </w:r>
          <w:r>
            <w:fldChar w:fldCharType="end"/>
          </w:r>
          <w:r>
            <w:fldChar w:fldCharType="end"/>
          </w:r>
        </w:p>
        <w:p w14:paraId="236A30C1">
          <w:pPr>
            <w:pStyle w:val="16"/>
            <w:tabs>
              <w:tab w:val="right" w:leader="dot" w:pos="9019"/>
            </w:tabs>
          </w:pPr>
          <w:r>
            <w:fldChar w:fldCharType="begin"/>
          </w:r>
          <w:r>
            <w:instrText xml:space="preserve"> HYPERLINK \l "_Toc236840860" </w:instrText>
          </w:r>
          <w:r>
            <w:fldChar w:fldCharType="separate"/>
          </w:r>
          <w:r>
            <w:rPr>
              <w:rStyle w:val="12"/>
            </w:rPr>
            <w:t>3e. Create Systematic Safety Audit and Learning Systems</w:t>
          </w:r>
          <w:r>
            <w:tab/>
          </w:r>
          <w:r>
            <w:fldChar w:fldCharType="begin"/>
          </w:r>
          <w:r>
            <w:instrText xml:space="preserve"> PAGEREF _Toc236840860 \h </w:instrText>
          </w:r>
          <w:r>
            <w:fldChar w:fldCharType="separate"/>
          </w:r>
          <w:r>
            <w:t>19</w:t>
          </w:r>
          <w:r>
            <w:fldChar w:fldCharType="end"/>
          </w:r>
          <w:r>
            <w:fldChar w:fldCharType="end"/>
          </w:r>
        </w:p>
        <w:p w14:paraId="7DC1CB30">
          <w:pPr>
            <w:pStyle w:val="15"/>
            <w:tabs>
              <w:tab w:val="right" w:leader="dot" w:pos="9019"/>
            </w:tabs>
          </w:pPr>
          <w:r>
            <w:fldChar w:fldCharType="begin"/>
          </w:r>
          <w:r>
            <w:instrText xml:space="preserve"> HYPERLINK \l "_Toc236840861" </w:instrText>
          </w:r>
          <w:r>
            <w:fldChar w:fldCharType="separate"/>
          </w:r>
          <w:r>
            <w:rPr>
              <w:rStyle w:val="12"/>
            </w:rPr>
            <w:t>4. Conclusion</w:t>
          </w:r>
          <w:r>
            <w:tab/>
          </w:r>
          <w:r>
            <w:fldChar w:fldCharType="begin"/>
          </w:r>
          <w:r>
            <w:instrText xml:space="preserve"> PAGEREF _Toc236840861 \h </w:instrText>
          </w:r>
          <w:r>
            <w:fldChar w:fldCharType="separate"/>
          </w:r>
          <w:r>
            <w:t>19</w:t>
          </w:r>
          <w:r>
            <w:fldChar w:fldCharType="end"/>
          </w:r>
          <w:r>
            <w:fldChar w:fldCharType="end"/>
          </w:r>
        </w:p>
        <w:p w14:paraId="1FB51939">
          <w:pPr>
            <w:pStyle w:val="15"/>
            <w:tabs>
              <w:tab w:val="right" w:leader="dot" w:pos="9019"/>
            </w:tabs>
          </w:pPr>
          <w:r>
            <w:fldChar w:fldCharType="begin"/>
          </w:r>
          <w:r>
            <w:instrText xml:space="preserve"> HYPERLINK \l "_Toc236840862" </w:instrText>
          </w:r>
          <w:r>
            <w:fldChar w:fldCharType="separate"/>
          </w:r>
          <w:r>
            <w:rPr>
              <w:rStyle w:val="12"/>
            </w:rPr>
            <w:t>References</w:t>
          </w:r>
          <w:r>
            <w:tab/>
          </w:r>
          <w:r>
            <w:fldChar w:fldCharType="begin"/>
          </w:r>
          <w:r>
            <w:instrText xml:space="preserve"> PAGEREF _Toc236840862 \h </w:instrText>
          </w:r>
          <w:r>
            <w:fldChar w:fldCharType="separate"/>
          </w:r>
          <w:r>
            <w:t>20</w:t>
          </w:r>
          <w:r>
            <w:fldChar w:fldCharType="end"/>
          </w:r>
          <w:r>
            <w:fldChar w:fldCharType="end"/>
          </w:r>
        </w:p>
        <w:p w14:paraId="7A9926D1">
          <w:r>
            <w:rPr>
              <w:b/>
              <w:bCs/>
            </w:rPr>
            <w:fldChar w:fldCharType="end"/>
          </w:r>
        </w:p>
      </w:sdtContent>
    </w:sdt>
    <w:p w14:paraId="326F4737">
      <w:pPr>
        <w:rPr>
          <w:b/>
          <w:bCs/>
        </w:rPr>
      </w:pPr>
      <w:r>
        <w:br w:type="page"/>
      </w:r>
    </w:p>
    <w:p w14:paraId="55398B49">
      <w:pPr>
        <w:pStyle w:val="2"/>
      </w:pPr>
      <w:bookmarkStart w:id="1" w:name="_Toc236840832"/>
      <w:r>
        <w:t>1. Introduction</w:t>
      </w:r>
      <w:bookmarkEnd w:id="1"/>
      <w:r>
        <w:t xml:space="preserve"> </w:t>
      </w:r>
    </w:p>
    <w:p w14:paraId="1E17661B">
      <w:r>
        <w:t>Patient safety is one of the key features of high-quality healthcare and an important concern worldwide as preventable medical errors still affect millions of people each year. According to WHO (2024), about 1 in 10 patients suffer from injuries during their hospitalisation, and nearly half of those cases are preventable. Considering the scale of the problem, WHO Global Patient Safety Action Plan 2021-2030 develops the global strategy for addressing avoidable harm by means of effective leadership, governance, organisational learning and safer care delivery systems (WHO, 2021). In England, harm related to the use of medications is currently one of the biggest patient safety issues, thus, calling for good leadership which focuses not only on personal performance but also on communication and quality improvement (WHO, 2024).</w:t>
      </w:r>
    </w:p>
    <w:p w14:paraId="0817D116">
      <w:pPr>
        <w:jc w:val="center"/>
      </w:pPr>
      <w:r>
        <w:drawing>
          <wp:inline distT="114300" distB="114300" distL="114300" distR="114300">
            <wp:extent cx="5734050" cy="250698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8"/>
                    <a:srcRect t="21421"/>
                    <a:stretch>
                      <a:fillRect/>
                    </a:stretch>
                  </pic:blipFill>
                  <pic:spPr>
                    <a:xfrm>
                      <a:off x="0" y="0"/>
                      <a:ext cx="5734050" cy="2507369"/>
                    </a:xfrm>
                    <a:prstGeom prst="rect">
                      <a:avLst/>
                    </a:prstGeom>
                    <a:ln w="25400">
                      <a:solidFill>
                        <a:srgbClr val="000000"/>
                      </a:solidFill>
                      <a:prstDash val="solid"/>
                    </a:ln>
                  </pic:spPr>
                </pic:pic>
              </a:graphicData>
            </a:graphic>
          </wp:inline>
        </w:drawing>
      </w:r>
    </w:p>
    <w:p w14:paraId="009FFD93">
      <w:pPr>
        <w:jc w:val="center"/>
        <w:rPr>
          <w:b/>
          <w:bCs/>
        </w:rPr>
      </w:pPr>
      <w:r>
        <w:rPr>
          <w:b/>
          <w:bCs/>
        </w:rPr>
        <w:t xml:space="preserve">Figure 1. WHO Global Patient Safety Action Plan / Patient Safety Framework </w:t>
      </w:r>
    </w:p>
    <w:p w14:paraId="0C8C6DAC">
      <w:pPr>
        <w:jc w:val="center"/>
        <w:rPr>
          <w:b/>
          <w:bCs/>
        </w:rPr>
      </w:pPr>
      <w:r>
        <w:t>(Source:</w:t>
      </w:r>
      <w:r>
        <w:rPr>
          <w:b/>
          <w:bCs/>
        </w:rPr>
        <w:t xml:space="preserve"> </w:t>
      </w:r>
      <w:r>
        <w:t>WHO, 2024)</w:t>
      </w:r>
    </w:p>
    <w:p w14:paraId="22F707E9">
      <w:r>
        <w:t>Leadership in healthcare is the process of influencing individuals and multidisciplinary teams towards reaching common organisational goals by providing quality care and ensuring patient safety. Good leadership is about much more than just managing people and entails building a culture of collaboration and continuous learning and improvement (Grint, 2024). Centralisation and decentralisation of healthcare facilities are about making decisions either by senior personnel in organisational hierarchy or by frontline practitioners in order to ensure effective clinical decision-making on the ground (Northouse and Lee, 2025). Balancing the two is necessary in order to maintain accountability and effectiveness of decision-making in a constantly changing clinical environment.</w:t>
      </w:r>
    </w:p>
    <w:p w14:paraId="0E9DD584">
      <w:r>
        <w:t>This report provides a critical assessment of Case Study 2 published by the Health Services Safety Investigations Body (HSSIB, 2025) that concerns the case of Patient X, who stopped receiving his regularly prescribed anticoagulant therapy (apixaban) for 10 days prior to some treatment procedure and was not prescribed the drug after that, thus suffering from a stroke and dying. Instead of analysing the incident in the framework of individual error, the report uses systems thinking approach to consider the organisational, leadership, and governance factors. This section critically analyses centralisation and decentralisation along with Great Man, Trait, Behavioral, Situational/Contingency, Tannenbaum and Schmidt Continuum and Transformational Leadership theories. Finally, evidence-based suggestions will be given that would help improve patient safety culture, leadership effectiveness and organisational learning in healthcare organisations.</w:t>
      </w:r>
    </w:p>
    <w:p w14:paraId="2707F6E4">
      <w:pPr>
        <w:pStyle w:val="2"/>
      </w:pPr>
      <w:bookmarkStart w:id="2" w:name="_3yn5ujihhnlt" w:colFirst="0" w:colLast="0"/>
      <w:bookmarkEnd w:id="2"/>
      <w:bookmarkStart w:id="3" w:name="_Toc236840833"/>
      <w:r>
        <w:t>2. Main Body</w:t>
      </w:r>
      <w:bookmarkEnd w:id="3"/>
    </w:p>
    <w:p w14:paraId="5F9443A3">
      <w:pPr>
        <w:pStyle w:val="2"/>
      </w:pPr>
      <w:bookmarkStart w:id="4" w:name="_sti5dpovsb8e" w:colFirst="0" w:colLast="0"/>
      <w:bookmarkEnd w:id="4"/>
      <w:bookmarkStart w:id="5" w:name="_Toc236840834"/>
      <w:r>
        <w:t>2a. Determining the Problem Using Systems Thinking</w:t>
      </w:r>
      <w:bookmarkEnd w:id="5"/>
      <w:r>
        <w:t xml:space="preserve"> </w:t>
      </w:r>
    </w:p>
    <w:p w14:paraId="5A9333CF">
      <w:pPr>
        <w:pStyle w:val="4"/>
        <w:keepNext w:val="0"/>
        <w:keepLines w:val="0"/>
      </w:pPr>
      <w:bookmarkStart w:id="6" w:name="_y0omzytqpin5" w:colFirst="0" w:colLast="0"/>
      <w:bookmarkEnd w:id="6"/>
      <w:bookmarkStart w:id="7" w:name="_Toc236840835"/>
      <w:r>
        <w:t>2a.1 Description of the Core Patient Safety Problem</w:t>
      </w:r>
      <w:bookmarkEnd w:id="7"/>
    </w:p>
    <w:p w14:paraId="4F6FFDF5">
      <w:r>
        <w:t xml:space="preserve">Patient safety event involving Patient X presents an example of adverse events in healthcare often emerging as a result of multiple organisational errors rather than individual human errors. According to the Health Services Safety Investigations Body (HSSIB, 2025), Patient X, an 87-year-old male who received apixaban to prevent stroke, was admitted to the hospital with breathing difficulties and frequent nosebleeds. The anticoagulation therapy of Patient X was stopped due to the bleeding and the necessity of performing a procedure on him. Nevertheless, repeated procedure delays led to the suspension of the treatment for 10 days. After that the anticoagulant was not restarted as expected. Two days after the procedure Patient X had a stroke which caused his death (HSSIB, 2025). Even though the direct result seems to be a failure to administer medications to a patient, the incident was found to have occurred due to organisational, technical, and communication problems, as opposed to being a result of the negligence of a single doctor. According to systems thinking, patient safety incidents arise from a number of processes that interact among people, technology, and organisational structures in the complex healthcare environment (Salmon </w:t>
      </w:r>
      <w:r>
        <w:rPr>
          <w:i/>
          <w:iCs/>
        </w:rPr>
        <w:t>et al.</w:t>
      </w:r>
      <w:r>
        <w:t>, 2022). This is in line with the recommendations of the WHO Global Patient Safety Report (2024), which states that better patient safety cannot be achieved unless the whole healthcare system is improved.</w:t>
      </w:r>
    </w:p>
    <w:p w14:paraId="78E1A753">
      <w:pPr>
        <w:pStyle w:val="4"/>
        <w:spacing w:before="0" w:after="200"/>
      </w:pPr>
      <w:bookmarkStart w:id="8" w:name="_ue7apuw5klns" w:colFirst="0" w:colLast="0"/>
      <w:bookmarkEnd w:id="8"/>
      <w:bookmarkStart w:id="9" w:name="_Toc236840836"/>
      <w:r>
        <w:t>2a.2 Evidence of Patient Safety Problem Globally and Nationally</w:t>
      </w:r>
      <w:bookmarkEnd w:id="9"/>
      <w:r>
        <w:t xml:space="preserve"> </w:t>
      </w:r>
    </w:p>
    <w:p w14:paraId="7C6DFDEB">
      <w:r>
        <w:rPr>
          <w:b/>
          <w:bCs/>
        </w:rPr>
        <w:t>Table 1: National and International Data Supporting the Problem Analysis</w:t>
      </w:r>
      <w:r>
        <w:t xml:space="preserve"> </w:t>
      </w:r>
    </w:p>
    <w:tbl>
      <w:tblPr>
        <w:tblStyle w:val="19"/>
        <w:tblW w:w="902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50"/>
        <w:gridCol w:w="4056"/>
        <w:gridCol w:w="3119"/>
      </w:tblGrid>
      <w:tr w14:paraId="606AC29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6D3A0CC">
            <w:pPr>
              <w:jc w:val="center"/>
            </w:pPr>
            <w:r>
              <w:rPr>
                <w:b/>
                <w:bCs/>
              </w:rPr>
              <w:t>Source</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C18B1FF">
            <w:pPr>
              <w:jc w:val="center"/>
            </w:pPr>
            <w:r>
              <w:rPr>
                <w:b/>
                <w:bCs/>
              </w:rPr>
              <w:t>Statistic</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C62840B">
            <w:pPr>
              <w:jc w:val="center"/>
            </w:pPr>
            <w:r>
              <w:rPr>
                <w:b/>
                <w:bCs/>
              </w:rPr>
              <w:t>Relevance to Patient X Case</w:t>
            </w:r>
          </w:p>
        </w:tc>
      </w:tr>
      <w:tr w14:paraId="087CD0F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8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A5D4623">
            <w:r>
              <w:rPr>
                <w:b/>
                <w:bCs/>
              </w:rPr>
              <w:t>World Health Organization (2024)</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64FFC32">
            <w:r>
              <w:t>Approximately 1 in 10 patients worldwide experience harm while receiving hospital care, and nearly 50% of these incidents are preventable.</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AEBE52A">
            <w:r>
              <w:t>Demonstrates that preventable patient harm is a global challenge requiring strong leadership and effective safety systems.</w:t>
            </w:r>
          </w:p>
        </w:tc>
      </w:tr>
      <w:tr w14:paraId="6C9E61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8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F3D2D04">
            <w:r>
              <w:rPr>
                <w:b/>
                <w:bCs/>
              </w:rPr>
              <w:t>World Health Organization (2021)</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EA74325">
            <w:r>
              <w:t>The Global Patient Safety Action Plan 2021–2030 identifies medication safety, leadership, learning systems and patient engagement as global priorities for reducing avoidable harm.</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55ACDD3">
            <w:r>
              <w:t>Highlights the importance of system-wide leadership and governance rather than focusing solely on individual performance.</w:t>
            </w:r>
          </w:p>
        </w:tc>
      </w:tr>
      <w:tr w14:paraId="07825B0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1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05BB866">
            <w:r>
              <w:rPr>
                <w:b/>
                <w:bCs/>
              </w:rPr>
              <w:t>NHS England</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57BE434">
            <w:r>
              <w:t>Approximately 237 million medication errors occur annually in England, with around 66 million considered potentially clinically significant.</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FF5A25F">
            <w:r>
              <w:t>Demonstrates the scale of medication-related risks within the NHS and the need for robust organisational systems.</w:t>
            </w:r>
          </w:p>
        </w:tc>
      </w:tr>
      <w:tr w14:paraId="29AA8AB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8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97B4F50">
            <w:r>
              <w:rPr>
                <w:b/>
                <w:bCs/>
              </w:rPr>
              <w:t>Elliott et al. (2021)</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3DF0DCA">
            <w:r>
              <w:t>Medication-related adverse events contribute to approximately 1,708 definitely avoidable deaths annually in England, with substantially higher estimates under worst-case assumptions.</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68D1C4B">
            <w:r>
              <w:t>Illustrates the serious consequences of failures in medication management, including anticoagulant-related incidents.</w:t>
            </w:r>
          </w:p>
        </w:tc>
      </w:tr>
      <w:tr w14:paraId="0D76185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580" w:hRule="atLeast"/>
        </w:trPr>
        <w:tc>
          <w:tcPr>
            <w:tcW w:w="185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6EC1E8A">
            <w:r>
              <w:rPr>
                <w:b/>
                <w:bCs/>
              </w:rPr>
              <w:t>HSSIB (2025)</w:t>
            </w:r>
          </w:p>
        </w:tc>
        <w:tc>
          <w:tcPr>
            <w:tcW w:w="405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1ED5627">
            <w:r>
              <w:t>Patient X's anticoagulant (apixaban) was withheld for 10 days, was not restarted after the procedure, and the patient experienced a stroke two days later before subsequently dying.</w:t>
            </w:r>
          </w:p>
        </w:tc>
        <w:tc>
          <w:tcPr>
            <w:tcW w:w="3119"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B2128FA">
            <w:r>
              <w:t>Demonstrates how multiple system failures can combine to produce catastrophic patient outcomes.</w:t>
            </w:r>
          </w:p>
        </w:tc>
      </w:tr>
    </w:tbl>
    <w:p w14:paraId="74C822E9"/>
    <w:p w14:paraId="07EE07D7">
      <w:r>
        <w:t>This case of Patient X is part of the broader issue of patient safety around the world instead of being a problem for the NHS alone. According to the World Health Organization (WHO, 2024), about 1 in 10 patients are harmed during their stay in the hospital, where almost 50% of these incidences of harm can be avoided with better systems, better clinical practices and good organisational leadership. Medication errors have become one of the key sources of preventable patient harm as they commonly suffer from communication gaps, delayed decisions, poor monitoring and clinical coordination. Taking these issues into account, the WHO Global Patient Safety Action Plan 2021-2030 has set leadership, patient safety culture, governance, incident learning and systems thinking as the key elements of improving health-care delivery around the world (WHO, 2021). Unlike other action plans, the WHO's plan does not try to promote personal responsibility but emphasises the importance of safety systems capable of identifying and avoiding clinical risk before patient harm occurs. Thus, the Patient X example clearly shows that medication safety can be considered only from the perspective of organisational processes because patient safety is influenced by leadership, communication and governance within the organisation (Care Quality Commission, 2023).</w:t>
      </w:r>
    </w:p>
    <w:p w14:paraId="58B75184">
      <w:r>
        <w:t xml:space="preserve">The Patient X case study also highlights some of the major medication safety issues that exist in the United Kingdom. According to Elliott </w:t>
      </w:r>
      <w:r>
        <w:rPr>
          <w:i/>
          <w:iCs/>
        </w:rPr>
        <w:t>et al</w:t>
      </w:r>
      <w:r>
        <w:t xml:space="preserve">. (2021), there were roughly 237 million medication errors per year in England, with 66 million of those considered to be potentially clinically significant since they are capable of harming patients. Moreover, medication-related adverse events lead to 1,708 deaths that could have been prevented. These figures are even higher when the most negative scenarios are taken into account (Elliott </w:t>
      </w:r>
      <w:r>
        <w:rPr>
          <w:i/>
          <w:iCs/>
        </w:rPr>
        <w:t>et al.,</w:t>
      </w:r>
      <w:r>
        <w:t xml:space="preserve"> 2021). </w:t>
      </w:r>
    </w:p>
    <w:p w14:paraId="169D1D45">
      <w:r>
        <w:t>The anticoagulants, like apixaban, are always considered hazardous drugs due to the fact that an interruption of their therapy, even a delayed administration or improper dosage of such drugs may quickly cause serious complications, for example, a stroke or significant haemorrhage (NHS England, 2024). HSSIB (2025) identified that the stroke suffered by Patient X did not occur because of the right decision to stop the use of anticoagulant drugs; it occurred due to the inability of healthcare professionals to reconsider the use of the drug again after the delays and intervention. Therefore, it can be concluded that the safe use of medication requires not only the clinical decision-making, but also organisational systems in place.</w:t>
      </w:r>
    </w:p>
    <w:p w14:paraId="7057248D">
      <w:pPr>
        <w:pStyle w:val="4"/>
      </w:pPr>
      <w:bookmarkStart w:id="10" w:name="_x6kphwgc8ahn" w:colFirst="0" w:colLast="0"/>
      <w:bookmarkEnd w:id="10"/>
      <w:bookmarkStart w:id="11" w:name="_Toc236840837"/>
      <w:r>
        <w:t>2a.3 System Weaknesses Identified through Systems Thinking</w:t>
      </w:r>
      <w:bookmarkEnd w:id="11"/>
      <w:r>
        <w:t xml:space="preserve"> </w:t>
      </w:r>
    </w:p>
    <w:p w14:paraId="72BEBC69">
      <w:r>
        <w:t xml:space="preserve">There are various interconnected system vulnerabilities which led to a negative result in the Patient X case. The incident did not arise from the error of an individual clinician but rather from system issues in relation to communication, monitoring, governance, and technology in the healthcare system (Salmon </w:t>
      </w:r>
      <w:r>
        <w:rPr>
          <w:i/>
          <w:iCs/>
        </w:rPr>
        <w:t>et al.,</w:t>
      </w:r>
      <w:r>
        <w:t xml:space="preserve"> 2022). Firstly, one of the system vulnerabilities was inadequate communication among multidisciplinary teams. Since Patient X went through different parts of the hospital, the issue regarding the review and restarting of apixaban remained unclear, causing a long gap in anticoagulation treatment (HSSIB, 2025). According to Challinor </w:t>
      </w:r>
      <w:r>
        <w:rPr>
          <w:i/>
          <w:iCs/>
        </w:rPr>
        <w:t>et al</w:t>
      </w:r>
      <w:r>
        <w:t>. (2025), fragmented communication within complex healthcare systems is likely to lead to a lack of coordination and cause preventable harm to patients.</w:t>
      </w:r>
    </w:p>
    <w:p w14:paraId="7E3A92E2">
      <w:r>
        <w:t>Secondly, another issue was the inadequate monitoring and review of medication. Although the suspension of apixaban was appropriate at first, it was not followed by any medication review or risk reassessment during the ten days of waiting until the procedure. Moreover, constraints in the ePMA process meant there were no automated alerts reminding doctors and nurses to review and restart anticoagulation. Such inadequacies revealed gaps in organisational accountability and leadership control, where no one person or unit had clear responsibility for medication management. Hence, the combination of communication inadequacies, insufficient monitoring, ineffective governance and limited computerised decision support led to a situation where harm was allowed to happen (Salmon et al., 2022).</w:t>
      </w:r>
    </w:p>
    <w:p w14:paraId="233A54D3">
      <w:pPr>
        <w:pStyle w:val="4"/>
      </w:pPr>
      <w:bookmarkStart w:id="12" w:name="_a8yclb1bfiux" w:colFirst="0" w:colLast="0"/>
      <w:bookmarkEnd w:id="12"/>
      <w:bookmarkStart w:id="13" w:name="_Toc236840838"/>
      <w:r>
        <w:t>2a.4 Rich Picture Analysis of the Patient X Case</w:t>
      </w:r>
      <w:bookmarkEnd w:id="13"/>
    </w:p>
    <w:p w14:paraId="20205B43">
      <w:pPr>
        <w:jc w:val="center"/>
      </w:pPr>
      <w:r>
        <w:drawing>
          <wp:inline distT="114300" distB="114300" distL="114300" distR="114300">
            <wp:extent cx="5734050" cy="351599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9"/>
                    <a:srcRect t="4280" b="3699"/>
                    <a:stretch>
                      <a:fillRect/>
                    </a:stretch>
                  </pic:blipFill>
                  <pic:spPr>
                    <a:xfrm>
                      <a:off x="0" y="0"/>
                      <a:ext cx="5734050" cy="3516263"/>
                    </a:xfrm>
                    <a:prstGeom prst="rect">
                      <a:avLst/>
                    </a:prstGeom>
                    <a:ln w="25400">
                      <a:solidFill>
                        <a:srgbClr val="000000"/>
                      </a:solidFill>
                      <a:prstDash val="solid"/>
                    </a:ln>
                  </pic:spPr>
                </pic:pic>
              </a:graphicData>
            </a:graphic>
          </wp:inline>
        </w:drawing>
      </w:r>
    </w:p>
    <w:p w14:paraId="6B54E676">
      <w:pPr>
        <w:jc w:val="center"/>
        <w:rPr>
          <w:b/>
          <w:bCs/>
        </w:rPr>
      </w:pPr>
      <w:r>
        <w:rPr>
          <w:b/>
          <w:bCs/>
        </w:rPr>
        <w:t>Figure 2. Rich Picture of the Patient X Medication Safety Incident</w:t>
      </w:r>
    </w:p>
    <w:p w14:paraId="54A21A31">
      <w:pPr>
        <w:jc w:val="center"/>
      </w:pPr>
      <w:r>
        <w:t>(Source: Self-Developed)</w:t>
      </w:r>
    </w:p>
    <w:p w14:paraId="7ABC0B2F">
      <w:r>
        <w:t xml:space="preserve">Rich pictures show how different components of the healthcare system work together to contribute to an adverse event. Systems thinking theory shows that adverse events are caused by interactions between various entities in the health system such as people, process, technology and organisations instead of single clinical mistakes (Salmon </w:t>
      </w:r>
      <w:r>
        <w:rPr>
          <w:i/>
          <w:iCs/>
        </w:rPr>
        <w:t xml:space="preserve">et al., </w:t>
      </w:r>
      <w:r>
        <w:t>2022). In the case of patient X, the critical people involved include doctors, nurses, pharmacists, procedure teams, patient X and his family members. The major processes included medication reconciliation, anticoagulant management, scheduling of procedures and reviewing after procedures. However, these processes were not well connected, allowing apixaban to be suspended without review (HSSIB, 2025).</w:t>
      </w:r>
    </w:p>
    <w:p w14:paraId="0978E618">
      <w:r>
        <w:t xml:space="preserve">Loops of weak feedback, such as inadequate drug review, poor communication and lack of electronic prompts, hindered timely interventions. Organisational structures existing within the system such as hospital governance framework and ePMA did not facilitate good clinical decision making amid the procedural delay. Moreover, there was an emotional pressure, such as uncertain staff, vulnerable patients and worried families, complicating multidisciplinary communication. As indicated by Table 2 below, this combination of interrelated variables indicates that the cause of Patient X’s death was an interaction between weaknesses in organisational and technological systems, and not negligence on the part of any individual (Challinor </w:t>
      </w:r>
      <w:r>
        <w:rPr>
          <w:i/>
          <w:iCs/>
        </w:rPr>
        <w:t>et al.</w:t>
      </w:r>
      <w:r>
        <w:t>, 2025).</w:t>
      </w:r>
    </w:p>
    <w:p w14:paraId="5B465486">
      <w:pPr>
        <w:spacing w:before="240" w:after="240"/>
        <w:rPr>
          <w:b/>
          <w:bCs/>
        </w:rPr>
      </w:pPr>
      <w:r>
        <w:rPr>
          <w:b/>
          <w:bCs/>
        </w:rPr>
        <w:t>Table 2: Rich Picture Elements of the Patient X Case</w:t>
      </w:r>
    </w:p>
    <w:tbl>
      <w:tblPr>
        <w:tblStyle w:val="20"/>
        <w:tblW w:w="902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987"/>
        <w:gridCol w:w="7038"/>
      </w:tblGrid>
      <w:tr w14:paraId="7203F7E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0C8CFB9">
            <w:pPr>
              <w:jc w:val="center"/>
            </w:pPr>
            <w:r>
              <w:rPr>
                <w:b/>
                <w:bCs/>
              </w:rPr>
              <w:t>Rich Picture Element</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E1CEBBC">
            <w:pPr>
              <w:jc w:val="center"/>
            </w:pPr>
            <w:r>
              <w:rPr>
                <w:b/>
                <w:bCs/>
              </w:rPr>
              <w:t>Application to Patient X Case</w:t>
            </w:r>
          </w:p>
        </w:tc>
      </w:tr>
      <w:tr w14:paraId="7FDF27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4BFCAA3">
            <w:r>
              <w:rPr>
                <w:b/>
                <w:bCs/>
              </w:rPr>
              <w:t>Actors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66EEBB0">
            <w:r>
              <w:t>Doctors, nurses, pharmacists, procedural team, Patient X, family</w:t>
            </w:r>
          </w:p>
        </w:tc>
      </w:tr>
      <w:tr w14:paraId="5DA0980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FC0C1A9">
            <w:r>
              <w:rPr>
                <w:b/>
                <w:bCs/>
              </w:rPr>
              <w:t>Processes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1BA61A6">
            <w:r>
              <w:t>Admission, medication review, anticoagulant suspension, procedure scheduling, restarting medication</w:t>
            </w:r>
          </w:p>
        </w:tc>
      </w:tr>
      <w:tr w14:paraId="608389E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380DFB0">
            <w:r>
              <w:rPr>
                <w:b/>
                <w:bCs/>
              </w:rPr>
              <w:t>Feedback Loops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FC08493">
            <w:r>
              <w:t>Medication reviews, multidisciplinary communication, incident reporting, clinical audits</w:t>
            </w:r>
          </w:p>
        </w:tc>
      </w:tr>
      <w:tr w14:paraId="206CE99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4294CB0">
            <w:r>
              <w:rPr>
                <w:b/>
                <w:bCs/>
              </w:rPr>
              <w:t>Structures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32B280E">
            <w:r>
              <w:t>Hospital governance, leadership hierarchy, medication policies, ePMA and electronic patient records</w:t>
            </w:r>
          </w:p>
        </w:tc>
      </w:tr>
      <w:tr w14:paraId="6D3F6EE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13DF898">
            <w:r>
              <w:rPr>
                <w:b/>
                <w:bCs/>
              </w:rPr>
              <w:t>Emotions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072C141">
            <w:r>
              <w:t>Patient vulnerability, family anxiety, staff uncertainty and workload</w:t>
            </w:r>
          </w:p>
        </w:tc>
      </w:tr>
      <w:tr w14:paraId="12494BF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70" w:hRule="atLeast"/>
        </w:trPr>
        <w:tc>
          <w:tcPr>
            <w:tcW w:w="198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83FA149">
            <w:r>
              <w:rPr>
                <w:b/>
                <w:bCs/>
              </w:rPr>
              <w:t>IT Systems</w:t>
            </w:r>
          </w:p>
        </w:tc>
        <w:tc>
          <w:tcPr>
            <w:tcW w:w="7038"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F5FC804">
            <w:r>
              <w:t>Electronic prescribing and medicines administration (ePMA), electronic patient records</w:t>
            </w:r>
          </w:p>
        </w:tc>
      </w:tr>
    </w:tbl>
    <w:p w14:paraId="3D03B02A"/>
    <w:p w14:paraId="5B479274">
      <w:pPr>
        <w:pStyle w:val="3"/>
        <w:keepNext w:val="0"/>
        <w:keepLines w:val="0"/>
        <w:spacing w:before="360" w:after="80"/>
      </w:pPr>
      <w:bookmarkStart w:id="14" w:name="_5pgya5br29r4" w:colFirst="0" w:colLast="0"/>
      <w:bookmarkEnd w:id="14"/>
      <w:bookmarkStart w:id="15" w:name="_Toc236840839"/>
      <w:r>
        <w:t>2b. Centralisation vs. Decentralisation</w:t>
      </w:r>
      <w:bookmarkEnd w:id="15"/>
    </w:p>
    <w:p w14:paraId="05BEA47D">
      <w:pPr>
        <w:pStyle w:val="4"/>
      </w:pPr>
      <w:bookmarkStart w:id="16" w:name="_8n4nu5k184jg" w:colFirst="0" w:colLast="0"/>
      <w:bookmarkEnd w:id="16"/>
      <w:bookmarkStart w:id="17" w:name="_Toc236840840"/>
      <w:r>
        <w:t>2b.1 Understanding Centralisation and Decentralisation in Healthcare Leadership</w:t>
      </w:r>
      <w:bookmarkEnd w:id="17"/>
    </w:p>
    <w:p w14:paraId="53E81E19">
      <w:r>
        <w:t>Centralisation and decentralisation are two forms of governance that complement each other in terms of health care. Centralisation involves decision-making and policy development at the national or organisational leadership levels to provide consistency, regulation and standard practices in healthcare (Grint, 2024). Centralisation includes such policies as national safety standards for medications, e-prescribing policies and patient safety frameworks provided by NHS England (2022). On the contrary, decentralisation involves delegating the decision-making power to the front-line clinicians and multi-disciplinary team to customise care to patients' needs but to be responsible for clinical decisions as well (Brown and Hale, 2022). Both of these forms are required in order to have a functional healthcare system. National leadership provides safety standards, whereas the local one ensures that standards are applied continuously and consistently by monitoring, communicating and making clinical decisions in time. According to Grint (2024), the leader is a person who coordinates people and systems to get safe organisational results.</w:t>
      </w:r>
    </w:p>
    <w:p w14:paraId="1D4E5E73">
      <w:pPr>
        <w:pStyle w:val="4"/>
      </w:pPr>
      <w:bookmarkStart w:id="18" w:name="_ev45w7sjd3cz" w:colFirst="0" w:colLast="0"/>
      <w:bookmarkEnd w:id="18"/>
      <w:bookmarkStart w:id="19" w:name="_Toc236840841"/>
      <w:r>
        <w:t>2b.2 Centralisation Failures in the Patient X Case</w:t>
      </w:r>
      <w:bookmarkEnd w:id="19"/>
      <w:r>
        <w:t xml:space="preserve"> </w:t>
      </w:r>
    </w:p>
    <w:p w14:paraId="4D06B9F1">
      <w:r>
        <w:t>The case of Patient X illustrates the ineffectiveness of national patient safety policies in preventing adverse events when the methods of implementation are not efficient. According to the WHO Global Patient Safety Action Plan 2021-2030, medication safety and systems thinking and organisational learning are among global priorities, while the NHS Patient Safety Incident Response Framework (PSIRF) encourages learning from adverse patient events and not placing responsibility on individuals (WHO, 2021). However, according to HSSIB (2025), the ePMA system failed to offer automated reminders for reviewing and restarting apixaban following prolonged interruption. As a result, the drug was stopped for 10 days although the patient's risk of stroke kept rising. Moreover, there might be difficulties in implementation due to the national workforce challenges. The issue of medication safety offers an excellent example of this problem. According to Online CPD Academy (2026), around 237 million medication mistakes take place each year in England. Moreover, according to the NHS Long Term Workforce Plan, the NHS already uses about 1.6 million employees; however, the vacancy pressure is about 8% (NHS England, 2023). This pressure can lead to low adherence to national safety procedures.</w:t>
      </w:r>
    </w:p>
    <w:p w14:paraId="09ADDA2A">
      <w:pPr>
        <w:jc w:val="center"/>
      </w:pPr>
      <w:r>
        <w:drawing>
          <wp:inline distT="114300" distB="114300" distL="114300" distR="114300">
            <wp:extent cx="5730875" cy="4292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0"/>
                    <a:srcRect/>
                    <a:stretch>
                      <a:fillRect/>
                    </a:stretch>
                  </pic:blipFill>
                  <pic:spPr>
                    <a:xfrm>
                      <a:off x="0" y="0"/>
                      <a:ext cx="5731200" cy="4292600"/>
                    </a:xfrm>
                    <a:prstGeom prst="rect">
                      <a:avLst/>
                    </a:prstGeom>
                    <a:ln w="25400">
                      <a:solidFill>
                        <a:srgbClr val="000000"/>
                      </a:solidFill>
                      <a:prstDash val="solid"/>
                    </a:ln>
                  </pic:spPr>
                </pic:pic>
              </a:graphicData>
            </a:graphic>
          </wp:inline>
        </w:drawing>
      </w:r>
    </w:p>
    <w:p w14:paraId="77F9D9AC">
      <w:pPr>
        <w:jc w:val="center"/>
        <w:rPr>
          <w:b/>
          <w:bCs/>
        </w:rPr>
      </w:pPr>
      <w:r>
        <w:rPr>
          <w:b/>
          <w:bCs/>
        </w:rPr>
        <w:t xml:space="preserve">Figure 3. NHS patient safety improvement approaches </w:t>
      </w:r>
    </w:p>
    <w:p w14:paraId="582F6302">
      <w:pPr>
        <w:jc w:val="center"/>
        <w:rPr>
          <w:b/>
          <w:bCs/>
        </w:rPr>
      </w:pPr>
      <w:r>
        <w:rPr>
          <w:b/>
          <w:bCs/>
        </w:rPr>
        <w:t xml:space="preserve">(Source: </w:t>
      </w:r>
      <w:r>
        <w:t>NHS England, 2023)</w:t>
      </w:r>
    </w:p>
    <w:p w14:paraId="77D312B8">
      <w:pPr>
        <w:pStyle w:val="4"/>
      </w:pPr>
      <w:bookmarkStart w:id="20" w:name="_vay1ff31rnz" w:colFirst="0" w:colLast="0"/>
      <w:bookmarkEnd w:id="20"/>
      <w:bookmarkStart w:id="21" w:name="_Toc236840842"/>
      <w:r>
        <w:t>2b.3 Decentralisation Failures and Local Leadership</w:t>
      </w:r>
      <w:bookmarkEnd w:id="21"/>
      <w:r>
        <w:t xml:space="preserve"> </w:t>
      </w:r>
    </w:p>
    <w:p w14:paraId="3E9725FB">
      <w:r>
        <w:t>While national-level governance created the basis for medication safety, poor local leadership played a role in the worsening condition of Patient X. According to the report by HSSIB (2025), the lack of clarity regarding who will review and restart the anticoagulation therapy after the repeat delay had occurred, as well as poor multidisciplinary communication and escalation processes, were found to be major contributory factors in the patient's condition. No clinician took the responsibility of re-evaluating the patient's risk of stroke despite major changes in the clinical state. This demonstrates the problems of decentralised governance, when frontline autonomy is not accompanied by accountability and coordination of the leaders. The problems with leadership in decentralisation are proven by the results of the NHS Staff Survey of 2025. It has been revealed that only 58.1% of NHS staff will recommend working there, work-related stress reached 42.3%, and more than one-third of the staff have experienced burnout, which may affect communication and decision making as well as the patients' safety (NHS Employers, 2026). Effective leadership on the ward and clear escalation procedures would have helped to detect the prolonged interruption of apixaban therapy before any serious damage to the patient occurred.</w:t>
      </w:r>
    </w:p>
    <w:p w14:paraId="06811895">
      <w:pPr>
        <w:pStyle w:val="2"/>
      </w:pPr>
      <w:bookmarkStart w:id="22" w:name="_kx6o8l1ag5kt" w:colFirst="0" w:colLast="0"/>
      <w:bookmarkEnd w:id="22"/>
      <w:bookmarkStart w:id="23" w:name="_Toc236840843"/>
      <w:r>
        <w:t>2c. Leadership Theory Application</w:t>
      </w:r>
      <w:bookmarkEnd w:id="23"/>
      <w:r>
        <w:t xml:space="preserve"> </w:t>
      </w:r>
    </w:p>
    <w:p w14:paraId="2B40851A">
      <w:pPr>
        <w:pStyle w:val="3"/>
      </w:pPr>
      <w:bookmarkStart w:id="24" w:name="_ybfsb2ykgdh7" w:colFirst="0" w:colLast="0"/>
      <w:bookmarkEnd w:id="24"/>
      <w:bookmarkStart w:id="25" w:name="_Toc236840844"/>
      <w:r>
        <w:t>2c1. Great Man Theory: Limitations of Heroic and Reactive Leadership</w:t>
      </w:r>
      <w:bookmarkEnd w:id="25"/>
      <w:r>
        <w:t xml:space="preserve"> </w:t>
      </w:r>
    </w:p>
    <w:p w14:paraId="283E5B68">
      <w:r>
        <w:t>The case highlights the features of the classical “heroic leader” model, according to which the complexity of prescribing decisions was left to individual physicians who had to make judgement-based decisions concerning the anticoagulation treatment of Patient X.</w:t>
      </w:r>
    </w:p>
    <w:p w14:paraId="6358F066">
      <w:r>
        <w:t>According to the Great Man Theory, leadership is a function of extraordinary individuals who have the power, intelligence, and decision-making capabilities (Grint, 2024). The Great Man Theory is inappropriate in today's healthcare context because the safety of patients is a result of collaboration, shared responsibility and an efficient system rather than individual competence alone. As Northouse (2025) states, the use of heroic leadership can create vulnerabilities because failures happen when the system does not support the leaders. In the case of Patient X, it seems that the leadership was reactive but not proactive since there was no system put in place to restart apixaban administration following the procedure.</w:t>
      </w:r>
    </w:p>
    <w:p w14:paraId="1F1218E6">
      <w:pPr>
        <w:pStyle w:val="4"/>
      </w:pPr>
      <w:bookmarkStart w:id="26" w:name="_90sizuomd7h1" w:colFirst="0" w:colLast="0"/>
      <w:bookmarkEnd w:id="26"/>
      <w:bookmarkStart w:id="27" w:name="_Toc236840845"/>
      <w:r>
        <w:t>2c2. Trait Theory: Importance of Clinical Judgement and Emotional Intelligence</w:t>
      </w:r>
      <w:bookmarkEnd w:id="27"/>
      <w:r>
        <w:t xml:space="preserve"> </w:t>
      </w:r>
    </w:p>
    <w:p w14:paraId="32137E50">
      <w:r>
        <w:t>Trait Theory could be used through an examination of the leadership attributes needed of the clinicians responsible for making medication choices for Patient X. Good leaders had to have attributes of confidence, clinical reasoning, decisiveness and empathy in order to deal with the various risks inherent in the management of bleeding, stroke prevention and procedures.</w:t>
      </w:r>
    </w:p>
    <w:p w14:paraId="597E3D89">
      <w:r>
        <w:t xml:space="preserve">According to Trait Theory, effective leaders are those who have certain traits which enable them to lead others. For instance, in healthcare practice, certain traits are important since a delay or hesitation can result in harm to patients. As Bujud </w:t>
      </w:r>
      <w:r>
        <w:rPr>
          <w:i/>
          <w:iCs/>
        </w:rPr>
        <w:t>et al.</w:t>
      </w:r>
      <w:r>
        <w:t xml:space="preserve"> (2026) explain, emotionally intelligent leaders enhance safety in healthcare settings by appreciating staff’s anxieties, promoting teamwork and facilitating decision-making. Nevertheless, Trait Theory cannot account for the medication error since competent individuals can still work in an unsafe environment.</w:t>
      </w:r>
    </w:p>
    <w:p w14:paraId="6B129841">
      <w:pPr>
        <w:pStyle w:val="4"/>
      </w:pPr>
      <w:bookmarkStart w:id="28" w:name="_muikp7lt2yt0" w:colFirst="0" w:colLast="0"/>
      <w:bookmarkEnd w:id="28"/>
      <w:bookmarkStart w:id="29" w:name="_Toc236840846"/>
      <w:r>
        <w:t>2c3. Behavioural Theory: Balancing Task Performance and Relationship-Based Leadership</w:t>
      </w:r>
      <w:bookmarkEnd w:id="29"/>
      <w:r>
        <w:t xml:space="preserve"> </w:t>
      </w:r>
    </w:p>
    <w:p w14:paraId="26D68E89">
      <w:r>
        <w:t xml:space="preserve">The theory of Behavioural Theory is applicable as this particular situation demonstrates the need for leaders to manage both task-oriented and relationship-oriented behaviours, which include ensuring anticoagulation and coordination procedures and the communication between the three teams, the emergency team, the medical team and the procedural team. Prolonged discontinuation of apixaban is an indicator of poor coordination and communication (Peddie </w:t>
      </w:r>
      <w:r>
        <w:rPr>
          <w:i/>
          <w:iCs/>
        </w:rPr>
        <w:t>et al.</w:t>
      </w:r>
      <w:r>
        <w:t>, 2025).</w:t>
      </w:r>
    </w:p>
    <w:p w14:paraId="0058DA26">
      <w:r>
        <w:t xml:space="preserve">Behavioural leadership theory focuses on actions and activities of the leaders rather than their characteristics. A task-oriented leadership theory will help ensure that procedures are performed and guidelines are followed, but being too task oriented may result in poor communication. According to Dirik </w:t>
      </w:r>
      <w:r>
        <w:rPr>
          <w:i/>
          <w:iCs/>
        </w:rPr>
        <w:t>et al</w:t>
      </w:r>
      <w:r>
        <w:t xml:space="preserve">. (2026), leadership behaviours that are supportive help to create a culture of safety in hospitals as they encourage discussion and participation among employees. Enahoro </w:t>
      </w:r>
      <w:r>
        <w:rPr>
          <w:i/>
          <w:iCs/>
        </w:rPr>
        <w:t>et al.</w:t>
      </w:r>
      <w:r>
        <w:t xml:space="preserve"> (2024) also state that good healthcare leaders should promote teamwork and psychological safety. Regarding the case of patient X, more relationship-oriented leadership may have led the employees to question the necessity of anticoagulation after the delays in the procedures.</w:t>
      </w:r>
    </w:p>
    <w:p w14:paraId="00EF92C5">
      <w:pPr>
        <w:pStyle w:val="4"/>
      </w:pPr>
      <w:bookmarkStart w:id="30" w:name="_vxzgvblyhv0i" w:colFirst="0" w:colLast="0"/>
      <w:bookmarkEnd w:id="30"/>
      <w:bookmarkStart w:id="31" w:name="_Toc236840847"/>
      <w:r>
        <w:t>2c4. Situational Leadership: Adapting Leadership to Clinical Complexity and Risk</w:t>
      </w:r>
      <w:bookmarkEnd w:id="31"/>
    </w:p>
    <w:p w14:paraId="52B710A6">
      <w:r>
        <w:t>This concept is significant since Patient X’s condition altered during his stay in the hospital. The initial decision to suspend the use of apixaban was medically sound in view of the patient’s nose bleeds and procedural risks. It was when there was a delay of 10 days in the procedure that situational leadership was required where the risks of clot formation should have been reassessed.</w:t>
      </w:r>
    </w:p>
    <w:p w14:paraId="36F297AC">
      <w:r>
        <w:t>According to Situational Leadership, leaders should change their behavior and respond to situations in line with their followers’ skills and the external environment (Northouse, 2025). There are cases when a directive leadership style is acceptable in emergencies; however, in difficult situations, decision-making and reevaluation become imperative. From the HSSIB review of incidents involving medication harm, it becomes clear that such harm usually comes from interplay of both clinical and organisational issues and not simply due to one mistake. In this particular case, the leaders needed to understand that the situation changed from risk management of bleeding to risk management of stroke (The King’s Fund, 2024).</w:t>
      </w:r>
    </w:p>
    <w:p w14:paraId="18F7D2FE">
      <w:pPr>
        <w:pStyle w:val="4"/>
      </w:pPr>
      <w:bookmarkStart w:id="32" w:name="_atpz3r9mdo7a" w:colFirst="0" w:colLast="0"/>
      <w:bookmarkEnd w:id="32"/>
      <w:bookmarkStart w:id="33" w:name="_Toc236840848"/>
      <w:r>
        <w:t>2c5. Tannenbaum and Schmidt Continuum: Moving Towards Shared Decision-Making</w:t>
      </w:r>
      <w:bookmarkEnd w:id="33"/>
    </w:p>
    <w:p w14:paraId="5AD33697">
      <w:r>
        <w:t>The Tannenbaum and Schmidt Continuum shows the importance of balancing leadership and participation in healthcare settings. At the admission of Patient X, clinicians needed to exercise authority to make prescribing decisions quickly; but in order to manage anticoagulation therapy over time, more than one group of professionals, such as medical professionals, procedure experts, and pharmacy personnel had to be involved.</w:t>
      </w:r>
    </w:p>
    <w:p w14:paraId="37FFF184">
      <w:r>
        <w:t>This continuum defines leadership as moving along a spectrum from autocratic decision-making to participative approach. Directive leadership might be appropriate when dealing with urgent cases; however, patient safety issues will require distributed and shared leadership and decision-making. According to Brown and Hale (2022), collaborative leadership can help in healthcare organisations as responsibilities are shared in multidisciplinary teams. The same importance is stressed by Kazanskaia (2025), who focus on collective leadership for better coordination. Applying this model to the case of Patient X implies that multidisciplinary teamwork could help prevent missed medication restart. Nevertheless, participative leadership should also include clear accountability.</w:t>
      </w:r>
    </w:p>
    <w:p w14:paraId="277EB0D0">
      <w:pPr>
        <w:pStyle w:val="4"/>
      </w:pPr>
      <w:bookmarkStart w:id="34" w:name="_921v7moy1dft" w:colFirst="0" w:colLast="0"/>
      <w:bookmarkEnd w:id="34"/>
      <w:bookmarkStart w:id="35" w:name="_Toc236840849"/>
      <w:r>
        <w:t>2c6. Transformational Leadership: Creating a Proactive Patient Safety Culture</w:t>
      </w:r>
      <w:bookmarkEnd w:id="35"/>
      <w:r>
        <w:t xml:space="preserve"> </w:t>
      </w:r>
    </w:p>
    <w:p w14:paraId="2DF2AE3F">
      <w:r>
        <w:t xml:space="preserve">The Transformational Leadership theory is the best fit for evaluating Patient X’s case because this concept concentrates on the continuous improvement rather than acting only after some negative consequences arise. A transformational leader will establish a shared vision of drug safety, will refine the anticoagulation management process and will motivate his/her subordinates to voice their concerns about delayed decision making (Camacho-Rodriguez </w:t>
      </w:r>
      <w:r>
        <w:rPr>
          <w:i/>
          <w:iCs/>
        </w:rPr>
        <w:t xml:space="preserve">et al., </w:t>
      </w:r>
      <w:r>
        <w:t>2022).</w:t>
      </w:r>
    </w:p>
    <w:p w14:paraId="1C831826">
      <w:r>
        <w:t xml:space="preserve">Transformational leaders inspire people through shared purpose, innovation, and building a psychologically safe environment. Althobaiti (2026) emphasises that transformational leadership facilitates healthcare quality improvement in terms of increased engagement and safety culture. According to Tangatarova and Gao (2021), transformational leaders promote trust and commitment within healthcare organisations. Moreover, according to the findings of Cho </w:t>
      </w:r>
      <w:r>
        <w:rPr>
          <w:i/>
          <w:iCs/>
        </w:rPr>
        <w:t>et al.</w:t>
      </w:r>
      <w:r>
        <w:t xml:space="preserve"> (2025) the presence of psychological safety motivates people to voice their concerns and report near misses that is crucial in order to prevent medication-related harms. Besides, Phuong </w:t>
      </w:r>
      <w:r>
        <w:rPr>
          <w:i/>
          <w:iCs/>
        </w:rPr>
        <w:t>et al.</w:t>
      </w:r>
      <w:r>
        <w:t xml:space="preserve"> (2026) emphasise the importance of compassionate leadership in creating a healthy work environment and delivering patient-centered care. Finally, Boshra </w:t>
      </w:r>
      <w:r>
        <w:rPr>
          <w:i/>
          <w:iCs/>
        </w:rPr>
        <w:t>et al</w:t>
      </w:r>
      <w:r>
        <w:t>. (2025), underline that inclusive leadership creates a learning culture in which errors are treated as opportunities for improvement.</w:t>
      </w:r>
    </w:p>
    <w:p w14:paraId="03138377">
      <w:r>
        <w:rPr>
          <w:b/>
          <w:bCs/>
        </w:rPr>
        <w:t xml:space="preserve">Table 3: Leadership Theory Application to Patient X Medication Harm Case </w:t>
      </w:r>
    </w:p>
    <w:tbl>
      <w:tblPr>
        <w:tblStyle w:val="21"/>
        <w:tblW w:w="902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235"/>
        <w:gridCol w:w="2956"/>
        <w:gridCol w:w="3834"/>
      </w:tblGrid>
      <w:tr w14:paraId="39E0EE2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A9DAE8A">
            <w:pPr>
              <w:jc w:val="center"/>
            </w:pPr>
            <w:r>
              <w:rPr>
                <w:b/>
                <w:bCs/>
              </w:rPr>
              <w:t>Theory / Model</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D525358">
            <w:pPr>
              <w:jc w:val="center"/>
            </w:pPr>
            <w:r>
              <w:rPr>
                <w:b/>
                <w:bCs/>
              </w:rPr>
              <w:t>Application Example</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BB3D69C">
            <w:pPr>
              <w:jc w:val="center"/>
            </w:pPr>
            <w:r>
              <w:rPr>
                <w:b/>
                <w:bCs/>
              </w:rPr>
              <w:t>Supporting Data &amp; Critique</w:t>
            </w:r>
          </w:p>
        </w:tc>
      </w:tr>
      <w:tr w14:paraId="380E278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5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8126922">
            <w:r>
              <w:rPr>
                <w:b/>
                <w:bCs/>
              </w:rPr>
              <w:t>Great Man Theory</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7146182">
            <w:r>
              <w:t>Reliance on individual clinicians’ judgement to manage Patient X’s anticoagulation decisions.</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2C4A337">
            <w:r>
              <w:t>Effective in urgent situations but limited because healthcare requires teamwork and systems (Grint, 2024). Reactive leadership contributed to missed medication review.</w:t>
            </w:r>
          </w:p>
        </w:tc>
      </w:tr>
      <w:tr w14:paraId="37C6E4B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1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8288AAE">
            <w:r>
              <w:rPr>
                <w:b/>
                <w:bCs/>
              </w:rPr>
              <w:t>Trait Theory</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69EFFE1">
            <w:r>
              <w:t>Leaders required confidence, empathy and decision-making skills to balance bleeding and stroke risks.</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E5FF0F5">
            <w:r>
              <w:t xml:space="preserve">Emotional intelligence supports patient safety (Bujud </w:t>
            </w:r>
            <w:r>
              <w:rPr>
                <w:i/>
                <w:iCs/>
              </w:rPr>
              <w:t>et al.,</w:t>
            </w:r>
            <w:r>
              <w:t xml:space="preserve"> 2026), but traits alone cannot overcome system failures.</w:t>
            </w:r>
          </w:p>
        </w:tc>
      </w:tr>
      <w:tr w14:paraId="6E18105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1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0E7328F7">
            <w:r>
              <w:rPr>
                <w:b/>
                <w:bCs/>
              </w:rPr>
              <w:t>Behavioural Theory</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7F35E14">
            <w:r>
              <w:t>Focus on clinical tasks, but communication and coordination between teams were insufficient.</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B1B9FC2">
            <w:r>
              <w:t xml:space="preserve">Balanced task and relationship behaviours improve safety (Dirik </w:t>
            </w:r>
            <w:r>
              <w:rPr>
                <w:i/>
                <w:iCs/>
              </w:rPr>
              <w:t>et al.,</w:t>
            </w:r>
            <w:r>
              <w:t xml:space="preserve"> 2026).</w:t>
            </w:r>
          </w:p>
        </w:tc>
      </w:tr>
      <w:tr w14:paraId="11995E0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EA94371">
            <w:r>
              <w:rPr>
                <w:b/>
                <w:bCs/>
              </w:rPr>
              <w:t>Situational Leadership</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E869FE0">
            <w:r>
              <w:t>Leadership needed to adapt as Patient X’s risk changed.</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A8069DC">
            <w:r>
              <w:t>Adaptive leadership supports escalation and reassessment (Northouse, 2025; HSSIB).</w:t>
            </w:r>
          </w:p>
        </w:tc>
      </w:tr>
      <w:tr w14:paraId="41B905F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4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F0D6808">
            <w:r>
              <w:rPr>
                <w:b/>
                <w:bCs/>
              </w:rPr>
              <w:t>Tannenbaum &amp; Schmidt Continuum</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52063E6">
            <w:r>
              <w:t>Required movement from directive decisions to shared multidisciplinary planning.</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7072E27">
            <w:r>
              <w:t>Distributed leadership improves coordination (Brown and Hale, 2022).</w:t>
            </w:r>
          </w:p>
        </w:tc>
      </w:tr>
      <w:tr w14:paraId="62F5612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10" w:hRule="atLeast"/>
        </w:trPr>
        <w:tc>
          <w:tcPr>
            <w:tcW w:w="223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CCCCCE6">
            <w:r>
              <w:rPr>
                <w:b/>
                <w:bCs/>
              </w:rPr>
              <w:t>Transformational Leadership</w:t>
            </w:r>
          </w:p>
        </w:tc>
        <w:tc>
          <w:tcPr>
            <w:tcW w:w="295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C555B55">
            <w:r>
              <w:t>Developing a proactive safety culture through reporting and medication monitoring.</w:t>
            </w:r>
          </w:p>
        </w:tc>
        <w:tc>
          <w:tcPr>
            <w:tcW w:w="3833"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63AABD9">
            <w:r>
              <w:t>Improves psychological safety, compassion and patient outcomes (Althobaiti, 2026).</w:t>
            </w:r>
          </w:p>
        </w:tc>
      </w:tr>
    </w:tbl>
    <w:p w14:paraId="611253CF"/>
    <w:p w14:paraId="06A08F31">
      <w:pPr>
        <w:pStyle w:val="3"/>
      </w:pPr>
      <w:bookmarkStart w:id="36" w:name="_lzpulvvzcqz2" w:colFirst="0" w:colLast="0"/>
      <w:bookmarkEnd w:id="36"/>
      <w:bookmarkStart w:id="37" w:name="_Toc236840850"/>
      <w:r>
        <w:t>2d. Critique, Improvements &amp; Lessons Learned</w:t>
      </w:r>
      <w:bookmarkEnd w:id="37"/>
      <w:r>
        <w:t xml:space="preserve"> </w:t>
      </w:r>
    </w:p>
    <w:p w14:paraId="580A9864">
      <w:pPr>
        <w:pStyle w:val="4"/>
      </w:pPr>
      <w:bookmarkStart w:id="38" w:name="_fomu5fxug6u9" w:colFirst="0" w:colLast="0"/>
      <w:bookmarkEnd w:id="38"/>
      <w:bookmarkStart w:id="39" w:name="_Toc236840851"/>
      <w:r>
        <w:t>2d1. Critique of Leadership Approach and Decision-Making</w:t>
      </w:r>
      <w:bookmarkEnd w:id="39"/>
    </w:p>
    <w:p w14:paraId="1F505F09">
      <w:r>
        <w:t>It becomes clear that the reaction of leadership regarding Patient X was ineffective in coping with the complexity of the issue of patient safety through medications. While the right initial decision was taken concerning the suspension of apixaban use due to possible bleeding, the delay in the procedure and the non-review of the medication on the part of leadership became reactive and not proactive. In such a way, more efficient leadership in this situation should be associated with continuous evaluation, accountability, and coordination of efforts of different specialists. According to Grint (2024), the complicated problems of healthcare can hardly be solved with the help of command-oriented leadership, as collective problem-solving is essential in this case. Northouse (2025) states that a leader should be able to adapt to specific circumstances.</w:t>
      </w:r>
    </w:p>
    <w:p w14:paraId="591266E2">
      <w:pPr>
        <w:pStyle w:val="4"/>
      </w:pPr>
      <w:bookmarkStart w:id="40" w:name="_gqmhy25bpwqt" w:colFirst="0" w:colLast="0"/>
      <w:bookmarkEnd w:id="40"/>
      <w:bookmarkStart w:id="41" w:name="_Toc236840852"/>
      <w:r>
        <w:t>2d2. Digital Improvements: Electronic Prescribing and Safety Systems</w:t>
      </w:r>
      <w:bookmarkEnd w:id="41"/>
      <w:r>
        <w:t xml:space="preserve"> </w:t>
      </w:r>
    </w:p>
    <w:p w14:paraId="7504250E">
      <w:r>
        <w:t xml:space="preserve">The use of technology could have helped to prevent the medication issue experienced by Patient X. This includes the use of electronic prescriptions, automation alerts, and barcode medication administration that may serve as a safety tool that will help to check on any missed dosing, lengthy interruption of medication and lack of information on restarting the medication. For instance, automated alerts would have flagged up that apixaban was interrupted for a long time before Patient X's procedure. Dirik </w:t>
      </w:r>
      <w:r>
        <w:rPr>
          <w:i/>
          <w:iCs/>
        </w:rPr>
        <w:t>et al</w:t>
      </w:r>
      <w:r>
        <w:t>. (2026) note that good leadership together with medication safety systems enhances the process of prescribing medications. However, technology on its own may not help to mitigate all risks as poor systems design will generate alert fatigue for health workers. Digital systems should therefore be complemented by leadership, training, and a clear escalation pathway (</w:t>
      </w:r>
      <w:r>
        <w:fldChar w:fldCharType="begin"/>
      </w:r>
      <w:r>
        <w:instrText xml:space="preserve"> HYPERLINK "http://gov.uk" \h </w:instrText>
      </w:r>
      <w:r>
        <w:fldChar w:fldCharType="separate"/>
      </w:r>
      <w:r>
        <w:t>GOV.UK</w:t>
      </w:r>
      <w:r>
        <w:fldChar w:fldCharType="end"/>
      </w:r>
      <w:r>
        <w:t>, 2023).</w:t>
      </w:r>
    </w:p>
    <w:p w14:paraId="4F6A7EAD">
      <w:pPr>
        <w:pStyle w:val="4"/>
      </w:pPr>
      <w:bookmarkStart w:id="42" w:name="_5ovtinkth1nv" w:colFirst="0" w:colLast="0"/>
      <w:bookmarkEnd w:id="42"/>
      <w:bookmarkStart w:id="43" w:name="_Toc236840853"/>
      <w:r>
        <w:t>2d3. Psychological Safety, Culture and Staff Wellbeing</w:t>
      </w:r>
      <w:bookmarkEnd w:id="43"/>
      <w:r>
        <w:t xml:space="preserve"> </w:t>
      </w:r>
    </w:p>
    <w:p w14:paraId="3626D494">
      <w:r>
        <w:t xml:space="preserve">Enhancing psychological safety will be an important strategy to ensure that such a situation does not repeat in future because health care professionals need to be able to report their fears about medication safety and decision-making process. With respect to Patient X’s case, psychological safety could prompt the medical staff to ask whether it was necessary to restart anticoagulation therapy after the procedure delay. Maben </w:t>
      </w:r>
      <w:r>
        <w:rPr>
          <w:i/>
          <w:iCs/>
        </w:rPr>
        <w:t xml:space="preserve">et al. </w:t>
      </w:r>
      <w:r>
        <w:t>(2023) show how the working environment affects the level of staff engagement and quality of the provided care. Moreover, Yabal</w:t>
      </w:r>
      <w:r>
        <w:rPr>
          <w:i/>
          <w:iCs/>
        </w:rPr>
        <w:t xml:space="preserve"> et al</w:t>
      </w:r>
      <w:r>
        <w:t xml:space="preserve">. (2026) illustrate that a psychologically safe environment provides health care providers with a possibility to voice their concerns without any fear of being punished. The importance of staff well-being for patient experiences is described by Bamforth </w:t>
      </w:r>
      <w:r>
        <w:rPr>
          <w:i/>
          <w:iCs/>
        </w:rPr>
        <w:t>et al.</w:t>
      </w:r>
      <w:r>
        <w:t xml:space="preserve"> (2026), while Hallam </w:t>
      </w:r>
      <w:r>
        <w:rPr>
          <w:i/>
          <w:iCs/>
        </w:rPr>
        <w:t>et al.</w:t>
      </w:r>
      <w:r>
        <w:t xml:space="preserve"> (2023) discuss factors of a psychologically safe working environment such as trust and open communication.</w:t>
      </w:r>
    </w:p>
    <w:p w14:paraId="2A46E721">
      <w:pPr>
        <w:pStyle w:val="4"/>
      </w:pPr>
      <w:bookmarkStart w:id="44" w:name="_9jfkk9ms1eqf" w:colFirst="0" w:colLast="0"/>
      <w:bookmarkEnd w:id="44"/>
      <w:bookmarkStart w:id="45" w:name="_Toc236840854"/>
      <w:r>
        <w:t>2d4. Lessons Learned and Future Leadership Improvements</w:t>
      </w:r>
      <w:bookmarkEnd w:id="45"/>
      <w:r>
        <w:t xml:space="preserve"> </w:t>
      </w:r>
    </w:p>
    <w:p w14:paraId="1147F54A">
      <w:r>
        <w:t xml:space="preserve">In Patient X’s scenario, the core takeaway would be that patient safety requires systems thinking, pro-active leadership and continuous organisational learning. Instead of attributing the event to a personal mistake on the part of the prescriber, leaders need to think about how the communications processes, decision making processes and organisational structures played a role. Salmon </w:t>
      </w:r>
      <w:r>
        <w:rPr>
          <w:i/>
          <w:iCs/>
        </w:rPr>
        <w:t>et al</w:t>
      </w:r>
      <w:r>
        <w:t xml:space="preserve">. (2022) explain that through systems thinking, health care organisations are able to gain an understanding of the complex interactions involving people, technology and processes. In the same way, Challinor </w:t>
      </w:r>
      <w:r>
        <w:rPr>
          <w:i/>
          <w:iCs/>
        </w:rPr>
        <w:t>et a</w:t>
      </w:r>
      <w:r>
        <w:t xml:space="preserve">l. (2025) also explain that health care involves a complex adaptive system that needs to be continuously improved. As future leaders, one must encourage multidisciplinary teamwork, good governance of medications and open reporting of risks. </w:t>
      </w:r>
    </w:p>
    <w:p w14:paraId="5790811A">
      <w:pPr>
        <w:pStyle w:val="2"/>
      </w:pPr>
      <w:bookmarkStart w:id="46" w:name="_yqqvlmz2yltr" w:colFirst="0" w:colLast="0"/>
      <w:bookmarkEnd w:id="46"/>
      <w:bookmarkStart w:id="47" w:name="_Toc236840855"/>
      <w:r>
        <w:t>3. Recommendations</w:t>
      </w:r>
      <w:bookmarkEnd w:id="47"/>
      <w:r>
        <w:t xml:space="preserve"> </w:t>
      </w:r>
    </w:p>
    <w:p w14:paraId="5E76EAD4">
      <w:pPr>
        <w:pStyle w:val="3"/>
      </w:pPr>
      <w:bookmarkStart w:id="48" w:name="_a2cjbip8jkt2" w:colFirst="0" w:colLast="0"/>
      <w:bookmarkEnd w:id="48"/>
      <w:bookmarkStart w:id="49" w:name="_Toc236840856"/>
      <w:r>
        <w:t>3a. Encourage Transformational and Compassionate Leadership Skills</w:t>
      </w:r>
      <w:bookmarkEnd w:id="49"/>
    </w:p>
    <w:p w14:paraId="1ADF61A5">
      <w:pPr>
        <w:rPr>
          <w:rFonts w:hint="default"/>
          <w:lang w:val="en-IN"/>
        </w:rPr>
      </w:pPr>
      <w:r>
        <w:t xml:space="preserve">Organisations providing healthcare services should encourage the implementation of transformational leadership skills to enhance patient safety results and avoid adverse consequences from drug administration. The emphasis in such leadership should be on creating a common vision of safety among all team members, engagement of employees and proactive management of risks instead of reactive measures. As mentioned by Althobaiti (2026), transformational leadership is one of the most important elements in the development of positive patient safety culture, while Phuong </w:t>
      </w:r>
      <w:r>
        <w:rPr>
          <w:i/>
          <w:iCs/>
        </w:rPr>
        <w:t>et al.</w:t>
      </w:r>
      <w:r>
        <w:t xml:space="preserve"> (2026) state that compassionate leadership contributes significantly to workforce engagement and quality of care.</w:t>
      </w:r>
      <w:r>
        <w:rPr>
          <w:rFonts w:hint="default"/>
          <w:lang w:val="en-IN"/>
        </w:rPr>
        <w:t xml:space="preserve"> Therefore, healthcare organisations need to promote the methods of transformational and compassionate leadership through the application of agreed processes of leadership development and mentorship as both approaches facilitate the advantages of improving communication, engagement among staff, and collaboration as well as establishing a positive working atmosphere. Good leadership contributes to improved service provision by patients, the effectiveness of an organisation, and the ability of a healthcare provider to cope with changes and implement them (</w:t>
      </w:r>
      <w:r>
        <w:t>Althobaiti (2026)</w:t>
      </w:r>
      <w:r>
        <w:rPr>
          <w:rFonts w:hint="default"/>
          <w:lang w:val="en-IN"/>
        </w:rPr>
        <w:t>.</w:t>
      </w:r>
    </w:p>
    <w:p w14:paraId="41487E47">
      <w:pPr>
        <w:pStyle w:val="3"/>
      </w:pPr>
      <w:bookmarkStart w:id="50" w:name="_owjechqshwly" w:colFirst="0" w:colLast="0"/>
      <w:bookmarkEnd w:id="50"/>
      <w:bookmarkStart w:id="51" w:name="_Toc236840857"/>
      <w:r>
        <w:t>3b. Implement Enhanced Electronic Prescribing and Medication Safety Alerts</w:t>
      </w:r>
      <w:bookmarkEnd w:id="51"/>
    </w:p>
    <w:p w14:paraId="420C1A89">
      <w:pPr>
        <w:rPr>
          <w:rFonts w:hint="default"/>
          <w:lang w:val="en-IN"/>
        </w:rPr>
      </w:pPr>
      <w:r>
        <w:t xml:space="preserve">The use of automated reminders within the electronic prescribing process should be enhanced by setting up alerts in case of prolonged interruption in administration of medication, missed doses and also in case of failure to reintroduce essential medication after certain procedures. In the case of Patient X, the system could automatically alert on the prolonged interruption of administration of apixaban. The HSSIB report shows the need for improving the medication management system using system-based strategies rather than clinical judgment. Moreover, the PSIRF framework calls for addressing the underlying weaknesses of the system through preventive measures. Therefore, digital intervention should be complemented with staff training to avoid technology hindering the process of making clinical decisions (Benevene </w:t>
      </w:r>
      <w:r>
        <w:rPr>
          <w:i/>
          <w:iCs/>
        </w:rPr>
        <w:t>et al.,</w:t>
      </w:r>
      <w:r>
        <w:t xml:space="preserve"> 2022).</w:t>
      </w:r>
      <w:r>
        <w:rPr>
          <w:rFonts w:hint="default"/>
          <w:lang w:val="en-IN"/>
        </w:rPr>
        <w:t xml:space="preserve"> That is why it is critical to have modern electronic prescribing systems that include features that enable the effective communication of medication safety information to reduce medication errors and increase patient safety in the organisation. An appropriate combination of advocacy and clinical decision support, automatic allergy check, and notifications of possible medication interactions will contribute to the accuracy of medication.</w:t>
      </w:r>
    </w:p>
    <w:p w14:paraId="7721485E">
      <w:pPr>
        <w:pStyle w:val="3"/>
      </w:pPr>
      <w:bookmarkStart w:id="52" w:name="_75c63fbvs7" w:colFirst="0" w:colLast="0"/>
      <w:bookmarkEnd w:id="52"/>
      <w:bookmarkStart w:id="53" w:name="_Toc236840858"/>
      <w:r>
        <w:t>3c. Introduce Daily Multidisciplinary Patient Safety Huddle</w:t>
      </w:r>
      <w:bookmarkEnd w:id="53"/>
      <w:r>
        <w:t xml:space="preserve"> </w:t>
      </w:r>
    </w:p>
    <w:p w14:paraId="59ED5248">
      <w:pPr>
        <w:rPr>
          <w:rFonts w:hint="default"/>
          <w:lang w:val="en-IN"/>
        </w:rPr>
      </w:pPr>
      <w:r>
        <w:t xml:space="preserve">There is a need for holding structured multidisciplinary daily huddles of healthcare professionals which would include physicians, nurses, pharmacists and other professionals involved in order to address issues related to high risk patients, medication and any clinical decision-making. Such huddles would give a chance for reviewing the medication plan in case of changes in patient condition including delays in procedures (LaPlante </w:t>
      </w:r>
      <w:r>
        <w:rPr>
          <w:i/>
          <w:iCs/>
        </w:rPr>
        <w:t>et al.</w:t>
      </w:r>
      <w:r>
        <w:t>, 2025).</w:t>
      </w:r>
      <w:r>
        <w:rPr>
          <w:rFonts w:hint="default"/>
          <w:lang w:val="en-IN"/>
        </w:rPr>
        <w:t xml:space="preserve"> Generally speaking, the entire multidisciplinary team of healthcare professionals should be involved in patient safety huddles in order to facilitate effective communication and fast identification of danger.</w:t>
      </w:r>
    </w:p>
    <w:p w14:paraId="61C88100">
      <w:pPr>
        <w:pStyle w:val="3"/>
      </w:pPr>
      <w:bookmarkStart w:id="54" w:name="_e388dilvqrfl" w:colFirst="0" w:colLast="0"/>
      <w:bookmarkEnd w:id="54"/>
      <w:bookmarkStart w:id="55" w:name="_Toc236840859"/>
      <w:r>
        <w:t>3d. Enhance Psychological Safety and Speak-up Environment</w:t>
      </w:r>
      <w:bookmarkEnd w:id="55"/>
    </w:p>
    <w:p w14:paraId="17A5DBEA">
      <w:r>
        <w:t xml:space="preserve">Healthcare organisations must conduct training on psychological safety to empower employees to voice their concerns, question any decisions made, and even report incidents that occur without being afraid of repercussions. The case of Patient X is a good example of the possible consequences that may follow if there is no proper escalation of issues regarding medication. According to Cho </w:t>
      </w:r>
      <w:r>
        <w:rPr>
          <w:i/>
          <w:iCs/>
        </w:rPr>
        <w:t>et al.</w:t>
      </w:r>
      <w:r>
        <w:t xml:space="preserve"> (2025), psychological safety and transformational leadership play a significant role in the reporting of near-misses among healthcare professionals. Similarly, LaPlante </w:t>
      </w:r>
      <w:r>
        <w:rPr>
          <w:i/>
          <w:iCs/>
        </w:rPr>
        <w:t>et al.</w:t>
      </w:r>
      <w:r>
        <w:t xml:space="preserve"> (2025) identify the importance of psychological safety in terms of improving communication and patient safety results.</w:t>
      </w:r>
    </w:p>
    <w:p w14:paraId="609314C6">
      <w:pPr>
        <w:pStyle w:val="3"/>
      </w:pPr>
      <w:bookmarkStart w:id="56" w:name="_z8ix59w2yd0j" w:colFirst="0" w:colLast="0"/>
      <w:bookmarkEnd w:id="56"/>
      <w:bookmarkStart w:id="57" w:name="_Toc236840860"/>
      <w:r>
        <w:t>3e. Create Systematic Safety Audit and Learning Systems</w:t>
      </w:r>
      <w:bookmarkEnd w:id="57"/>
    </w:p>
    <w:p w14:paraId="7D79212E">
      <w:r>
        <w:t>There should be continuous audit of safety systems in the management of medications, including those involving the prescription of anticoagulant medications. Continuous monitoring will allow organisations to detect deficiencies that may lead to patient harm. Continuous measurement, learning and improvement is one of the core principles of patient safety strategies as recommended by the WHO. Furthermore, workforce development programs such as the NHS Workforce Program highlight the need for resilience in healthcare teams to provide safe care to patients. The audit should not be punitive but a tool to learn from in order to make necessary changes to the system.</w:t>
      </w:r>
    </w:p>
    <w:p w14:paraId="7EEDAB83">
      <w:pPr>
        <w:pStyle w:val="2"/>
      </w:pPr>
      <w:bookmarkStart w:id="58" w:name="_fefik6dsz2vl" w:colFirst="0" w:colLast="0"/>
      <w:bookmarkEnd w:id="58"/>
      <w:bookmarkStart w:id="59" w:name="_Toc236840861"/>
      <w:r>
        <w:t>4. Conclusion</w:t>
      </w:r>
      <w:bookmarkEnd w:id="59"/>
      <w:r>
        <w:t xml:space="preserve"> </w:t>
      </w:r>
    </w:p>
    <w:p w14:paraId="15C94BB7">
      <w:r>
        <w:t>In the case of Patient X, it becomes evident that any form of harm caused by the use of medication occurs as a result of complicated interactions of various factors within the clinical process. Systems thinking is critical to address issues related to patient safety because, in order to improve the situation, one needs to understand interactions between individuals, processes, and technologies, rather than trying to prevent only the occurrence of individual mistakes.</w:t>
      </w:r>
    </w:p>
    <w:p w14:paraId="3BA0B00A">
      <w:pPr>
        <w:rPr>
          <w:rFonts w:hint="default"/>
          <w:lang w:val="en-IN"/>
        </w:rPr>
      </w:pPr>
      <w:r>
        <w:t>Leadership plays an important role in preventing such adverse events. Transformational, compassionate, and distributed forms of leadership could be helpful for creating better team performance, psychological safety, and shared responsibility among team members. Healthcare professionals need to have a supportive environment where they can share their concerns and work on improving patient safety. Further learning will include continuous development of digital patient safety systems, multidisciplinary teams, and reflective practice.</w:t>
      </w:r>
      <w:r>
        <w:rPr>
          <w:rFonts w:hint="default"/>
          <w:lang w:val="en-IN"/>
        </w:rPr>
        <w:t xml:space="preserve"> Ultimately, the improvement of the quality of healthcare services and patient safety is closely connected to the competence of leaders, new electronic technologies, and collaboration of professionals.</w:t>
      </w:r>
    </w:p>
    <w:p w14:paraId="19C5297A">
      <w:r>
        <w:t xml:space="preserve"> </w:t>
      </w:r>
    </w:p>
    <w:p w14:paraId="119EF536"/>
    <w:p w14:paraId="3CA329FB"/>
    <w:p w14:paraId="6F8241BB"/>
    <w:p w14:paraId="5F01F32B"/>
    <w:p w14:paraId="54EE6744"/>
    <w:p w14:paraId="4D691A6D">
      <w:r>
        <w:br w:type="page"/>
      </w:r>
    </w:p>
    <w:p w14:paraId="41079020">
      <w:pPr>
        <w:pStyle w:val="2"/>
      </w:pPr>
      <w:bookmarkStart w:id="60" w:name="_kn51lo1thjxw" w:colFirst="0" w:colLast="0"/>
      <w:bookmarkEnd w:id="60"/>
      <w:bookmarkStart w:id="61" w:name="_Toc236840862"/>
      <w:r>
        <w:t>References</w:t>
      </w:r>
      <w:bookmarkEnd w:id="61"/>
    </w:p>
    <w:p w14:paraId="2FE394A4">
      <w:pPr>
        <w:spacing w:before="240" w:after="240"/>
        <w:rPr>
          <w:color w:val="1155CC"/>
          <w:u w:val="single"/>
        </w:rPr>
      </w:pPr>
      <w:r>
        <w:t>Althobaiti, F.M., 2026. The effects of leadership on patient safety culture in health care: a systematic review. BMC nursing, 25(1), p.125.</w:t>
      </w:r>
      <w:r>
        <w:fldChar w:fldCharType="begin"/>
      </w:r>
      <w:r>
        <w:instrText xml:space="preserve"> HYPERLINK "https://link.springer.com/article/10.1186/s12912-025-04263-7" \h </w:instrText>
      </w:r>
      <w:r>
        <w:fldChar w:fldCharType="separate"/>
      </w:r>
      <w:r>
        <w:t xml:space="preserve"> </w:t>
      </w:r>
      <w:r>
        <w:fldChar w:fldCharType="end"/>
      </w:r>
      <w:r>
        <w:fldChar w:fldCharType="begin"/>
      </w:r>
      <w:r>
        <w:instrText xml:space="preserve"> HYPERLINK "https://link.springer.com/article/10.1186/s12912-025-04263-7" \h </w:instrText>
      </w:r>
      <w:r>
        <w:fldChar w:fldCharType="separate"/>
      </w:r>
      <w:r>
        <w:rPr>
          <w:color w:val="1155CC"/>
          <w:u w:val="single"/>
        </w:rPr>
        <w:t>https://link.springer.com/article/10.1186/s12912-025-04263-7</w:t>
      </w:r>
      <w:r>
        <w:rPr>
          <w:color w:val="1155CC"/>
          <w:u w:val="single"/>
        </w:rPr>
        <w:fldChar w:fldCharType="end"/>
      </w:r>
    </w:p>
    <w:p w14:paraId="42669093">
      <w:pPr>
        <w:spacing w:before="240" w:after="240"/>
        <w:rPr>
          <w:color w:val="1155CC"/>
          <w:u w:val="single"/>
        </w:rPr>
      </w:pPr>
      <w:r>
        <w:t>Bamforth, K., Lloyd, H., Kent, B., Maben, J. and Pearce, S., 2026. What Does Psychological Wellbeing at Work Mean to Healthcare Professionals' and for Patients' Experiences of Care?. Journal of Advanced Nursing.</w:t>
      </w:r>
      <w:r>
        <w:fldChar w:fldCharType="begin"/>
      </w:r>
      <w:r>
        <w:instrText xml:space="preserve"> HYPERLINK "https://onlinelibrary.wiley.com/doi/full/10.1111/jan.70592" \h </w:instrText>
      </w:r>
      <w:r>
        <w:fldChar w:fldCharType="separate"/>
      </w:r>
      <w:r>
        <w:t xml:space="preserve"> </w:t>
      </w:r>
      <w:r>
        <w:fldChar w:fldCharType="end"/>
      </w:r>
      <w:r>
        <w:fldChar w:fldCharType="begin"/>
      </w:r>
      <w:r>
        <w:instrText xml:space="preserve"> HYPERLINK "https://onlinelibrary.wiley.com/doi/full/10.1111/jan.70592" \h </w:instrText>
      </w:r>
      <w:r>
        <w:fldChar w:fldCharType="separate"/>
      </w:r>
      <w:r>
        <w:rPr>
          <w:color w:val="1155CC"/>
          <w:u w:val="single"/>
        </w:rPr>
        <w:t>https://onlinelibrary.wiley.com/doi/full/10.1111/jan.70592</w:t>
      </w:r>
      <w:r>
        <w:rPr>
          <w:color w:val="1155CC"/>
          <w:u w:val="single"/>
        </w:rPr>
        <w:fldChar w:fldCharType="end"/>
      </w:r>
    </w:p>
    <w:p w14:paraId="483E2AB8">
      <w:pPr>
        <w:spacing w:before="240" w:after="240"/>
        <w:rPr>
          <w:color w:val="1155CC"/>
          <w:u w:val="single"/>
        </w:rPr>
      </w:pPr>
      <w:r>
        <w:t>Benevene, P., Buonomo, I. and West, M., 2022. Compassion and compassionate leadership in the workplace. Frontiers in psychology, 13, p.1074068.</w:t>
      </w:r>
      <w:r>
        <w:fldChar w:fldCharType="begin"/>
      </w:r>
      <w:r>
        <w:instrText xml:space="preserve"> HYPERLINK "https://www.frontiersin.org/journals/psychology/articles/10.3389/fpsyg.2022.1074068/full" \h </w:instrText>
      </w:r>
      <w:r>
        <w:fldChar w:fldCharType="separate"/>
      </w:r>
      <w:r>
        <w:t xml:space="preserve"> </w:t>
      </w:r>
      <w:r>
        <w:fldChar w:fldCharType="end"/>
      </w:r>
      <w:r>
        <w:fldChar w:fldCharType="begin"/>
      </w:r>
      <w:r>
        <w:instrText xml:space="preserve"> HYPERLINK "https://www.frontiersin.org/journals/psychology/articles/10.3389/fpsyg.2022.1074068/full" \h </w:instrText>
      </w:r>
      <w:r>
        <w:fldChar w:fldCharType="separate"/>
      </w:r>
      <w:r>
        <w:rPr>
          <w:color w:val="1155CC"/>
          <w:u w:val="single"/>
        </w:rPr>
        <w:t>https://www.frontiersin.org/journals/psychology/articles/10.3389/fpsyg.2022.1074068/full</w:t>
      </w:r>
      <w:r>
        <w:rPr>
          <w:color w:val="1155CC"/>
          <w:u w:val="single"/>
        </w:rPr>
        <w:fldChar w:fldCharType="end"/>
      </w:r>
    </w:p>
    <w:p w14:paraId="4F23E38F">
      <w:pPr>
        <w:spacing w:before="240" w:after="240"/>
        <w:rPr>
          <w:color w:val="1155CC"/>
          <w:u w:val="single"/>
        </w:rPr>
      </w:pPr>
      <w:r>
        <w:t>Boshra, A.Y., Aseeri, F.A., Alasiry, S., Ahmad, M., Chahal, A., Nambi, G., Shaphe, M.A., Sidiq, M., Sharma, A. and Kashoo, F., 2025. Impact of leadership styles on patient satisfaction with nursing care quality in public hospitals: A cross-sectional study. Medicine, 104(11), p.e41670.</w:t>
      </w:r>
      <w:r>
        <w:fldChar w:fldCharType="begin"/>
      </w:r>
      <w:r>
        <w:instrText xml:space="preserve"> HYPERLINK "https://pmc.ncbi.nlm.nih.gov/articles/PMC11922418/" \h </w:instrText>
      </w:r>
      <w:r>
        <w:fldChar w:fldCharType="separate"/>
      </w:r>
      <w:r>
        <w:t xml:space="preserve"> </w:t>
      </w:r>
      <w:r>
        <w:fldChar w:fldCharType="end"/>
      </w:r>
      <w:r>
        <w:fldChar w:fldCharType="begin"/>
      </w:r>
      <w:r>
        <w:instrText xml:space="preserve"> HYPERLINK "https://pmc.ncbi.nlm.nih.gov/articles/PMC11922418/" \h </w:instrText>
      </w:r>
      <w:r>
        <w:fldChar w:fldCharType="separate"/>
      </w:r>
      <w:r>
        <w:rPr>
          <w:color w:val="1155CC"/>
          <w:u w:val="single"/>
        </w:rPr>
        <w:t>https://pmc.ncbi.nlm.nih.gov/articles/PMC11922418/</w:t>
      </w:r>
      <w:r>
        <w:rPr>
          <w:color w:val="1155CC"/>
          <w:u w:val="single"/>
        </w:rPr>
        <w:fldChar w:fldCharType="end"/>
      </w:r>
    </w:p>
    <w:p w14:paraId="1675CF9C">
      <w:pPr>
        <w:spacing w:before="240" w:after="240"/>
      </w:pPr>
      <w:r>
        <w:t>Brown, W.A. and Hale, M. eds., 2022. Preparing leaders of nonprofit organizations: contemporary perspectives. Taylor &amp; Francis.</w:t>
      </w:r>
    </w:p>
    <w:p w14:paraId="43DEEB5B">
      <w:pPr>
        <w:spacing w:before="240" w:after="240"/>
        <w:rPr>
          <w:color w:val="1155CC"/>
          <w:u w:val="single"/>
        </w:rPr>
      </w:pPr>
      <w:r>
        <w:t>Bujud, A.M.M., Ahmed, G.A., Shalabi, M.Y., Binmahfouz, B.S. and Hambishi, A.K., 2026. Leadership Styles and Their Influence on Healthcare Staff Performance and Patient Outcomes: A Comprehensive Analysis. Vascular and Endovascular Review, 9(1), pp.356-364.</w:t>
      </w:r>
      <w:r>
        <w:fldChar w:fldCharType="begin"/>
      </w:r>
      <w:r>
        <w:instrText xml:space="preserve"> HYPERLINK "http://verjournal.com/index.php/ver/article/view/1622" \h </w:instrText>
      </w:r>
      <w:r>
        <w:fldChar w:fldCharType="separate"/>
      </w:r>
      <w:r>
        <w:t xml:space="preserve"> </w:t>
      </w:r>
      <w:r>
        <w:fldChar w:fldCharType="end"/>
      </w:r>
      <w:r>
        <w:fldChar w:fldCharType="begin"/>
      </w:r>
      <w:r>
        <w:instrText xml:space="preserve"> HYPERLINK "http://verjournal.com/index.php/ver/article/view/1622" \h </w:instrText>
      </w:r>
      <w:r>
        <w:fldChar w:fldCharType="separate"/>
      </w:r>
      <w:r>
        <w:rPr>
          <w:color w:val="1155CC"/>
          <w:u w:val="single"/>
        </w:rPr>
        <w:t>http://verjournal.com/index.php/ver/article/view/1622</w:t>
      </w:r>
      <w:r>
        <w:rPr>
          <w:color w:val="1155CC"/>
          <w:u w:val="single"/>
        </w:rPr>
        <w:fldChar w:fldCharType="end"/>
      </w:r>
    </w:p>
    <w:p w14:paraId="60483292">
      <w:r>
        <w:t xml:space="preserve">Care Quality Commission (2023) </w:t>
      </w:r>
      <w:r>
        <w:rPr>
          <w:i/>
          <w:iCs/>
        </w:rPr>
        <w:t>The state of health care and adult social care in England 2022/23</w:t>
      </w:r>
      <w:r>
        <w:t>. Newcastle upon Tyne: Care Quality Commission. Available at:</w:t>
      </w:r>
      <w:r>
        <w:fldChar w:fldCharType="begin"/>
      </w:r>
      <w:r>
        <w:instrText xml:space="preserve"> HYPERLINK "https://www.cqc.org.uk/publications/major-report/state-care" \h </w:instrText>
      </w:r>
      <w:r>
        <w:fldChar w:fldCharType="separate"/>
      </w:r>
      <w:r>
        <w:t xml:space="preserve"> </w:t>
      </w:r>
      <w:r>
        <w:fldChar w:fldCharType="end"/>
      </w:r>
      <w:r>
        <w:fldChar w:fldCharType="begin"/>
      </w:r>
      <w:r>
        <w:instrText xml:space="preserve"> HYPERLINK "https://www.cqc.org.uk/publications/major-report/state-care" \h </w:instrText>
      </w:r>
      <w:r>
        <w:fldChar w:fldCharType="separate"/>
      </w:r>
      <w:r>
        <w:rPr>
          <w:color w:val="1155CC"/>
          <w:u w:val="single"/>
        </w:rPr>
        <w:t>https://www.cqc.org.uk/publications/major-report/state-care</w:t>
      </w:r>
      <w:r>
        <w:rPr>
          <w:color w:val="1155CC"/>
          <w:u w:val="single"/>
        </w:rPr>
        <w:fldChar w:fldCharType="end"/>
      </w:r>
      <w:r>
        <w:t xml:space="preserve"> (Accessed: 5 August 2026). </w:t>
      </w:r>
    </w:p>
    <w:p w14:paraId="549C9E33">
      <w:pPr>
        <w:spacing w:before="240" w:after="240"/>
        <w:rPr>
          <w:color w:val="1155CC"/>
          <w:u w:val="single"/>
        </w:rPr>
      </w:pPr>
      <w:r>
        <w:t>Camacho-Rodriguez, D.E., Carrasquilla-Baza, D.A., Dominguez-Cancino, K.A. and Palmieri, P.A., 2022. Patient safety culture in Latin American hospitals: a systematic review with meta-analysis. International journal of environmental research and public health, 19(21), p.14380.</w:t>
      </w:r>
      <w:r>
        <w:fldChar w:fldCharType="begin"/>
      </w:r>
      <w:r>
        <w:instrText xml:space="preserve"> HYPERLINK "https://www.mdpi.com/1660-4601/19/21/14380" \h </w:instrText>
      </w:r>
      <w:r>
        <w:fldChar w:fldCharType="separate"/>
      </w:r>
      <w:r>
        <w:t xml:space="preserve"> </w:t>
      </w:r>
      <w:r>
        <w:fldChar w:fldCharType="end"/>
      </w:r>
      <w:r>
        <w:fldChar w:fldCharType="begin"/>
      </w:r>
      <w:r>
        <w:instrText xml:space="preserve"> HYPERLINK "https://www.mdpi.com/1660-4601/19/21/14380" \h </w:instrText>
      </w:r>
      <w:r>
        <w:fldChar w:fldCharType="separate"/>
      </w:r>
      <w:r>
        <w:rPr>
          <w:color w:val="1155CC"/>
          <w:u w:val="single"/>
        </w:rPr>
        <w:t>https://www.mdpi.com/1660-4601/19/21/14380</w:t>
      </w:r>
      <w:r>
        <w:rPr>
          <w:color w:val="1155CC"/>
          <w:u w:val="single"/>
        </w:rPr>
        <w:fldChar w:fldCharType="end"/>
      </w:r>
    </w:p>
    <w:p w14:paraId="2D481313">
      <w:pPr>
        <w:spacing w:before="240" w:after="240"/>
        <w:rPr>
          <w:color w:val="1155CC"/>
          <w:u w:val="single"/>
        </w:rPr>
      </w:pPr>
      <w:r>
        <w:t>Challinor, A., Bifarin, O., Khedmati Morasae, E., Saini, P., Berzins, K. and Nathan, R., 2025. Systems thinking in mental health patient safety: A narrative review of complex adaptive systems. Journal of Evaluation in Clinical Practice, 31(4), p.e70080.</w:t>
      </w:r>
      <w:r>
        <w:fldChar w:fldCharType="begin"/>
      </w:r>
      <w:r>
        <w:instrText xml:space="preserve"> HYPERLINK "https://onlinelibrary.wiley.com/doi/full/10.1111/jep.70080" \h </w:instrText>
      </w:r>
      <w:r>
        <w:fldChar w:fldCharType="separate"/>
      </w:r>
      <w:r>
        <w:t xml:space="preserve"> </w:t>
      </w:r>
      <w:r>
        <w:fldChar w:fldCharType="end"/>
      </w:r>
      <w:r>
        <w:fldChar w:fldCharType="begin"/>
      </w:r>
      <w:r>
        <w:instrText xml:space="preserve"> HYPERLINK "https://onlinelibrary.wiley.com/doi/full/10.1111/jep.70080" \h </w:instrText>
      </w:r>
      <w:r>
        <w:fldChar w:fldCharType="separate"/>
      </w:r>
      <w:r>
        <w:rPr>
          <w:color w:val="1155CC"/>
          <w:u w:val="single"/>
        </w:rPr>
        <w:t>https://onlinelibrary.wiley.com/doi/full/10.1111/jep.70080</w:t>
      </w:r>
      <w:r>
        <w:rPr>
          <w:color w:val="1155CC"/>
          <w:u w:val="single"/>
        </w:rPr>
        <w:fldChar w:fldCharType="end"/>
      </w:r>
    </w:p>
    <w:p w14:paraId="4B597A5F">
      <w:pPr>
        <w:spacing w:before="240" w:after="240"/>
        <w:rPr>
          <w:color w:val="1155CC"/>
          <w:u w:val="single"/>
        </w:rPr>
      </w:pPr>
      <w:r>
        <w:t>Cho, Y., Lee, S.E., Kwak, M.J. and Lee, H.J., 2025. Impact of Clinical Nurses' Patient Safety Competency, Psychological Safety, and Nursing Unit Manager's Safety-Specific Transformational Leadership on Intention to Report Near Misses. Quality Improvement in Health Care, 31(2), pp.60-72.</w:t>
      </w:r>
      <w:r>
        <w:fldChar w:fldCharType="begin"/>
      </w:r>
      <w:r>
        <w:instrText xml:space="preserve"> HYPERLINK "https://www.qihjournal.org/journal/view.php?number=442" \h </w:instrText>
      </w:r>
      <w:r>
        <w:fldChar w:fldCharType="separate"/>
      </w:r>
      <w:r>
        <w:t xml:space="preserve"> </w:t>
      </w:r>
      <w:r>
        <w:fldChar w:fldCharType="end"/>
      </w:r>
      <w:r>
        <w:fldChar w:fldCharType="begin"/>
      </w:r>
      <w:r>
        <w:instrText xml:space="preserve"> HYPERLINK "https://www.qihjournal.org/journal/view.php?number=442" \h </w:instrText>
      </w:r>
      <w:r>
        <w:fldChar w:fldCharType="separate"/>
      </w:r>
      <w:r>
        <w:rPr>
          <w:color w:val="1155CC"/>
          <w:u w:val="single"/>
        </w:rPr>
        <w:t>https://www.qihjournal.org/journal/view.php?number=442</w:t>
      </w:r>
      <w:r>
        <w:rPr>
          <w:color w:val="1155CC"/>
          <w:u w:val="single"/>
        </w:rPr>
        <w:fldChar w:fldCharType="end"/>
      </w:r>
    </w:p>
    <w:p w14:paraId="44BF9B2F">
      <w:pPr>
        <w:spacing w:before="240" w:after="240"/>
        <w:rPr>
          <w:color w:val="1155CC"/>
          <w:u w:val="single"/>
        </w:rPr>
      </w:pPr>
      <w:r>
        <w:t>Dirik, H.F., Theiakouli, C. and Efstathiou, N., 2026. The Influence of Nursing Leadership Styles on Medication Safety: A Mixed‐Methods Systematic Review. International nursing review, 73(1), p.e70166.</w:t>
      </w:r>
      <w:r>
        <w:fldChar w:fldCharType="begin"/>
      </w:r>
      <w:r>
        <w:instrText xml:space="preserve"> HYPERLINK "https://onlinelibrary.wiley.com/doi/full/10.1111/inr.70166" \h </w:instrText>
      </w:r>
      <w:r>
        <w:fldChar w:fldCharType="separate"/>
      </w:r>
      <w:r>
        <w:t xml:space="preserve"> </w:t>
      </w:r>
      <w:r>
        <w:fldChar w:fldCharType="end"/>
      </w:r>
      <w:r>
        <w:fldChar w:fldCharType="begin"/>
      </w:r>
      <w:r>
        <w:instrText xml:space="preserve"> HYPERLINK "https://onlinelibrary.wiley.com/doi/full/10.1111/inr.70166" \h </w:instrText>
      </w:r>
      <w:r>
        <w:fldChar w:fldCharType="separate"/>
      </w:r>
      <w:r>
        <w:rPr>
          <w:color w:val="1155CC"/>
          <w:u w:val="single"/>
        </w:rPr>
        <w:t>https://onlinelibrary.wiley.com/doi/full/10.1111/inr.70166</w:t>
      </w:r>
      <w:r>
        <w:rPr>
          <w:color w:val="1155CC"/>
          <w:u w:val="single"/>
        </w:rPr>
        <w:fldChar w:fldCharType="end"/>
      </w:r>
    </w:p>
    <w:p w14:paraId="7FDD878D">
      <w:pPr>
        <w:spacing w:before="240" w:after="240"/>
      </w:pPr>
      <w:r>
        <w:t>Enahoro, A., Osunlaja, O., Maha, C.C., Kolawole, T.O. and Abdul, S., 2024. Reviewing healthcare quality improvement initiatives: Best practices in management and leadership. International Journal of Management &amp; Entrepreneurship Research, 6(6), pp.1869-1884. https://www.researchgate.net/profile/Chukwudi-Maha/publication/381194080_Reviewing_healthcare_quality_improvement_initiatives_Best_practices_in_management_and_leadership/links/66616b9b85a4ee7261a8f911/Reviewing-healthcare-quality-improvement-in-healthcare-quality-improvement-initiatives_Best-practices-in-management-and-leadership.pdf</w:t>
      </w:r>
    </w:p>
    <w:p w14:paraId="216BD9C7">
      <w:pPr>
        <w:spacing w:before="240" w:after="240"/>
      </w:pPr>
      <w:r>
        <w:t>GOV.UK. (2023). Prime Minister’s Office and Sunak, R. What the NHS Long Term Workforce Plan means for you. London: GOV.UK. Available at:</w:t>
      </w:r>
      <w:r>
        <w:fldChar w:fldCharType="begin"/>
      </w:r>
      <w:r>
        <w:instrText xml:space="preserve"> HYPERLINK "https://www.gov.uk/government/news/what-the-nhs-long-term-workforce-plan-means-for-you" \h </w:instrText>
      </w:r>
      <w:r>
        <w:fldChar w:fldCharType="separate"/>
      </w:r>
      <w:r>
        <w:t xml:space="preserve"> </w:t>
      </w:r>
      <w:r>
        <w:fldChar w:fldCharType="end"/>
      </w:r>
      <w:r>
        <w:fldChar w:fldCharType="begin"/>
      </w:r>
      <w:r>
        <w:instrText xml:space="preserve"> HYPERLINK "https://www.gov.uk/government/news/what-the-nhs-long-term-workforce-plan-means-for-you" \h </w:instrText>
      </w:r>
      <w:r>
        <w:fldChar w:fldCharType="separate"/>
      </w:r>
      <w:r>
        <w:rPr>
          <w:color w:val="1155CC"/>
          <w:u w:val="single"/>
        </w:rPr>
        <w:t>https://www.gov.uk/government/news/what-the-nhs-long-term-workforce-plan-means-for-you</w:t>
      </w:r>
      <w:r>
        <w:rPr>
          <w:color w:val="1155CC"/>
          <w:u w:val="single"/>
        </w:rPr>
        <w:fldChar w:fldCharType="end"/>
      </w:r>
      <w:r>
        <w:t xml:space="preserve"> (Accessed: 5 August 2026).</w:t>
      </w:r>
    </w:p>
    <w:p w14:paraId="6A4D9312">
      <w:pPr>
        <w:spacing w:before="240" w:after="240"/>
      </w:pPr>
      <w:r>
        <w:t>Grint, K., 2024. A Cartography of Resistance: Leadership, Management, and Command. Oxford University Press.</w:t>
      </w:r>
    </w:p>
    <w:p w14:paraId="31ED491C">
      <w:pPr>
        <w:spacing w:before="240" w:after="240"/>
        <w:rPr>
          <w:color w:val="1155CC"/>
          <w:u w:val="single"/>
        </w:rPr>
      </w:pPr>
      <w:r>
        <w:t>Hallam, K.T., Popovic, N. and Karimi, L., 2023. Identifying the key elements of psychologically safe workplaces in healthcare settings. Brain sciences, 13(10), p.1450.</w:t>
      </w:r>
      <w:r>
        <w:fldChar w:fldCharType="begin"/>
      </w:r>
      <w:r>
        <w:instrText xml:space="preserve"> HYPERLINK "https://www.mdpi.com/2076-3425/13/10/1450" \h </w:instrText>
      </w:r>
      <w:r>
        <w:fldChar w:fldCharType="separate"/>
      </w:r>
      <w:r>
        <w:t xml:space="preserve"> </w:t>
      </w:r>
      <w:r>
        <w:fldChar w:fldCharType="end"/>
      </w:r>
      <w:r>
        <w:fldChar w:fldCharType="begin"/>
      </w:r>
      <w:r>
        <w:instrText xml:space="preserve"> HYPERLINK "https://www.mdpi.com/2076-3425/13/10/1450" \h </w:instrText>
      </w:r>
      <w:r>
        <w:fldChar w:fldCharType="separate"/>
      </w:r>
      <w:r>
        <w:rPr>
          <w:color w:val="1155CC"/>
          <w:u w:val="single"/>
        </w:rPr>
        <w:t>https://www.mdpi.com/2076-3425/13/10/1450</w:t>
      </w:r>
      <w:r>
        <w:rPr>
          <w:color w:val="1155CC"/>
          <w:u w:val="single"/>
        </w:rPr>
        <w:fldChar w:fldCharType="end"/>
      </w:r>
    </w:p>
    <w:p w14:paraId="41A16EEF">
      <w:pPr>
        <w:spacing w:before="240" w:after="240"/>
      </w:pPr>
      <w:r>
        <w:t>Health Services Safety Investigations Body (HSSIB), 2025. Investigation report: Medication not given: anticoagulation before and after a procedure. 13 March. Available at:</w:t>
      </w:r>
      <w:r>
        <w:fldChar w:fldCharType="begin"/>
      </w:r>
      <w:r>
        <w:instrText xml:space="preserve"> HYPERLINK "https://www.hssib.org.uk/patient-safety-investigations/medication-related-harm/second-investigation-report/" \h </w:instrText>
      </w:r>
      <w:r>
        <w:fldChar w:fldCharType="separate"/>
      </w:r>
      <w:r>
        <w:t xml:space="preserve"> </w:t>
      </w:r>
      <w:r>
        <w:fldChar w:fldCharType="end"/>
      </w:r>
      <w:r>
        <w:fldChar w:fldCharType="begin"/>
      </w:r>
      <w:r>
        <w:instrText xml:space="preserve"> HYPERLINK "https://www.hssib.org.uk/patient-safety-investigations/medication-related-harm/second-investigation-report/" \h </w:instrText>
      </w:r>
      <w:r>
        <w:fldChar w:fldCharType="separate"/>
      </w:r>
      <w:r>
        <w:rPr>
          <w:color w:val="1155CC"/>
          <w:u w:val="single"/>
        </w:rPr>
        <w:t>https://www.hssib.org.uk/patient-safety-investigations/medication-related-harm/second-investigation-report/</w:t>
      </w:r>
      <w:r>
        <w:rPr>
          <w:color w:val="1155CC"/>
          <w:u w:val="single"/>
        </w:rPr>
        <w:fldChar w:fldCharType="end"/>
      </w:r>
      <w:r>
        <w:t xml:space="preserve"> (Accessed: 5 August 2026).</w:t>
      </w:r>
    </w:p>
    <w:p w14:paraId="06C4C570">
      <w:pPr>
        <w:spacing w:before="240" w:after="240"/>
      </w:pPr>
      <w:r>
        <w:t>Kazanskaia, A.N., 2025. Capacity Building in Developing Countries: Tools and Strategies for Sustainable Non-Profit Growth. Neya Global Publishing.</w:t>
      </w:r>
    </w:p>
    <w:p w14:paraId="03A8972E">
      <w:pPr>
        <w:spacing w:before="240" w:after="240"/>
        <w:rPr>
          <w:color w:val="1155CC"/>
          <w:u w:val="single"/>
        </w:rPr>
      </w:pPr>
      <w:r>
        <w:t>LaPlante, R.D., Ponte, P.R. and Magny-Normilus, C., 2025. Essential elements and outcomes of psychological safety in the healthcare practice setting: a systematic review. Applied Nursing Research, 83, p.151946.</w:t>
      </w:r>
      <w:r>
        <w:fldChar w:fldCharType="begin"/>
      </w:r>
      <w:r>
        <w:instrText xml:space="preserve"> HYPERLINK "https://www.sciencedirect.com/science/article/pii/S0897189725000485" \h </w:instrText>
      </w:r>
      <w:r>
        <w:fldChar w:fldCharType="separate"/>
      </w:r>
      <w:r>
        <w:t xml:space="preserve"> </w:t>
      </w:r>
      <w:r>
        <w:fldChar w:fldCharType="end"/>
      </w:r>
      <w:r>
        <w:fldChar w:fldCharType="begin"/>
      </w:r>
      <w:r>
        <w:instrText xml:space="preserve"> HYPERLINK "https://www.sciencedirect.com/science/article/pii/S0897189725000485" \h </w:instrText>
      </w:r>
      <w:r>
        <w:fldChar w:fldCharType="separate"/>
      </w:r>
      <w:r>
        <w:rPr>
          <w:color w:val="1155CC"/>
          <w:u w:val="single"/>
        </w:rPr>
        <w:t>https://www.sciencedirect.com/science/article/pii/S0897189725000485</w:t>
      </w:r>
      <w:r>
        <w:rPr>
          <w:color w:val="1155CC"/>
          <w:u w:val="single"/>
        </w:rPr>
        <w:fldChar w:fldCharType="end"/>
      </w:r>
    </w:p>
    <w:p w14:paraId="461D93DC">
      <w:pPr>
        <w:spacing w:before="240" w:after="240"/>
      </w:pPr>
      <w:r>
        <w:t>Maben, J., Ball, J. and Edmondson, A.C., 2023. Workplace conditions. Cambridge University Press.</w:t>
      </w:r>
    </w:p>
    <w:p w14:paraId="6D694B4D">
      <w:pPr>
        <w:spacing w:before="240" w:after="240"/>
      </w:pPr>
      <w:r>
        <w:t>NHS England (2022) Patient Safety Incident Response Framework (PSIRF). London: NHS England. Available at:</w:t>
      </w:r>
      <w:r>
        <w:fldChar w:fldCharType="begin"/>
      </w:r>
      <w:r>
        <w:instrText xml:space="preserve"> HYPERLINK "https://www.england.nhs.uk/patient-safety/patient-safety-insight/incident-response-framework/" \h </w:instrText>
      </w:r>
      <w:r>
        <w:fldChar w:fldCharType="separate"/>
      </w:r>
      <w:r>
        <w:t xml:space="preserve"> </w:t>
      </w:r>
      <w:r>
        <w:fldChar w:fldCharType="end"/>
      </w:r>
      <w:r>
        <w:fldChar w:fldCharType="begin"/>
      </w:r>
      <w:r>
        <w:instrText xml:space="preserve"> HYPERLINK "https://www.england.nhs.uk/patient-safety/patient-safety-insight/incident-response-framework/" \h </w:instrText>
      </w:r>
      <w:r>
        <w:fldChar w:fldCharType="separate"/>
      </w:r>
      <w:r>
        <w:rPr>
          <w:color w:val="1155CC"/>
          <w:u w:val="single"/>
        </w:rPr>
        <w:t>https://www.england.nhs.uk/patient-safety/patient-safety-insight/incident-response-framework/</w:t>
      </w:r>
      <w:r>
        <w:rPr>
          <w:color w:val="1155CC"/>
          <w:u w:val="single"/>
        </w:rPr>
        <w:fldChar w:fldCharType="end"/>
      </w:r>
      <w:r>
        <w:t xml:space="preserve"> (Accessed: 5 August 2026).</w:t>
      </w:r>
    </w:p>
    <w:p w14:paraId="15E0C9E1">
      <w:pPr>
        <w:spacing w:before="240" w:after="240"/>
      </w:pPr>
      <w:r>
        <w:t xml:space="preserve">NHS England (2023) </w:t>
      </w:r>
      <w:r>
        <w:rPr>
          <w:i/>
          <w:iCs/>
        </w:rPr>
        <w:t>The NHS Patient Safety Strategy: Safer culture, safer systems, safer patients</w:t>
      </w:r>
      <w:r>
        <w:t>. London: NHS England. Available at:</w:t>
      </w:r>
      <w:r>
        <w:fldChar w:fldCharType="begin"/>
      </w:r>
      <w:r>
        <w:instrText xml:space="preserve"> HYPERLINK "https://www.england.nhs.uk/patient-safety/the-nhs-patient-safety-strategy/" \h </w:instrText>
      </w:r>
      <w:r>
        <w:fldChar w:fldCharType="separate"/>
      </w:r>
      <w:r>
        <w:t xml:space="preserve"> </w:t>
      </w:r>
      <w:r>
        <w:fldChar w:fldCharType="end"/>
      </w:r>
      <w:r>
        <w:fldChar w:fldCharType="begin"/>
      </w:r>
      <w:r>
        <w:instrText xml:space="preserve"> HYPERLINK "https://www.england.nhs.uk/patient-safety/the-nhs-patient-safety-strategy/" \h </w:instrText>
      </w:r>
      <w:r>
        <w:fldChar w:fldCharType="separate"/>
      </w:r>
      <w:r>
        <w:rPr>
          <w:color w:val="1155CC"/>
          <w:u w:val="single"/>
        </w:rPr>
        <w:t>https://www.england.nhs.uk/patient-safety/the-nhs-patient-safety-strategy/</w:t>
      </w:r>
      <w:r>
        <w:rPr>
          <w:color w:val="1155CC"/>
          <w:u w:val="single"/>
        </w:rPr>
        <w:fldChar w:fldCharType="end"/>
      </w:r>
      <w:r>
        <w:t xml:space="preserve"> (Accessed: 5 August 2026). </w:t>
      </w:r>
    </w:p>
    <w:p w14:paraId="30D0E52E">
      <w:pPr>
        <w:spacing w:before="240" w:after="240"/>
      </w:pPr>
      <w:r>
        <w:t>NHS Employers (2026) NHS Staff Survey results 2025: 2025 NHS Staff Survey shows mostly stable results, with declines in advocacy and wellbeing and rising stress levels. Available at:</w:t>
      </w:r>
      <w:r>
        <w:fldChar w:fldCharType="begin"/>
      </w:r>
      <w:r>
        <w:instrText xml:space="preserve"> HYPERLINK "https://www.nhsemployers.org/news/nhs-staff-survey-results-2025" \h </w:instrText>
      </w:r>
      <w:r>
        <w:fldChar w:fldCharType="separate"/>
      </w:r>
      <w:r>
        <w:t xml:space="preserve"> </w:t>
      </w:r>
      <w:r>
        <w:fldChar w:fldCharType="end"/>
      </w:r>
      <w:r>
        <w:fldChar w:fldCharType="begin"/>
      </w:r>
      <w:r>
        <w:instrText xml:space="preserve"> HYPERLINK "https://www.nhsemployers.org/news/nhs-staff-survey-results-2025" \h </w:instrText>
      </w:r>
      <w:r>
        <w:fldChar w:fldCharType="separate"/>
      </w:r>
      <w:r>
        <w:rPr>
          <w:color w:val="1155CC"/>
          <w:u w:val="single"/>
        </w:rPr>
        <w:t>https://www.nhsemployers.org/news/nhs-staff-survey-results-2025</w:t>
      </w:r>
      <w:r>
        <w:rPr>
          <w:color w:val="1155CC"/>
          <w:u w:val="single"/>
        </w:rPr>
        <w:fldChar w:fldCharType="end"/>
      </w:r>
      <w:r>
        <w:t xml:space="preserve"> (Accessed: 5 August 2026).</w:t>
      </w:r>
    </w:p>
    <w:p w14:paraId="622CC842">
      <w:pPr>
        <w:spacing w:before="240" w:after="240"/>
      </w:pPr>
      <w:r>
        <w:t>Northouse, P.G. and Lee, M., 2025. Leadership case studies in education. Sage Publications.</w:t>
      </w:r>
    </w:p>
    <w:p w14:paraId="2219A550">
      <w:pPr>
        <w:spacing w:before="240" w:after="240"/>
      </w:pPr>
      <w:r>
        <w:t>Online CPD Academy (2026) Medication Error Statistics UK: The Definitive Guide (2026). Available at:</w:t>
      </w:r>
      <w:r>
        <w:fldChar w:fldCharType="begin"/>
      </w:r>
      <w:r>
        <w:instrText xml:space="preserve"> HYPERLINK "https://www.onlinecpdacademy.co.uk/blog/medication-error-statistics-uk" \h </w:instrText>
      </w:r>
      <w:r>
        <w:fldChar w:fldCharType="separate"/>
      </w:r>
      <w:r>
        <w:t xml:space="preserve"> </w:t>
      </w:r>
      <w:r>
        <w:fldChar w:fldCharType="end"/>
      </w:r>
      <w:r>
        <w:fldChar w:fldCharType="begin"/>
      </w:r>
      <w:r>
        <w:instrText xml:space="preserve"> HYPERLINK "https://www.onlinecpdacademy.co.uk/blog/medication-error-statistics-uk" \h </w:instrText>
      </w:r>
      <w:r>
        <w:fldChar w:fldCharType="separate"/>
      </w:r>
      <w:r>
        <w:rPr>
          <w:color w:val="1155CC"/>
          <w:u w:val="single"/>
        </w:rPr>
        <w:t>https://www.onlinecpdacademy.co.uk/blog/medication-error-statistics-uk</w:t>
      </w:r>
      <w:r>
        <w:rPr>
          <w:color w:val="1155CC"/>
          <w:u w:val="single"/>
        </w:rPr>
        <w:fldChar w:fldCharType="end"/>
      </w:r>
      <w:r>
        <w:t xml:space="preserve"> (Accessed: 5 August 2026).</w:t>
      </w:r>
    </w:p>
    <w:p w14:paraId="20899711">
      <w:pPr>
        <w:spacing w:before="240" w:after="240"/>
        <w:rPr>
          <w:color w:val="1155CC"/>
          <w:u w:val="single"/>
        </w:rPr>
      </w:pPr>
      <w:r>
        <w:t>Peddie, N., Hoegh, J., Rice, G., Shetty, S., Ure, A. and Cogan, N., 2025. Health and social care professionals’ experience of psychological safety within their occupational setting: a thematic synthesis review. Nursing Reports, 15(4), p.131.</w:t>
      </w:r>
      <w:r>
        <w:fldChar w:fldCharType="begin"/>
      </w:r>
      <w:r>
        <w:instrText xml:space="preserve"> HYPERLINK "https://www.mdpi.com/2039-4403/15/4/131" \h </w:instrText>
      </w:r>
      <w:r>
        <w:fldChar w:fldCharType="separate"/>
      </w:r>
      <w:r>
        <w:t xml:space="preserve"> </w:t>
      </w:r>
      <w:r>
        <w:fldChar w:fldCharType="end"/>
      </w:r>
      <w:r>
        <w:fldChar w:fldCharType="begin"/>
      </w:r>
      <w:r>
        <w:instrText xml:space="preserve"> HYPERLINK "https://www.mdpi.com/2039-4403/15/4/131" \h </w:instrText>
      </w:r>
      <w:r>
        <w:fldChar w:fldCharType="separate"/>
      </w:r>
      <w:r>
        <w:rPr>
          <w:color w:val="1155CC"/>
          <w:u w:val="single"/>
        </w:rPr>
        <w:t>https://www.mdpi.com/2039-4403/15/4/131</w:t>
      </w:r>
      <w:r>
        <w:rPr>
          <w:color w:val="1155CC"/>
          <w:u w:val="single"/>
        </w:rPr>
        <w:fldChar w:fldCharType="end"/>
      </w:r>
    </w:p>
    <w:p w14:paraId="3077C3B9">
      <w:pPr>
        <w:spacing w:before="240" w:after="240"/>
        <w:rPr>
          <w:color w:val="1155CC"/>
          <w:u w:val="single"/>
        </w:rPr>
      </w:pPr>
      <w:r>
        <w:t>Phuong, J.M., Higgerson, J., Pearce, E.L., Willis, S.C. and Schafheutle, E.I., 2026. Developing Compassionate Leadership in the UK in Healthcare Contexts: A Narrative Review of Leadership Programmes and Outcomes. Journal of Healthcare Leadership, p.585297.</w:t>
      </w:r>
      <w:r>
        <w:fldChar w:fldCharType="begin"/>
      </w:r>
      <w:r>
        <w:instrText xml:space="preserve"> HYPERLINK "https://www.tandfonline.com/doi/full/10.2147/JHL.S585297" \h </w:instrText>
      </w:r>
      <w:r>
        <w:fldChar w:fldCharType="separate"/>
      </w:r>
      <w:r>
        <w:t xml:space="preserve"> </w:t>
      </w:r>
      <w:r>
        <w:fldChar w:fldCharType="end"/>
      </w:r>
      <w:r>
        <w:fldChar w:fldCharType="begin"/>
      </w:r>
      <w:r>
        <w:instrText xml:space="preserve"> HYPERLINK "https://www.tandfonline.com/doi/full/10.2147/JHL.S585297" \h </w:instrText>
      </w:r>
      <w:r>
        <w:fldChar w:fldCharType="separate"/>
      </w:r>
      <w:r>
        <w:rPr>
          <w:color w:val="1155CC"/>
          <w:u w:val="single"/>
        </w:rPr>
        <w:t>https://www.tandfonline.com/doi/full/10.2147/JHL.S585297</w:t>
      </w:r>
      <w:r>
        <w:rPr>
          <w:color w:val="1155CC"/>
          <w:u w:val="single"/>
        </w:rPr>
        <w:fldChar w:fldCharType="end"/>
      </w:r>
    </w:p>
    <w:p w14:paraId="53BF0172">
      <w:pPr>
        <w:spacing w:before="240" w:after="240"/>
      </w:pPr>
      <w:r>
        <w:t>Salmon, P.M., Stanton, N.A., Walker, G.H., Hulme, A., Goode, N., Thompson, J. and Read, G.J., 2022. Handbook of systems thinking methods. CRC Press.</w:t>
      </w:r>
    </w:p>
    <w:p w14:paraId="38DD26B2">
      <w:pPr>
        <w:spacing w:before="240" w:after="240"/>
        <w:rPr>
          <w:color w:val="1155CC"/>
          <w:u w:val="single"/>
        </w:rPr>
      </w:pPr>
      <w:r>
        <w:t>Tangatarova, S. and Gao, Y., 2021. Transformational leadership and patient safety in hospital: Transformational leadership and patient safety in hospital. International Journal of Research in Business and Social Science (2147-4478), 10(2), pp.106-122.</w:t>
      </w:r>
      <w:r>
        <w:fldChar w:fldCharType="begin"/>
      </w:r>
      <w:r>
        <w:instrText xml:space="preserve"> HYPERLINK "https://ideas.repec.org/a/rbs/ijbrss/v10y2021i2p106-122.html" \h </w:instrText>
      </w:r>
      <w:r>
        <w:fldChar w:fldCharType="separate"/>
      </w:r>
      <w:r>
        <w:t xml:space="preserve"> </w:t>
      </w:r>
      <w:r>
        <w:fldChar w:fldCharType="end"/>
      </w:r>
      <w:r>
        <w:fldChar w:fldCharType="begin"/>
      </w:r>
      <w:r>
        <w:instrText xml:space="preserve"> HYPERLINK "https://ideas.repec.org/a/rbs/ijbrss/v10y2021i2p106-122.html" \h </w:instrText>
      </w:r>
      <w:r>
        <w:fldChar w:fldCharType="separate"/>
      </w:r>
      <w:r>
        <w:rPr>
          <w:color w:val="1155CC"/>
          <w:u w:val="single"/>
        </w:rPr>
        <w:t>https://ideas.repec.org/a/rbs/ijbrss/v10y2021i2p106-122.html</w:t>
      </w:r>
      <w:r>
        <w:rPr>
          <w:color w:val="1155CC"/>
          <w:u w:val="single"/>
        </w:rPr>
        <w:fldChar w:fldCharType="end"/>
      </w:r>
    </w:p>
    <w:p w14:paraId="640C920F">
      <w:pPr>
        <w:spacing w:before="240" w:after="240"/>
      </w:pPr>
      <w:r>
        <w:t>The King’s Fund (2024) The King’s Fund submission to the Health and Social Care Committee inquiry on NHS leadership, performance and patient safety. London: The King’s Fund. Available at:</w:t>
      </w:r>
      <w:r>
        <w:fldChar w:fldCharType="begin"/>
      </w:r>
      <w:r>
        <w:instrText xml:space="preserve"> HYPERLINK "https://www.kingsfund.org.uk" \h </w:instrText>
      </w:r>
      <w:r>
        <w:fldChar w:fldCharType="separate"/>
      </w:r>
      <w:r>
        <w:t xml:space="preserve"> </w:t>
      </w:r>
      <w:r>
        <w:fldChar w:fldCharType="end"/>
      </w:r>
      <w:r>
        <w:fldChar w:fldCharType="begin"/>
      </w:r>
      <w:r>
        <w:instrText xml:space="preserve"> HYPERLINK "https://www.kingsfund.org.uk" \h </w:instrText>
      </w:r>
      <w:r>
        <w:fldChar w:fldCharType="separate"/>
      </w:r>
      <w:r>
        <w:rPr>
          <w:color w:val="1155CC"/>
          <w:u w:val="single"/>
        </w:rPr>
        <w:t>https://www.kingsfund.org.uk</w:t>
      </w:r>
      <w:r>
        <w:rPr>
          <w:color w:val="1155CC"/>
          <w:u w:val="single"/>
        </w:rPr>
        <w:fldChar w:fldCharType="end"/>
      </w:r>
      <w:r>
        <w:t xml:space="preserve"> (Accessed: 5 August 2026).</w:t>
      </w:r>
    </w:p>
    <w:p w14:paraId="60BDE821">
      <w:pPr>
        <w:spacing w:before="240" w:after="240"/>
      </w:pPr>
      <w:r>
        <w:t>World Health Organization (2021) Global Patient Safety Action Plan 2021–2030: Towards Eliminating Avoidable Harm in Health Care. Geneva: World Health Organization. Available at:</w:t>
      </w:r>
      <w:r>
        <w:fldChar w:fldCharType="begin"/>
      </w:r>
      <w:r>
        <w:instrText xml:space="preserve"> HYPERLINK "https://www.who.int/teams/integrated-health-services/patient-safety/policy/global-patient-safety-action-plan-2021-2030" \h </w:instrText>
      </w:r>
      <w:r>
        <w:fldChar w:fldCharType="separate"/>
      </w:r>
      <w:r>
        <w:t xml:space="preserve"> </w:t>
      </w:r>
      <w:r>
        <w:fldChar w:fldCharType="end"/>
      </w:r>
      <w:r>
        <w:fldChar w:fldCharType="begin"/>
      </w:r>
      <w:r>
        <w:instrText xml:space="preserve"> HYPERLINK "https://www.who.int/teams/integrated-health-services/patient-safety/policy/global-patient-safety-action-plan-2021-2030" \h </w:instrText>
      </w:r>
      <w:r>
        <w:fldChar w:fldCharType="separate"/>
      </w:r>
      <w:r>
        <w:rPr>
          <w:color w:val="1155CC"/>
          <w:u w:val="single"/>
        </w:rPr>
        <w:t>https://www.who.int/teams/integrated-health-services/patient-safety/policy/global-patient-safety-action-plan-2021-2030</w:t>
      </w:r>
      <w:r>
        <w:rPr>
          <w:color w:val="1155CC"/>
          <w:u w:val="single"/>
        </w:rPr>
        <w:fldChar w:fldCharType="end"/>
      </w:r>
      <w:r>
        <w:t xml:space="preserve"> (Accessed: 5 August 2026).</w:t>
      </w:r>
    </w:p>
    <w:p w14:paraId="3536DFB2">
      <w:pPr>
        <w:spacing w:before="240" w:after="240"/>
      </w:pPr>
      <w:r>
        <w:t>World Health Organization (2024) Global Patient Safety Report 2024. Geneva: World Health Organization. Available at:</w:t>
      </w:r>
      <w:r>
        <w:fldChar w:fldCharType="begin"/>
      </w:r>
      <w:r>
        <w:instrText xml:space="preserve"> HYPERLINK "https://www.who.int/publications/i/item/9789240095458" \h </w:instrText>
      </w:r>
      <w:r>
        <w:fldChar w:fldCharType="separate"/>
      </w:r>
      <w:r>
        <w:t xml:space="preserve"> </w:t>
      </w:r>
      <w:r>
        <w:fldChar w:fldCharType="end"/>
      </w:r>
      <w:r>
        <w:fldChar w:fldCharType="begin"/>
      </w:r>
      <w:r>
        <w:instrText xml:space="preserve"> HYPERLINK "https://www.who.int/publications/i/item/9789240095458" \h </w:instrText>
      </w:r>
      <w:r>
        <w:fldChar w:fldCharType="separate"/>
      </w:r>
      <w:r>
        <w:rPr>
          <w:color w:val="1155CC"/>
          <w:u w:val="single"/>
        </w:rPr>
        <w:t>https://www.who.int/publications/i/item/9789240095458</w:t>
      </w:r>
      <w:r>
        <w:rPr>
          <w:color w:val="1155CC"/>
          <w:u w:val="single"/>
        </w:rPr>
        <w:fldChar w:fldCharType="end"/>
      </w:r>
      <w:r>
        <w:t xml:space="preserve"> (Accessed: 5 August 2026).</w:t>
      </w:r>
    </w:p>
    <w:p w14:paraId="7914D460">
      <w:pPr>
        <w:spacing w:before="240" w:after="240"/>
        <w:rPr>
          <w:color w:val="1155CC"/>
          <w:u w:val="single"/>
        </w:rPr>
      </w:pPr>
      <w:r>
        <w:t>Yabal, J., Kamau, S., Tomietto, M. and Mikkonen, K., 2026. Psychological Safety of Culturally and Linguistically Diverse Nurses in Healthcare Work Environments—Systematic Review of Mixed‐Methodology. Journal of Advanced Nursing.</w:t>
      </w:r>
      <w:r>
        <w:fldChar w:fldCharType="begin"/>
      </w:r>
      <w:r>
        <w:instrText xml:space="preserve"> HYPERLINK "https://onlinelibrary.wiley.com/doi/full/10.1111/jan.70575" \h </w:instrText>
      </w:r>
      <w:r>
        <w:fldChar w:fldCharType="separate"/>
      </w:r>
      <w:r>
        <w:t xml:space="preserve"> </w:t>
      </w:r>
      <w:r>
        <w:fldChar w:fldCharType="end"/>
      </w:r>
      <w:r>
        <w:fldChar w:fldCharType="begin"/>
      </w:r>
      <w:r>
        <w:instrText xml:space="preserve"> HYPERLINK "https://onlinelibrary.wiley.com/doi/full/10.1111/jan.70575" \h </w:instrText>
      </w:r>
      <w:r>
        <w:fldChar w:fldCharType="separate"/>
      </w:r>
      <w:r>
        <w:rPr>
          <w:color w:val="1155CC"/>
          <w:u w:val="single"/>
        </w:rPr>
        <w:t>https://onlinelibrary.wiley.com/doi/full/10.1111/jan.70575</w:t>
      </w:r>
      <w:r>
        <w:rPr>
          <w:color w:val="1155CC"/>
          <w:u w:val="single"/>
        </w:rPr>
        <w:fldChar w:fldCharType="end"/>
      </w:r>
    </w:p>
    <w:p w14:paraId="4322B814"/>
    <w:sectPr>
      <w:footerReference r:id="rId5" w:type="default"/>
      <w:pgSz w:w="11909" w:h="16834"/>
      <w:pgMar w:top="1440" w:right="1440" w:bottom="1440" w:left="1440" w:header="720" w:footer="720" w:gutter="0"/>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7EAE8D8F-39ED-42E3-9199-D2386D09045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AD12B7C2-29BA-4F18-B68D-4F3FC5F2BFAC}"/>
  </w:font>
  <w:font w:name="Wingdings">
    <w:panose1 w:val="05000000000000000000"/>
    <w:charset w:val="02"/>
    <w:family w:val="auto"/>
    <w:pitch w:val="default"/>
    <w:sig w:usb0="00000000" w:usb1="00000000" w:usb2="00000000" w:usb3="00000000" w:csb0="80000000" w:csb1="00000000"/>
    <w:embedRegular r:id="rId3" w:fontKey="{2C38A20B-063B-4FFD-8790-B32DDB7C9BD2}"/>
  </w:font>
  <w:font w:name="Calibri">
    <w:panose1 w:val="020F0502020204030204"/>
    <w:charset w:val="00"/>
    <w:family w:val="swiss"/>
    <w:pitch w:val="default"/>
    <w:sig w:usb0="E4002EFF" w:usb1="C200247B" w:usb2="00000009" w:usb3="00000000" w:csb0="200001FF" w:csb1="00000000"/>
    <w:embedRegular r:id="rId4" w:fontKey="{11B201F7-4E20-4CD7-BFAA-EBDB23483DAF}"/>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24640021"/>
      <w:docPartObj>
        <w:docPartGallery w:val="AutoText"/>
      </w:docPartObj>
    </w:sdtPr>
    <w:sdtContent>
      <w:p w14:paraId="0FA027D7">
        <w:pPr>
          <w:pStyle w:val="10"/>
          <w:jc w:val="right"/>
        </w:pPr>
        <w:r>
          <w:fldChar w:fldCharType="begin"/>
        </w:r>
        <w:r>
          <w:instrText xml:space="preserve"> PAGE   \* MERGEFORMAT </w:instrText>
        </w:r>
        <w:r>
          <w:fldChar w:fldCharType="separate"/>
        </w:r>
        <w:r>
          <w:t>2</w:t>
        </w:r>
        <w:r>
          <w:fldChar w:fldCharType="end"/>
        </w:r>
      </w:p>
    </w:sdtContent>
  </w:sdt>
  <w:p w14:paraId="1B9EDB28">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9D2"/>
    <w:rsid w:val="0047643A"/>
    <w:rsid w:val="006C39D2"/>
    <w:rsid w:val="00F67CB4"/>
    <w:rsid w:val="06CB23AE"/>
    <w:rsid w:val="5E50286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bCs/>
    </w:rPr>
  </w:style>
  <w:style w:type="paragraph" w:styleId="3">
    <w:name w:val="heading 2"/>
    <w:basedOn w:val="1"/>
    <w:next w:val="1"/>
    <w:unhideWhenUsed/>
    <w:qFormat/>
    <w:uiPriority w:val="9"/>
    <w:pPr>
      <w:keepNext/>
      <w:keepLines/>
      <w:outlineLvl w:val="1"/>
    </w:pPr>
    <w:rPr>
      <w:b/>
      <w:bCs/>
    </w:rPr>
  </w:style>
  <w:style w:type="paragraph" w:styleId="4">
    <w:name w:val="heading 3"/>
    <w:basedOn w:val="1"/>
    <w:next w:val="1"/>
    <w:unhideWhenUsed/>
    <w:qFormat/>
    <w:uiPriority w:val="9"/>
    <w:pPr>
      <w:keepNext/>
      <w:keepLines/>
      <w:spacing w:before="360" w:after="80"/>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3"/>
    <w:unhideWhenUsed/>
    <w:qFormat/>
    <w:uiPriority w:val="99"/>
    <w:pPr>
      <w:tabs>
        <w:tab w:val="center" w:pos="4513"/>
        <w:tab w:val="right" w:pos="9026"/>
      </w:tabs>
      <w:spacing w:after="0" w:line="240" w:lineRule="auto"/>
    </w:pPr>
  </w:style>
  <w:style w:type="paragraph" w:styleId="11">
    <w:name w:val="header"/>
    <w:basedOn w:val="1"/>
    <w:link w:val="22"/>
    <w:unhideWhenUsed/>
    <w:uiPriority w:val="99"/>
    <w:pPr>
      <w:tabs>
        <w:tab w:val="center" w:pos="4513"/>
        <w:tab w:val="right" w:pos="9026"/>
      </w:tabs>
      <w:spacing w:after="0"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rFonts w:ascii="Arial" w:hAnsi="Arial" w:eastAsia="Arial" w:cs="Arial"/>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uiPriority w:val="39"/>
    <w:pPr>
      <w:spacing w:after="100"/>
      <w:ind w:left="240"/>
    </w:pPr>
  </w:style>
  <w:style w:type="paragraph" w:styleId="17">
    <w:name w:val="toc 3"/>
    <w:basedOn w:val="1"/>
    <w:next w:val="1"/>
    <w:autoRedefine/>
    <w:unhideWhenUsed/>
    <w:uiPriority w:val="39"/>
    <w:pPr>
      <w:spacing w:after="100"/>
      <w:ind w:left="480"/>
    </w:pPr>
  </w:style>
  <w:style w:type="table" w:customStyle="1" w:styleId="18">
    <w:name w:val="TableNormal"/>
    <w:qFormat/>
    <w:uiPriority w:val="0"/>
    <w:tblPr>
      <w:tblCellMar>
        <w:top w:w="100" w:type="dxa"/>
        <w:left w:w="100" w:type="dxa"/>
        <w:bottom w:w="100" w:type="dxa"/>
        <w:right w:w="100" w:type="dxa"/>
      </w:tblCellMar>
    </w:tblPr>
  </w:style>
  <w:style w:type="table" w:customStyle="1" w:styleId="19">
    <w:name w:val="_Style 12"/>
    <w:basedOn w:val="18"/>
    <w:qFormat/>
    <w:uiPriority w:val="0"/>
  </w:style>
  <w:style w:type="table" w:customStyle="1" w:styleId="20">
    <w:name w:val="_Style 13"/>
    <w:basedOn w:val="18"/>
    <w:uiPriority w:val="0"/>
  </w:style>
  <w:style w:type="table" w:customStyle="1" w:styleId="21">
    <w:name w:val="_Style 14"/>
    <w:basedOn w:val="18"/>
    <w:qFormat/>
    <w:uiPriority w:val="0"/>
  </w:style>
  <w:style w:type="character" w:customStyle="1" w:styleId="22">
    <w:name w:val="Header Char"/>
    <w:basedOn w:val="8"/>
    <w:link w:val="11"/>
    <w:qFormat/>
    <w:uiPriority w:val="99"/>
  </w:style>
  <w:style w:type="character" w:customStyle="1" w:styleId="23">
    <w:name w:val="Footer Char"/>
    <w:basedOn w:val="8"/>
    <w:link w:val="10"/>
    <w:uiPriority w:val="99"/>
  </w:style>
  <w:style w:type="paragraph" w:customStyle="1" w:styleId="24">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9A9D2-4ADC-4482-AF85-CFEFA699E21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5935</Words>
  <Characters>38056</Characters>
  <DocSecurity>0</DocSecurity>
  <Lines>356</Lines>
  <Paragraphs>100</Paragraphs>
  <ScaleCrop>false</ScaleCrop>
  <LinksUpToDate>false</LinksUpToDate>
  <CharactersWithSpaces>43882</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2026-08-05T11:17:00Z</dcterms:created>
  <dcterms:modified xsi:type="dcterms:W3CDTF">2026-08-05T17:29:26Z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C651DE0E7F3B42CD9B2E4A9294D3A693_12</vt:lpwstr>
  </property>
</Properties>
</file>