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98A90" w14:textId="6345A2FA" w:rsidR="00661CA6" w:rsidRDefault="00B61E82" w:rsidP="00661CA6">
      <w:pPr>
        <w:spacing w:line="360" w:lineRule="auto"/>
        <w:jc w:val="center"/>
        <w:rPr>
          <w:b/>
          <w:bCs/>
          <w:lang w:val="en-GB"/>
        </w:rPr>
      </w:pPr>
      <w:r>
        <w:rPr>
          <w:b/>
          <w:bCs/>
          <w:noProof/>
          <w:lang w:val="en-GB"/>
        </w:rPr>
        <w:drawing>
          <wp:inline distT="0" distB="0" distL="0" distR="0" wp14:anchorId="60D6B524" wp14:editId="5A3314B6">
            <wp:extent cx="4114800" cy="2004060"/>
            <wp:effectExtent l="0" t="0" r="0" b="0"/>
            <wp:docPr id="2085143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2004060"/>
                    </a:xfrm>
                    <a:prstGeom prst="rect">
                      <a:avLst/>
                    </a:prstGeom>
                    <a:noFill/>
                  </pic:spPr>
                </pic:pic>
              </a:graphicData>
            </a:graphic>
          </wp:inline>
        </w:drawing>
      </w:r>
    </w:p>
    <w:p w14:paraId="214AC929" w14:textId="77777777" w:rsidR="00661CA6" w:rsidRDefault="00661CA6" w:rsidP="00661CA6">
      <w:pPr>
        <w:spacing w:line="360" w:lineRule="auto"/>
        <w:jc w:val="center"/>
        <w:rPr>
          <w:b/>
          <w:bCs/>
          <w:lang w:val="en-GB"/>
        </w:rPr>
      </w:pPr>
    </w:p>
    <w:p w14:paraId="0EE0EE86" w14:textId="77777777" w:rsidR="00661CA6" w:rsidRDefault="00661CA6" w:rsidP="00661CA6">
      <w:pPr>
        <w:spacing w:line="360" w:lineRule="auto"/>
        <w:jc w:val="center"/>
        <w:rPr>
          <w:b/>
          <w:bCs/>
          <w:lang w:val="en-GB"/>
        </w:rPr>
      </w:pPr>
    </w:p>
    <w:p w14:paraId="3536DBE6" w14:textId="4D13E264" w:rsidR="00661CA6" w:rsidRPr="00661CA6" w:rsidRDefault="003B7FC5" w:rsidP="00661CA6">
      <w:pPr>
        <w:spacing w:line="360" w:lineRule="auto"/>
        <w:jc w:val="center"/>
        <w:rPr>
          <w:b/>
          <w:bCs/>
          <w:lang w:val="en-GB"/>
        </w:rPr>
      </w:pPr>
      <w:r w:rsidRPr="003B7FC5">
        <w:rPr>
          <w:b/>
          <w:bCs/>
          <w:lang w:val="en-GB"/>
        </w:rPr>
        <w:t xml:space="preserve">Module name and code: </w:t>
      </w:r>
      <w:r w:rsidRPr="003B7FC5">
        <w:rPr>
          <w:b/>
          <w:bCs/>
          <w:i/>
          <w:iCs/>
          <w:lang w:val="en-GB"/>
        </w:rPr>
        <w:t>Financial Management (LCMB7002)</w:t>
      </w:r>
    </w:p>
    <w:p w14:paraId="317D8270" w14:textId="77777777" w:rsidR="00661CA6" w:rsidRPr="00661CA6" w:rsidRDefault="003B7FC5" w:rsidP="00661CA6">
      <w:pPr>
        <w:spacing w:line="360" w:lineRule="auto"/>
        <w:jc w:val="center"/>
        <w:rPr>
          <w:b/>
          <w:bCs/>
          <w:sz w:val="28"/>
          <w:szCs w:val="28"/>
          <w:lang w:val="en-GB"/>
        </w:rPr>
      </w:pPr>
      <w:r w:rsidRPr="003B7FC5">
        <w:rPr>
          <w:b/>
          <w:bCs/>
          <w:sz w:val="28"/>
          <w:szCs w:val="28"/>
          <w:lang w:val="en-GB"/>
        </w:rPr>
        <w:t xml:space="preserve">Assessment title: </w:t>
      </w:r>
      <w:r w:rsidRPr="003B7FC5">
        <w:rPr>
          <w:b/>
          <w:bCs/>
          <w:i/>
          <w:iCs/>
          <w:sz w:val="28"/>
          <w:szCs w:val="28"/>
          <w:lang w:val="en-GB"/>
        </w:rPr>
        <w:t>Financial Performance and Management – Strategic CFO Challenge: Saving a Failing Global Firm</w:t>
      </w:r>
    </w:p>
    <w:p w14:paraId="4EF2771E" w14:textId="77777777" w:rsidR="00661CA6" w:rsidRPr="00661CA6" w:rsidRDefault="003B7FC5" w:rsidP="00661CA6">
      <w:pPr>
        <w:spacing w:line="360" w:lineRule="auto"/>
        <w:jc w:val="center"/>
        <w:rPr>
          <w:b/>
          <w:bCs/>
          <w:lang w:val="en-GB"/>
        </w:rPr>
      </w:pPr>
      <w:r w:rsidRPr="003B7FC5">
        <w:rPr>
          <w:b/>
          <w:bCs/>
          <w:lang w:val="en-GB"/>
        </w:rPr>
        <w:t>Lecturer: Patrick Yeboah</w:t>
      </w:r>
    </w:p>
    <w:p w14:paraId="6534C0DB" w14:textId="511F81B7" w:rsidR="00661CA6" w:rsidRPr="00661CA6" w:rsidRDefault="003B7FC5" w:rsidP="00661CA6">
      <w:pPr>
        <w:spacing w:line="360" w:lineRule="auto"/>
        <w:jc w:val="center"/>
        <w:rPr>
          <w:b/>
          <w:bCs/>
          <w:lang w:val="en-GB"/>
        </w:rPr>
      </w:pPr>
      <w:r w:rsidRPr="003B7FC5">
        <w:rPr>
          <w:b/>
          <w:bCs/>
          <w:lang w:val="en-GB"/>
        </w:rPr>
        <w:t xml:space="preserve">Student name &amp; </w:t>
      </w:r>
      <w:proofErr w:type="gramStart"/>
      <w:r w:rsidRPr="003B7FC5">
        <w:rPr>
          <w:b/>
          <w:bCs/>
          <w:lang w:val="en-GB"/>
        </w:rPr>
        <w:t>ID</w:t>
      </w:r>
      <w:r w:rsidR="00E87C09">
        <w:rPr>
          <w:b/>
          <w:bCs/>
          <w:lang w:val="en-GB"/>
        </w:rPr>
        <w:t xml:space="preserve"> </w:t>
      </w:r>
      <w:r w:rsidR="00661CA6" w:rsidRPr="00661CA6">
        <w:rPr>
          <w:b/>
          <w:bCs/>
          <w:lang w:val="en-GB"/>
        </w:rPr>
        <w:t>:</w:t>
      </w:r>
      <w:proofErr w:type="gramEnd"/>
      <w:r w:rsidR="00E87C09">
        <w:rPr>
          <w:b/>
          <w:bCs/>
          <w:lang w:val="en-GB"/>
        </w:rPr>
        <w:t xml:space="preserve"> </w:t>
      </w:r>
      <w:r w:rsidR="00AC412C">
        <w:rPr>
          <w:b/>
          <w:bCs/>
          <w:lang w:val="en-GB"/>
        </w:rPr>
        <w:t xml:space="preserve"> </w:t>
      </w:r>
      <w:r w:rsidR="00A0450A">
        <w:rPr>
          <w:b/>
          <w:bCs/>
          <w:lang w:val="en-GB"/>
        </w:rPr>
        <w:t xml:space="preserve">ANIKET RAJVANSH </w:t>
      </w:r>
    </w:p>
    <w:p w14:paraId="059777D4" w14:textId="77777777" w:rsidR="00661CA6" w:rsidRPr="00661CA6" w:rsidRDefault="003B7FC5" w:rsidP="00661CA6">
      <w:pPr>
        <w:spacing w:line="360" w:lineRule="auto"/>
        <w:jc w:val="center"/>
        <w:rPr>
          <w:b/>
          <w:bCs/>
          <w:lang w:val="en-GB"/>
        </w:rPr>
      </w:pPr>
      <w:r w:rsidRPr="003B7FC5">
        <w:rPr>
          <w:b/>
          <w:bCs/>
          <w:lang w:val="en-GB"/>
        </w:rPr>
        <w:t xml:space="preserve">Programme: </w:t>
      </w:r>
      <w:r w:rsidRPr="003B7FC5">
        <w:rPr>
          <w:b/>
          <w:bCs/>
          <w:i/>
          <w:iCs/>
          <w:lang w:val="en-GB"/>
        </w:rPr>
        <w:t>Master of Business Administration</w:t>
      </w:r>
    </w:p>
    <w:p w14:paraId="03F6CE9E" w14:textId="2C800426" w:rsidR="00661CA6" w:rsidRDefault="003B7FC5" w:rsidP="00661CA6">
      <w:pPr>
        <w:spacing w:line="360" w:lineRule="auto"/>
        <w:jc w:val="center"/>
        <w:rPr>
          <w:lang w:val="en-GB"/>
        </w:rPr>
      </w:pPr>
      <w:r w:rsidRPr="003B7FC5">
        <w:rPr>
          <w:b/>
          <w:bCs/>
          <w:lang w:val="en-GB"/>
        </w:rPr>
        <w:t>Word count</w:t>
      </w:r>
      <w:r w:rsidR="00661CA6" w:rsidRPr="00661CA6">
        <w:rPr>
          <w:b/>
          <w:bCs/>
          <w:lang w:val="en-GB"/>
        </w:rPr>
        <w:t>: 5000</w:t>
      </w:r>
    </w:p>
    <w:p w14:paraId="7E468564" w14:textId="4BB03189" w:rsidR="003B7FC5" w:rsidRDefault="003B7FC5" w:rsidP="00661CA6">
      <w:pPr>
        <w:spacing w:line="360" w:lineRule="auto"/>
        <w:jc w:val="center"/>
        <w:rPr>
          <w:b/>
          <w:bCs/>
          <w:lang w:val="en-GB"/>
        </w:rPr>
      </w:pPr>
      <w:r w:rsidRPr="003B7FC5">
        <w:rPr>
          <w:b/>
          <w:bCs/>
          <w:lang w:val="en-GB"/>
        </w:rPr>
        <w:t xml:space="preserve">Submission </w:t>
      </w:r>
      <w:proofErr w:type="gramStart"/>
      <w:r w:rsidRPr="003B7FC5">
        <w:rPr>
          <w:b/>
          <w:bCs/>
          <w:lang w:val="en-GB"/>
        </w:rPr>
        <w:t>date</w:t>
      </w:r>
      <w:r w:rsidR="009864E0">
        <w:rPr>
          <w:b/>
          <w:bCs/>
          <w:lang w:val="en-GB"/>
        </w:rPr>
        <w:t xml:space="preserve"> </w:t>
      </w:r>
      <w:r w:rsidR="00661CA6" w:rsidRPr="00661CA6">
        <w:rPr>
          <w:b/>
          <w:bCs/>
          <w:lang w:val="en-GB"/>
        </w:rPr>
        <w:t>:</w:t>
      </w:r>
      <w:proofErr w:type="gramEnd"/>
      <w:r w:rsidR="00E87C09">
        <w:rPr>
          <w:b/>
          <w:bCs/>
          <w:lang w:val="en-GB"/>
        </w:rPr>
        <w:t xml:space="preserve"> </w:t>
      </w:r>
      <w:r w:rsidR="00A0450A">
        <w:rPr>
          <w:b/>
          <w:bCs/>
          <w:lang w:val="en-GB"/>
        </w:rPr>
        <w:t>24</w:t>
      </w:r>
      <w:r w:rsidR="00E96001">
        <w:rPr>
          <w:b/>
          <w:bCs/>
          <w:lang w:val="en-GB"/>
        </w:rPr>
        <w:t xml:space="preserve"> NOVEMBER</w:t>
      </w:r>
      <w:r w:rsidR="00A961F5">
        <w:rPr>
          <w:b/>
          <w:bCs/>
          <w:lang w:val="en-GB"/>
        </w:rPr>
        <w:t xml:space="preserve"> 2025</w:t>
      </w:r>
    </w:p>
    <w:p w14:paraId="041B69B6" w14:textId="2AB31FDE" w:rsidR="007F1D06" w:rsidRDefault="007F1D06">
      <w:pPr>
        <w:spacing w:before="0" w:after="160" w:line="278" w:lineRule="auto"/>
        <w:jc w:val="left"/>
        <w:rPr>
          <w:b/>
          <w:bCs/>
          <w:lang w:val="en-GB"/>
        </w:rPr>
      </w:pPr>
      <w:r>
        <w:rPr>
          <w:b/>
          <w:bCs/>
          <w:lang w:val="en-GB"/>
        </w:rPr>
        <w:br w:type="page"/>
      </w:r>
    </w:p>
    <w:sdt>
      <w:sdtPr>
        <w:rPr>
          <w:rFonts w:ascii="Times New Roman" w:eastAsiaTheme="minorHAnsi" w:hAnsi="Times New Roman" w:cs="Times New Roman"/>
          <w:b/>
          <w:bCs/>
          <w:color w:val="auto"/>
          <w:kern w:val="2"/>
          <w:sz w:val="28"/>
          <w:szCs w:val="28"/>
          <w:lang w:val="en-IN"/>
          <w14:ligatures w14:val="standardContextual"/>
        </w:rPr>
        <w:id w:val="-17474143"/>
        <w:docPartObj>
          <w:docPartGallery w:val="Table of Contents"/>
          <w:docPartUnique/>
        </w:docPartObj>
      </w:sdtPr>
      <w:sdtEndPr>
        <w:rPr>
          <w:rFonts w:cstheme="minorBidi"/>
          <w:noProof/>
          <w:sz w:val="24"/>
          <w:szCs w:val="24"/>
        </w:rPr>
      </w:sdtEndPr>
      <w:sdtContent>
        <w:p w14:paraId="3C5E39D1" w14:textId="00094A7B" w:rsidR="007F1D06" w:rsidRPr="007F1D06" w:rsidRDefault="007F1D06" w:rsidP="007F1D06">
          <w:pPr>
            <w:pStyle w:val="TOCHeading"/>
            <w:spacing w:line="360" w:lineRule="auto"/>
            <w:jc w:val="center"/>
            <w:rPr>
              <w:rFonts w:ascii="Times New Roman" w:hAnsi="Times New Roman" w:cs="Times New Roman"/>
              <w:b/>
              <w:bCs/>
              <w:color w:val="auto"/>
              <w:sz w:val="28"/>
              <w:szCs w:val="28"/>
            </w:rPr>
          </w:pPr>
          <w:r w:rsidRPr="007F1D06">
            <w:rPr>
              <w:rFonts w:ascii="Times New Roman" w:hAnsi="Times New Roman" w:cs="Times New Roman"/>
              <w:b/>
              <w:bCs/>
              <w:color w:val="auto"/>
              <w:sz w:val="28"/>
              <w:szCs w:val="28"/>
            </w:rPr>
            <w:t>Table of Contents</w:t>
          </w:r>
        </w:p>
        <w:p w14:paraId="3C005583" w14:textId="1873AC4F" w:rsidR="007F1D06" w:rsidRDefault="007F1D06" w:rsidP="007F1D06">
          <w:pPr>
            <w:pStyle w:val="TOC1"/>
            <w:tabs>
              <w:tab w:val="left" w:pos="480"/>
              <w:tab w:val="right" w:leader="dot" w:pos="9191"/>
            </w:tabs>
            <w:spacing w:line="360" w:lineRule="auto"/>
            <w:rPr>
              <w:noProof/>
            </w:rPr>
          </w:pPr>
          <w:r>
            <w:fldChar w:fldCharType="begin"/>
          </w:r>
          <w:r>
            <w:instrText xml:space="preserve"> TOC \o "1-3" \h \z \u </w:instrText>
          </w:r>
          <w:r>
            <w:fldChar w:fldCharType="separate"/>
          </w:r>
          <w:hyperlink w:anchor="_Toc213103737" w:history="1">
            <w:r w:rsidRPr="00466550">
              <w:rPr>
                <w:rStyle w:val="Hyperlink"/>
                <w:noProof/>
              </w:rPr>
              <w:t>1.</w:t>
            </w:r>
            <w:r>
              <w:rPr>
                <w:noProof/>
              </w:rPr>
              <w:tab/>
            </w:r>
            <w:r w:rsidRPr="00466550">
              <w:rPr>
                <w:rStyle w:val="Hyperlink"/>
                <w:noProof/>
              </w:rPr>
              <w:t>Introduction</w:t>
            </w:r>
            <w:r>
              <w:rPr>
                <w:noProof/>
                <w:webHidden/>
              </w:rPr>
              <w:tab/>
            </w:r>
            <w:r>
              <w:rPr>
                <w:noProof/>
                <w:webHidden/>
              </w:rPr>
              <w:fldChar w:fldCharType="begin"/>
            </w:r>
            <w:r>
              <w:rPr>
                <w:noProof/>
                <w:webHidden/>
              </w:rPr>
              <w:instrText xml:space="preserve"> PAGEREF _Toc213103737 \h </w:instrText>
            </w:r>
            <w:r>
              <w:rPr>
                <w:noProof/>
                <w:webHidden/>
              </w:rPr>
            </w:r>
            <w:r>
              <w:rPr>
                <w:noProof/>
                <w:webHidden/>
              </w:rPr>
              <w:fldChar w:fldCharType="separate"/>
            </w:r>
            <w:r w:rsidR="008F7EBB">
              <w:rPr>
                <w:noProof/>
                <w:webHidden/>
              </w:rPr>
              <w:t>4</w:t>
            </w:r>
            <w:r>
              <w:rPr>
                <w:noProof/>
                <w:webHidden/>
              </w:rPr>
              <w:fldChar w:fldCharType="end"/>
            </w:r>
          </w:hyperlink>
        </w:p>
        <w:p w14:paraId="73DD687D" w14:textId="060B09B8" w:rsidR="007F1D06" w:rsidRDefault="007F1D06" w:rsidP="007F1D06">
          <w:pPr>
            <w:pStyle w:val="TOC1"/>
            <w:tabs>
              <w:tab w:val="right" w:leader="dot" w:pos="9191"/>
            </w:tabs>
            <w:spacing w:line="360" w:lineRule="auto"/>
            <w:rPr>
              <w:noProof/>
            </w:rPr>
          </w:pPr>
          <w:hyperlink w:anchor="_Toc213103738" w:history="1">
            <w:r w:rsidRPr="00466550">
              <w:rPr>
                <w:rStyle w:val="Hyperlink"/>
                <w:noProof/>
              </w:rPr>
              <w:t>2. Financial Health Check</w:t>
            </w:r>
            <w:r>
              <w:rPr>
                <w:noProof/>
                <w:webHidden/>
              </w:rPr>
              <w:tab/>
            </w:r>
            <w:r>
              <w:rPr>
                <w:noProof/>
                <w:webHidden/>
              </w:rPr>
              <w:fldChar w:fldCharType="begin"/>
            </w:r>
            <w:r>
              <w:rPr>
                <w:noProof/>
                <w:webHidden/>
              </w:rPr>
              <w:instrText xml:space="preserve"> PAGEREF _Toc213103738 \h </w:instrText>
            </w:r>
            <w:r>
              <w:rPr>
                <w:noProof/>
                <w:webHidden/>
              </w:rPr>
            </w:r>
            <w:r>
              <w:rPr>
                <w:noProof/>
                <w:webHidden/>
              </w:rPr>
              <w:fldChar w:fldCharType="separate"/>
            </w:r>
            <w:r w:rsidR="008F7EBB">
              <w:rPr>
                <w:noProof/>
                <w:webHidden/>
              </w:rPr>
              <w:t>4</w:t>
            </w:r>
            <w:r>
              <w:rPr>
                <w:noProof/>
                <w:webHidden/>
              </w:rPr>
              <w:fldChar w:fldCharType="end"/>
            </w:r>
          </w:hyperlink>
        </w:p>
        <w:p w14:paraId="0FFE84D1" w14:textId="0F22B251" w:rsidR="007F1D06" w:rsidRDefault="007F1D06" w:rsidP="007F1D06">
          <w:pPr>
            <w:pStyle w:val="TOC2"/>
            <w:tabs>
              <w:tab w:val="right" w:leader="dot" w:pos="9191"/>
            </w:tabs>
            <w:spacing w:line="360" w:lineRule="auto"/>
            <w:rPr>
              <w:noProof/>
            </w:rPr>
          </w:pPr>
          <w:hyperlink w:anchor="_Toc213103739" w:history="1">
            <w:r w:rsidRPr="00466550">
              <w:rPr>
                <w:rStyle w:val="Hyperlink"/>
                <w:noProof/>
              </w:rPr>
              <w:t>2.1 Overview of Financial Performance (2020–2024)</w:t>
            </w:r>
            <w:r>
              <w:rPr>
                <w:noProof/>
                <w:webHidden/>
              </w:rPr>
              <w:tab/>
            </w:r>
            <w:r>
              <w:rPr>
                <w:noProof/>
                <w:webHidden/>
              </w:rPr>
              <w:fldChar w:fldCharType="begin"/>
            </w:r>
            <w:r>
              <w:rPr>
                <w:noProof/>
                <w:webHidden/>
              </w:rPr>
              <w:instrText xml:space="preserve"> PAGEREF _Toc213103739 \h </w:instrText>
            </w:r>
            <w:r>
              <w:rPr>
                <w:noProof/>
                <w:webHidden/>
              </w:rPr>
            </w:r>
            <w:r>
              <w:rPr>
                <w:noProof/>
                <w:webHidden/>
              </w:rPr>
              <w:fldChar w:fldCharType="separate"/>
            </w:r>
            <w:r w:rsidR="008F7EBB">
              <w:rPr>
                <w:noProof/>
                <w:webHidden/>
              </w:rPr>
              <w:t>4</w:t>
            </w:r>
            <w:r>
              <w:rPr>
                <w:noProof/>
                <w:webHidden/>
              </w:rPr>
              <w:fldChar w:fldCharType="end"/>
            </w:r>
          </w:hyperlink>
        </w:p>
        <w:p w14:paraId="3239EDB7" w14:textId="71E8A0D8" w:rsidR="007F1D06" w:rsidRDefault="007F1D06" w:rsidP="007F1D06">
          <w:pPr>
            <w:pStyle w:val="TOC2"/>
            <w:tabs>
              <w:tab w:val="right" w:leader="dot" w:pos="9191"/>
            </w:tabs>
            <w:spacing w:line="360" w:lineRule="auto"/>
            <w:rPr>
              <w:noProof/>
            </w:rPr>
          </w:pPr>
          <w:hyperlink w:anchor="_Toc213103740" w:history="1">
            <w:r w:rsidRPr="00466550">
              <w:rPr>
                <w:rStyle w:val="Hyperlink"/>
                <w:noProof/>
              </w:rPr>
              <w:t>2.2 Ratio Analysis Summary</w:t>
            </w:r>
            <w:r>
              <w:rPr>
                <w:noProof/>
                <w:webHidden/>
              </w:rPr>
              <w:tab/>
            </w:r>
            <w:r>
              <w:rPr>
                <w:noProof/>
                <w:webHidden/>
              </w:rPr>
              <w:fldChar w:fldCharType="begin"/>
            </w:r>
            <w:r>
              <w:rPr>
                <w:noProof/>
                <w:webHidden/>
              </w:rPr>
              <w:instrText xml:space="preserve"> PAGEREF _Toc213103740 \h </w:instrText>
            </w:r>
            <w:r>
              <w:rPr>
                <w:noProof/>
                <w:webHidden/>
              </w:rPr>
            </w:r>
            <w:r>
              <w:rPr>
                <w:noProof/>
                <w:webHidden/>
              </w:rPr>
              <w:fldChar w:fldCharType="separate"/>
            </w:r>
            <w:r w:rsidR="008F7EBB">
              <w:rPr>
                <w:noProof/>
                <w:webHidden/>
              </w:rPr>
              <w:t>5</w:t>
            </w:r>
            <w:r>
              <w:rPr>
                <w:noProof/>
                <w:webHidden/>
              </w:rPr>
              <w:fldChar w:fldCharType="end"/>
            </w:r>
          </w:hyperlink>
        </w:p>
        <w:p w14:paraId="73614A43" w14:textId="42DFEF4D" w:rsidR="007F1D06" w:rsidRDefault="007F1D06" w:rsidP="007F1D06">
          <w:pPr>
            <w:pStyle w:val="TOC2"/>
            <w:tabs>
              <w:tab w:val="right" w:leader="dot" w:pos="9191"/>
            </w:tabs>
            <w:spacing w:line="360" w:lineRule="auto"/>
            <w:rPr>
              <w:noProof/>
            </w:rPr>
          </w:pPr>
          <w:hyperlink w:anchor="_Toc213103741" w:history="1">
            <w:r w:rsidRPr="00466550">
              <w:rPr>
                <w:rStyle w:val="Hyperlink"/>
                <w:noProof/>
              </w:rPr>
              <w:t>2.3 Trend Analysis and Discussion</w:t>
            </w:r>
            <w:r>
              <w:rPr>
                <w:noProof/>
                <w:webHidden/>
              </w:rPr>
              <w:tab/>
            </w:r>
            <w:r>
              <w:rPr>
                <w:noProof/>
                <w:webHidden/>
              </w:rPr>
              <w:fldChar w:fldCharType="begin"/>
            </w:r>
            <w:r>
              <w:rPr>
                <w:noProof/>
                <w:webHidden/>
              </w:rPr>
              <w:instrText xml:space="preserve"> PAGEREF _Toc213103741 \h </w:instrText>
            </w:r>
            <w:r>
              <w:rPr>
                <w:noProof/>
                <w:webHidden/>
              </w:rPr>
            </w:r>
            <w:r>
              <w:rPr>
                <w:noProof/>
                <w:webHidden/>
              </w:rPr>
              <w:fldChar w:fldCharType="separate"/>
            </w:r>
            <w:r w:rsidR="008F7EBB">
              <w:rPr>
                <w:noProof/>
                <w:webHidden/>
              </w:rPr>
              <w:t>8</w:t>
            </w:r>
            <w:r>
              <w:rPr>
                <w:noProof/>
                <w:webHidden/>
              </w:rPr>
              <w:fldChar w:fldCharType="end"/>
            </w:r>
          </w:hyperlink>
        </w:p>
        <w:p w14:paraId="766AE2CC" w14:textId="3A022416" w:rsidR="007F1D06" w:rsidRDefault="007F1D06" w:rsidP="007F1D06">
          <w:pPr>
            <w:pStyle w:val="TOC2"/>
            <w:tabs>
              <w:tab w:val="right" w:leader="dot" w:pos="9191"/>
            </w:tabs>
            <w:spacing w:line="360" w:lineRule="auto"/>
            <w:rPr>
              <w:noProof/>
            </w:rPr>
          </w:pPr>
          <w:hyperlink w:anchor="_Toc213103742" w:history="1">
            <w:r w:rsidRPr="00466550">
              <w:rPr>
                <w:rStyle w:val="Hyperlink"/>
                <w:noProof/>
              </w:rPr>
              <w:t>2.4 Corporate Failure Prediction – Altman Z-Score</w:t>
            </w:r>
            <w:r>
              <w:rPr>
                <w:noProof/>
                <w:webHidden/>
              </w:rPr>
              <w:tab/>
            </w:r>
            <w:r>
              <w:rPr>
                <w:noProof/>
                <w:webHidden/>
              </w:rPr>
              <w:fldChar w:fldCharType="begin"/>
            </w:r>
            <w:r>
              <w:rPr>
                <w:noProof/>
                <w:webHidden/>
              </w:rPr>
              <w:instrText xml:space="preserve"> PAGEREF _Toc213103742 \h </w:instrText>
            </w:r>
            <w:r>
              <w:rPr>
                <w:noProof/>
                <w:webHidden/>
              </w:rPr>
            </w:r>
            <w:r>
              <w:rPr>
                <w:noProof/>
                <w:webHidden/>
              </w:rPr>
              <w:fldChar w:fldCharType="separate"/>
            </w:r>
            <w:r w:rsidR="008F7EBB">
              <w:rPr>
                <w:noProof/>
                <w:webHidden/>
              </w:rPr>
              <w:t>9</w:t>
            </w:r>
            <w:r>
              <w:rPr>
                <w:noProof/>
                <w:webHidden/>
              </w:rPr>
              <w:fldChar w:fldCharType="end"/>
            </w:r>
          </w:hyperlink>
        </w:p>
        <w:p w14:paraId="7D8BB30D" w14:textId="5068E1F5" w:rsidR="007F1D06" w:rsidRDefault="007F1D06" w:rsidP="007F1D06">
          <w:pPr>
            <w:pStyle w:val="TOC1"/>
            <w:tabs>
              <w:tab w:val="right" w:leader="dot" w:pos="9191"/>
            </w:tabs>
            <w:spacing w:line="360" w:lineRule="auto"/>
            <w:rPr>
              <w:noProof/>
            </w:rPr>
          </w:pPr>
          <w:hyperlink w:anchor="_Toc213103743" w:history="1">
            <w:r w:rsidRPr="00466550">
              <w:rPr>
                <w:rStyle w:val="Hyperlink"/>
                <w:noProof/>
              </w:rPr>
              <w:t>3. Working Capital Management Analysis</w:t>
            </w:r>
            <w:r>
              <w:rPr>
                <w:noProof/>
                <w:webHidden/>
              </w:rPr>
              <w:tab/>
            </w:r>
            <w:r>
              <w:rPr>
                <w:noProof/>
                <w:webHidden/>
              </w:rPr>
              <w:fldChar w:fldCharType="begin"/>
            </w:r>
            <w:r>
              <w:rPr>
                <w:noProof/>
                <w:webHidden/>
              </w:rPr>
              <w:instrText xml:space="preserve"> PAGEREF _Toc213103743 \h </w:instrText>
            </w:r>
            <w:r>
              <w:rPr>
                <w:noProof/>
                <w:webHidden/>
              </w:rPr>
            </w:r>
            <w:r>
              <w:rPr>
                <w:noProof/>
                <w:webHidden/>
              </w:rPr>
              <w:fldChar w:fldCharType="separate"/>
            </w:r>
            <w:r w:rsidR="008F7EBB">
              <w:rPr>
                <w:noProof/>
                <w:webHidden/>
              </w:rPr>
              <w:t>10</w:t>
            </w:r>
            <w:r>
              <w:rPr>
                <w:noProof/>
                <w:webHidden/>
              </w:rPr>
              <w:fldChar w:fldCharType="end"/>
            </w:r>
          </w:hyperlink>
        </w:p>
        <w:p w14:paraId="7360FF2B" w14:textId="482F1BB1" w:rsidR="007F1D06" w:rsidRDefault="007F1D06" w:rsidP="007F1D06">
          <w:pPr>
            <w:pStyle w:val="TOC2"/>
            <w:tabs>
              <w:tab w:val="right" w:leader="dot" w:pos="9191"/>
            </w:tabs>
            <w:spacing w:line="360" w:lineRule="auto"/>
            <w:rPr>
              <w:noProof/>
            </w:rPr>
          </w:pPr>
          <w:hyperlink w:anchor="_Toc213103744" w:history="1">
            <w:r w:rsidRPr="00466550">
              <w:rPr>
                <w:rStyle w:val="Hyperlink"/>
                <w:noProof/>
              </w:rPr>
              <w:t>3.1 Working Capital Overview</w:t>
            </w:r>
            <w:r>
              <w:rPr>
                <w:noProof/>
                <w:webHidden/>
              </w:rPr>
              <w:tab/>
            </w:r>
            <w:r>
              <w:rPr>
                <w:noProof/>
                <w:webHidden/>
              </w:rPr>
              <w:fldChar w:fldCharType="begin"/>
            </w:r>
            <w:r>
              <w:rPr>
                <w:noProof/>
                <w:webHidden/>
              </w:rPr>
              <w:instrText xml:space="preserve"> PAGEREF _Toc213103744 \h </w:instrText>
            </w:r>
            <w:r>
              <w:rPr>
                <w:noProof/>
                <w:webHidden/>
              </w:rPr>
            </w:r>
            <w:r>
              <w:rPr>
                <w:noProof/>
                <w:webHidden/>
              </w:rPr>
              <w:fldChar w:fldCharType="separate"/>
            </w:r>
            <w:r w:rsidR="008F7EBB">
              <w:rPr>
                <w:noProof/>
                <w:webHidden/>
              </w:rPr>
              <w:t>10</w:t>
            </w:r>
            <w:r>
              <w:rPr>
                <w:noProof/>
                <w:webHidden/>
              </w:rPr>
              <w:fldChar w:fldCharType="end"/>
            </w:r>
          </w:hyperlink>
        </w:p>
        <w:p w14:paraId="6B2A01CA" w14:textId="687D15E8" w:rsidR="007F1D06" w:rsidRDefault="007F1D06" w:rsidP="007F1D06">
          <w:pPr>
            <w:pStyle w:val="TOC2"/>
            <w:tabs>
              <w:tab w:val="right" w:leader="dot" w:pos="9191"/>
            </w:tabs>
            <w:spacing w:line="360" w:lineRule="auto"/>
            <w:rPr>
              <w:noProof/>
            </w:rPr>
          </w:pPr>
          <w:hyperlink w:anchor="_Toc213103745" w:history="1">
            <w:r w:rsidRPr="00466550">
              <w:rPr>
                <w:rStyle w:val="Hyperlink"/>
                <w:noProof/>
              </w:rPr>
              <w:t>3.2 Cash Conversion Cycle (CCC) Analysis</w:t>
            </w:r>
            <w:r>
              <w:rPr>
                <w:noProof/>
                <w:webHidden/>
              </w:rPr>
              <w:tab/>
            </w:r>
            <w:r>
              <w:rPr>
                <w:noProof/>
                <w:webHidden/>
              </w:rPr>
              <w:fldChar w:fldCharType="begin"/>
            </w:r>
            <w:r>
              <w:rPr>
                <w:noProof/>
                <w:webHidden/>
              </w:rPr>
              <w:instrText xml:space="preserve"> PAGEREF _Toc213103745 \h </w:instrText>
            </w:r>
            <w:r>
              <w:rPr>
                <w:noProof/>
                <w:webHidden/>
              </w:rPr>
            </w:r>
            <w:r>
              <w:rPr>
                <w:noProof/>
                <w:webHidden/>
              </w:rPr>
              <w:fldChar w:fldCharType="separate"/>
            </w:r>
            <w:r w:rsidR="008F7EBB">
              <w:rPr>
                <w:noProof/>
                <w:webHidden/>
              </w:rPr>
              <w:t>11</w:t>
            </w:r>
            <w:r>
              <w:rPr>
                <w:noProof/>
                <w:webHidden/>
              </w:rPr>
              <w:fldChar w:fldCharType="end"/>
            </w:r>
          </w:hyperlink>
        </w:p>
        <w:p w14:paraId="4593953F" w14:textId="1B06D43F" w:rsidR="007F1D06" w:rsidRDefault="007F1D06" w:rsidP="007F1D06">
          <w:pPr>
            <w:pStyle w:val="TOC2"/>
            <w:tabs>
              <w:tab w:val="right" w:leader="dot" w:pos="9191"/>
            </w:tabs>
            <w:spacing w:line="360" w:lineRule="auto"/>
            <w:rPr>
              <w:noProof/>
            </w:rPr>
          </w:pPr>
          <w:hyperlink w:anchor="_Toc213103746" w:history="1">
            <w:r w:rsidRPr="00466550">
              <w:rPr>
                <w:rStyle w:val="Hyperlink"/>
                <w:noProof/>
              </w:rPr>
              <w:t>3.4 Improvement Strategies</w:t>
            </w:r>
            <w:r>
              <w:rPr>
                <w:noProof/>
                <w:webHidden/>
              </w:rPr>
              <w:tab/>
            </w:r>
            <w:r>
              <w:rPr>
                <w:noProof/>
                <w:webHidden/>
              </w:rPr>
              <w:fldChar w:fldCharType="begin"/>
            </w:r>
            <w:r>
              <w:rPr>
                <w:noProof/>
                <w:webHidden/>
              </w:rPr>
              <w:instrText xml:space="preserve"> PAGEREF _Toc213103746 \h </w:instrText>
            </w:r>
            <w:r>
              <w:rPr>
                <w:noProof/>
                <w:webHidden/>
              </w:rPr>
            </w:r>
            <w:r>
              <w:rPr>
                <w:noProof/>
                <w:webHidden/>
              </w:rPr>
              <w:fldChar w:fldCharType="separate"/>
            </w:r>
            <w:r w:rsidR="008F7EBB">
              <w:rPr>
                <w:noProof/>
                <w:webHidden/>
              </w:rPr>
              <w:t>13</w:t>
            </w:r>
            <w:r>
              <w:rPr>
                <w:noProof/>
                <w:webHidden/>
              </w:rPr>
              <w:fldChar w:fldCharType="end"/>
            </w:r>
          </w:hyperlink>
        </w:p>
        <w:p w14:paraId="49D17D42" w14:textId="2BDF7821" w:rsidR="007F1D06" w:rsidRDefault="007F1D06" w:rsidP="007F1D06">
          <w:pPr>
            <w:pStyle w:val="TOC1"/>
            <w:tabs>
              <w:tab w:val="right" w:leader="dot" w:pos="9191"/>
            </w:tabs>
            <w:spacing w:line="360" w:lineRule="auto"/>
            <w:rPr>
              <w:noProof/>
            </w:rPr>
          </w:pPr>
          <w:hyperlink w:anchor="_Toc213103747" w:history="1">
            <w:r w:rsidRPr="00466550">
              <w:rPr>
                <w:rStyle w:val="Hyperlink"/>
                <w:noProof/>
              </w:rPr>
              <w:t>4. Strategic Financial Restructuring Plan</w:t>
            </w:r>
            <w:r>
              <w:rPr>
                <w:noProof/>
                <w:webHidden/>
              </w:rPr>
              <w:tab/>
            </w:r>
            <w:r>
              <w:rPr>
                <w:noProof/>
                <w:webHidden/>
              </w:rPr>
              <w:fldChar w:fldCharType="begin"/>
            </w:r>
            <w:r>
              <w:rPr>
                <w:noProof/>
                <w:webHidden/>
              </w:rPr>
              <w:instrText xml:space="preserve"> PAGEREF _Toc213103747 \h </w:instrText>
            </w:r>
            <w:r>
              <w:rPr>
                <w:noProof/>
                <w:webHidden/>
              </w:rPr>
            </w:r>
            <w:r>
              <w:rPr>
                <w:noProof/>
                <w:webHidden/>
              </w:rPr>
              <w:fldChar w:fldCharType="separate"/>
            </w:r>
            <w:r w:rsidR="008F7EBB">
              <w:rPr>
                <w:noProof/>
                <w:webHidden/>
              </w:rPr>
              <w:t>14</w:t>
            </w:r>
            <w:r>
              <w:rPr>
                <w:noProof/>
                <w:webHidden/>
              </w:rPr>
              <w:fldChar w:fldCharType="end"/>
            </w:r>
          </w:hyperlink>
        </w:p>
        <w:p w14:paraId="04BF31FC" w14:textId="087CA897" w:rsidR="007F1D06" w:rsidRDefault="007F1D06" w:rsidP="007F1D06">
          <w:pPr>
            <w:pStyle w:val="TOC2"/>
            <w:tabs>
              <w:tab w:val="right" w:leader="dot" w:pos="9191"/>
            </w:tabs>
            <w:spacing w:line="360" w:lineRule="auto"/>
            <w:rPr>
              <w:noProof/>
            </w:rPr>
          </w:pPr>
          <w:hyperlink w:anchor="_Toc213103748" w:history="1">
            <w:r w:rsidRPr="00466550">
              <w:rPr>
                <w:rStyle w:val="Hyperlink"/>
                <w:noProof/>
              </w:rPr>
              <w:t>4.1 Diagnosis of Financial Distress</w:t>
            </w:r>
            <w:r>
              <w:rPr>
                <w:noProof/>
                <w:webHidden/>
              </w:rPr>
              <w:tab/>
            </w:r>
            <w:r>
              <w:rPr>
                <w:noProof/>
                <w:webHidden/>
              </w:rPr>
              <w:fldChar w:fldCharType="begin"/>
            </w:r>
            <w:r>
              <w:rPr>
                <w:noProof/>
                <w:webHidden/>
              </w:rPr>
              <w:instrText xml:space="preserve"> PAGEREF _Toc213103748 \h </w:instrText>
            </w:r>
            <w:r>
              <w:rPr>
                <w:noProof/>
                <w:webHidden/>
              </w:rPr>
            </w:r>
            <w:r>
              <w:rPr>
                <w:noProof/>
                <w:webHidden/>
              </w:rPr>
              <w:fldChar w:fldCharType="separate"/>
            </w:r>
            <w:r w:rsidR="008F7EBB">
              <w:rPr>
                <w:noProof/>
                <w:webHidden/>
              </w:rPr>
              <w:t>14</w:t>
            </w:r>
            <w:r>
              <w:rPr>
                <w:noProof/>
                <w:webHidden/>
              </w:rPr>
              <w:fldChar w:fldCharType="end"/>
            </w:r>
          </w:hyperlink>
        </w:p>
        <w:p w14:paraId="35ED3E54" w14:textId="4137A491" w:rsidR="007F1D06" w:rsidRDefault="007F1D06" w:rsidP="007F1D06">
          <w:pPr>
            <w:pStyle w:val="TOC2"/>
            <w:tabs>
              <w:tab w:val="right" w:leader="dot" w:pos="9191"/>
            </w:tabs>
            <w:spacing w:line="360" w:lineRule="auto"/>
            <w:rPr>
              <w:noProof/>
            </w:rPr>
          </w:pPr>
          <w:hyperlink w:anchor="_Toc213103749" w:history="1">
            <w:r w:rsidRPr="00466550">
              <w:rPr>
                <w:rStyle w:val="Hyperlink"/>
                <w:noProof/>
              </w:rPr>
              <w:t>4.2 Objectives of Financial Restructuring</w:t>
            </w:r>
            <w:r>
              <w:rPr>
                <w:noProof/>
                <w:webHidden/>
              </w:rPr>
              <w:tab/>
            </w:r>
            <w:r>
              <w:rPr>
                <w:noProof/>
                <w:webHidden/>
              </w:rPr>
              <w:fldChar w:fldCharType="begin"/>
            </w:r>
            <w:r>
              <w:rPr>
                <w:noProof/>
                <w:webHidden/>
              </w:rPr>
              <w:instrText xml:space="preserve"> PAGEREF _Toc213103749 \h </w:instrText>
            </w:r>
            <w:r>
              <w:rPr>
                <w:noProof/>
                <w:webHidden/>
              </w:rPr>
            </w:r>
            <w:r>
              <w:rPr>
                <w:noProof/>
                <w:webHidden/>
              </w:rPr>
              <w:fldChar w:fldCharType="separate"/>
            </w:r>
            <w:r w:rsidR="008F7EBB">
              <w:rPr>
                <w:noProof/>
                <w:webHidden/>
              </w:rPr>
              <w:t>14</w:t>
            </w:r>
            <w:r>
              <w:rPr>
                <w:noProof/>
                <w:webHidden/>
              </w:rPr>
              <w:fldChar w:fldCharType="end"/>
            </w:r>
          </w:hyperlink>
        </w:p>
        <w:p w14:paraId="697CF5AE" w14:textId="3BD9B3BB" w:rsidR="007F1D06" w:rsidRDefault="007F1D06" w:rsidP="007F1D06">
          <w:pPr>
            <w:pStyle w:val="TOC2"/>
            <w:tabs>
              <w:tab w:val="right" w:leader="dot" w:pos="9191"/>
            </w:tabs>
            <w:spacing w:line="360" w:lineRule="auto"/>
            <w:rPr>
              <w:noProof/>
            </w:rPr>
          </w:pPr>
          <w:hyperlink w:anchor="_Toc213103750" w:history="1">
            <w:r w:rsidRPr="00466550">
              <w:rPr>
                <w:rStyle w:val="Hyperlink"/>
                <w:noProof/>
              </w:rPr>
              <w:t>4.3 Capital Structure and Financing Decisions</w:t>
            </w:r>
            <w:r>
              <w:rPr>
                <w:noProof/>
                <w:webHidden/>
              </w:rPr>
              <w:tab/>
            </w:r>
            <w:r>
              <w:rPr>
                <w:noProof/>
                <w:webHidden/>
              </w:rPr>
              <w:fldChar w:fldCharType="begin"/>
            </w:r>
            <w:r>
              <w:rPr>
                <w:noProof/>
                <w:webHidden/>
              </w:rPr>
              <w:instrText xml:space="preserve"> PAGEREF _Toc213103750 \h </w:instrText>
            </w:r>
            <w:r>
              <w:rPr>
                <w:noProof/>
                <w:webHidden/>
              </w:rPr>
            </w:r>
            <w:r>
              <w:rPr>
                <w:noProof/>
                <w:webHidden/>
              </w:rPr>
              <w:fldChar w:fldCharType="separate"/>
            </w:r>
            <w:r w:rsidR="008F7EBB">
              <w:rPr>
                <w:noProof/>
                <w:webHidden/>
              </w:rPr>
              <w:t>15</w:t>
            </w:r>
            <w:r>
              <w:rPr>
                <w:noProof/>
                <w:webHidden/>
              </w:rPr>
              <w:fldChar w:fldCharType="end"/>
            </w:r>
          </w:hyperlink>
        </w:p>
        <w:p w14:paraId="79E9F3E4" w14:textId="4E5A49CA" w:rsidR="007F1D06" w:rsidRDefault="007F1D06" w:rsidP="007F1D06">
          <w:pPr>
            <w:pStyle w:val="TOC2"/>
            <w:tabs>
              <w:tab w:val="right" w:leader="dot" w:pos="9191"/>
            </w:tabs>
            <w:spacing w:line="360" w:lineRule="auto"/>
            <w:rPr>
              <w:noProof/>
            </w:rPr>
          </w:pPr>
          <w:hyperlink w:anchor="_Toc213103751" w:history="1">
            <w:r w:rsidRPr="00466550">
              <w:rPr>
                <w:rStyle w:val="Hyperlink"/>
                <w:noProof/>
              </w:rPr>
              <w:t>4.4 Asset Restructuring and Divestiture Strategy</w:t>
            </w:r>
            <w:r>
              <w:rPr>
                <w:noProof/>
                <w:webHidden/>
              </w:rPr>
              <w:tab/>
            </w:r>
            <w:r>
              <w:rPr>
                <w:noProof/>
                <w:webHidden/>
              </w:rPr>
              <w:fldChar w:fldCharType="begin"/>
            </w:r>
            <w:r>
              <w:rPr>
                <w:noProof/>
                <w:webHidden/>
              </w:rPr>
              <w:instrText xml:space="preserve"> PAGEREF _Toc213103751 \h </w:instrText>
            </w:r>
            <w:r>
              <w:rPr>
                <w:noProof/>
                <w:webHidden/>
              </w:rPr>
            </w:r>
            <w:r>
              <w:rPr>
                <w:noProof/>
                <w:webHidden/>
              </w:rPr>
              <w:fldChar w:fldCharType="separate"/>
            </w:r>
            <w:r w:rsidR="008F7EBB">
              <w:rPr>
                <w:noProof/>
                <w:webHidden/>
              </w:rPr>
              <w:t>15</w:t>
            </w:r>
            <w:r>
              <w:rPr>
                <w:noProof/>
                <w:webHidden/>
              </w:rPr>
              <w:fldChar w:fldCharType="end"/>
            </w:r>
          </w:hyperlink>
        </w:p>
        <w:p w14:paraId="1F3E704F" w14:textId="06EAD04F" w:rsidR="007F1D06" w:rsidRDefault="007F1D06" w:rsidP="007F1D06">
          <w:pPr>
            <w:pStyle w:val="TOC2"/>
            <w:tabs>
              <w:tab w:val="right" w:leader="dot" w:pos="9191"/>
            </w:tabs>
            <w:spacing w:line="360" w:lineRule="auto"/>
            <w:rPr>
              <w:noProof/>
            </w:rPr>
          </w:pPr>
          <w:hyperlink w:anchor="_Toc213103752" w:history="1">
            <w:r w:rsidRPr="00466550">
              <w:rPr>
                <w:rStyle w:val="Hyperlink"/>
                <w:noProof/>
              </w:rPr>
              <w:t>4.5 Operational, International, and Ethical Alignment</w:t>
            </w:r>
            <w:r>
              <w:rPr>
                <w:noProof/>
                <w:webHidden/>
              </w:rPr>
              <w:tab/>
            </w:r>
            <w:r>
              <w:rPr>
                <w:noProof/>
                <w:webHidden/>
              </w:rPr>
              <w:fldChar w:fldCharType="begin"/>
            </w:r>
            <w:r>
              <w:rPr>
                <w:noProof/>
                <w:webHidden/>
              </w:rPr>
              <w:instrText xml:space="preserve"> PAGEREF _Toc213103752 \h </w:instrText>
            </w:r>
            <w:r>
              <w:rPr>
                <w:noProof/>
                <w:webHidden/>
              </w:rPr>
            </w:r>
            <w:r>
              <w:rPr>
                <w:noProof/>
                <w:webHidden/>
              </w:rPr>
              <w:fldChar w:fldCharType="separate"/>
            </w:r>
            <w:r w:rsidR="008F7EBB">
              <w:rPr>
                <w:noProof/>
                <w:webHidden/>
              </w:rPr>
              <w:t>16</w:t>
            </w:r>
            <w:r>
              <w:rPr>
                <w:noProof/>
                <w:webHidden/>
              </w:rPr>
              <w:fldChar w:fldCharType="end"/>
            </w:r>
          </w:hyperlink>
        </w:p>
        <w:p w14:paraId="3967518E" w14:textId="136C6ABE" w:rsidR="007F1D06" w:rsidRDefault="007F1D06" w:rsidP="007F1D06">
          <w:pPr>
            <w:pStyle w:val="TOC1"/>
            <w:tabs>
              <w:tab w:val="right" w:leader="dot" w:pos="9191"/>
            </w:tabs>
            <w:spacing w:line="360" w:lineRule="auto"/>
            <w:rPr>
              <w:noProof/>
            </w:rPr>
          </w:pPr>
          <w:hyperlink w:anchor="_Toc213103753" w:history="1">
            <w:r w:rsidRPr="00466550">
              <w:rPr>
                <w:rStyle w:val="Hyperlink"/>
                <w:noProof/>
              </w:rPr>
              <w:t>5. Investment Appraisal and Capital Budgeting</w:t>
            </w:r>
            <w:r>
              <w:rPr>
                <w:noProof/>
                <w:webHidden/>
              </w:rPr>
              <w:tab/>
            </w:r>
            <w:r>
              <w:rPr>
                <w:noProof/>
                <w:webHidden/>
              </w:rPr>
              <w:fldChar w:fldCharType="begin"/>
            </w:r>
            <w:r>
              <w:rPr>
                <w:noProof/>
                <w:webHidden/>
              </w:rPr>
              <w:instrText xml:space="preserve"> PAGEREF _Toc213103753 \h </w:instrText>
            </w:r>
            <w:r>
              <w:rPr>
                <w:noProof/>
                <w:webHidden/>
              </w:rPr>
            </w:r>
            <w:r>
              <w:rPr>
                <w:noProof/>
                <w:webHidden/>
              </w:rPr>
              <w:fldChar w:fldCharType="separate"/>
            </w:r>
            <w:r w:rsidR="008F7EBB">
              <w:rPr>
                <w:noProof/>
                <w:webHidden/>
              </w:rPr>
              <w:t>16</w:t>
            </w:r>
            <w:r>
              <w:rPr>
                <w:noProof/>
                <w:webHidden/>
              </w:rPr>
              <w:fldChar w:fldCharType="end"/>
            </w:r>
          </w:hyperlink>
        </w:p>
        <w:p w14:paraId="4BB079AB" w14:textId="79C40AB7" w:rsidR="007F1D06" w:rsidRDefault="007F1D06" w:rsidP="007F1D06">
          <w:pPr>
            <w:pStyle w:val="TOC2"/>
            <w:tabs>
              <w:tab w:val="right" w:leader="dot" w:pos="9191"/>
            </w:tabs>
            <w:spacing w:line="360" w:lineRule="auto"/>
            <w:rPr>
              <w:noProof/>
            </w:rPr>
          </w:pPr>
          <w:hyperlink w:anchor="_Toc213103754" w:history="1">
            <w:r w:rsidRPr="00466550">
              <w:rPr>
                <w:rStyle w:val="Hyperlink"/>
                <w:noProof/>
              </w:rPr>
              <w:t>5.1 Overview and Purpose</w:t>
            </w:r>
            <w:r>
              <w:rPr>
                <w:noProof/>
                <w:webHidden/>
              </w:rPr>
              <w:tab/>
            </w:r>
            <w:r>
              <w:rPr>
                <w:noProof/>
                <w:webHidden/>
              </w:rPr>
              <w:fldChar w:fldCharType="begin"/>
            </w:r>
            <w:r>
              <w:rPr>
                <w:noProof/>
                <w:webHidden/>
              </w:rPr>
              <w:instrText xml:space="preserve"> PAGEREF _Toc213103754 \h </w:instrText>
            </w:r>
            <w:r>
              <w:rPr>
                <w:noProof/>
                <w:webHidden/>
              </w:rPr>
            </w:r>
            <w:r>
              <w:rPr>
                <w:noProof/>
                <w:webHidden/>
              </w:rPr>
              <w:fldChar w:fldCharType="separate"/>
            </w:r>
            <w:r w:rsidR="008F7EBB">
              <w:rPr>
                <w:noProof/>
                <w:webHidden/>
              </w:rPr>
              <w:t>16</w:t>
            </w:r>
            <w:r>
              <w:rPr>
                <w:noProof/>
                <w:webHidden/>
              </w:rPr>
              <w:fldChar w:fldCharType="end"/>
            </w:r>
          </w:hyperlink>
        </w:p>
        <w:p w14:paraId="4C388118" w14:textId="4490E84E" w:rsidR="007F1D06" w:rsidRDefault="007F1D06" w:rsidP="007F1D06">
          <w:pPr>
            <w:pStyle w:val="TOC2"/>
            <w:tabs>
              <w:tab w:val="right" w:leader="dot" w:pos="9191"/>
            </w:tabs>
            <w:spacing w:line="360" w:lineRule="auto"/>
            <w:rPr>
              <w:noProof/>
            </w:rPr>
          </w:pPr>
          <w:hyperlink w:anchor="_Toc213103755" w:history="1">
            <w:r w:rsidRPr="00466550">
              <w:rPr>
                <w:rStyle w:val="Hyperlink"/>
                <w:noProof/>
              </w:rPr>
              <w:t>5.2 Project Data and Cash Flow Summary</w:t>
            </w:r>
            <w:r>
              <w:rPr>
                <w:noProof/>
                <w:webHidden/>
              </w:rPr>
              <w:tab/>
            </w:r>
            <w:r>
              <w:rPr>
                <w:noProof/>
                <w:webHidden/>
              </w:rPr>
              <w:fldChar w:fldCharType="begin"/>
            </w:r>
            <w:r>
              <w:rPr>
                <w:noProof/>
                <w:webHidden/>
              </w:rPr>
              <w:instrText xml:space="preserve"> PAGEREF _Toc213103755 \h </w:instrText>
            </w:r>
            <w:r>
              <w:rPr>
                <w:noProof/>
                <w:webHidden/>
              </w:rPr>
            </w:r>
            <w:r>
              <w:rPr>
                <w:noProof/>
                <w:webHidden/>
              </w:rPr>
              <w:fldChar w:fldCharType="separate"/>
            </w:r>
            <w:r w:rsidR="008F7EBB">
              <w:rPr>
                <w:noProof/>
                <w:webHidden/>
              </w:rPr>
              <w:t>16</w:t>
            </w:r>
            <w:r>
              <w:rPr>
                <w:noProof/>
                <w:webHidden/>
              </w:rPr>
              <w:fldChar w:fldCharType="end"/>
            </w:r>
          </w:hyperlink>
        </w:p>
        <w:p w14:paraId="2EBD45BE" w14:textId="005F9BD6" w:rsidR="007F1D06" w:rsidRDefault="007F1D06" w:rsidP="007F1D06">
          <w:pPr>
            <w:pStyle w:val="TOC2"/>
            <w:tabs>
              <w:tab w:val="right" w:leader="dot" w:pos="9191"/>
            </w:tabs>
            <w:spacing w:line="360" w:lineRule="auto"/>
            <w:rPr>
              <w:noProof/>
            </w:rPr>
          </w:pPr>
          <w:hyperlink w:anchor="_Toc213103756" w:history="1">
            <w:r w:rsidRPr="00466550">
              <w:rPr>
                <w:rStyle w:val="Hyperlink"/>
                <w:noProof/>
              </w:rPr>
              <w:t>5.3 Investment Appraisal Calculations</w:t>
            </w:r>
            <w:r>
              <w:rPr>
                <w:noProof/>
                <w:webHidden/>
              </w:rPr>
              <w:tab/>
            </w:r>
            <w:r>
              <w:rPr>
                <w:noProof/>
                <w:webHidden/>
              </w:rPr>
              <w:fldChar w:fldCharType="begin"/>
            </w:r>
            <w:r>
              <w:rPr>
                <w:noProof/>
                <w:webHidden/>
              </w:rPr>
              <w:instrText xml:space="preserve"> PAGEREF _Toc213103756 \h </w:instrText>
            </w:r>
            <w:r>
              <w:rPr>
                <w:noProof/>
                <w:webHidden/>
              </w:rPr>
            </w:r>
            <w:r>
              <w:rPr>
                <w:noProof/>
                <w:webHidden/>
              </w:rPr>
              <w:fldChar w:fldCharType="separate"/>
            </w:r>
            <w:r w:rsidR="008F7EBB">
              <w:rPr>
                <w:noProof/>
                <w:webHidden/>
              </w:rPr>
              <w:t>17</w:t>
            </w:r>
            <w:r>
              <w:rPr>
                <w:noProof/>
                <w:webHidden/>
              </w:rPr>
              <w:fldChar w:fldCharType="end"/>
            </w:r>
          </w:hyperlink>
        </w:p>
        <w:p w14:paraId="2E296390" w14:textId="222B1BA5" w:rsidR="007F1D06" w:rsidRDefault="007F1D06" w:rsidP="007F1D06">
          <w:pPr>
            <w:pStyle w:val="TOC2"/>
            <w:tabs>
              <w:tab w:val="right" w:leader="dot" w:pos="9191"/>
            </w:tabs>
            <w:spacing w:line="360" w:lineRule="auto"/>
            <w:rPr>
              <w:noProof/>
            </w:rPr>
          </w:pPr>
          <w:hyperlink w:anchor="_Toc213103757" w:history="1">
            <w:r w:rsidRPr="00466550">
              <w:rPr>
                <w:rStyle w:val="Hyperlink"/>
                <w:noProof/>
              </w:rPr>
              <w:t>5.4 Comparative Evaluation and Capital Rationing Decision</w:t>
            </w:r>
            <w:r>
              <w:rPr>
                <w:noProof/>
                <w:webHidden/>
              </w:rPr>
              <w:tab/>
            </w:r>
            <w:r>
              <w:rPr>
                <w:noProof/>
                <w:webHidden/>
              </w:rPr>
              <w:fldChar w:fldCharType="begin"/>
            </w:r>
            <w:r>
              <w:rPr>
                <w:noProof/>
                <w:webHidden/>
              </w:rPr>
              <w:instrText xml:space="preserve"> PAGEREF _Toc213103757 \h </w:instrText>
            </w:r>
            <w:r>
              <w:rPr>
                <w:noProof/>
                <w:webHidden/>
              </w:rPr>
            </w:r>
            <w:r>
              <w:rPr>
                <w:noProof/>
                <w:webHidden/>
              </w:rPr>
              <w:fldChar w:fldCharType="separate"/>
            </w:r>
            <w:r w:rsidR="008F7EBB">
              <w:rPr>
                <w:noProof/>
                <w:webHidden/>
              </w:rPr>
              <w:t>18</w:t>
            </w:r>
            <w:r>
              <w:rPr>
                <w:noProof/>
                <w:webHidden/>
              </w:rPr>
              <w:fldChar w:fldCharType="end"/>
            </w:r>
          </w:hyperlink>
        </w:p>
        <w:p w14:paraId="04DD677A" w14:textId="5359D325" w:rsidR="007F1D06" w:rsidRDefault="007F1D06" w:rsidP="007F1D06">
          <w:pPr>
            <w:pStyle w:val="TOC2"/>
            <w:tabs>
              <w:tab w:val="right" w:leader="dot" w:pos="9191"/>
            </w:tabs>
            <w:spacing w:line="360" w:lineRule="auto"/>
            <w:rPr>
              <w:noProof/>
            </w:rPr>
          </w:pPr>
          <w:hyperlink w:anchor="_Toc213103758" w:history="1">
            <w:r w:rsidRPr="00466550">
              <w:rPr>
                <w:rStyle w:val="Hyperlink"/>
                <w:noProof/>
              </w:rPr>
              <w:t>5.5 Risk Evaluation and Strategic Fit</w:t>
            </w:r>
            <w:r>
              <w:rPr>
                <w:noProof/>
                <w:webHidden/>
              </w:rPr>
              <w:tab/>
            </w:r>
            <w:r>
              <w:rPr>
                <w:noProof/>
                <w:webHidden/>
              </w:rPr>
              <w:fldChar w:fldCharType="begin"/>
            </w:r>
            <w:r>
              <w:rPr>
                <w:noProof/>
                <w:webHidden/>
              </w:rPr>
              <w:instrText xml:space="preserve"> PAGEREF _Toc213103758 \h </w:instrText>
            </w:r>
            <w:r>
              <w:rPr>
                <w:noProof/>
                <w:webHidden/>
              </w:rPr>
            </w:r>
            <w:r>
              <w:rPr>
                <w:noProof/>
                <w:webHidden/>
              </w:rPr>
              <w:fldChar w:fldCharType="separate"/>
            </w:r>
            <w:r w:rsidR="008F7EBB">
              <w:rPr>
                <w:noProof/>
                <w:webHidden/>
              </w:rPr>
              <w:t>19</w:t>
            </w:r>
            <w:r>
              <w:rPr>
                <w:noProof/>
                <w:webHidden/>
              </w:rPr>
              <w:fldChar w:fldCharType="end"/>
            </w:r>
          </w:hyperlink>
        </w:p>
        <w:p w14:paraId="3CD776D5" w14:textId="5A5A001B" w:rsidR="007F1D06" w:rsidRDefault="007F1D06" w:rsidP="007F1D06">
          <w:pPr>
            <w:pStyle w:val="TOC1"/>
            <w:tabs>
              <w:tab w:val="right" w:leader="dot" w:pos="9191"/>
            </w:tabs>
            <w:spacing w:line="360" w:lineRule="auto"/>
            <w:rPr>
              <w:noProof/>
            </w:rPr>
          </w:pPr>
          <w:hyperlink w:anchor="_Toc213103759" w:history="1">
            <w:r w:rsidRPr="00466550">
              <w:rPr>
                <w:rStyle w:val="Hyperlink"/>
                <w:noProof/>
              </w:rPr>
              <w:t>6. Conclusion</w:t>
            </w:r>
            <w:r>
              <w:rPr>
                <w:noProof/>
                <w:webHidden/>
              </w:rPr>
              <w:tab/>
            </w:r>
            <w:r>
              <w:rPr>
                <w:noProof/>
                <w:webHidden/>
              </w:rPr>
              <w:fldChar w:fldCharType="begin"/>
            </w:r>
            <w:r>
              <w:rPr>
                <w:noProof/>
                <w:webHidden/>
              </w:rPr>
              <w:instrText xml:space="preserve"> PAGEREF _Toc213103759 \h </w:instrText>
            </w:r>
            <w:r>
              <w:rPr>
                <w:noProof/>
                <w:webHidden/>
              </w:rPr>
            </w:r>
            <w:r>
              <w:rPr>
                <w:noProof/>
                <w:webHidden/>
              </w:rPr>
              <w:fldChar w:fldCharType="separate"/>
            </w:r>
            <w:r w:rsidR="008F7EBB">
              <w:rPr>
                <w:noProof/>
                <w:webHidden/>
              </w:rPr>
              <w:t>19</w:t>
            </w:r>
            <w:r>
              <w:rPr>
                <w:noProof/>
                <w:webHidden/>
              </w:rPr>
              <w:fldChar w:fldCharType="end"/>
            </w:r>
          </w:hyperlink>
        </w:p>
        <w:p w14:paraId="30F6961B" w14:textId="5427AC07" w:rsidR="007F1D06" w:rsidRDefault="007F1D06" w:rsidP="007F1D06">
          <w:pPr>
            <w:pStyle w:val="TOC1"/>
            <w:tabs>
              <w:tab w:val="right" w:leader="dot" w:pos="9191"/>
            </w:tabs>
            <w:spacing w:line="360" w:lineRule="auto"/>
            <w:rPr>
              <w:noProof/>
            </w:rPr>
          </w:pPr>
          <w:hyperlink w:anchor="_Toc213103760" w:history="1">
            <w:r w:rsidRPr="00466550">
              <w:rPr>
                <w:rStyle w:val="Hyperlink"/>
                <w:noProof/>
              </w:rPr>
              <w:t>References</w:t>
            </w:r>
            <w:r>
              <w:rPr>
                <w:noProof/>
                <w:webHidden/>
              </w:rPr>
              <w:tab/>
            </w:r>
            <w:r>
              <w:rPr>
                <w:noProof/>
                <w:webHidden/>
              </w:rPr>
              <w:fldChar w:fldCharType="begin"/>
            </w:r>
            <w:r>
              <w:rPr>
                <w:noProof/>
                <w:webHidden/>
              </w:rPr>
              <w:instrText xml:space="preserve"> PAGEREF _Toc213103760 \h </w:instrText>
            </w:r>
            <w:r>
              <w:rPr>
                <w:noProof/>
                <w:webHidden/>
              </w:rPr>
            </w:r>
            <w:r>
              <w:rPr>
                <w:noProof/>
                <w:webHidden/>
              </w:rPr>
              <w:fldChar w:fldCharType="separate"/>
            </w:r>
            <w:r w:rsidR="008F7EBB">
              <w:rPr>
                <w:noProof/>
                <w:webHidden/>
              </w:rPr>
              <w:t>21</w:t>
            </w:r>
            <w:r>
              <w:rPr>
                <w:noProof/>
                <w:webHidden/>
              </w:rPr>
              <w:fldChar w:fldCharType="end"/>
            </w:r>
          </w:hyperlink>
        </w:p>
        <w:p w14:paraId="7EE963A5" w14:textId="335979A6" w:rsidR="007F1D06" w:rsidRDefault="007F1D06" w:rsidP="007F1D06">
          <w:pPr>
            <w:pStyle w:val="TOC1"/>
            <w:tabs>
              <w:tab w:val="right" w:leader="dot" w:pos="9191"/>
            </w:tabs>
            <w:spacing w:line="360" w:lineRule="auto"/>
            <w:rPr>
              <w:noProof/>
            </w:rPr>
          </w:pPr>
          <w:hyperlink w:anchor="_Toc213103761" w:history="1">
            <w:r w:rsidRPr="00466550">
              <w:rPr>
                <w:rStyle w:val="Hyperlink"/>
                <w:noProof/>
              </w:rPr>
              <w:t>Appendix A: Summary of Key Financial Performance Indicators (2020–2024)</w:t>
            </w:r>
            <w:r>
              <w:rPr>
                <w:noProof/>
                <w:webHidden/>
              </w:rPr>
              <w:tab/>
            </w:r>
            <w:r>
              <w:rPr>
                <w:noProof/>
                <w:webHidden/>
              </w:rPr>
              <w:fldChar w:fldCharType="begin"/>
            </w:r>
            <w:r>
              <w:rPr>
                <w:noProof/>
                <w:webHidden/>
              </w:rPr>
              <w:instrText xml:space="preserve"> PAGEREF _Toc213103761 \h </w:instrText>
            </w:r>
            <w:r>
              <w:rPr>
                <w:noProof/>
                <w:webHidden/>
              </w:rPr>
            </w:r>
            <w:r>
              <w:rPr>
                <w:noProof/>
                <w:webHidden/>
              </w:rPr>
              <w:fldChar w:fldCharType="separate"/>
            </w:r>
            <w:r w:rsidR="008F7EBB">
              <w:rPr>
                <w:noProof/>
                <w:webHidden/>
              </w:rPr>
              <w:t>26</w:t>
            </w:r>
            <w:r>
              <w:rPr>
                <w:noProof/>
                <w:webHidden/>
              </w:rPr>
              <w:fldChar w:fldCharType="end"/>
            </w:r>
          </w:hyperlink>
        </w:p>
        <w:p w14:paraId="5AA0A8FA" w14:textId="384E2C3C" w:rsidR="007F1D06" w:rsidRDefault="007F1D06" w:rsidP="007F1D06">
          <w:pPr>
            <w:pStyle w:val="TOC1"/>
            <w:tabs>
              <w:tab w:val="right" w:leader="dot" w:pos="9191"/>
            </w:tabs>
            <w:spacing w:line="360" w:lineRule="auto"/>
            <w:rPr>
              <w:noProof/>
            </w:rPr>
          </w:pPr>
          <w:hyperlink w:anchor="_Toc213103762" w:history="1">
            <w:r w:rsidRPr="00466550">
              <w:rPr>
                <w:rStyle w:val="Hyperlink"/>
                <w:noProof/>
              </w:rPr>
              <w:t>Appendix B: General Electronics - CCC Table (2020-2024)</w:t>
            </w:r>
            <w:r>
              <w:rPr>
                <w:noProof/>
                <w:webHidden/>
              </w:rPr>
              <w:tab/>
            </w:r>
            <w:r>
              <w:rPr>
                <w:noProof/>
                <w:webHidden/>
              </w:rPr>
              <w:fldChar w:fldCharType="begin"/>
            </w:r>
            <w:r>
              <w:rPr>
                <w:noProof/>
                <w:webHidden/>
              </w:rPr>
              <w:instrText xml:space="preserve"> PAGEREF _Toc213103762 \h </w:instrText>
            </w:r>
            <w:r>
              <w:rPr>
                <w:noProof/>
                <w:webHidden/>
              </w:rPr>
            </w:r>
            <w:r>
              <w:rPr>
                <w:noProof/>
                <w:webHidden/>
              </w:rPr>
              <w:fldChar w:fldCharType="separate"/>
            </w:r>
            <w:r w:rsidR="008F7EBB">
              <w:rPr>
                <w:noProof/>
                <w:webHidden/>
              </w:rPr>
              <w:t>30</w:t>
            </w:r>
            <w:r>
              <w:rPr>
                <w:noProof/>
                <w:webHidden/>
              </w:rPr>
              <w:fldChar w:fldCharType="end"/>
            </w:r>
          </w:hyperlink>
        </w:p>
        <w:p w14:paraId="607F585C" w14:textId="6E81F567" w:rsidR="007F1D06" w:rsidRDefault="007F1D06" w:rsidP="007F1D06">
          <w:pPr>
            <w:pStyle w:val="TOC1"/>
            <w:tabs>
              <w:tab w:val="right" w:leader="dot" w:pos="9191"/>
            </w:tabs>
            <w:spacing w:line="360" w:lineRule="auto"/>
            <w:rPr>
              <w:noProof/>
            </w:rPr>
          </w:pPr>
          <w:hyperlink w:anchor="_Toc213103763" w:history="1">
            <w:r w:rsidRPr="00466550">
              <w:rPr>
                <w:rStyle w:val="Hyperlink"/>
                <w:noProof/>
              </w:rPr>
              <w:t xml:space="preserve">Appendix C: </w:t>
            </w:r>
            <w:r w:rsidRPr="00466550">
              <w:rPr>
                <w:rStyle w:val="Hyperlink"/>
                <w:bCs/>
                <w:noProof/>
              </w:rPr>
              <w:t>General Electronics – Investment Appraisal Results</w:t>
            </w:r>
            <w:r>
              <w:rPr>
                <w:noProof/>
                <w:webHidden/>
              </w:rPr>
              <w:tab/>
            </w:r>
            <w:r>
              <w:rPr>
                <w:noProof/>
                <w:webHidden/>
              </w:rPr>
              <w:fldChar w:fldCharType="begin"/>
            </w:r>
            <w:r>
              <w:rPr>
                <w:noProof/>
                <w:webHidden/>
              </w:rPr>
              <w:instrText xml:space="preserve"> PAGEREF _Toc213103763 \h </w:instrText>
            </w:r>
            <w:r>
              <w:rPr>
                <w:noProof/>
                <w:webHidden/>
              </w:rPr>
            </w:r>
            <w:r>
              <w:rPr>
                <w:noProof/>
                <w:webHidden/>
              </w:rPr>
              <w:fldChar w:fldCharType="separate"/>
            </w:r>
            <w:r w:rsidR="008F7EBB">
              <w:rPr>
                <w:noProof/>
                <w:webHidden/>
              </w:rPr>
              <w:t>30</w:t>
            </w:r>
            <w:r>
              <w:rPr>
                <w:noProof/>
                <w:webHidden/>
              </w:rPr>
              <w:fldChar w:fldCharType="end"/>
            </w:r>
          </w:hyperlink>
        </w:p>
        <w:p w14:paraId="05DCDBC0" w14:textId="3F3F721B" w:rsidR="007F1D06" w:rsidRDefault="007F1D06" w:rsidP="007F1D06">
          <w:pPr>
            <w:spacing w:line="360" w:lineRule="auto"/>
          </w:pPr>
          <w:r>
            <w:rPr>
              <w:b/>
              <w:bCs/>
              <w:noProof/>
            </w:rPr>
            <w:fldChar w:fldCharType="end"/>
          </w:r>
        </w:p>
      </w:sdtContent>
    </w:sdt>
    <w:p w14:paraId="34DA5CB1" w14:textId="77777777" w:rsidR="007F1D06" w:rsidRDefault="007F1D06" w:rsidP="007F1D06">
      <w:pPr>
        <w:spacing w:line="360" w:lineRule="auto"/>
        <w:rPr>
          <w:b/>
          <w:bCs/>
          <w:lang w:val="en-GB"/>
        </w:rPr>
      </w:pPr>
    </w:p>
    <w:p w14:paraId="22C8C40B" w14:textId="0B159FFC" w:rsidR="00661CA6" w:rsidRDefault="00661CA6" w:rsidP="007F1D06">
      <w:pPr>
        <w:spacing w:before="0" w:after="160" w:line="360" w:lineRule="auto"/>
        <w:jc w:val="left"/>
        <w:rPr>
          <w:b/>
          <w:bCs/>
          <w:lang w:val="en-GB"/>
        </w:rPr>
      </w:pPr>
      <w:r>
        <w:rPr>
          <w:b/>
          <w:bCs/>
          <w:lang w:val="en-GB"/>
        </w:rPr>
        <w:br w:type="page"/>
      </w:r>
    </w:p>
    <w:p w14:paraId="57A72CAF" w14:textId="633181EB" w:rsidR="00661CA6" w:rsidRDefault="00661CA6" w:rsidP="00661CA6">
      <w:pPr>
        <w:pStyle w:val="Heading1"/>
        <w:numPr>
          <w:ilvl w:val="0"/>
          <w:numId w:val="1"/>
        </w:numPr>
      </w:pPr>
      <w:bookmarkStart w:id="0" w:name="_Toc213103737"/>
      <w:r w:rsidRPr="00661CA6">
        <w:lastRenderedPageBreak/>
        <w:t>Introduction</w:t>
      </w:r>
      <w:bookmarkEnd w:id="0"/>
    </w:p>
    <w:p w14:paraId="19C9586E" w14:textId="32B7B3DB" w:rsidR="00661CA6" w:rsidRDefault="00661CA6" w:rsidP="00661CA6">
      <w:pPr>
        <w:spacing w:line="360" w:lineRule="auto"/>
        <w:rPr>
          <w:lang w:val="en-GB"/>
        </w:rPr>
      </w:pPr>
      <w:r w:rsidRPr="00661CA6">
        <w:rPr>
          <w:lang w:val="en-GB"/>
        </w:rPr>
        <w:t>General Electronics is a multinational corporation that has been in the consumer electronics industry</w:t>
      </w:r>
      <w:r>
        <w:rPr>
          <w:lang w:val="en-GB"/>
        </w:rPr>
        <w:t>,</w:t>
      </w:r>
      <w:r w:rsidRPr="00661CA6">
        <w:rPr>
          <w:lang w:val="en-GB"/>
        </w:rPr>
        <w:t xml:space="preserve"> which is very competitive. The company has</w:t>
      </w:r>
      <w:r>
        <w:rPr>
          <w:lang w:val="en-GB"/>
        </w:rPr>
        <w:t>,</w:t>
      </w:r>
      <w:r w:rsidRPr="00661CA6">
        <w:rPr>
          <w:lang w:val="en-GB"/>
        </w:rPr>
        <w:t xml:space="preserve"> over the last five years</w:t>
      </w:r>
      <w:r>
        <w:rPr>
          <w:lang w:val="en-GB"/>
        </w:rPr>
        <w:t>,</w:t>
      </w:r>
      <w:r w:rsidRPr="00661CA6">
        <w:rPr>
          <w:lang w:val="en-GB"/>
        </w:rPr>
        <w:t xml:space="preserve"> been facing a serious downturn in financial performance with declining revenues, continued operating losses</w:t>
      </w:r>
      <w:r>
        <w:rPr>
          <w:lang w:val="en-GB"/>
        </w:rPr>
        <w:t>,</w:t>
      </w:r>
      <w:r w:rsidRPr="00661CA6">
        <w:rPr>
          <w:lang w:val="en-GB"/>
        </w:rPr>
        <w:t xml:space="preserve"> and </w:t>
      </w:r>
      <w:r>
        <w:rPr>
          <w:lang w:val="en-GB"/>
        </w:rPr>
        <w:t>worsening liquidity position</w:t>
      </w:r>
      <w:r w:rsidRPr="00661CA6">
        <w:rPr>
          <w:lang w:val="en-GB"/>
        </w:rPr>
        <w:t>. The financial reports show that profitability is gradually fading away, the earnings per share are negative, and leverage is growing</w:t>
      </w:r>
      <w:r>
        <w:rPr>
          <w:lang w:val="en-GB"/>
        </w:rPr>
        <w:t>,</w:t>
      </w:r>
      <w:r w:rsidRPr="00661CA6">
        <w:rPr>
          <w:lang w:val="en-GB"/>
        </w:rPr>
        <w:t xml:space="preserve"> </w:t>
      </w:r>
      <w:r>
        <w:rPr>
          <w:lang w:val="en-GB"/>
        </w:rPr>
        <w:t>a</w:t>
      </w:r>
      <w:r w:rsidRPr="00661CA6">
        <w:rPr>
          <w:lang w:val="en-GB"/>
        </w:rPr>
        <w:t xml:space="preserve"> negative indicator of inefficient operations and strategic mismatch</w:t>
      </w:r>
      <w:r>
        <w:rPr>
          <w:lang w:val="en-GB"/>
        </w:rPr>
        <w:t xml:space="preserve"> </w:t>
      </w:r>
      <w:r w:rsidRPr="00661CA6">
        <w:rPr>
          <w:lang w:val="en-GB"/>
        </w:rPr>
        <w:t>(Abubakar and Anyonje, 2025). These have put the company at risk of financial distress</w:t>
      </w:r>
      <w:r>
        <w:rPr>
          <w:lang w:val="en-GB"/>
        </w:rPr>
        <w:t>,</w:t>
      </w:r>
      <w:r w:rsidRPr="00661CA6">
        <w:rPr>
          <w:lang w:val="en-GB"/>
        </w:rPr>
        <w:t xml:space="preserve"> and thus urgent action is needed to ensure that the company is back on its feet and to ensure that the company is sustainable in the long run.</w:t>
      </w:r>
    </w:p>
    <w:p w14:paraId="58803296" w14:textId="70090623" w:rsidR="00661CA6" w:rsidRDefault="00661CA6" w:rsidP="00661CA6">
      <w:pPr>
        <w:spacing w:line="360" w:lineRule="auto"/>
        <w:rPr>
          <w:lang w:val="en-GB"/>
        </w:rPr>
      </w:pPr>
      <w:r w:rsidRPr="00661CA6">
        <w:rPr>
          <w:lang w:val="en-GB"/>
        </w:rPr>
        <w:t>This report is aimed at performing a financial analysis of General Electronics, as well as to establish a sound turnaround strategy with financial support. In particular, the report will assess the past performance of the firm using the ratio analysis, the working capital management practices of the firm, and offer viable financial restructuring options</w:t>
      </w:r>
      <w:r>
        <w:rPr>
          <w:lang w:val="en-GB"/>
        </w:rPr>
        <w:t xml:space="preserve"> </w:t>
      </w:r>
      <w:r w:rsidRPr="00661CA6">
        <w:rPr>
          <w:lang w:val="en-GB"/>
        </w:rPr>
        <w:t xml:space="preserve">(Mandipa and Sibindi, 2022). The report will also critically evaluate the available investment opportunities through the application of known capital budgeting methods </w:t>
      </w:r>
      <w:r>
        <w:rPr>
          <w:lang w:val="en-GB"/>
        </w:rPr>
        <w:t>to</w:t>
      </w:r>
      <w:r w:rsidRPr="00661CA6">
        <w:rPr>
          <w:lang w:val="en-GB"/>
        </w:rPr>
        <w:t xml:space="preserve"> suggest the most </w:t>
      </w:r>
      <w:r>
        <w:rPr>
          <w:lang w:val="en-GB"/>
        </w:rPr>
        <w:t>financially</w:t>
      </w:r>
      <w:r w:rsidRPr="00661CA6">
        <w:rPr>
          <w:lang w:val="en-GB"/>
        </w:rPr>
        <w:t xml:space="preserve"> viable opportunity through capital rationing constraints.</w:t>
      </w:r>
    </w:p>
    <w:p w14:paraId="110E0DBB" w14:textId="4D92A89E" w:rsidR="00661CA6" w:rsidRDefault="00661CA6" w:rsidP="00661CA6">
      <w:pPr>
        <w:spacing w:line="360" w:lineRule="auto"/>
        <w:rPr>
          <w:lang w:val="en-GB"/>
        </w:rPr>
      </w:pPr>
      <w:r w:rsidRPr="00661CA6">
        <w:rPr>
          <w:lang w:val="en-GB"/>
        </w:rPr>
        <w:t>The report is in line with the module learning outcomes as it shows the use of financial assessment methods and the assessment of frameworks that are employed in managing and controlling financial resources. It combines quantitative analysis and theoretical insight to assist in the decision-making on strategy finance. The report is divided into four analysis segments</w:t>
      </w:r>
      <w:r>
        <w:rPr>
          <w:lang w:val="en-GB"/>
        </w:rPr>
        <w:t>,</w:t>
      </w:r>
      <w:r w:rsidRPr="00661CA6">
        <w:rPr>
          <w:lang w:val="en-GB"/>
        </w:rPr>
        <w:t xml:space="preserve"> namely financial health check, working capital analysis, restructuring plan</w:t>
      </w:r>
      <w:r>
        <w:rPr>
          <w:lang w:val="en-GB"/>
        </w:rPr>
        <w:t>,</w:t>
      </w:r>
      <w:r w:rsidRPr="00661CA6">
        <w:rPr>
          <w:lang w:val="en-GB"/>
        </w:rPr>
        <w:t xml:space="preserve"> and investment appraisal</w:t>
      </w:r>
      <w:r>
        <w:rPr>
          <w:lang w:val="en-GB"/>
        </w:rPr>
        <w:t>,</w:t>
      </w:r>
      <w:r w:rsidRPr="00661CA6">
        <w:rPr>
          <w:lang w:val="en-GB"/>
        </w:rPr>
        <w:t xml:space="preserve"> and finally</w:t>
      </w:r>
      <w:r>
        <w:rPr>
          <w:lang w:val="en-GB"/>
        </w:rPr>
        <w:t>,</w:t>
      </w:r>
      <w:r w:rsidRPr="00661CA6">
        <w:rPr>
          <w:lang w:val="en-GB"/>
        </w:rPr>
        <w:t xml:space="preserve"> a conclusion is provided summarising major findings and recommendations to the recovery and sustainable growth of General Electronics.</w:t>
      </w:r>
    </w:p>
    <w:p w14:paraId="04E39227" w14:textId="77777777" w:rsidR="00661CA6" w:rsidRPr="00661CA6" w:rsidRDefault="00661CA6" w:rsidP="00661CA6">
      <w:pPr>
        <w:pStyle w:val="Heading1"/>
      </w:pPr>
      <w:bookmarkStart w:id="1" w:name="_Toc213103738"/>
      <w:r w:rsidRPr="00661CA6">
        <w:t>2. Financial Health Check</w:t>
      </w:r>
      <w:bookmarkEnd w:id="1"/>
    </w:p>
    <w:p w14:paraId="296AA4EE" w14:textId="77777777" w:rsidR="00661CA6" w:rsidRDefault="00661CA6" w:rsidP="00661CA6">
      <w:pPr>
        <w:pStyle w:val="Heading2"/>
      </w:pPr>
      <w:bookmarkStart w:id="2" w:name="_Toc213103739"/>
      <w:r w:rsidRPr="00661CA6">
        <w:t>2.1 Overview of Financial Performance (2020–2024)</w:t>
      </w:r>
      <w:bookmarkEnd w:id="2"/>
    </w:p>
    <w:p w14:paraId="205AB164" w14:textId="3F074C28" w:rsidR="00661CA6" w:rsidRDefault="00661CA6" w:rsidP="00661CA6">
      <w:pPr>
        <w:spacing w:line="360" w:lineRule="auto"/>
        <w:rPr>
          <w:lang w:val="en-GB"/>
        </w:rPr>
      </w:pPr>
      <w:r w:rsidRPr="00661CA6">
        <w:rPr>
          <w:lang w:val="en-GB"/>
        </w:rPr>
        <w:t>The financial trend of General Electronics during the last five years indicates a rapid and steady decline in the sales performance as well as the profitability</w:t>
      </w:r>
      <w:r w:rsidR="004D2C18">
        <w:rPr>
          <w:lang w:val="en-GB"/>
        </w:rPr>
        <w:t xml:space="preserve"> </w:t>
      </w:r>
      <w:r w:rsidR="004D2C18" w:rsidRPr="004D2C18">
        <w:rPr>
          <w:lang w:val="en-GB"/>
        </w:rPr>
        <w:t>(Senthil Kumar Muthusamy and Kannan, 2023)</w:t>
      </w:r>
      <w:r w:rsidRPr="00661CA6">
        <w:rPr>
          <w:lang w:val="en-GB"/>
        </w:rPr>
        <w:t xml:space="preserve">. Net sales plummeted to a significantly smaller amount of 394,879 million in 2024 as compared to 2020 of 614,680 million million and cumulatively fell by a percentage of about 36. Such sharp decline in revenues is an indicator of loss of competitive position in the </w:t>
      </w:r>
      <w:r w:rsidRPr="00661CA6">
        <w:rPr>
          <w:lang w:val="en-GB"/>
        </w:rPr>
        <w:lastRenderedPageBreak/>
        <w:t>consumer electronics market and this could be as a result of declining global demand, pricing and product innovation inefficiencies.</w:t>
      </w:r>
    </w:p>
    <w:p w14:paraId="672EAE79" w14:textId="34C20E35" w:rsidR="00661CA6" w:rsidRDefault="00661CA6" w:rsidP="00661CA6">
      <w:pPr>
        <w:spacing w:line="360" w:lineRule="auto"/>
        <w:rPr>
          <w:lang w:val="en-GB"/>
        </w:rPr>
      </w:pPr>
      <w:r w:rsidRPr="00661CA6">
        <w:rPr>
          <w:lang w:val="en-GB"/>
        </w:rPr>
        <w:t>At the same time, the gross profit of the company decreased by 176,256 million in 2020, and 113,994 million in 2024, which indicates declining margins despite the reduction in the cost of sales. What is worse, operating income became negative in 2023 and 2024, where operating loss of £15,297 million in 2024 is seven times less than the operating profit of 37,267 million in 2020</w:t>
      </w:r>
      <w:r w:rsidR="004D2C18">
        <w:rPr>
          <w:lang w:val="en-GB"/>
        </w:rPr>
        <w:t xml:space="preserve"> </w:t>
      </w:r>
      <w:r w:rsidR="004D2C18" w:rsidRPr="004D2C18">
        <w:rPr>
          <w:lang w:val="en-GB"/>
        </w:rPr>
        <w:t>(Peng and Shehabi, 2022)</w:t>
      </w:r>
      <w:r w:rsidRPr="00661CA6">
        <w:rPr>
          <w:lang w:val="en-GB"/>
        </w:rPr>
        <w:t>. This implies that cost structures, especially operating costs, are no longer sustainable in terms of revenue generation.</w:t>
      </w:r>
    </w:p>
    <w:p w14:paraId="2BA0FC20" w14:textId="01E6C245" w:rsidR="00661CA6" w:rsidRDefault="00661CA6" w:rsidP="00661CA6">
      <w:pPr>
        <w:spacing w:line="360" w:lineRule="auto"/>
        <w:rPr>
          <w:lang w:val="en-GB"/>
        </w:rPr>
      </w:pPr>
      <w:r w:rsidRPr="00661CA6">
        <w:rPr>
          <w:lang w:val="en-GB"/>
        </w:rPr>
        <w:t>These issues are enhanced by the trend in the net income, which in 2024 the company registered a net loss of £24,029 million, after registering a further net loss of £98,238 million in 2023. The change to sustained losses is a sign of the lack of operational efficiency and even the mismanagement of the strategy</w:t>
      </w:r>
      <w:r w:rsidR="004D2C18">
        <w:rPr>
          <w:lang w:val="en-GB"/>
        </w:rPr>
        <w:t xml:space="preserve"> </w:t>
      </w:r>
      <w:r w:rsidR="004D2C18" w:rsidRPr="004D2C18">
        <w:rPr>
          <w:lang w:val="en-GB"/>
        </w:rPr>
        <w:t>(Ikuta and Fujii, 2022)</w:t>
      </w:r>
      <w:r w:rsidRPr="00661CA6">
        <w:rPr>
          <w:lang w:val="en-GB"/>
        </w:rPr>
        <w:t>. These protracted losses have also decreased shareholder equity as of 2020 of 313,301 million to 153,105 million in 2024, and this shows a huge loss of investor confidence.</w:t>
      </w:r>
    </w:p>
    <w:p w14:paraId="2C26FECC" w14:textId="09426BDA" w:rsidR="00661CA6" w:rsidRDefault="00661CA6" w:rsidP="00661CA6">
      <w:pPr>
        <w:spacing w:line="360" w:lineRule="auto"/>
        <w:rPr>
          <w:lang w:val="en-GB"/>
        </w:rPr>
      </w:pPr>
      <w:r w:rsidRPr="00661CA6">
        <w:rPr>
          <w:lang w:val="en-GB"/>
        </w:rPr>
        <w:t xml:space="preserve">Theoretically speaking, this trend can be explained by the profitability management theory, which lays stress on the necessity of achieving a balance between the increase in revenue and the management of costs to ensure sustainable levels </w:t>
      </w:r>
      <w:r w:rsidR="004D2C18" w:rsidRPr="004D2C18">
        <w:rPr>
          <w:lang w:val="en-GB"/>
        </w:rPr>
        <w:t>(Lee, 2023)</w:t>
      </w:r>
      <w:r w:rsidRPr="00661CA6">
        <w:rPr>
          <w:lang w:val="en-GB"/>
        </w:rPr>
        <w:t>. The deterioration of General Electronics means that it lacks cost control and the flexibility to respond to the market forces, which are major signs of reduced operational effectiveness.</w:t>
      </w:r>
    </w:p>
    <w:p w14:paraId="5833D2BE" w14:textId="7AFEC7CA" w:rsidR="004D2C18" w:rsidRDefault="004D2C18" w:rsidP="004D2C18">
      <w:pPr>
        <w:pStyle w:val="Heading2"/>
      </w:pPr>
      <w:bookmarkStart w:id="3" w:name="_Toc213103740"/>
      <w:r w:rsidRPr="004D2C18">
        <w:t>2.2 Ratio Analysis Summary</w:t>
      </w:r>
      <w:bookmarkEnd w:id="3"/>
    </w:p>
    <w:p w14:paraId="112E6AB3" w14:textId="1087E472" w:rsidR="004D2C18" w:rsidRDefault="004D2C18" w:rsidP="004D2C18">
      <w:pPr>
        <w:spacing w:line="360" w:lineRule="auto"/>
        <w:rPr>
          <w:lang w:val="en-GB"/>
        </w:rPr>
      </w:pPr>
      <w:r w:rsidRPr="004D2C18">
        <w:rPr>
          <w:lang w:val="en-GB"/>
        </w:rPr>
        <w:t xml:space="preserve">The financial ratio analysis was performed thoroughly to evaluate the profitability, liquidity, efficiency of the firm, gearing, and investment performance of the firm in 2020-24. The results of the calculations and the tables are shown in </w:t>
      </w:r>
      <w:r w:rsidRPr="00C778BA">
        <w:rPr>
          <w:b/>
          <w:bCs/>
          <w:i/>
          <w:iCs/>
          <w:lang w:val="en-GB"/>
        </w:rPr>
        <w:t xml:space="preserve">Appendix </w:t>
      </w:r>
      <w:r w:rsidR="00C778BA">
        <w:rPr>
          <w:b/>
          <w:bCs/>
          <w:i/>
          <w:iCs/>
          <w:lang w:val="en-GB"/>
        </w:rPr>
        <w:t>A</w:t>
      </w:r>
      <w:r w:rsidRPr="00C778BA">
        <w:rPr>
          <w:b/>
          <w:bCs/>
          <w:i/>
          <w:iCs/>
          <w:lang w:val="en-GB"/>
        </w:rPr>
        <w:t>.</w:t>
      </w:r>
    </w:p>
    <w:p w14:paraId="236DFBCC" w14:textId="77777777" w:rsidR="002C40D6" w:rsidRDefault="002C40D6" w:rsidP="002C40D6">
      <w:pPr>
        <w:spacing w:line="360" w:lineRule="auto"/>
        <w:rPr>
          <w:b/>
          <w:bCs/>
          <w:u w:val="single"/>
          <w:lang w:val="en-GB"/>
        </w:rPr>
      </w:pPr>
      <w:r w:rsidRPr="002C40D6">
        <w:rPr>
          <w:b/>
          <w:bCs/>
          <w:u w:val="single"/>
          <w:lang w:val="en-GB"/>
        </w:rPr>
        <w:t>Profitability Ratios</w:t>
      </w:r>
    </w:p>
    <w:p w14:paraId="2CD3D2DF" w14:textId="77777777" w:rsidR="002C40D6" w:rsidRDefault="002C40D6" w:rsidP="002C40D6">
      <w:pPr>
        <w:spacing w:line="360" w:lineRule="auto"/>
        <w:rPr>
          <w:b/>
          <w:bCs/>
          <w:i/>
          <w:iCs/>
          <w:u w:val="single"/>
          <w:lang w:val="en-GB"/>
        </w:rPr>
      </w:pPr>
      <w:r w:rsidRPr="002C40D6">
        <w:rPr>
          <w:i/>
          <w:iCs/>
          <w:lang w:val="en-GB"/>
        </w:rPr>
        <w:t>Gross Profit Margin:</w:t>
      </w:r>
    </w:p>
    <w:p w14:paraId="6C088EB5" w14:textId="2F7168F2" w:rsidR="002C40D6" w:rsidRPr="002C40D6" w:rsidRDefault="002C40D6" w:rsidP="002C40D6">
      <w:pPr>
        <w:pStyle w:val="ListParagraph"/>
        <w:numPr>
          <w:ilvl w:val="0"/>
          <w:numId w:val="3"/>
        </w:numPr>
        <w:spacing w:line="360" w:lineRule="auto"/>
        <w:rPr>
          <w:b/>
          <w:bCs/>
          <w:i/>
          <w:iCs/>
          <w:u w:val="single"/>
          <w:lang w:val="en-GB"/>
        </w:rPr>
      </w:pPr>
      <w:r w:rsidRPr="002C40D6">
        <w:rPr>
          <w:lang w:val="en-GB"/>
        </w:rPr>
        <w:t>Falling to about 28.7% (2020) to 28.8% (2024) - fairly steady, but less sales volumes.</w:t>
      </w:r>
    </w:p>
    <w:p w14:paraId="2F674ECB" w14:textId="77777777" w:rsidR="002C40D6" w:rsidRDefault="002C40D6" w:rsidP="002C40D6">
      <w:pPr>
        <w:spacing w:line="360" w:lineRule="auto"/>
        <w:rPr>
          <w:lang w:val="en-GB"/>
        </w:rPr>
      </w:pPr>
      <w:r w:rsidRPr="002C40D6">
        <w:rPr>
          <w:lang w:val="en-GB"/>
        </w:rPr>
        <w:t>→ Refers to a degree of cost of sales control even under the declining demand.</w:t>
      </w:r>
    </w:p>
    <w:p w14:paraId="2F6226EB" w14:textId="77777777" w:rsidR="002C40D6" w:rsidRPr="002C40D6" w:rsidRDefault="002C40D6" w:rsidP="002C40D6">
      <w:pPr>
        <w:spacing w:line="360" w:lineRule="auto"/>
        <w:rPr>
          <w:i/>
          <w:iCs/>
          <w:lang w:val="en-GB"/>
        </w:rPr>
      </w:pPr>
      <w:r w:rsidRPr="002C40D6">
        <w:rPr>
          <w:i/>
          <w:iCs/>
          <w:lang w:val="en-GB"/>
        </w:rPr>
        <w:lastRenderedPageBreak/>
        <w:t>Net Profit Margin:</w:t>
      </w:r>
    </w:p>
    <w:p w14:paraId="75897B2C" w14:textId="11958028" w:rsidR="002C40D6" w:rsidRPr="002C40D6" w:rsidRDefault="002C40D6" w:rsidP="002C40D6">
      <w:pPr>
        <w:pStyle w:val="ListParagraph"/>
        <w:numPr>
          <w:ilvl w:val="0"/>
          <w:numId w:val="3"/>
        </w:numPr>
        <w:spacing w:line="360" w:lineRule="auto"/>
        <w:rPr>
          <w:lang w:val="en-GB"/>
        </w:rPr>
      </w:pPr>
      <w:r w:rsidRPr="002C40D6">
        <w:rPr>
          <w:lang w:val="en-GB"/>
        </w:rPr>
        <w:t>Fell from 6.3% (2020) to –6.1% (2024).</w:t>
      </w:r>
    </w:p>
    <w:p w14:paraId="3647416B" w14:textId="77777777" w:rsidR="002C40D6" w:rsidRPr="002C40D6" w:rsidRDefault="002C40D6" w:rsidP="002C40D6">
      <w:pPr>
        <w:spacing w:line="360" w:lineRule="auto"/>
        <w:rPr>
          <w:lang w:val="en-GB"/>
        </w:rPr>
      </w:pPr>
      <w:r w:rsidRPr="002C40D6">
        <w:rPr>
          <w:lang w:val="en-GB"/>
        </w:rPr>
        <w:t>→ Represents a core failure of operating efficiency and rising overheads.</w:t>
      </w:r>
    </w:p>
    <w:p w14:paraId="7501C7B8" w14:textId="578D7686" w:rsidR="002C40D6" w:rsidRPr="002C40D6" w:rsidRDefault="002C40D6" w:rsidP="002C40D6">
      <w:pPr>
        <w:spacing w:line="360" w:lineRule="auto"/>
        <w:rPr>
          <w:lang w:val="en-GB"/>
        </w:rPr>
      </w:pPr>
      <w:r w:rsidRPr="002C40D6">
        <w:rPr>
          <w:lang w:val="en-GB"/>
        </w:rPr>
        <w:t>Nagle, Müller and Gruyaert (2023) says that long-term negative margins indicate ineffective cost management and poor pricing policy.</w:t>
      </w:r>
    </w:p>
    <w:p w14:paraId="6057D3B4" w14:textId="77777777" w:rsidR="002C40D6" w:rsidRPr="002C40D6" w:rsidRDefault="002C40D6" w:rsidP="002C40D6">
      <w:pPr>
        <w:spacing w:line="360" w:lineRule="auto"/>
        <w:rPr>
          <w:i/>
          <w:iCs/>
          <w:lang w:val="en-GB"/>
        </w:rPr>
      </w:pPr>
      <w:r w:rsidRPr="002C40D6">
        <w:rPr>
          <w:i/>
          <w:iCs/>
          <w:lang w:val="en-GB"/>
        </w:rPr>
        <w:t>Return on Assets (ROA):</w:t>
      </w:r>
    </w:p>
    <w:p w14:paraId="246195F5" w14:textId="77777777" w:rsidR="002C40D6" w:rsidRPr="002C40D6" w:rsidRDefault="002C40D6" w:rsidP="002C40D6">
      <w:pPr>
        <w:pStyle w:val="ListParagraph"/>
        <w:numPr>
          <w:ilvl w:val="0"/>
          <w:numId w:val="3"/>
        </w:numPr>
        <w:spacing w:line="360" w:lineRule="auto"/>
        <w:rPr>
          <w:lang w:val="en-GB"/>
        </w:rPr>
      </w:pPr>
      <w:r w:rsidRPr="002C40D6">
        <w:rPr>
          <w:lang w:val="en-GB"/>
        </w:rPr>
        <w:t>Fell to 7.6% (2020) to -7.4% (2024), which is also in line with asset inefficiency.</w:t>
      </w:r>
    </w:p>
    <w:p w14:paraId="18651FBF" w14:textId="5BCFEB39" w:rsidR="002C40D6" w:rsidRPr="002C40D6" w:rsidRDefault="002C40D6" w:rsidP="002C40D6">
      <w:pPr>
        <w:spacing w:line="360" w:lineRule="auto"/>
        <w:rPr>
          <w:lang w:val="en-GB"/>
        </w:rPr>
      </w:pPr>
      <w:r w:rsidRPr="002C40D6">
        <w:rPr>
          <w:lang w:val="en-GB"/>
        </w:rPr>
        <w:t>This is an indication of underutilisation of fixed assets, which is supported by decreasing property, plant, and equipment (PPE).</w:t>
      </w:r>
    </w:p>
    <w:p w14:paraId="7A7FA1C6" w14:textId="77777777" w:rsidR="002C40D6" w:rsidRPr="002C40D6" w:rsidRDefault="002C40D6" w:rsidP="002C40D6">
      <w:pPr>
        <w:spacing w:line="360" w:lineRule="auto"/>
        <w:rPr>
          <w:i/>
          <w:iCs/>
          <w:lang w:val="en-GB"/>
        </w:rPr>
      </w:pPr>
      <w:r w:rsidRPr="002C40D6">
        <w:rPr>
          <w:i/>
          <w:iCs/>
          <w:lang w:val="en-GB"/>
        </w:rPr>
        <w:t>Return on Equity (ROE):</w:t>
      </w:r>
    </w:p>
    <w:p w14:paraId="0D6E1C66" w14:textId="77777777" w:rsidR="002C40D6" w:rsidRPr="002C40D6" w:rsidRDefault="002C40D6" w:rsidP="002C40D6">
      <w:pPr>
        <w:pStyle w:val="ListParagraph"/>
        <w:numPr>
          <w:ilvl w:val="0"/>
          <w:numId w:val="3"/>
        </w:numPr>
        <w:spacing w:line="360" w:lineRule="auto"/>
        <w:rPr>
          <w:lang w:val="en-GB"/>
        </w:rPr>
      </w:pPr>
      <w:r w:rsidRPr="002C40D6">
        <w:rPr>
          <w:lang w:val="en-GB"/>
        </w:rPr>
        <w:t>Fell to -15.7% (2024) downward, indicating shareholder value destruction, compared to 12.3% (2020).</w:t>
      </w:r>
    </w:p>
    <w:p w14:paraId="554F8107" w14:textId="6D92F2DD" w:rsidR="002C40D6" w:rsidRPr="002C40D6" w:rsidRDefault="002C40D6" w:rsidP="002C40D6">
      <w:pPr>
        <w:spacing w:line="360" w:lineRule="auto"/>
        <w:rPr>
          <w:lang w:val="en-GB"/>
        </w:rPr>
      </w:pPr>
      <w:r w:rsidRPr="002C40D6">
        <w:rPr>
          <w:lang w:val="en-GB"/>
        </w:rPr>
        <w:t>According to Bozsik and Szemán (2023), negative ROE points at unsustainable leverage and inadequate returns.</w:t>
      </w:r>
    </w:p>
    <w:p w14:paraId="2F3517BC" w14:textId="77777777" w:rsidR="002C40D6" w:rsidRDefault="002C40D6" w:rsidP="002C40D6">
      <w:pPr>
        <w:spacing w:line="360" w:lineRule="auto"/>
        <w:rPr>
          <w:b/>
          <w:bCs/>
          <w:u w:val="single"/>
          <w:lang w:val="en-GB"/>
        </w:rPr>
      </w:pPr>
      <w:r w:rsidRPr="002C40D6">
        <w:rPr>
          <w:b/>
          <w:bCs/>
          <w:u w:val="single"/>
          <w:lang w:val="en-GB"/>
        </w:rPr>
        <w:t>Liquidity Ratios</w:t>
      </w:r>
    </w:p>
    <w:p w14:paraId="3C616AC1" w14:textId="66CBB03E" w:rsidR="002C40D6" w:rsidRPr="002C40D6" w:rsidRDefault="002C40D6" w:rsidP="002C40D6">
      <w:pPr>
        <w:spacing w:line="360" w:lineRule="auto"/>
        <w:rPr>
          <w:b/>
          <w:bCs/>
          <w:i/>
          <w:iCs/>
          <w:u w:val="single"/>
          <w:lang w:val="en-GB"/>
        </w:rPr>
      </w:pPr>
      <w:r w:rsidRPr="002C40D6">
        <w:rPr>
          <w:i/>
          <w:iCs/>
          <w:lang w:val="en-GB"/>
        </w:rPr>
        <w:t>Current Ratio:</w:t>
      </w:r>
    </w:p>
    <w:p w14:paraId="0049554B" w14:textId="77777777" w:rsidR="002C40D6" w:rsidRPr="002C40D6" w:rsidRDefault="002C40D6" w:rsidP="002C40D6">
      <w:pPr>
        <w:pStyle w:val="ListParagraph"/>
        <w:numPr>
          <w:ilvl w:val="0"/>
          <w:numId w:val="3"/>
        </w:numPr>
        <w:spacing w:line="360" w:lineRule="auto"/>
        <w:rPr>
          <w:lang w:val="en-GB"/>
        </w:rPr>
      </w:pPr>
      <w:r w:rsidRPr="002C40D6">
        <w:rPr>
          <w:lang w:val="en-GB"/>
        </w:rPr>
        <w:t>Fell, 1.82 (2020) to 1.53 (2024), but still above the 1.0 mark, which is a sign of a tightening liquidity.</w:t>
      </w:r>
    </w:p>
    <w:p w14:paraId="497ECFFE" w14:textId="729E5094" w:rsidR="002C40D6" w:rsidRPr="002C40D6" w:rsidRDefault="002C40D6" w:rsidP="002C40D6">
      <w:pPr>
        <w:spacing w:line="360" w:lineRule="auto"/>
        <w:rPr>
          <w:lang w:val="en-GB"/>
        </w:rPr>
      </w:pPr>
      <w:r w:rsidRPr="002C40D6">
        <w:rPr>
          <w:lang w:val="en-GB"/>
        </w:rPr>
        <w:t>The firm might be able to fulfill the obligations in the short-term, but the downward trend is a pointer of decreased flexibility.</w:t>
      </w:r>
    </w:p>
    <w:p w14:paraId="20FE15D4" w14:textId="77777777" w:rsidR="002C40D6" w:rsidRPr="002C40D6" w:rsidRDefault="002C40D6" w:rsidP="002C40D6">
      <w:pPr>
        <w:spacing w:line="360" w:lineRule="auto"/>
        <w:rPr>
          <w:i/>
          <w:iCs/>
          <w:lang w:val="en-GB"/>
        </w:rPr>
      </w:pPr>
      <w:r w:rsidRPr="002C40D6">
        <w:rPr>
          <w:i/>
          <w:iCs/>
          <w:lang w:val="en-GB"/>
        </w:rPr>
        <w:t>Quick Ratio:</w:t>
      </w:r>
    </w:p>
    <w:p w14:paraId="4E9827CD" w14:textId="77777777" w:rsidR="002C40D6" w:rsidRPr="002C40D6" w:rsidRDefault="002C40D6" w:rsidP="002C40D6">
      <w:pPr>
        <w:pStyle w:val="ListParagraph"/>
        <w:numPr>
          <w:ilvl w:val="0"/>
          <w:numId w:val="3"/>
        </w:numPr>
        <w:spacing w:line="360" w:lineRule="auto"/>
        <w:rPr>
          <w:lang w:val="en-GB"/>
        </w:rPr>
      </w:pPr>
      <w:r w:rsidRPr="002C40D6">
        <w:rPr>
          <w:lang w:val="en-GB"/>
        </w:rPr>
        <w:t>Decreased to 0.89 (2020) to 1.03 (2024) (weak improvement in last year because of inventory reduction).</w:t>
      </w:r>
    </w:p>
    <w:p w14:paraId="18D48E5B" w14:textId="557E7A64" w:rsidR="002C40D6" w:rsidRDefault="002C40D6" w:rsidP="002C40D6">
      <w:pPr>
        <w:spacing w:line="360" w:lineRule="auto"/>
        <w:rPr>
          <w:lang w:val="en-GB"/>
        </w:rPr>
      </w:pPr>
      <w:r w:rsidRPr="002C40D6">
        <w:rPr>
          <w:lang w:val="en-GB"/>
        </w:rPr>
        <w:lastRenderedPageBreak/>
        <w:t>This is in line with the liquidity management theory, which emphasizes that there should be adequate liquid assets to ensure that there is no disruption in operations (Zhou, Xia and Peng, 2021).</w:t>
      </w:r>
    </w:p>
    <w:p w14:paraId="6190A298" w14:textId="77777777" w:rsidR="002C40D6" w:rsidRDefault="002C40D6" w:rsidP="002C40D6">
      <w:pPr>
        <w:spacing w:line="360" w:lineRule="auto"/>
        <w:rPr>
          <w:b/>
          <w:bCs/>
          <w:u w:val="single"/>
          <w:lang w:val="en-GB"/>
        </w:rPr>
      </w:pPr>
      <w:r w:rsidRPr="002C40D6">
        <w:rPr>
          <w:b/>
          <w:bCs/>
          <w:u w:val="single"/>
          <w:lang w:val="en-GB"/>
        </w:rPr>
        <w:t>Efficiency Ratios</w:t>
      </w:r>
    </w:p>
    <w:p w14:paraId="6667B12C" w14:textId="77777777" w:rsidR="002C40D6" w:rsidRPr="002C40D6" w:rsidRDefault="002C40D6" w:rsidP="002C40D6">
      <w:pPr>
        <w:pStyle w:val="ListParagraph"/>
        <w:numPr>
          <w:ilvl w:val="0"/>
          <w:numId w:val="3"/>
        </w:numPr>
        <w:spacing w:line="360" w:lineRule="auto"/>
        <w:rPr>
          <w:b/>
          <w:bCs/>
          <w:u w:val="single"/>
          <w:lang w:val="en-GB"/>
        </w:rPr>
      </w:pPr>
      <w:r w:rsidRPr="002C40D6">
        <w:rPr>
          <w:lang w:val="en-GB"/>
        </w:rPr>
        <w:t>Inventory Days: It has risen by 100 days (2020) to close to 150 days (2024), indicating an indication of overstocking and slow sales.</w:t>
      </w:r>
    </w:p>
    <w:p w14:paraId="21DB0C7B" w14:textId="77777777" w:rsidR="002C40D6" w:rsidRPr="002C40D6" w:rsidRDefault="002C40D6" w:rsidP="002C40D6">
      <w:pPr>
        <w:pStyle w:val="ListParagraph"/>
        <w:numPr>
          <w:ilvl w:val="0"/>
          <w:numId w:val="3"/>
        </w:numPr>
        <w:spacing w:line="360" w:lineRule="auto"/>
        <w:rPr>
          <w:b/>
          <w:bCs/>
          <w:u w:val="single"/>
          <w:lang w:val="en-GB"/>
        </w:rPr>
      </w:pPr>
      <w:r w:rsidRPr="002C40D6">
        <w:rPr>
          <w:lang w:val="en-GB"/>
        </w:rPr>
        <w:t>Receivable Days: This has gone down slightly compared to 77 days (2020) to 74 days (2024), which shows that it has bettered its control over credit.</w:t>
      </w:r>
    </w:p>
    <w:p w14:paraId="389A5B90" w14:textId="77777777" w:rsidR="002C40D6" w:rsidRPr="002C40D6" w:rsidRDefault="002C40D6" w:rsidP="002C40D6">
      <w:pPr>
        <w:pStyle w:val="ListParagraph"/>
        <w:numPr>
          <w:ilvl w:val="0"/>
          <w:numId w:val="3"/>
        </w:numPr>
        <w:spacing w:line="360" w:lineRule="auto"/>
        <w:rPr>
          <w:b/>
          <w:bCs/>
          <w:u w:val="single"/>
          <w:lang w:val="en-GB"/>
        </w:rPr>
      </w:pPr>
      <w:r w:rsidRPr="002C40D6">
        <w:rPr>
          <w:lang w:val="en-GB"/>
        </w:rPr>
        <w:t>Payable Days: The days outstanding of payable have decreased to 66, 72, and 66 days, and this is not good in a liquidity crisis because suppliers are being paid at a higher rate.</w:t>
      </w:r>
    </w:p>
    <w:p w14:paraId="5E252DDA" w14:textId="1F7DA235" w:rsidR="002C40D6" w:rsidRPr="002C40D6" w:rsidRDefault="002C40D6" w:rsidP="002C40D6">
      <w:pPr>
        <w:pStyle w:val="ListParagraph"/>
        <w:numPr>
          <w:ilvl w:val="0"/>
          <w:numId w:val="3"/>
        </w:numPr>
        <w:spacing w:line="360" w:lineRule="auto"/>
        <w:rPr>
          <w:b/>
          <w:bCs/>
          <w:u w:val="single"/>
          <w:lang w:val="en-GB"/>
        </w:rPr>
      </w:pPr>
      <w:r w:rsidRPr="002C40D6">
        <w:rPr>
          <w:lang w:val="en-GB"/>
        </w:rPr>
        <w:t>Total Asset Turnover: Decreased 1.2x (2020) to 0.8x (2024), which means that the efficiency in using assets is decreasing.</w:t>
      </w:r>
    </w:p>
    <w:p w14:paraId="2D2EEBE6" w14:textId="31C487A3" w:rsidR="002C40D6" w:rsidRPr="002C40D6" w:rsidRDefault="002C40D6" w:rsidP="002C40D6">
      <w:pPr>
        <w:spacing w:line="360" w:lineRule="auto"/>
        <w:rPr>
          <w:lang w:val="en-GB"/>
        </w:rPr>
      </w:pPr>
      <w:r w:rsidRPr="002C40D6">
        <w:rPr>
          <w:lang w:val="en-GB"/>
        </w:rPr>
        <w:t>All in all, these indicators depict the working capital inefficiencies and the deteriorating operating productivity. Such trends lower the liquidity and profitability at the same time, which were proposed by theories of asset management efficiency (Lazaridis and Tryfonidis, 2006).</w:t>
      </w:r>
    </w:p>
    <w:p w14:paraId="727FD1AE" w14:textId="5B94523D" w:rsidR="002C40D6" w:rsidRPr="002C40D6" w:rsidRDefault="002C40D6" w:rsidP="002C40D6">
      <w:pPr>
        <w:spacing w:line="360" w:lineRule="auto"/>
        <w:rPr>
          <w:b/>
          <w:bCs/>
          <w:u w:val="single"/>
          <w:lang w:val="en-GB"/>
        </w:rPr>
      </w:pPr>
      <w:r w:rsidRPr="002C40D6">
        <w:rPr>
          <w:b/>
          <w:bCs/>
          <w:u w:val="single"/>
          <w:lang w:val="en-GB"/>
        </w:rPr>
        <w:t>Gearing Ratios</w:t>
      </w:r>
    </w:p>
    <w:p w14:paraId="2C9C0283" w14:textId="77777777" w:rsidR="002C40D6" w:rsidRPr="002C40D6" w:rsidRDefault="002C40D6" w:rsidP="002C40D6">
      <w:pPr>
        <w:spacing w:line="360" w:lineRule="auto"/>
        <w:rPr>
          <w:i/>
          <w:iCs/>
          <w:lang w:val="en-GB"/>
        </w:rPr>
      </w:pPr>
      <w:r w:rsidRPr="002C40D6">
        <w:rPr>
          <w:i/>
          <w:iCs/>
          <w:lang w:val="en-GB"/>
        </w:rPr>
        <w:t>Debt-to-Equity Ratio:</w:t>
      </w:r>
    </w:p>
    <w:p w14:paraId="781930A1" w14:textId="77777777" w:rsidR="002C40D6" w:rsidRPr="002C40D6" w:rsidRDefault="002C40D6" w:rsidP="002C40D6">
      <w:pPr>
        <w:pStyle w:val="ListParagraph"/>
        <w:numPr>
          <w:ilvl w:val="0"/>
          <w:numId w:val="4"/>
        </w:numPr>
        <w:spacing w:line="360" w:lineRule="auto"/>
        <w:rPr>
          <w:lang w:val="en-GB"/>
        </w:rPr>
      </w:pPr>
      <w:r w:rsidRPr="002C40D6">
        <w:rPr>
          <w:lang w:val="en-GB"/>
        </w:rPr>
        <w:t>Growth rate 0.63 (2020) to 1.11 (2024): Financial leverage and reliance on external sources is rising.</w:t>
      </w:r>
    </w:p>
    <w:p w14:paraId="2F893D64" w14:textId="54FF0970" w:rsidR="002C40D6" w:rsidRPr="002C40D6" w:rsidRDefault="002C40D6" w:rsidP="002C40D6">
      <w:pPr>
        <w:spacing w:line="360" w:lineRule="auto"/>
        <w:rPr>
          <w:lang w:val="en-GB"/>
        </w:rPr>
      </w:pPr>
      <w:r w:rsidRPr="002C40D6">
        <w:rPr>
          <w:lang w:val="en-GB"/>
        </w:rPr>
        <w:t>According to the</w:t>
      </w:r>
      <w:r>
        <w:rPr>
          <w:lang w:val="en-GB"/>
        </w:rPr>
        <w:t xml:space="preserve"> </w:t>
      </w:r>
      <w:r w:rsidRPr="002C40D6">
        <w:rPr>
          <w:lang w:val="en-GB"/>
        </w:rPr>
        <w:t>Johannes Rammala and Franz Eduard Toerien (2024) model, risk and cost of capital are greater with higher gearing in cases where the earnings are volatile.</w:t>
      </w:r>
    </w:p>
    <w:p w14:paraId="3F04E997" w14:textId="77777777" w:rsidR="002C40D6" w:rsidRPr="002C40D6" w:rsidRDefault="002C40D6" w:rsidP="002C40D6">
      <w:pPr>
        <w:spacing w:line="360" w:lineRule="auto"/>
        <w:rPr>
          <w:i/>
          <w:iCs/>
          <w:lang w:val="en-GB"/>
        </w:rPr>
      </w:pPr>
      <w:r w:rsidRPr="002C40D6">
        <w:rPr>
          <w:i/>
          <w:iCs/>
          <w:lang w:val="en-GB"/>
        </w:rPr>
        <w:t>Interest Coverage Ratio:</w:t>
      </w:r>
    </w:p>
    <w:p w14:paraId="3A820B8A" w14:textId="77777777" w:rsidR="002C40D6" w:rsidRPr="002C40D6" w:rsidRDefault="002C40D6" w:rsidP="002C40D6">
      <w:pPr>
        <w:pStyle w:val="ListParagraph"/>
        <w:numPr>
          <w:ilvl w:val="0"/>
          <w:numId w:val="4"/>
        </w:numPr>
        <w:spacing w:line="360" w:lineRule="auto"/>
        <w:rPr>
          <w:lang w:val="en-GB"/>
        </w:rPr>
      </w:pPr>
      <w:r w:rsidRPr="002C40D6">
        <w:rPr>
          <w:lang w:val="en-GB"/>
        </w:rPr>
        <w:t>Coverage declined to negative coverage in 20232024 (2020) to 26.2, i.e. operating losses are not enough to cover the interest.</w:t>
      </w:r>
    </w:p>
    <w:p w14:paraId="2A018420" w14:textId="77777777" w:rsidR="002C40D6" w:rsidRPr="002C40D6" w:rsidRDefault="002C40D6" w:rsidP="002C40D6">
      <w:pPr>
        <w:spacing w:line="360" w:lineRule="auto"/>
        <w:rPr>
          <w:lang w:val="en-GB"/>
        </w:rPr>
      </w:pPr>
      <w:r w:rsidRPr="002C40D6">
        <w:rPr>
          <w:lang w:val="en-GB"/>
        </w:rPr>
        <w:t>This increases the risk of bankruptcy and harms creditworthiness.</w:t>
      </w:r>
    </w:p>
    <w:p w14:paraId="1736950C" w14:textId="77777777" w:rsidR="002C40D6" w:rsidRPr="002C40D6" w:rsidRDefault="002C40D6" w:rsidP="002C40D6">
      <w:pPr>
        <w:spacing w:line="360" w:lineRule="auto"/>
        <w:rPr>
          <w:lang w:val="en-GB"/>
        </w:rPr>
      </w:pPr>
    </w:p>
    <w:p w14:paraId="478E7EC2" w14:textId="24644A63" w:rsidR="002C40D6" w:rsidRPr="002C40D6" w:rsidRDefault="002C40D6" w:rsidP="002C40D6">
      <w:pPr>
        <w:spacing w:line="360" w:lineRule="auto"/>
        <w:rPr>
          <w:b/>
          <w:bCs/>
          <w:u w:val="single"/>
          <w:lang w:val="en-GB"/>
        </w:rPr>
      </w:pPr>
      <w:r w:rsidRPr="002C40D6">
        <w:rPr>
          <w:b/>
          <w:bCs/>
          <w:u w:val="single"/>
          <w:lang w:val="en-GB"/>
        </w:rPr>
        <w:lastRenderedPageBreak/>
        <w:t>Investment Ratios</w:t>
      </w:r>
    </w:p>
    <w:p w14:paraId="40A1B6F6" w14:textId="77777777" w:rsidR="002C40D6" w:rsidRPr="002C40D6" w:rsidRDefault="002C40D6" w:rsidP="002C40D6">
      <w:pPr>
        <w:spacing w:line="360" w:lineRule="auto"/>
        <w:rPr>
          <w:i/>
          <w:iCs/>
          <w:lang w:val="en-GB"/>
        </w:rPr>
      </w:pPr>
      <w:r w:rsidRPr="002C40D6">
        <w:rPr>
          <w:i/>
          <w:iCs/>
          <w:lang w:val="en-GB"/>
        </w:rPr>
        <w:t>Earnings per Share (EPS):</w:t>
      </w:r>
    </w:p>
    <w:p w14:paraId="49EC00B1" w14:textId="5B3A72E2" w:rsidR="002C40D6" w:rsidRPr="002C40D6" w:rsidRDefault="002C40D6" w:rsidP="002C40D6">
      <w:pPr>
        <w:pStyle w:val="ListParagraph"/>
        <w:numPr>
          <w:ilvl w:val="0"/>
          <w:numId w:val="4"/>
        </w:numPr>
        <w:spacing w:line="360" w:lineRule="auto"/>
        <w:rPr>
          <w:lang w:val="en-GB"/>
        </w:rPr>
      </w:pPr>
      <w:r w:rsidRPr="002C40D6">
        <w:rPr>
          <w:lang w:val="en-GB"/>
        </w:rPr>
        <w:t>Collapsed from £2.78 (2020) to –£1.85 (2024). This drastic turnaround kills investor confidence and share value.</w:t>
      </w:r>
    </w:p>
    <w:p w14:paraId="7DE36BC0" w14:textId="77777777" w:rsidR="002C40D6" w:rsidRPr="002C40D6" w:rsidRDefault="002C40D6" w:rsidP="002C40D6">
      <w:pPr>
        <w:spacing w:line="360" w:lineRule="auto"/>
        <w:rPr>
          <w:i/>
          <w:iCs/>
          <w:lang w:val="en-GB"/>
        </w:rPr>
      </w:pPr>
      <w:r w:rsidRPr="002C40D6">
        <w:rPr>
          <w:i/>
          <w:iCs/>
          <w:lang w:val="en-GB"/>
        </w:rPr>
        <w:t>Dividend Yield:</w:t>
      </w:r>
    </w:p>
    <w:p w14:paraId="3ED3BA44" w14:textId="27715294" w:rsidR="002C40D6" w:rsidRPr="002C40D6" w:rsidRDefault="002C40D6" w:rsidP="002C40D6">
      <w:pPr>
        <w:pStyle w:val="ListParagraph"/>
        <w:numPr>
          <w:ilvl w:val="0"/>
          <w:numId w:val="4"/>
        </w:numPr>
        <w:spacing w:line="360" w:lineRule="auto"/>
        <w:rPr>
          <w:lang w:val="en-GB"/>
        </w:rPr>
      </w:pPr>
      <w:r w:rsidRPr="002C40D6">
        <w:rPr>
          <w:lang w:val="en-GB"/>
        </w:rPr>
        <w:t>None of the data is given, but, considering the massive losses, it is probable that the dividends will be suspended, which is a common practice in times of liquidity strain.</w:t>
      </w:r>
    </w:p>
    <w:p w14:paraId="73034350" w14:textId="5B9DAB9A" w:rsidR="004D2C18" w:rsidRPr="004D2C18" w:rsidRDefault="002C40D6" w:rsidP="002C40D6">
      <w:pPr>
        <w:spacing w:line="360" w:lineRule="auto"/>
        <w:rPr>
          <w:lang w:val="en-GB"/>
        </w:rPr>
      </w:pPr>
      <w:r w:rsidRPr="002C40D6">
        <w:rPr>
          <w:lang w:val="en-GB"/>
        </w:rPr>
        <w:t>All these ratios, together, paint a picture of a company that is experiencing profitability erosion, liquidity tightening and increasing leverage, which are all indicators of financial distress.</w:t>
      </w:r>
    </w:p>
    <w:p w14:paraId="3F96CFFB" w14:textId="77608CAD" w:rsidR="00661CA6" w:rsidRDefault="002C40D6" w:rsidP="002C40D6">
      <w:pPr>
        <w:pStyle w:val="Heading2"/>
      </w:pPr>
      <w:bookmarkStart w:id="4" w:name="_Toc213103741"/>
      <w:r w:rsidRPr="002C40D6">
        <w:t>2.3 Trend Analysis and Discussion</w:t>
      </w:r>
      <w:bookmarkEnd w:id="4"/>
    </w:p>
    <w:p w14:paraId="4F658ECB" w14:textId="77777777" w:rsidR="00F1373D" w:rsidRDefault="00F1373D" w:rsidP="00F1373D">
      <w:pPr>
        <w:spacing w:line="360" w:lineRule="auto"/>
        <w:rPr>
          <w:lang w:val="en-GB"/>
        </w:rPr>
      </w:pPr>
      <w:r w:rsidRPr="00F1373D">
        <w:rPr>
          <w:lang w:val="en-GB"/>
        </w:rPr>
        <w:t xml:space="preserve">The trend of five-year shows that the financial condition is slowly worsening due to a set of internal factors and external forces. </w:t>
      </w:r>
      <w:r>
        <w:rPr>
          <w:lang w:val="en-GB"/>
        </w:rPr>
        <w:t xml:space="preserve">According to </w:t>
      </w:r>
      <w:r w:rsidRPr="00F1373D">
        <w:rPr>
          <w:lang w:val="en-GB"/>
        </w:rPr>
        <w:t>Rounaghi, Jarrar and Dana (2021)</w:t>
      </w:r>
      <w:r>
        <w:rPr>
          <w:lang w:val="en-GB"/>
        </w:rPr>
        <w:t>, i</w:t>
      </w:r>
      <w:r w:rsidRPr="00F1373D">
        <w:rPr>
          <w:lang w:val="en-GB"/>
        </w:rPr>
        <w:t>n terms of strategic finance, General Electronics seems to have been focused on the short term element of retaining market share rather than creating value in the long term. Even the decline in revenues does not reduce the fixed cost base of the company, which implies low operational flexibility.</w:t>
      </w:r>
      <w:r>
        <w:rPr>
          <w:lang w:val="en-GB"/>
        </w:rPr>
        <w:t xml:space="preserve"> </w:t>
      </w:r>
      <w:r w:rsidRPr="00F1373D">
        <w:rPr>
          <w:lang w:val="en-GB"/>
        </w:rPr>
        <w:t>In terms of profitability management, the deteriorating margins and returns point to the rising cost and the deteriorating economies of scale</w:t>
      </w:r>
      <w:r>
        <w:rPr>
          <w:lang w:val="en-GB"/>
        </w:rPr>
        <w:t xml:space="preserve"> </w:t>
      </w:r>
      <w:r w:rsidRPr="00F1373D">
        <w:rPr>
          <w:lang w:val="en-GB"/>
        </w:rPr>
        <w:t xml:space="preserve">(Ertan, Lewellen and Thomas, 2020). The liquidity ratios indicate the increasing short-term risks, whereas the efficiency ratios validate the poor utilisation of assets. </w:t>
      </w:r>
      <w:r>
        <w:rPr>
          <w:lang w:val="en-GB"/>
        </w:rPr>
        <w:t xml:space="preserve">According to </w:t>
      </w:r>
      <w:r w:rsidRPr="00F1373D">
        <w:rPr>
          <w:lang w:val="en-GB"/>
        </w:rPr>
        <w:t>Frank, Goyal and Shen (2020)</w:t>
      </w:r>
      <w:r>
        <w:rPr>
          <w:lang w:val="en-GB"/>
        </w:rPr>
        <w:t xml:space="preserve">, </w:t>
      </w:r>
      <w:r w:rsidRPr="00F1373D">
        <w:rPr>
          <w:lang w:val="en-GB"/>
        </w:rPr>
        <w:t>The growing dependence of the firm on debt instead of internal funding indicates that the company is experiencing financial pressure and decreased internal cash reserves as indicated by the Pecking Order Theory</w:t>
      </w:r>
      <w:r>
        <w:rPr>
          <w:lang w:val="en-GB"/>
        </w:rPr>
        <w:t>.</w:t>
      </w:r>
    </w:p>
    <w:p w14:paraId="1FF6827F" w14:textId="1F9D5010" w:rsidR="002C40D6" w:rsidRDefault="00F1373D" w:rsidP="00F1373D">
      <w:pPr>
        <w:spacing w:line="360" w:lineRule="auto"/>
        <w:rPr>
          <w:lang w:val="en-GB"/>
        </w:rPr>
      </w:pPr>
      <w:r w:rsidRPr="00F1373D">
        <w:rPr>
          <w:lang w:val="en-GB"/>
        </w:rPr>
        <w:t>Furthermore, the decline in total assets and shareholder equity implies the sale of assets and write-downs of these assets- perhaps, due to impaired goodwill and poor performing subsidiaries. This trend coincides with the Ogachi et al. (2020) model of pre-bankruptcy features, in which decreasing profitability and rising leverage are the signs of imminent failure.</w:t>
      </w:r>
      <w:r>
        <w:rPr>
          <w:lang w:val="en-GB"/>
        </w:rPr>
        <w:t xml:space="preserve"> </w:t>
      </w:r>
      <w:r w:rsidRPr="00F1373D">
        <w:rPr>
          <w:lang w:val="en-GB"/>
        </w:rPr>
        <w:t>Strengths are also restricted though a gross margin is still positive and a current ratio is manageable as well. These benefits are however countered by long term losses, high gearing and cash flows that are declining</w:t>
      </w:r>
      <w:r>
        <w:rPr>
          <w:lang w:val="en-GB"/>
        </w:rPr>
        <w:t xml:space="preserve"> </w:t>
      </w:r>
      <w:r w:rsidRPr="00F1373D">
        <w:rPr>
          <w:lang w:val="en-GB"/>
        </w:rPr>
        <w:t xml:space="preserve">(Mandipa and Sibindi, 2022). The low dividend payments are also indications of the </w:t>
      </w:r>
      <w:r w:rsidRPr="00F1373D">
        <w:rPr>
          <w:lang w:val="en-GB"/>
        </w:rPr>
        <w:lastRenderedPageBreak/>
        <w:t>management making efforts to preserve liquidity, as opposed to cash back to the shareholders.</w:t>
      </w:r>
      <w:r>
        <w:rPr>
          <w:lang w:val="en-GB"/>
        </w:rPr>
        <w:t xml:space="preserve"> </w:t>
      </w:r>
      <w:r w:rsidRPr="00F1373D">
        <w:rPr>
          <w:lang w:val="en-GB"/>
        </w:rPr>
        <w:t>All these factors combined prove that General Electronics is at the decline phase of the corporate life cycle, and the company experiences liquidity limitations, loss of competitiveness, and the increased risk of insolvency. Strategic restructuring and liquidity reform is needed to avoid failure.</w:t>
      </w:r>
    </w:p>
    <w:p w14:paraId="57F41E7B" w14:textId="2319306E" w:rsidR="00F1373D" w:rsidRDefault="00F1373D" w:rsidP="00F1373D">
      <w:pPr>
        <w:pStyle w:val="Heading2"/>
      </w:pPr>
      <w:bookmarkStart w:id="5" w:name="_Toc213103742"/>
      <w:r w:rsidRPr="00F1373D">
        <w:t>2.4 Corporate Failure Prediction – Altman Z-Score</w:t>
      </w:r>
      <w:bookmarkEnd w:id="5"/>
    </w:p>
    <w:p w14:paraId="52B1D16E" w14:textId="137408C8" w:rsidR="00F1373D" w:rsidRDefault="00F1373D" w:rsidP="00F1373D">
      <w:pPr>
        <w:spacing w:line="360" w:lineRule="auto"/>
        <w:rPr>
          <w:lang w:val="en-GB"/>
        </w:rPr>
      </w:pPr>
      <w:r w:rsidRPr="00F1373D">
        <w:rPr>
          <w:lang w:val="en-GB"/>
        </w:rPr>
        <w:t>In order to determine the probability of bankruptcy, Altman Z-Score model (1968) has been used with the 2024 financial data.</w:t>
      </w:r>
    </w:p>
    <w:p w14:paraId="324A2E51" w14:textId="3B0A8BEC" w:rsidR="00F1373D" w:rsidRDefault="00F1373D" w:rsidP="00F1373D">
      <w:pPr>
        <w:spacing w:line="360" w:lineRule="auto"/>
        <w:jc w:val="center"/>
        <w:rPr>
          <w:lang w:val="en-GB"/>
        </w:rPr>
      </w:pPr>
      <w:r w:rsidRPr="00F1373D">
        <w:rPr>
          <w:noProof/>
          <w:lang w:val="en-GB"/>
        </w:rPr>
        <w:drawing>
          <wp:inline distT="0" distB="0" distL="0" distR="0" wp14:anchorId="1EA6A98A" wp14:editId="7AC2CD93">
            <wp:extent cx="2978303" cy="254013"/>
            <wp:effectExtent l="0" t="0" r="0" b="0"/>
            <wp:docPr id="93353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35246" name=""/>
                    <pic:cNvPicPr/>
                  </pic:nvPicPr>
                  <pic:blipFill>
                    <a:blip r:embed="rId9"/>
                    <a:stretch>
                      <a:fillRect/>
                    </a:stretch>
                  </pic:blipFill>
                  <pic:spPr>
                    <a:xfrm>
                      <a:off x="0" y="0"/>
                      <a:ext cx="2978303" cy="254013"/>
                    </a:xfrm>
                    <a:prstGeom prst="rect">
                      <a:avLst/>
                    </a:prstGeom>
                  </pic:spPr>
                </pic:pic>
              </a:graphicData>
            </a:graphic>
          </wp:inline>
        </w:drawing>
      </w:r>
    </w:p>
    <w:p w14:paraId="73712865" w14:textId="77777777" w:rsidR="00F1373D" w:rsidRPr="00F1373D" w:rsidRDefault="00F1373D" w:rsidP="00F1373D">
      <w:pPr>
        <w:spacing w:line="360" w:lineRule="auto"/>
        <w:rPr>
          <w:lang w:val="en-GB"/>
        </w:rPr>
      </w:pPr>
      <w:r w:rsidRPr="00F1373D">
        <w:rPr>
          <w:lang w:val="en-GB"/>
        </w:rPr>
        <w:t>Where:</w:t>
      </w:r>
    </w:p>
    <w:p w14:paraId="5727A965" w14:textId="76146E00" w:rsidR="00F1373D" w:rsidRPr="00F1373D" w:rsidRDefault="0073072E" w:rsidP="00F1373D">
      <w:pPr>
        <w:pStyle w:val="ListParagraph"/>
        <w:numPr>
          <w:ilvl w:val="0"/>
          <w:numId w:val="4"/>
        </w:numPr>
        <w:spacing w:line="360" w:lineRule="auto"/>
        <w:rPr>
          <w:lang w:val="en-GB"/>
        </w:rPr>
      </w:pP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1</m:t>
            </m:r>
          </m:sub>
        </m:sSub>
      </m:oMath>
      <w:r w:rsidR="00F1373D" w:rsidRPr="00F1373D">
        <w:rPr>
          <w:lang w:val="en-GB"/>
        </w:rPr>
        <w:t>= Working Capital / Total Assets</w:t>
      </w:r>
    </w:p>
    <w:p w14:paraId="279A6787" w14:textId="2FCA913A" w:rsidR="00F1373D" w:rsidRPr="00F1373D" w:rsidRDefault="0073072E" w:rsidP="00F1373D">
      <w:pPr>
        <w:pStyle w:val="ListParagraph"/>
        <w:numPr>
          <w:ilvl w:val="0"/>
          <w:numId w:val="4"/>
        </w:numPr>
        <w:spacing w:line="360" w:lineRule="auto"/>
        <w:rPr>
          <w:lang w:val="en-GB"/>
        </w:rPr>
      </w:pP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2</m:t>
            </m:r>
          </m:sub>
        </m:sSub>
      </m:oMath>
      <w:r w:rsidR="00F1373D" w:rsidRPr="00F1373D">
        <w:rPr>
          <w:lang w:val="en-GB"/>
        </w:rPr>
        <w:t>= Retained Earnings / Total Assets</w:t>
      </w:r>
    </w:p>
    <w:p w14:paraId="698265BB" w14:textId="3727A335" w:rsidR="00F1373D" w:rsidRPr="00F1373D" w:rsidRDefault="0073072E" w:rsidP="00F1373D">
      <w:pPr>
        <w:pStyle w:val="ListParagraph"/>
        <w:numPr>
          <w:ilvl w:val="0"/>
          <w:numId w:val="4"/>
        </w:numPr>
        <w:spacing w:line="360" w:lineRule="auto"/>
        <w:rPr>
          <w:lang w:val="en-GB"/>
        </w:rPr>
      </w:pP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3</m:t>
            </m:r>
          </m:sub>
        </m:sSub>
      </m:oMath>
      <w:r w:rsidR="00F1373D" w:rsidRPr="00F1373D">
        <w:rPr>
          <w:lang w:val="en-GB"/>
        </w:rPr>
        <w:t>= EBIT / Total Assets</w:t>
      </w:r>
    </w:p>
    <w:p w14:paraId="4A859FE8" w14:textId="1CBF98AC" w:rsidR="00F1373D" w:rsidRPr="00F1373D" w:rsidRDefault="0073072E" w:rsidP="00F1373D">
      <w:pPr>
        <w:pStyle w:val="ListParagraph"/>
        <w:numPr>
          <w:ilvl w:val="0"/>
          <w:numId w:val="4"/>
        </w:numPr>
        <w:spacing w:line="360" w:lineRule="auto"/>
        <w:rPr>
          <w:lang w:val="en-GB"/>
        </w:rPr>
      </w:pP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4</m:t>
            </m:r>
          </m:sub>
        </m:sSub>
      </m:oMath>
      <w:r w:rsidR="00F1373D" w:rsidRPr="00F1373D">
        <w:rPr>
          <w:lang w:val="en-GB"/>
        </w:rPr>
        <w:t>= Market Value of Equity / Total Liabilities</w:t>
      </w:r>
    </w:p>
    <w:p w14:paraId="0354737B" w14:textId="29E8AF66" w:rsidR="00F1373D" w:rsidRPr="00F1373D" w:rsidRDefault="0073072E" w:rsidP="00F1373D">
      <w:pPr>
        <w:pStyle w:val="ListParagraph"/>
        <w:numPr>
          <w:ilvl w:val="0"/>
          <w:numId w:val="4"/>
        </w:numPr>
        <w:spacing w:line="360" w:lineRule="auto"/>
        <w:rPr>
          <w:lang w:val="en-GB"/>
        </w:rPr>
      </w:pP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5</m:t>
            </m:r>
          </m:sub>
        </m:sSub>
      </m:oMath>
      <w:r w:rsidR="00F1373D" w:rsidRPr="00F1373D">
        <w:rPr>
          <w:lang w:val="en-GB"/>
        </w:rPr>
        <w:t>= Sales / Total Assets</w:t>
      </w:r>
    </w:p>
    <w:p w14:paraId="59DEF43F" w14:textId="77777777" w:rsidR="00F1373D" w:rsidRPr="00F1373D" w:rsidRDefault="00F1373D" w:rsidP="00F1373D">
      <w:pPr>
        <w:spacing w:line="360" w:lineRule="auto"/>
        <w:rPr>
          <w:lang w:val="en-GB"/>
        </w:rPr>
      </w:pPr>
      <w:r w:rsidRPr="00F1373D">
        <w:rPr>
          <w:b/>
          <w:bCs/>
          <w:lang w:val="en-GB"/>
        </w:rPr>
        <w:t>2024 approximations (based on provided data):</w:t>
      </w:r>
    </w:p>
    <w:p w14:paraId="594D086D" w14:textId="77777777" w:rsidR="00F1373D" w:rsidRPr="00F1373D" w:rsidRDefault="00F1373D" w:rsidP="00F1373D">
      <w:pPr>
        <w:pStyle w:val="ListParagraph"/>
        <w:numPr>
          <w:ilvl w:val="0"/>
          <w:numId w:val="7"/>
        </w:numPr>
        <w:spacing w:line="360" w:lineRule="auto"/>
        <w:rPr>
          <w:lang w:val="en-GB"/>
        </w:rPr>
      </w:pPr>
      <w:r w:rsidRPr="00F1373D">
        <w:rPr>
          <w:lang w:val="en-GB"/>
        </w:rPr>
        <w:t xml:space="preserve">Working Capital = (242,494 – 158,291) = </w:t>
      </w:r>
      <w:r w:rsidRPr="00F1373D">
        <w:rPr>
          <w:b/>
          <w:bCs/>
          <w:lang w:val="en-GB"/>
        </w:rPr>
        <w:t>84,203</w:t>
      </w:r>
    </w:p>
    <w:p w14:paraId="7B4931E2" w14:textId="676ACCED" w:rsidR="00F1373D" w:rsidRPr="00F1373D" w:rsidRDefault="00F1373D" w:rsidP="00F1373D">
      <w:pPr>
        <w:pStyle w:val="ListParagraph"/>
        <w:numPr>
          <w:ilvl w:val="0"/>
          <w:numId w:val="7"/>
        </w:numPr>
        <w:spacing w:line="360" w:lineRule="auto"/>
        <w:rPr>
          <w:lang w:val="en-GB"/>
        </w:rPr>
      </w:pPr>
      <w:r w:rsidRPr="00F1373D">
        <w:rPr>
          <w:lang w:val="en-GB"/>
        </w:rPr>
        <w:t xml:space="preserve">Total Assets = </w:t>
      </w:r>
      <w:r w:rsidRPr="00F1373D">
        <w:rPr>
          <w:b/>
          <w:bCs/>
          <w:lang w:val="en-GB"/>
        </w:rPr>
        <w:t>323,354</w:t>
      </w:r>
      <w:r w:rsidRPr="00F1373D">
        <w:rPr>
          <w:lang w:val="en-GB"/>
        </w:rPr>
        <w:t xml:space="preserve"> → </w:t>
      </w: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1</m:t>
            </m:r>
          </m:sub>
        </m:sSub>
        <m:r>
          <w:rPr>
            <w:rFonts w:ascii="Cambria Math" w:hAnsi="Cambria Math"/>
            <w:lang w:val="en-GB"/>
          </w:rPr>
          <m:t>=0.26</m:t>
        </m:r>
      </m:oMath>
    </w:p>
    <w:p w14:paraId="420BA7B5" w14:textId="42DC1281" w:rsidR="00F1373D" w:rsidRPr="00F1373D" w:rsidRDefault="00F1373D" w:rsidP="00F1373D">
      <w:pPr>
        <w:pStyle w:val="ListParagraph"/>
        <w:numPr>
          <w:ilvl w:val="0"/>
          <w:numId w:val="7"/>
        </w:numPr>
        <w:spacing w:line="360" w:lineRule="auto"/>
        <w:rPr>
          <w:lang w:val="en-GB"/>
        </w:rPr>
      </w:pPr>
      <w:r w:rsidRPr="00F1373D">
        <w:rPr>
          <w:lang w:val="en-GB"/>
        </w:rPr>
        <w:t xml:space="preserve">Retained Earnings = </w:t>
      </w:r>
      <w:r w:rsidRPr="00F1373D">
        <w:rPr>
          <w:b/>
          <w:bCs/>
          <w:lang w:val="en-GB"/>
        </w:rPr>
        <w:t>208,431</w:t>
      </w:r>
      <w:r w:rsidRPr="00F1373D">
        <w:rPr>
          <w:lang w:val="en-GB"/>
        </w:rPr>
        <w:t xml:space="preserve"> → </w:t>
      </w: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2</m:t>
            </m:r>
          </m:sub>
        </m:sSub>
        <m:r>
          <w:rPr>
            <w:rFonts w:ascii="Cambria Math" w:hAnsi="Cambria Math"/>
            <w:lang w:val="en-GB"/>
          </w:rPr>
          <m:t>=0.64</m:t>
        </m:r>
      </m:oMath>
    </w:p>
    <w:p w14:paraId="542DA74A" w14:textId="545F71F7" w:rsidR="00F1373D" w:rsidRPr="00F1373D" w:rsidRDefault="00F1373D" w:rsidP="00F1373D">
      <w:pPr>
        <w:pStyle w:val="ListParagraph"/>
        <w:numPr>
          <w:ilvl w:val="0"/>
          <w:numId w:val="7"/>
        </w:numPr>
        <w:spacing w:line="360" w:lineRule="auto"/>
        <w:rPr>
          <w:lang w:val="en-GB"/>
        </w:rPr>
      </w:pPr>
      <w:r w:rsidRPr="00F1373D">
        <w:rPr>
          <w:lang w:val="en-GB"/>
        </w:rPr>
        <w:t xml:space="preserve">EBIT (Operating Income) = </w:t>
      </w:r>
      <w:r w:rsidRPr="00F1373D">
        <w:rPr>
          <w:b/>
          <w:bCs/>
          <w:lang w:val="en-GB"/>
        </w:rPr>
        <w:t>–15,297</w:t>
      </w:r>
      <w:r w:rsidRPr="00F1373D">
        <w:rPr>
          <w:lang w:val="en-GB"/>
        </w:rPr>
        <w:t xml:space="preserve"> → </w:t>
      </w: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3</m:t>
            </m:r>
          </m:sub>
        </m:sSub>
        <m:r>
          <w:rPr>
            <w:rFonts w:ascii="Cambria Math" w:hAnsi="Cambria Math"/>
            <w:lang w:val="en-GB"/>
          </w:rPr>
          <m:t>=</m:t>
        </m:r>
        <m:r>
          <m:rPr>
            <m:nor/>
          </m:rPr>
          <w:rPr>
            <w:lang w:val="en-GB"/>
          </w:rPr>
          <m:t>–</m:t>
        </m:r>
        <m:r>
          <w:rPr>
            <w:rFonts w:ascii="Cambria Math" w:hAnsi="Cambria Math"/>
            <w:lang w:val="en-GB"/>
          </w:rPr>
          <m:t>0.05</m:t>
        </m:r>
      </m:oMath>
    </w:p>
    <w:p w14:paraId="7677A83B" w14:textId="4B4EE724" w:rsidR="00F1373D" w:rsidRPr="00F1373D" w:rsidRDefault="00F1373D" w:rsidP="00F1373D">
      <w:pPr>
        <w:pStyle w:val="ListParagraph"/>
        <w:numPr>
          <w:ilvl w:val="0"/>
          <w:numId w:val="7"/>
        </w:numPr>
        <w:spacing w:line="360" w:lineRule="auto"/>
        <w:rPr>
          <w:lang w:val="en-GB"/>
        </w:rPr>
      </w:pPr>
      <w:r w:rsidRPr="00F1373D">
        <w:rPr>
          <w:lang w:val="en-GB"/>
        </w:rPr>
        <w:t xml:space="preserve">Market Value of Equity ≈ Total Shareholders’ Equity = </w:t>
      </w:r>
      <w:r w:rsidRPr="00F1373D">
        <w:rPr>
          <w:b/>
          <w:bCs/>
          <w:lang w:val="en-GB"/>
        </w:rPr>
        <w:t>153,105</w:t>
      </w:r>
      <w:r w:rsidRPr="00F1373D">
        <w:rPr>
          <w:lang w:val="en-GB"/>
        </w:rPr>
        <w:t xml:space="preserve">; Total Liabilities = </w:t>
      </w:r>
      <w:r w:rsidRPr="00F1373D">
        <w:rPr>
          <w:b/>
          <w:bCs/>
          <w:lang w:val="en-GB"/>
        </w:rPr>
        <w:t>170,249</w:t>
      </w:r>
      <w:r w:rsidRPr="00F1373D">
        <w:rPr>
          <w:lang w:val="en-GB"/>
        </w:rPr>
        <w:t xml:space="preserve"> → </w:t>
      </w: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4</m:t>
            </m:r>
          </m:sub>
        </m:sSub>
        <m:r>
          <w:rPr>
            <w:rFonts w:ascii="Cambria Math" w:hAnsi="Cambria Math"/>
            <w:lang w:val="en-GB"/>
          </w:rPr>
          <m:t>=0.90</m:t>
        </m:r>
      </m:oMath>
    </w:p>
    <w:p w14:paraId="677DE448" w14:textId="69F4C031" w:rsidR="00F1373D" w:rsidRPr="00F1373D" w:rsidRDefault="00F1373D" w:rsidP="00F1373D">
      <w:pPr>
        <w:pStyle w:val="ListParagraph"/>
        <w:numPr>
          <w:ilvl w:val="0"/>
          <w:numId w:val="7"/>
        </w:numPr>
        <w:spacing w:line="360" w:lineRule="auto"/>
        <w:rPr>
          <w:lang w:val="en-GB"/>
        </w:rPr>
      </w:pPr>
      <w:r w:rsidRPr="00F1373D">
        <w:rPr>
          <w:lang w:val="en-GB"/>
        </w:rPr>
        <w:t xml:space="preserve">Sales = </w:t>
      </w:r>
      <w:r w:rsidRPr="00F1373D">
        <w:rPr>
          <w:b/>
          <w:bCs/>
          <w:lang w:val="en-GB"/>
        </w:rPr>
        <w:t>394,879</w:t>
      </w:r>
      <w:r w:rsidRPr="00F1373D">
        <w:rPr>
          <w:lang w:val="en-GB"/>
        </w:rPr>
        <w:t xml:space="preserve"> → </w:t>
      </w:r>
      <m:oMath>
        <m:sSub>
          <m:sSubPr>
            <m:ctrlPr>
              <w:rPr>
                <w:rFonts w:ascii="Cambria Math" w:hAnsi="Cambria Math"/>
                <w:lang w:val="en-GB"/>
              </w:rPr>
            </m:ctrlPr>
          </m:sSubPr>
          <m:e>
            <m:r>
              <w:rPr>
                <w:rFonts w:ascii="Cambria Math" w:hAnsi="Cambria Math"/>
                <w:lang w:val="en-GB"/>
              </w:rPr>
              <m:t>X</m:t>
            </m:r>
          </m:e>
          <m:sub>
            <m:r>
              <w:rPr>
                <w:rFonts w:ascii="Cambria Math" w:hAnsi="Cambria Math"/>
                <w:lang w:val="en-GB"/>
              </w:rPr>
              <m:t>5</m:t>
            </m:r>
          </m:sub>
        </m:sSub>
        <m:r>
          <w:rPr>
            <w:rFonts w:ascii="Cambria Math" w:hAnsi="Cambria Math"/>
            <w:lang w:val="en-GB"/>
          </w:rPr>
          <m:t>=1.22</m:t>
        </m:r>
      </m:oMath>
    </w:p>
    <w:p w14:paraId="4F5C2144" w14:textId="3259D197" w:rsidR="00F1373D" w:rsidRDefault="00F1373D" w:rsidP="00F1373D">
      <w:pPr>
        <w:spacing w:line="360" w:lineRule="auto"/>
        <w:jc w:val="center"/>
        <w:rPr>
          <w:lang w:val="en-GB"/>
        </w:rPr>
      </w:pPr>
      <w:r w:rsidRPr="00F1373D">
        <w:rPr>
          <w:noProof/>
          <w:lang w:val="en-GB"/>
        </w:rPr>
        <w:drawing>
          <wp:inline distT="0" distB="0" distL="0" distR="0" wp14:anchorId="3ACA50D8" wp14:editId="7E8C30C7">
            <wp:extent cx="5188217" cy="596931"/>
            <wp:effectExtent l="0" t="0" r="0" b="0"/>
            <wp:docPr id="140961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12120" name=""/>
                    <pic:cNvPicPr/>
                  </pic:nvPicPr>
                  <pic:blipFill>
                    <a:blip r:embed="rId10"/>
                    <a:stretch>
                      <a:fillRect/>
                    </a:stretch>
                  </pic:blipFill>
                  <pic:spPr>
                    <a:xfrm>
                      <a:off x="0" y="0"/>
                      <a:ext cx="5188217" cy="596931"/>
                    </a:xfrm>
                    <a:prstGeom prst="rect">
                      <a:avLst/>
                    </a:prstGeom>
                  </pic:spPr>
                </pic:pic>
              </a:graphicData>
            </a:graphic>
          </wp:inline>
        </w:drawing>
      </w:r>
    </w:p>
    <w:p w14:paraId="15098EFD" w14:textId="77777777" w:rsidR="00F1373D" w:rsidRDefault="00F1373D" w:rsidP="00F1373D">
      <w:pPr>
        <w:spacing w:line="360" w:lineRule="auto"/>
        <w:rPr>
          <w:lang w:val="en-GB"/>
        </w:rPr>
      </w:pPr>
    </w:p>
    <w:p w14:paraId="079F115A" w14:textId="256B00C7" w:rsidR="00F1373D" w:rsidRPr="00F1373D" w:rsidRDefault="00F1373D" w:rsidP="00F1373D">
      <w:pPr>
        <w:spacing w:line="360" w:lineRule="auto"/>
        <w:rPr>
          <w:lang w:val="en-GB"/>
        </w:rPr>
      </w:pPr>
      <w:r w:rsidRPr="00F1373D">
        <w:rPr>
          <w:lang w:val="en-GB"/>
        </w:rPr>
        <w:lastRenderedPageBreak/>
        <w:t>According to Altman’s benchmarks:</w:t>
      </w:r>
    </w:p>
    <w:p w14:paraId="70CF16AA" w14:textId="6872685E" w:rsidR="00F1373D" w:rsidRDefault="00F1373D" w:rsidP="00F1373D">
      <w:pPr>
        <w:pStyle w:val="ListParagraph"/>
        <w:numPr>
          <w:ilvl w:val="0"/>
          <w:numId w:val="9"/>
        </w:numPr>
        <w:spacing w:line="360" w:lineRule="auto"/>
        <w:rPr>
          <w:lang w:val="en-GB"/>
        </w:rPr>
      </w:pPr>
      <w:r w:rsidRPr="00F1373D">
        <w:rPr>
          <w:b/>
          <w:bCs/>
          <w:lang w:val="en-GB"/>
        </w:rPr>
        <w:t>Z &gt; 2.99:</w:t>
      </w:r>
      <w:r w:rsidRPr="00F1373D">
        <w:rPr>
          <w:lang w:val="en-GB"/>
        </w:rPr>
        <w:t xml:space="preserve"> Safe Zone</w:t>
      </w:r>
    </w:p>
    <w:p w14:paraId="04D4ADCB" w14:textId="243F3A30" w:rsidR="00F1373D" w:rsidRPr="00F1373D" w:rsidRDefault="00F1373D" w:rsidP="00F1373D">
      <w:pPr>
        <w:pStyle w:val="ListParagraph"/>
        <w:numPr>
          <w:ilvl w:val="0"/>
          <w:numId w:val="9"/>
        </w:numPr>
        <w:spacing w:line="360" w:lineRule="auto"/>
        <w:rPr>
          <w:lang w:val="en-GB"/>
        </w:rPr>
      </w:pPr>
      <w:r w:rsidRPr="00F1373D">
        <w:rPr>
          <w:b/>
          <w:bCs/>
        </w:rPr>
        <w:t>1.81 &lt; Z &lt; 2.99:</w:t>
      </w:r>
      <w:r w:rsidRPr="00F1373D">
        <w:t xml:space="preserve"> Grey Zone</w:t>
      </w:r>
    </w:p>
    <w:p w14:paraId="53A55DE2" w14:textId="77777777" w:rsidR="00F1373D" w:rsidRPr="00F1373D" w:rsidRDefault="00F1373D" w:rsidP="00F1373D">
      <w:pPr>
        <w:pStyle w:val="ListParagraph"/>
        <w:numPr>
          <w:ilvl w:val="0"/>
          <w:numId w:val="9"/>
        </w:numPr>
        <w:spacing w:line="360" w:lineRule="auto"/>
        <w:rPr>
          <w:lang w:val="en-GB"/>
        </w:rPr>
      </w:pPr>
      <w:r w:rsidRPr="00F1373D">
        <w:rPr>
          <w:b/>
          <w:bCs/>
          <w:lang w:val="en-GB"/>
        </w:rPr>
        <w:t>Z &lt; 1.81:</w:t>
      </w:r>
      <w:r w:rsidRPr="00F1373D">
        <w:rPr>
          <w:lang w:val="en-GB"/>
        </w:rPr>
        <w:t xml:space="preserve"> Distress Zone</w:t>
      </w:r>
    </w:p>
    <w:p w14:paraId="5CA3F9DA" w14:textId="7AA6EC11" w:rsidR="008F7EBB" w:rsidRDefault="008F7EBB" w:rsidP="008F7EBB">
      <w:pPr>
        <w:spacing w:line="360" w:lineRule="auto"/>
      </w:pPr>
      <w:r>
        <w:t>The computed Z-score of 2.80 puts General Electronics in the grey zone, which means that the corporation has a greater risk of financial distress though not in the state of insolvency. This implies that though the company is somewhat stable given the size of its asset base, its current operational losses and diminishing profitability may soon put it in a very critical financial situation in case it does not take corrective measures. The output is used as a warning aspect but not a declaration of failure. Nevertheless, the Altman Z-score model is characterized by certain limitations because it is based on quantitative accounting data only, whereas it does not consider such important qualitative variables like managerial performance, market instability, and strategic flexibility (Bozsik and Szemán, 2023). Thus, the score has its weaknesses, but it must be viewed with care and other strategic and qualitative analysis. The full turnaround plan, which involves the improvement of liquidity, control of costs, and restructuring of capital is needed to avoid further deterioration and steer General Electronics towards financial resurgence and long term stability.</w:t>
      </w:r>
    </w:p>
    <w:p w14:paraId="1FBE1ADC" w14:textId="1560CCF7" w:rsidR="00C778BA" w:rsidRPr="00C778BA" w:rsidRDefault="00C778BA" w:rsidP="00C778BA">
      <w:pPr>
        <w:pStyle w:val="Heading1"/>
      </w:pPr>
      <w:bookmarkStart w:id="6" w:name="_Toc213103743"/>
      <w:r w:rsidRPr="00C778BA">
        <w:t>3. Working Capital Management Analysis</w:t>
      </w:r>
      <w:bookmarkEnd w:id="6"/>
      <w:r w:rsidRPr="00C778BA">
        <w:t xml:space="preserve"> </w:t>
      </w:r>
    </w:p>
    <w:p w14:paraId="5B19311A" w14:textId="77777777" w:rsidR="00C778BA" w:rsidRDefault="00C778BA" w:rsidP="00C778BA">
      <w:pPr>
        <w:pStyle w:val="Heading2"/>
      </w:pPr>
      <w:bookmarkStart w:id="7" w:name="_Toc213103744"/>
      <w:r w:rsidRPr="00C778BA">
        <w:t>3.1 Working Capital Overview</w:t>
      </w:r>
      <w:bookmarkEnd w:id="7"/>
    </w:p>
    <w:p w14:paraId="3D306D70" w14:textId="77777777" w:rsidR="002574BC" w:rsidRDefault="00C778BA" w:rsidP="00C778BA">
      <w:pPr>
        <w:spacing w:line="360" w:lineRule="auto"/>
      </w:pPr>
      <w:r>
        <w:t xml:space="preserve">Working capital is the status of liquidity that a firm has to use in its daily activities and is calculated as the current assets less the current liabilities </w:t>
      </w:r>
      <w:r w:rsidRPr="00C778BA">
        <w:rPr>
          <w:lang w:val="en-GB"/>
        </w:rPr>
        <w:t>(Bintara, 2020)</w:t>
      </w:r>
      <w:r>
        <w:t xml:space="preserve">. A good working capital management will ensure that a company maintains a balance between profitability and liquidity - that the firm has enough current assets to meet the short run liabilities but not too many idle assets. The management of receivables, payables and inventories is efficient and facilitates easier cash flows and operational stability </w:t>
      </w:r>
      <w:r w:rsidRPr="00C778BA">
        <w:rPr>
          <w:lang w:val="en-GB"/>
        </w:rPr>
        <w:t>(Putri, 2024)</w:t>
      </w:r>
      <w:r>
        <w:t>.</w:t>
      </w:r>
      <w:r>
        <w:rPr>
          <w:lang w:val="en-GB"/>
        </w:rPr>
        <w:t xml:space="preserve"> </w:t>
      </w:r>
      <w:r w:rsidRPr="00C778BA">
        <w:rPr>
          <w:lang w:val="en-GB"/>
        </w:rPr>
        <w:t>Akgün and Memiş Karataş (2020)</w:t>
      </w:r>
      <w:r>
        <w:rPr>
          <w:lang w:val="en-GB"/>
        </w:rPr>
        <w:t xml:space="preserve"> </w:t>
      </w:r>
      <w:r>
        <w:t xml:space="preserve">asserts that poor working capital control may result in liquidity crisis in even profitable companies because the operating cash shortages are not sufficient to satisfy the short-term obligations. On the other hand, high working capital can also lower the profitability by holding capital in the form of non-earning assets. </w:t>
      </w:r>
    </w:p>
    <w:p w14:paraId="4E543EDB" w14:textId="5E88B263" w:rsidR="00C778BA" w:rsidRDefault="00C778BA" w:rsidP="00C778BA">
      <w:pPr>
        <w:spacing w:line="360" w:lineRule="auto"/>
      </w:pPr>
      <w:r>
        <w:lastRenderedPageBreak/>
        <w:t>Other theories like the cash management model developed by Baumol (1952) and the Miller-Orr model (1966) emphasize on maximizing the cash balances with the objective of ensuring liquidity and not maximum cash balances, which would incur unnecessary holding costs.</w:t>
      </w:r>
      <w:r w:rsidR="002574BC">
        <w:rPr>
          <w:lang w:val="en-GB"/>
        </w:rPr>
        <w:t xml:space="preserve"> </w:t>
      </w:r>
      <w:r>
        <w:t>In the case of General Electronics, the management of working capital has been more than ever due to the waning profitability and constraining liquidity of the company. Total current assets fell between 2020 and 2024, but the change in current liabilities was very small, falling, in range of current assets, between 242,494 million and 179,510 million, which reduced the working capital buffer. This contraction shows that the liquidity status of this firm has been weakened and it is no longer able to continue to operate under cash pressure.</w:t>
      </w:r>
    </w:p>
    <w:p w14:paraId="75DA84F8" w14:textId="433AC072" w:rsidR="002574BC" w:rsidRDefault="002574BC" w:rsidP="002574BC">
      <w:pPr>
        <w:pStyle w:val="Heading2"/>
      </w:pPr>
      <w:bookmarkStart w:id="8" w:name="_Toc213103745"/>
      <w:r w:rsidRPr="002574BC">
        <w:t>3.2 Cash Conversion Cycle (CCC) Analysis</w:t>
      </w:r>
      <w:bookmarkEnd w:id="8"/>
    </w:p>
    <w:p w14:paraId="74EC52D5" w14:textId="3AC0E10C" w:rsidR="002574BC" w:rsidRDefault="002574BC" w:rsidP="002574BC">
      <w:pPr>
        <w:spacing w:line="360" w:lineRule="auto"/>
        <w:rPr>
          <w:lang w:val="en-GB"/>
        </w:rPr>
      </w:pPr>
      <w:r w:rsidRPr="002574BC">
        <w:rPr>
          <w:lang w:val="en-GB"/>
        </w:rPr>
        <w:t>The Cash Conversion Cycle (CCC) is used to measure the time interval between the cash outlays on purchases of inputs, and the cash receipts of customers</w:t>
      </w:r>
      <w:r>
        <w:rPr>
          <w:lang w:val="en-GB"/>
        </w:rPr>
        <w:t xml:space="preserve"> </w:t>
      </w:r>
      <w:r w:rsidRPr="002574BC">
        <w:rPr>
          <w:lang w:val="en-GB"/>
        </w:rPr>
        <w:t>(Karim, Mamun and Abu, 2023). It is calculated as:</w:t>
      </w:r>
    </w:p>
    <w:p w14:paraId="01E91518" w14:textId="3A362827" w:rsidR="002574BC" w:rsidRDefault="002574BC" w:rsidP="002574BC">
      <w:pPr>
        <w:spacing w:line="360" w:lineRule="auto"/>
        <w:jc w:val="center"/>
      </w:pPr>
      <w:r w:rsidRPr="002574BC">
        <w:t>CCC=Inventory Days+</w:t>
      </w:r>
      <w:r>
        <w:t xml:space="preserve"> </w:t>
      </w:r>
      <w:r w:rsidRPr="002574BC">
        <w:t>Receivable Days−Payable Days</w:t>
      </w:r>
    </w:p>
    <w:p w14:paraId="40738356" w14:textId="4E984E79" w:rsidR="002574BC" w:rsidRDefault="002574BC" w:rsidP="002574BC">
      <w:pPr>
        <w:spacing w:line="360" w:lineRule="auto"/>
        <w:rPr>
          <w:lang w:val="en-GB"/>
        </w:rPr>
      </w:pPr>
      <w:r w:rsidRPr="002574BC">
        <w:rPr>
          <w:lang w:val="en-GB"/>
        </w:rPr>
        <w:t>Based on the efficiency ratios calculated above (</w:t>
      </w:r>
      <w:r w:rsidRPr="002574BC">
        <w:rPr>
          <w:b/>
          <w:bCs/>
          <w:i/>
          <w:iCs/>
          <w:lang w:val="en-GB"/>
        </w:rPr>
        <w:t>Appendix B</w:t>
      </w:r>
      <w:r w:rsidRPr="002574BC">
        <w:rPr>
          <w:lang w:val="en-GB"/>
        </w:rPr>
        <w:t>) the CCC of General Electronics is estimated as follows:</w:t>
      </w:r>
    </w:p>
    <w:p w14:paraId="5F3EB913" w14:textId="331F89CA" w:rsidR="002574BC" w:rsidRDefault="002574BC" w:rsidP="002574BC">
      <w:pPr>
        <w:spacing w:line="360" w:lineRule="auto"/>
        <w:rPr>
          <w:lang w:val="en-GB"/>
        </w:rPr>
      </w:pPr>
      <w:r w:rsidRPr="002574BC">
        <w:rPr>
          <w:lang w:val="en-GB"/>
        </w:rPr>
        <w:t>The CCC has deteriorated enormously - 105 days in 2020 and 158 days in 2024, by 50% worse. This means that General Electronics will currently require nearly five months to turn around its investments in inventory and receivables into cash. The major cause of this inefficiency is the dramatic rise in inventory days that went up by 100 to 150 days. These inventory accumulations indicate excess production or low demand, which increases the cost of storage and the chances of obsolescence</w:t>
      </w:r>
      <w:r>
        <w:rPr>
          <w:lang w:val="en-GB"/>
        </w:rPr>
        <w:t xml:space="preserve"> </w:t>
      </w:r>
      <w:r w:rsidRPr="002574BC">
        <w:rPr>
          <w:lang w:val="en-GB"/>
        </w:rPr>
        <w:t>(Asman et al., 2022).</w:t>
      </w:r>
      <w:r>
        <w:rPr>
          <w:lang w:val="en-GB"/>
        </w:rPr>
        <w:t xml:space="preserve"> </w:t>
      </w:r>
      <w:r w:rsidRPr="002574BC">
        <w:rPr>
          <w:lang w:val="en-GB"/>
        </w:rPr>
        <w:t>At the same time, there is an inconsistent performance of the receivable days, as the performance peaks in 2023, which suggests lax credit collection policies. The number of days payable has decreased a little, that is, the company is paying its suppliers within a shorter time - not good in terms of liquidity management. Overall, these trends prove the fact that the working capital cycle of the company is unproductive, and it pushes its cash flow to the limit, even though operating inflows are positive</w:t>
      </w:r>
      <w:r>
        <w:rPr>
          <w:lang w:val="en-GB"/>
        </w:rPr>
        <w:t xml:space="preserve"> </w:t>
      </w:r>
      <w:r w:rsidRPr="002574BC">
        <w:rPr>
          <w:lang w:val="en-GB"/>
        </w:rPr>
        <w:t>(Ghabban et al., 2024).</w:t>
      </w:r>
      <w:r>
        <w:rPr>
          <w:lang w:val="en-GB"/>
        </w:rPr>
        <w:t xml:space="preserve"> </w:t>
      </w:r>
      <w:r w:rsidRPr="002574BC">
        <w:rPr>
          <w:lang w:val="en-GB"/>
        </w:rPr>
        <w:t>The trends observed are consistent with the working capital management theory which states that longer CCC periods decrease the liquidity and may adversely affect profitability (Lee, 2023). Effective companies strive to keep the CCC short in order to maximise cash turnover and minimise the financing requirements.</w:t>
      </w:r>
    </w:p>
    <w:p w14:paraId="59DE57AC" w14:textId="77777777" w:rsidR="002574BC" w:rsidRPr="002574BC" w:rsidRDefault="002574BC" w:rsidP="002574BC">
      <w:pPr>
        <w:spacing w:line="360" w:lineRule="auto"/>
        <w:rPr>
          <w:b/>
          <w:bCs/>
          <w:lang w:val="en-GB"/>
        </w:rPr>
      </w:pPr>
      <w:r w:rsidRPr="002574BC">
        <w:rPr>
          <w:b/>
          <w:bCs/>
          <w:lang w:val="en-GB"/>
        </w:rPr>
        <w:lastRenderedPageBreak/>
        <w:t>3.3 Liquidity Problems and Causes</w:t>
      </w:r>
    </w:p>
    <w:p w14:paraId="2932BA0C" w14:textId="77777777" w:rsidR="002574BC" w:rsidRDefault="002574BC" w:rsidP="002574BC">
      <w:pPr>
        <w:spacing w:line="360" w:lineRule="auto"/>
        <w:rPr>
          <w:lang w:val="en-GB"/>
        </w:rPr>
      </w:pPr>
      <w:r w:rsidRPr="002574BC">
        <w:rPr>
          <w:lang w:val="en-GB"/>
        </w:rPr>
        <w:t>The decline in the liquidity position of General Electronics is reflected by a reduction in the current ratio to 1.53 (2024) and 1.82 (2020) and in the quick ratio that has not significantly changed, despite the reduction in the amounts of inventory. This problem has a number of causes:</w:t>
      </w:r>
    </w:p>
    <w:p w14:paraId="636A6789" w14:textId="18204639" w:rsidR="002574BC" w:rsidRPr="002574BC" w:rsidRDefault="002574BC" w:rsidP="002574BC">
      <w:pPr>
        <w:pStyle w:val="ListParagraph"/>
        <w:numPr>
          <w:ilvl w:val="0"/>
          <w:numId w:val="10"/>
        </w:numPr>
        <w:spacing w:line="360" w:lineRule="auto"/>
        <w:rPr>
          <w:lang w:val="en-GB"/>
        </w:rPr>
      </w:pPr>
      <w:r w:rsidRPr="002574BC">
        <w:rPr>
          <w:lang w:val="en-GB"/>
        </w:rPr>
        <w:t>Too many Inventory Holdings:</w:t>
      </w:r>
    </w:p>
    <w:p w14:paraId="09C8E488" w14:textId="77777777" w:rsidR="002574BC" w:rsidRDefault="002574BC" w:rsidP="002574BC">
      <w:pPr>
        <w:spacing w:line="360" w:lineRule="auto"/>
        <w:rPr>
          <w:lang w:val="en-GB"/>
        </w:rPr>
      </w:pPr>
      <w:r w:rsidRPr="002574BC">
        <w:rPr>
          <w:lang w:val="en-GB"/>
        </w:rPr>
        <w:t>Many days of inventory means that there is no good demand forecasting or that the supply chain is not coordinated</w:t>
      </w:r>
      <w:r>
        <w:rPr>
          <w:lang w:val="en-GB"/>
        </w:rPr>
        <w:t xml:space="preserve"> </w:t>
      </w:r>
      <w:r w:rsidRPr="002574BC">
        <w:rPr>
          <w:lang w:val="en-GB"/>
        </w:rPr>
        <w:t>(Tadayonrad and Ndiaye, 2023). This will lock up large amounts of money in non earning assets that will limit its cash to do other business</w:t>
      </w:r>
      <w:r>
        <w:rPr>
          <w:lang w:val="en-GB"/>
        </w:rPr>
        <w:t>.</w:t>
      </w:r>
    </w:p>
    <w:p w14:paraId="28F74351" w14:textId="7AA7933F" w:rsidR="002574BC" w:rsidRPr="002574BC" w:rsidRDefault="002574BC" w:rsidP="002574BC">
      <w:pPr>
        <w:pStyle w:val="ListParagraph"/>
        <w:numPr>
          <w:ilvl w:val="0"/>
          <w:numId w:val="10"/>
        </w:numPr>
        <w:spacing w:line="360" w:lineRule="auto"/>
        <w:rPr>
          <w:lang w:val="en-GB"/>
        </w:rPr>
      </w:pPr>
      <w:r w:rsidRPr="002574BC">
        <w:rPr>
          <w:lang w:val="en-GB"/>
        </w:rPr>
        <w:t>Crippling Receivables Management:</w:t>
      </w:r>
    </w:p>
    <w:p w14:paraId="589091B3" w14:textId="787ACA32" w:rsidR="002574BC" w:rsidRPr="002574BC" w:rsidRDefault="002574BC" w:rsidP="002574BC">
      <w:pPr>
        <w:spacing w:line="360" w:lineRule="auto"/>
        <w:rPr>
          <w:lang w:val="en-GB"/>
        </w:rPr>
      </w:pPr>
      <w:r w:rsidRPr="002574BC">
        <w:rPr>
          <w:lang w:val="en-GB"/>
        </w:rPr>
        <w:t>Although the outstanding days are slightly better in 2024, historical volatility (particularly in 2023) suggests the inconsistencies in the policy of credit control. Bad credit control delays inflows and puts the company in bad debts</w:t>
      </w:r>
      <w:r>
        <w:rPr>
          <w:lang w:val="en-GB"/>
        </w:rPr>
        <w:t xml:space="preserve"> </w:t>
      </w:r>
      <w:r w:rsidRPr="002574BC">
        <w:rPr>
          <w:lang w:val="en-GB"/>
        </w:rPr>
        <w:t>(DOBBIE et al., 2020).</w:t>
      </w:r>
    </w:p>
    <w:p w14:paraId="3D3258E5" w14:textId="77777777" w:rsidR="002574BC" w:rsidRPr="002574BC" w:rsidRDefault="002574BC" w:rsidP="002574BC">
      <w:pPr>
        <w:pStyle w:val="ListParagraph"/>
        <w:numPr>
          <w:ilvl w:val="0"/>
          <w:numId w:val="10"/>
        </w:numPr>
        <w:spacing w:line="360" w:lineRule="auto"/>
        <w:rPr>
          <w:lang w:val="en-GB"/>
        </w:rPr>
      </w:pPr>
      <w:r w:rsidRPr="002574BC">
        <w:rPr>
          <w:lang w:val="en-GB"/>
        </w:rPr>
        <w:t>Vicious Payable Management:</w:t>
      </w:r>
    </w:p>
    <w:p w14:paraId="57C4A199" w14:textId="42D75A8A" w:rsidR="002574BC" w:rsidRPr="002574BC" w:rsidRDefault="002574BC" w:rsidP="002574BC">
      <w:pPr>
        <w:spacing w:line="360" w:lineRule="auto"/>
        <w:rPr>
          <w:lang w:val="en-GB"/>
        </w:rPr>
      </w:pPr>
      <w:r w:rsidRPr="002574BC">
        <w:rPr>
          <w:lang w:val="en-GB"/>
        </w:rPr>
        <w:t>Decline in the number of days payable indicates timely payment to suppliers that despite enhancing relations, has most likely reduced short-term liquidity. According to</w:t>
      </w:r>
      <w:r w:rsidR="003875EE">
        <w:rPr>
          <w:lang w:val="en-GB"/>
        </w:rPr>
        <w:t xml:space="preserve"> </w:t>
      </w:r>
      <w:r w:rsidR="003875EE" w:rsidRPr="003875EE">
        <w:rPr>
          <w:lang w:val="en-GB"/>
        </w:rPr>
        <w:t>Huang (2021)</w:t>
      </w:r>
      <w:r w:rsidRPr="002574BC">
        <w:rPr>
          <w:lang w:val="en-GB"/>
        </w:rPr>
        <w:t>, one of the common methods of financing the operations without debts is delaying payments to plausible levels.</w:t>
      </w:r>
    </w:p>
    <w:p w14:paraId="2D785A4D" w14:textId="77777777" w:rsidR="002574BC" w:rsidRPr="002574BC" w:rsidRDefault="002574BC" w:rsidP="002574BC">
      <w:pPr>
        <w:pStyle w:val="ListParagraph"/>
        <w:numPr>
          <w:ilvl w:val="0"/>
          <w:numId w:val="10"/>
        </w:numPr>
        <w:spacing w:line="360" w:lineRule="auto"/>
        <w:rPr>
          <w:lang w:val="en-GB"/>
        </w:rPr>
      </w:pPr>
      <w:r w:rsidRPr="002574BC">
        <w:rPr>
          <w:lang w:val="en-GB"/>
        </w:rPr>
        <w:t>Reduced Operating Cash Flow Stability:</w:t>
      </w:r>
    </w:p>
    <w:p w14:paraId="44AAC9BF" w14:textId="0FC421DB" w:rsidR="002574BC" w:rsidRPr="002574BC" w:rsidRDefault="002574BC" w:rsidP="002574BC">
      <w:pPr>
        <w:spacing w:line="360" w:lineRule="auto"/>
        <w:rPr>
          <w:lang w:val="en-GB"/>
        </w:rPr>
      </w:pPr>
      <w:r w:rsidRPr="002574BC">
        <w:rPr>
          <w:lang w:val="en-GB"/>
        </w:rPr>
        <w:t>Despite good operating cash flows (in 2024, it is -14,822 million), the decrease in the direction of the cash flows (in 2020, it was -73,392 million) speaks of poor sales to cash efficiency.</w:t>
      </w:r>
    </w:p>
    <w:p w14:paraId="7F223FD7" w14:textId="670A6CFD" w:rsidR="002574BC" w:rsidRDefault="002574BC" w:rsidP="002574BC">
      <w:pPr>
        <w:spacing w:line="360" w:lineRule="auto"/>
        <w:rPr>
          <w:lang w:val="en-GB"/>
        </w:rPr>
      </w:pPr>
      <w:r w:rsidRPr="002574BC">
        <w:rPr>
          <w:lang w:val="en-GB"/>
        </w:rPr>
        <w:t>All these issues lead to liquidity trap, that is, there is no working capital in the firm due to the inability to manage the current assets and liabilities properly rather than due to the absence of profitability as such.</w:t>
      </w:r>
    </w:p>
    <w:p w14:paraId="1019E9D0" w14:textId="53AFCC72" w:rsidR="003875EE" w:rsidRDefault="003875EE" w:rsidP="003875EE">
      <w:pPr>
        <w:pStyle w:val="Heading2"/>
      </w:pPr>
      <w:bookmarkStart w:id="9" w:name="_Toc213103746"/>
      <w:r w:rsidRPr="003875EE">
        <w:lastRenderedPageBreak/>
        <w:t>3.4 Improvement Strategies</w:t>
      </w:r>
      <w:bookmarkEnd w:id="9"/>
    </w:p>
    <w:p w14:paraId="0BE964C2" w14:textId="7E5AE7AB" w:rsidR="003875EE" w:rsidRPr="003875EE" w:rsidRDefault="003875EE" w:rsidP="003875EE">
      <w:pPr>
        <w:spacing w:line="360" w:lineRule="auto"/>
        <w:rPr>
          <w:lang w:val="en-GB"/>
        </w:rPr>
      </w:pPr>
      <w:r w:rsidRPr="003875EE">
        <w:rPr>
          <w:lang w:val="en-GB"/>
        </w:rPr>
        <w:t>The multi-layered working capital reform strategy General Electronics should apply to restore the liquidity and to decrease the CCC is appropriate concerning the theoretical approaches to the optimal cash and inventory management.</w:t>
      </w:r>
    </w:p>
    <w:p w14:paraId="1E452440" w14:textId="77777777" w:rsidR="003875EE" w:rsidRPr="003875EE" w:rsidRDefault="003875EE" w:rsidP="003875EE">
      <w:pPr>
        <w:spacing w:line="360" w:lineRule="auto"/>
        <w:rPr>
          <w:b/>
          <w:bCs/>
          <w:u w:val="single"/>
          <w:lang w:val="en-GB"/>
        </w:rPr>
      </w:pPr>
      <w:r w:rsidRPr="003875EE">
        <w:rPr>
          <w:b/>
          <w:bCs/>
          <w:u w:val="single"/>
          <w:lang w:val="en-GB"/>
        </w:rPr>
        <w:t>Inventory Rationalisation:</w:t>
      </w:r>
    </w:p>
    <w:p w14:paraId="50D7775B" w14:textId="77777777" w:rsidR="003875EE" w:rsidRDefault="003875EE" w:rsidP="003875EE">
      <w:pPr>
        <w:pStyle w:val="ListParagraph"/>
        <w:numPr>
          <w:ilvl w:val="0"/>
          <w:numId w:val="10"/>
        </w:numPr>
        <w:spacing w:line="360" w:lineRule="auto"/>
        <w:rPr>
          <w:lang w:val="en-GB"/>
        </w:rPr>
      </w:pPr>
      <w:r w:rsidRPr="003875EE">
        <w:rPr>
          <w:lang w:val="en-GB"/>
        </w:rPr>
        <w:t>Implement Economic order quantity (EDO) models in order to determine the optimal stock levels and reduce the holding cost.</w:t>
      </w:r>
    </w:p>
    <w:p w14:paraId="5AEDD386" w14:textId="77777777" w:rsidR="003875EE" w:rsidRDefault="003875EE" w:rsidP="003875EE">
      <w:pPr>
        <w:pStyle w:val="ListParagraph"/>
        <w:numPr>
          <w:ilvl w:val="0"/>
          <w:numId w:val="10"/>
        </w:numPr>
        <w:spacing w:line="360" w:lineRule="auto"/>
        <w:rPr>
          <w:lang w:val="en-GB"/>
        </w:rPr>
      </w:pPr>
      <w:r w:rsidRPr="003875EE">
        <w:rPr>
          <w:lang w:val="en-GB"/>
        </w:rPr>
        <w:t>Use Just-in-Time (JIT) inventory system and demand forecasting systems to align the production and sales (Lee, 2023)</w:t>
      </w:r>
      <w:r>
        <w:rPr>
          <w:lang w:val="en-GB"/>
        </w:rPr>
        <w:t>.</w:t>
      </w:r>
    </w:p>
    <w:p w14:paraId="1E64C750" w14:textId="2A9EF8CC" w:rsidR="003875EE" w:rsidRPr="003875EE" w:rsidRDefault="003875EE" w:rsidP="003875EE">
      <w:pPr>
        <w:pStyle w:val="ListParagraph"/>
        <w:numPr>
          <w:ilvl w:val="0"/>
          <w:numId w:val="10"/>
        </w:numPr>
        <w:spacing w:line="360" w:lineRule="auto"/>
        <w:rPr>
          <w:lang w:val="en-GB"/>
        </w:rPr>
      </w:pPr>
      <w:r w:rsidRPr="003875EE">
        <w:rPr>
          <w:lang w:val="en-GB"/>
        </w:rPr>
        <w:t>Streamline the product lines and dispose old or low margin products.</w:t>
      </w:r>
    </w:p>
    <w:p w14:paraId="17FA69B3" w14:textId="77777777" w:rsidR="003875EE" w:rsidRDefault="003875EE" w:rsidP="003875EE">
      <w:pPr>
        <w:spacing w:line="360" w:lineRule="auto"/>
        <w:rPr>
          <w:b/>
          <w:bCs/>
          <w:u w:val="single"/>
          <w:lang w:val="en-GB"/>
        </w:rPr>
      </w:pPr>
      <w:r w:rsidRPr="003875EE">
        <w:rPr>
          <w:b/>
          <w:bCs/>
          <w:u w:val="single"/>
          <w:lang w:val="en-GB"/>
        </w:rPr>
        <w:t>Receivables Management:</w:t>
      </w:r>
    </w:p>
    <w:p w14:paraId="1545A13C" w14:textId="77777777" w:rsidR="003875EE" w:rsidRPr="003875EE" w:rsidRDefault="003875EE" w:rsidP="003875EE">
      <w:pPr>
        <w:pStyle w:val="ListParagraph"/>
        <w:numPr>
          <w:ilvl w:val="0"/>
          <w:numId w:val="11"/>
        </w:numPr>
        <w:spacing w:line="360" w:lineRule="auto"/>
        <w:rPr>
          <w:b/>
          <w:bCs/>
          <w:u w:val="single"/>
          <w:lang w:val="en-GB"/>
        </w:rPr>
      </w:pPr>
      <w:r w:rsidRPr="003875EE">
        <w:rPr>
          <w:lang w:val="en-GB"/>
        </w:rPr>
        <w:t>Implement stricter credit policy and early payment discount to hasten collections.</w:t>
      </w:r>
    </w:p>
    <w:p w14:paraId="2A2E0AFD" w14:textId="77777777" w:rsidR="003875EE" w:rsidRPr="003875EE" w:rsidRDefault="003875EE" w:rsidP="003875EE">
      <w:pPr>
        <w:pStyle w:val="ListParagraph"/>
        <w:numPr>
          <w:ilvl w:val="0"/>
          <w:numId w:val="11"/>
        </w:numPr>
        <w:spacing w:line="360" w:lineRule="auto"/>
        <w:rPr>
          <w:b/>
          <w:bCs/>
          <w:u w:val="single"/>
          <w:lang w:val="en-GB"/>
        </w:rPr>
      </w:pPr>
      <w:r w:rsidRPr="003875EE">
        <w:rPr>
          <w:lang w:val="en-GB"/>
        </w:rPr>
        <w:t>Receivables may be converted to cash by means of Accounts Receivable Financing (factoring).</w:t>
      </w:r>
    </w:p>
    <w:p w14:paraId="57F539D6" w14:textId="2C0443DA" w:rsidR="003875EE" w:rsidRPr="003875EE" w:rsidRDefault="003875EE" w:rsidP="003875EE">
      <w:pPr>
        <w:pStyle w:val="ListParagraph"/>
        <w:numPr>
          <w:ilvl w:val="0"/>
          <w:numId w:val="11"/>
        </w:numPr>
        <w:spacing w:line="360" w:lineRule="auto"/>
        <w:rPr>
          <w:b/>
          <w:bCs/>
          <w:u w:val="single"/>
          <w:lang w:val="en-GB"/>
        </w:rPr>
      </w:pPr>
      <w:r w:rsidRPr="003875EE">
        <w:rPr>
          <w:lang w:val="en-GB"/>
        </w:rPr>
        <w:t>Install bills tracking and e-invoicing systems to track outstanding bills.</w:t>
      </w:r>
    </w:p>
    <w:p w14:paraId="63A216C8" w14:textId="77777777" w:rsidR="003875EE" w:rsidRDefault="003875EE" w:rsidP="003875EE">
      <w:pPr>
        <w:spacing w:line="360" w:lineRule="auto"/>
        <w:rPr>
          <w:b/>
          <w:bCs/>
          <w:u w:val="single"/>
          <w:lang w:val="en-GB"/>
        </w:rPr>
      </w:pPr>
      <w:r w:rsidRPr="003875EE">
        <w:rPr>
          <w:b/>
          <w:bCs/>
          <w:u w:val="single"/>
          <w:lang w:val="en-GB"/>
        </w:rPr>
        <w:t>Payables Management:</w:t>
      </w:r>
    </w:p>
    <w:p w14:paraId="7F0607B3" w14:textId="77777777" w:rsidR="003875EE" w:rsidRPr="003875EE" w:rsidRDefault="003875EE" w:rsidP="003875EE">
      <w:pPr>
        <w:pStyle w:val="ListParagraph"/>
        <w:numPr>
          <w:ilvl w:val="0"/>
          <w:numId w:val="12"/>
        </w:numPr>
        <w:spacing w:line="360" w:lineRule="auto"/>
        <w:rPr>
          <w:b/>
          <w:bCs/>
          <w:u w:val="single"/>
          <w:lang w:val="en-GB"/>
        </w:rPr>
      </w:pPr>
      <w:r w:rsidRPr="003875EE">
        <w:rPr>
          <w:lang w:val="en-GB"/>
        </w:rPr>
        <w:t>Intention to negotiate terms of credit with the suppliers where possible to achieve a balance between liquidity needs and supplier relationships.</w:t>
      </w:r>
    </w:p>
    <w:p w14:paraId="19B608AB" w14:textId="4A0524B3" w:rsidR="003875EE" w:rsidRPr="003875EE" w:rsidRDefault="003875EE" w:rsidP="003875EE">
      <w:pPr>
        <w:pStyle w:val="ListParagraph"/>
        <w:numPr>
          <w:ilvl w:val="0"/>
          <w:numId w:val="12"/>
        </w:numPr>
        <w:spacing w:line="360" w:lineRule="auto"/>
        <w:rPr>
          <w:b/>
          <w:bCs/>
          <w:u w:val="single"/>
          <w:lang w:val="en-GB"/>
        </w:rPr>
      </w:pPr>
      <w:r w:rsidRPr="003875EE">
        <w:rPr>
          <w:lang w:val="en-GB"/>
        </w:rPr>
        <w:t>Use dynamic discounting - only pay when the discount is high and it is very cheap.</w:t>
      </w:r>
    </w:p>
    <w:p w14:paraId="77774CC1" w14:textId="77777777" w:rsidR="003875EE" w:rsidRPr="003875EE" w:rsidRDefault="003875EE" w:rsidP="003875EE">
      <w:pPr>
        <w:spacing w:line="360" w:lineRule="auto"/>
        <w:rPr>
          <w:b/>
          <w:bCs/>
          <w:u w:val="single"/>
          <w:lang w:val="en-GB"/>
        </w:rPr>
      </w:pPr>
      <w:r w:rsidRPr="003875EE">
        <w:rPr>
          <w:b/>
          <w:bCs/>
          <w:u w:val="single"/>
          <w:lang w:val="en-GB"/>
        </w:rPr>
        <w:t>Cash Management Optimisation:</w:t>
      </w:r>
    </w:p>
    <w:p w14:paraId="5F17765A" w14:textId="77777777" w:rsidR="003875EE" w:rsidRDefault="003875EE" w:rsidP="003875EE">
      <w:pPr>
        <w:pStyle w:val="ListParagraph"/>
        <w:numPr>
          <w:ilvl w:val="0"/>
          <w:numId w:val="13"/>
        </w:numPr>
        <w:spacing w:line="360" w:lineRule="auto"/>
        <w:rPr>
          <w:lang w:val="en-GB"/>
        </w:rPr>
      </w:pPr>
      <w:r w:rsidRPr="003875EE">
        <w:rPr>
          <w:lang w:val="en-GB"/>
        </w:rPr>
        <w:t>Optimal cash balances and management of transaction cost are held using models of Baumol (1952) and MillerOrr (1966).</w:t>
      </w:r>
    </w:p>
    <w:p w14:paraId="2846A76E" w14:textId="2DB60D3D" w:rsidR="003875EE" w:rsidRPr="003875EE" w:rsidRDefault="003875EE" w:rsidP="003875EE">
      <w:pPr>
        <w:pStyle w:val="ListParagraph"/>
        <w:numPr>
          <w:ilvl w:val="0"/>
          <w:numId w:val="13"/>
        </w:numPr>
        <w:spacing w:line="360" w:lineRule="auto"/>
        <w:rPr>
          <w:lang w:val="en-GB"/>
        </w:rPr>
      </w:pPr>
      <w:r w:rsidRPr="003875EE">
        <w:rPr>
          <w:lang w:val="en-GB"/>
        </w:rPr>
        <w:t>Focus on cash flow in foreign subsidiaries to focus finances and increase control.</w:t>
      </w:r>
    </w:p>
    <w:p w14:paraId="3991E4ED" w14:textId="77777777" w:rsidR="003875EE" w:rsidRPr="003875EE" w:rsidRDefault="003875EE" w:rsidP="003875EE">
      <w:pPr>
        <w:spacing w:line="360" w:lineRule="auto"/>
        <w:rPr>
          <w:b/>
          <w:bCs/>
          <w:u w:val="single"/>
          <w:lang w:val="en-GB"/>
        </w:rPr>
      </w:pPr>
      <w:r w:rsidRPr="003875EE">
        <w:rPr>
          <w:b/>
          <w:bCs/>
          <w:u w:val="single"/>
          <w:lang w:val="en-GB"/>
        </w:rPr>
        <w:t>Financing Alternatives:</w:t>
      </w:r>
    </w:p>
    <w:p w14:paraId="02BBA89C" w14:textId="77777777" w:rsidR="003875EE" w:rsidRDefault="003875EE" w:rsidP="003875EE">
      <w:pPr>
        <w:pStyle w:val="ListParagraph"/>
        <w:numPr>
          <w:ilvl w:val="0"/>
          <w:numId w:val="14"/>
        </w:numPr>
        <w:spacing w:line="360" w:lineRule="auto"/>
        <w:rPr>
          <w:lang w:val="en-GB"/>
        </w:rPr>
      </w:pPr>
      <w:r w:rsidRPr="003875EE">
        <w:rPr>
          <w:lang w:val="en-GB"/>
        </w:rPr>
        <w:t>Bank overdrafts, trade credit and short term commercial paper should also be considered to close the working capital gaps in the short term perspective.</w:t>
      </w:r>
    </w:p>
    <w:p w14:paraId="45DA0598" w14:textId="1FEC153A" w:rsidR="003875EE" w:rsidRPr="003875EE" w:rsidRDefault="003875EE" w:rsidP="003875EE">
      <w:pPr>
        <w:pStyle w:val="ListParagraph"/>
        <w:numPr>
          <w:ilvl w:val="0"/>
          <w:numId w:val="14"/>
        </w:numPr>
        <w:spacing w:line="360" w:lineRule="auto"/>
        <w:rPr>
          <w:lang w:val="en-GB"/>
        </w:rPr>
      </w:pPr>
      <w:r w:rsidRPr="003875EE">
        <w:rPr>
          <w:lang w:val="en-GB"/>
        </w:rPr>
        <w:lastRenderedPageBreak/>
        <w:t>Equity injection or convertible debt are possible as an improvement to the liquidity in the long run based on the Pecking Order Theory</w:t>
      </w:r>
      <w:r>
        <w:rPr>
          <w:lang w:val="en-GB"/>
        </w:rPr>
        <w:t xml:space="preserve"> </w:t>
      </w:r>
      <w:r w:rsidRPr="003875EE">
        <w:rPr>
          <w:lang w:val="en-GB"/>
        </w:rPr>
        <w:t>Soku Byoun and Rhim (2011)</w:t>
      </w:r>
      <w:r>
        <w:rPr>
          <w:lang w:val="en-GB"/>
        </w:rPr>
        <w:t>,</w:t>
      </w:r>
      <w:r w:rsidRPr="003875EE">
        <w:rPr>
          <w:lang w:val="en-GB"/>
        </w:rPr>
        <w:t xml:space="preserve"> which states that internal sources must be depleted before the external sources are used.</w:t>
      </w:r>
    </w:p>
    <w:p w14:paraId="643BAE92" w14:textId="58157E58" w:rsidR="003875EE" w:rsidRDefault="003875EE" w:rsidP="003875EE">
      <w:pPr>
        <w:spacing w:line="360" w:lineRule="auto"/>
        <w:rPr>
          <w:lang w:val="en-GB"/>
        </w:rPr>
      </w:pPr>
      <w:r w:rsidRPr="003875EE">
        <w:rPr>
          <w:lang w:val="en-GB"/>
        </w:rPr>
        <w:t>These will aid in reducing CCC of 158 days to the target of 100 days that will enhance liquidity and cash flow. The working capital efficiency would also be enhanced to aid in restoration of profitability and overreliance on costly external funding would be reduced.</w:t>
      </w:r>
    </w:p>
    <w:p w14:paraId="6340AE27" w14:textId="77777777" w:rsidR="003875EE" w:rsidRPr="003875EE" w:rsidRDefault="003875EE" w:rsidP="003875EE">
      <w:pPr>
        <w:pStyle w:val="Heading1"/>
      </w:pPr>
      <w:bookmarkStart w:id="10" w:name="_Toc213103747"/>
      <w:r w:rsidRPr="003875EE">
        <w:t>4. Strategic Financial Restructuring Plan</w:t>
      </w:r>
      <w:bookmarkEnd w:id="10"/>
    </w:p>
    <w:p w14:paraId="4365FE7C" w14:textId="77777777" w:rsidR="003875EE" w:rsidRDefault="003875EE" w:rsidP="003875EE">
      <w:pPr>
        <w:pStyle w:val="Heading2"/>
      </w:pPr>
      <w:bookmarkStart w:id="11" w:name="_Toc213103748"/>
      <w:r w:rsidRPr="003875EE">
        <w:t>4.1 Diagnosis of Financial Distress</w:t>
      </w:r>
      <w:bookmarkEnd w:id="11"/>
    </w:p>
    <w:p w14:paraId="2477E8EB" w14:textId="46ED04B9" w:rsidR="003875EE" w:rsidRDefault="003875EE" w:rsidP="003875EE">
      <w:pPr>
        <w:spacing w:line="360" w:lineRule="auto"/>
        <w:rPr>
          <w:lang w:val="en-GB"/>
        </w:rPr>
      </w:pPr>
      <w:r w:rsidRPr="003875EE">
        <w:rPr>
          <w:lang w:val="en-GB"/>
        </w:rPr>
        <w:t>As evidenced by the financial analysis above, General Electronics is under severe financial stress which is typified by successive losses in operation, dwindling sales, falling shareholder equity and deteriorating liquidity status</w:t>
      </w:r>
      <w:r>
        <w:rPr>
          <w:lang w:val="en-GB"/>
        </w:rPr>
        <w:t xml:space="preserve"> </w:t>
      </w:r>
      <w:r w:rsidRPr="003875EE">
        <w:rPr>
          <w:lang w:val="en-GB"/>
        </w:rPr>
        <w:t>(SHEKHAR, 2022). The companies returns on equity has dropped to -15.7 and its debt to equity ratio is 1.11 which is an indication of excessive leverage. At the same time, the interest coverage ratio has become negative, which proves that it is no longer possible to cover the current debt using current operational profits. The decline of these indicators indicates that the capital structure of the firm cannot be maintained in its existing revenue circumstances. Such financial symptoms as defined by Altman (1968) and Opler and Titman (1994) usually come before the insolvency unless radical restructuring actions are taken. Therefore, an elaborate financial restructuring plan is essential in regaining solvency, profitability and investor confidence.</w:t>
      </w:r>
    </w:p>
    <w:p w14:paraId="2F5B0349" w14:textId="461C19C3" w:rsidR="00962367" w:rsidRDefault="00962367" w:rsidP="00962367">
      <w:pPr>
        <w:pStyle w:val="Heading2"/>
      </w:pPr>
      <w:bookmarkStart w:id="12" w:name="_Toc213103749"/>
      <w:r w:rsidRPr="00962367">
        <w:t>4.2 Objectives of Financial Restructuring</w:t>
      </w:r>
      <w:bookmarkEnd w:id="12"/>
    </w:p>
    <w:p w14:paraId="2EE5F709" w14:textId="77777777" w:rsidR="00962367" w:rsidRDefault="00962367" w:rsidP="00962367">
      <w:pPr>
        <w:spacing w:line="360" w:lineRule="auto"/>
        <w:rPr>
          <w:lang w:val="en-GB"/>
        </w:rPr>
      </w:pPr>
      <w:r w:rsidRPr="00962367">
        <w:rPr>
          <w:lang w:val="en-GB"/>
        </w:rPr>
        <w:t>The main aim of the restructuring is to stabilise the Finances of General Electronics by cutting down the debt and raising the liquidity and returning to profitability by sustainable capital structure. Objectives are:</w:t>
      </w:r>
    </w:p>
    <w:p w14:paraId="45AC1C1F" w14:textId="77777777" w:rsidR="00962367" w:rsidRDefault="00962367" w:rsidP="00962367">
      <w:pPr>
        <w:pStyle w:val="ListParagraph"/>
        <w:numPr>
          <w:ilvl w:val="0"/>
          <w:numId w:val="15"/>
        </w:numPr>
        <w:spacing w:line="360" w:lineRule="auto"/>
        <w:rPr>
          <w:lang w:val="en-GB"/>
        </w:rPr>
      </w:pPr>
      <w:r w:rsidRPr="00962367">
        <w:rPr>
          <w:lang w:val="en-GB"/>
        </w:rPr>
        <w:t>Debt Optimisation: Reduce the rate of interest to be paid by way of renegotiating the existing debts or refinancing the existing debts.</w:t>
      </w:r>
    </w:p>
    <w:p w14:paraId="62182B5F" w14:textId="77777777" w:rsidR="00962367" w:rsidRDefault="00962367" w:rsidP="00962367">
      <w:pPr>
        <w:pStyle w:val="ListParagraph"/>
        <w:numPr>
          <w:ilvl w:val="0"/>
          <w:numId w:val="15"/>
        </w:numPr>
        <w:spacing w:line="360" w:lineRule="auto"/>
        <w:rPr>
          <w:lang w:val="en-GB"/>
        </w:rPr>
      </w:pPr>
      <w:r w:rsidRPr="00962367">
        <w:rPr>
          <w:lang w:val="en-GB"/>
        </w:rPr>
        <w:t>Equity Enhancement: Build capital base either by strategic equity issue or rights issues.</w:t>
      </w:r>
    </w:p>
    <w:p w14:paraId="3B95CE11" w14:textId="77777777" w:rsidR="00962367" w:rsidRDefault="00962367" w:rsidP="00962367">
      <w:pPr>
        <w:pStyle w:val="ListParagraph"/>
        <w:numPr>
          <w:ilvl w:val="0"/>
          <w:numId w:val="15"/>
        </w:numPr>
        <w:spacing w:line="360" w:lineRule="auto"/>
        <w:rPr>
          <w:lang w:val="en-GB"/>
        </w:rPr>
      </w:pPr>
      <w:r w:rsidRPr="00962367">
        <w:rPr>
          <w:lang w:val="en-GB"/>
        </w:rPr>
        <w:t>Asset Rationalisation: Sell non-core business units or bad performing business units to raise cash and re-allocate resources.</w:t>
      </w:r>
    </w:p>
    <w:p w14:paraId="5640E7E1" w14:textId="77777777" w:rsidR="00962367" w:rsidRDefault="00962367" w:rsidP="00962367">
      <w:pPr>
        <w:pStyle w:val="ListParagraph"/>
        <w:numPr>
          <w:ilvl w:val="0"/>
          <w:numId w:val="15"/>
        </w:numPr>
        <w:spacing w:line="360" w:lineRule="auto"/>
        <w:rPr>
          <w:lang w:val="en-GB"/>
        </w:rPr>
      </w:pPr>
      <w:r w:rsidRPr="00962367">
        <w:rPr>
          <w:lang w:val="en-GB"/>
        </w:rPr>
        <w:lastRenderedPageBreak/>
        <w:t>Operational Effectiveness: Automate cost, digitalisation and optimisation of supply chain.</w:t>
      </w:r>
    </w:p>
    <w:p w14:paraId="6191C150" w14:textId="77777777" w:rsidR="00962367" w:rsidRDefault="00962367" w:rsidP="00962367">
      <w:pPr>
        <w:pStyle w:val="ListParagraph"/>
        <w:numPr>
          <w:ilvl w:val="0"/>
          <w:numId w:val="15"/>
        </w:numPr>
        <w:spacing w:line="360" w:lineRule="auto"/>
        <w:rPr>
          <w:lang w:val="en-GB"/>
        </w:rPr>
      </w:pPr>
      <w:r w:rsidRPr="00962367">
        <w:rPr>
          <w:lang w:val="en-GB"/>
        </w:rPr>
        <w:t>Ethical and Global Alignment: It does not only adhere to the global standard of tax, currency and corporate governance standards but also behaves ethically in business.</w:t>
      </w:r>
    </w:p>
    <w:p w14:paraId="3884137F" w14:textId="1B298161" w:rsidR="00962367" w:rsidRDefault="00962367" w:rsidP="00962367">
      <w:pPr>
        <w:spacing w:line="360" w:lineRule="auto"/>
        <w:rPr>
          <w:lang w:val="en-GB"/>
        </w:rPr>
      </w:pPr>
      <w:r>
        <w:rPr>
          <w:lang w:val="en-GB"/>
        </w:rPr>
        <w:t xml:space="preserve">According to </w:t>
      </w:r>
      <w:r w:rsidRPr="00962367">
        <w:rPr>
          <w:lang w:val="en-GB"/>
        </w:rPr>
        <w:t>Nyagiloh and Kilika (2020)</w:t>
      </w:r>
      <w:r>
        <w:rPr>
          <w:lang w:val="en-GB"/>
        </w:rPr>
        <w:t xml:space="preserve">, </w:t>
      </w:r>
      <w:r w:rsidRPr="00962367">
        <w:rPr>
          <w:lang w:val="en-GB"/>
        </w:rPr>
        <w:t>These are objectives are consistent with the Turnaround Management Theory that focuses on the stabilisation, restructuring and revitalisation stages</w:t>
      </w:r>
      <w:r>
        <w:rPr>
          <w:lang w:val="en-GB"/>
        </w:rPr>
        <w:t>.</w:t>
      </w:r>
    </w:p>
    <w:p w14:paraId="375AC10C" w14:textId="338B17D5" w:rsidR="00962367" w:rsidRDefault="00962367" w:rsidP="00962367">
      <w:pPr>
        <w:pStyle w:val="Heading2"/>
      </w:pPr>
      <w:bookmarkStart w:id="13" w:name="_Toc213103750"/>
      <w:r w:rsidRPr="00962367">
        <w:t>4.3 Capital Structure and Financing Decisions</w:t>
      </w:r>
      <w:bookmarkEnd w:id="13"/>
    </w:p>
    <w:p w14:paraId="28FEA8EA" w14:textId="0EF39822" w:rsidR="00962367" w:rsidRDefault="00962367" w:rsidP="00962367">
      <w:pPr>
        <w:spacing w:line="360" w:lineRule="auto"/>
        <w:rPr>
          <w:lang w:val="en-GB"/>
        </w:rPr>
      </w:pPr>
      <w:r w:rsidRPr="00962367">
        <w:rPr>
          <w:lang w:val="en-GB"/>
        </w:rPr>
        <w:t xml:space="preserve">In terms of capital structure, the financial leverage of General Electronics has been more than the optimal level forecasted by the Trade-off Theory which equates the tax advantages of debt and the escalating cost of financial distress (Voutsinas and Werner, 2025). The high gearing ratio and continued losses of the company show that the company will not be able to maintain a high debt level. The company must now prefer internal and equity financing to fresh borrowings guided by the Pecking Order Theory </w:t>
      </w:r>
      <w:r w:rsidR="001B1F3A" w:rsidRPr="001B1F3A">
        <w:rPr>
          <w:lang w:val="en-GB"/>
        </w:rPr>
        <w:t>(Yıldırım and Çelik, 2020)</w:t>
      </w:r>
      <w:r w:rsidRPr="00962367">
        <w:rPr>
          <w:lang w:val="en-GB"/>
        </w:rPr>
        <w:t>. Some of the major steps are debt refinancing to negotiate a lower interest rate and longer maturities, equity injection; a rights issue or institutional investment to increase shareholder equity, and issuing convertible bonds to attract hybrid investors as well as relieving the debt burden. Additionally, it is important to keep the dividend suspension to save on liquidity to invest and recuperate. These recommendations are in line with the Free Cash Flow Theory put forward by Jensen (1986) that recommends that retained earnings are reinvested during the lean times to rebuild its solvency and minimize agency problems.</w:t>
      </w:r>
    </w:p>
    <w:p w14:paraId="0E8F552D" w14:textId="75DA817B" w:rsidR="001B1F3A" w:rsidRDefault="001B1F3A" w:rsidP="001B1F3A">
      <w:pPr>
        <w:pStyle w:val="Heading2"/>
      </w:pPr>
      <w:bookmarkStart w:id="14" w:name="_Toc213103751"/>
      <w:r>
        <w:t xml:space="preserve">4.4 </w:t>
      </w:r>
      <w:r w:rsidRPr="001B1F3A">
        <w:t>Asset Restructuring and Divestiture Strategy</w:t>
      </w:r>
      <w:bookmarkEnd w:id="14"/>
    </w:p>
    <w:p w14:paraId="3BE30200" w14:textId="660A950A" w:rsidR="001B1F3A" w:rsidRDefault="001B1F3A" w:rsidP="001B1F3A">
      <w:pPr>
        <w:spacing w:line="360" w:lineRule="auto"/>
        <w:rPr>
          <w:lang w:val="en-GB"/>
        </w:rPr>
      </w:pPr>
      <w:r w:rsidRPr="001B1F3A">
        <w:rPr>
          <w:lang w:val="en-GB"/>
        </w:rPr>
        <w:t>The asset base of the company has also decreased considerably, which is 510,290 million in 2020 compared to 323,354 million in 2024, and refers to previous divestments and impairments. More strategic asset rationalisation is, however, required in order to free capital of non-core or non-performers divisions, particularly in low-margin markets. Based on the Portfolio Theory proposed by Elton and Gruber (1997), the resources must be shifted to the innovation and high-paying sectors including smart and sustainable electronics. The divestiture proceeds must be used to settle the debt, finance operational change and assist in liquidity recovery to enhance capital efficiency and long term competitiveness.</w:t>
      </w:r>
    </w:p>
    <w:p w14:paraId="2B149789" w14:textId="7CC131C0" w:rsidR="001B1F3A" w:rsidRPr="001B1F3A" w:rsidRDefault="001B1F3A" w:rsidP="001B1F3A">
      <w:pPr>
        <w:pStyle w:val="Heading2"/>
      </w:pPr>
      <w:bookmarkStart w:id="15" w:name="_Toc213103752"/>
      <w:r>
        <w:lastRenderedPageBreak/>
        <w:t xml:space="preserve">4.5 </w:t>
      </w:r>
      <w:r w:rsidRPr="001B1F3A">
        <w:t>Operational, International, and Ethical Alignment</w:t>
      </w:r>
      <w:bookmarkEnd w:id="15"/>
    </w:p>
    <w:p w14:paraId="2656D23F" w14:textId="58B3602E" w:rsidR="001B1F3A" w:rsidRDefault="001B1F3A" w:rsidP="00962367">
      <w:pPr>
        <w:spacing w:line="360" w:lineRule="auto"/>
        <w:rPr>
          <w:lang w:val="en-GB"/>
        </w:rPr>
      </w:pPr>
      <w:r w:rsidRPr="001B1F3A">
        <w:rPr>
          <w:lang w:val="en-GB"/>
        </w:rPr>
        <w:t>Operation efficiency should accompany financial reform in order to make the restructuring succeed. The use of lean cost structures, digital automation and supply chain optimisation will reduce the cost of operating and increase productivity, which is in line with the Balanced Scorecard structure (Kaplan and Norton, 1996). Exposure to exchange rate and tax risks should also be reduced internationally through hedging and adherence to OECD principle of tax. Restructuring, ethically, must be transparent and aligned to the welfare of the employees, and sustainable, according to the Carroll (1999) CSR model. Such a combined strategy will stabilise the financial health and restore the trust of stakeholders and reputation on a global scale.</w:t>
      </w:r>
    </w:p>
    <w:p w14:paraId="37B6CFD6" w14:textId="308178E6" w:rsidR="001B1F3A" w:rsidRDefault="001B1F3A" w:rsidP="001B1F3A">
      <w:pPr>
        <w:pStyle w:val="Heading1"/>
      </w:pPr>
      <w:bookmarkStart w:id="16" w:name="_Toc213103753"/>
      <w:r w:rsidRPr="001B1F3A">
        <w:t>5. Investment Appraisal and Capital Budgeting</w:t>
      </w:r>
      <w:bookmarkEnd w:id="16"/>
    </w:p>
    <w:p w14:paraId="19DB49FE" w14:textId="7192FD46" w:rsidR="001B1F3A" w:rsidRDefault="001B1F3A" w:rsidP="001B1F3A">
      <w:pPr>
        <w:pStyle w:val="Heading2"/>
      </w:pPr>
      <w:bookmarkStart w:id="17" w:name="_Toc213103754"/>
      <w:r w:rsidRPr="001B1F3A">
        <w:t>5.1 Overview and Purpose</w:t>
      </w:r>
      <w:bookmarkEnd w:id="17"/>
    </w:p>
    <w:p w14:paraId="45FB4FF6" w14:textId="0D833177" w:rsidR="001B1F3A" w:rsidRDefault="001B1F3A" w:rsidP="001B1F3A">
      <w:pPr>
        <w:spacing w:line="360" w:lineRule="auto"/>
        <w:rPr>
          <w:lang w:val="en-GB"/>
        </w:rPr>
      </w:pPr>
      <w:r w:rsidRPr="001B1F3A">
        <w:rPr>
          <w:lang w:val="en-GB"/>
        </w:rPr>
        <w:t>Investment appraisal forms an important aspect of strategic financial management that allows firms to determine the viability and profitability of long term projects. In the case of General Electronics where it is being restructured financially, capital budgeting needs to be done carefully to allow the company use the little available financial resources efficiently. The company has come up with three possible projects A, B and C, whose cash flows and investment needs differ. Since the capital available is only half a billion pound, the decisions have to be made on quantitative analysis by using Payback Period (PBP), Accounting rate of return (ARR), Net Present Value (NPV), Profitability Index (PI), and Internal rate of return (IRR). All these appraisal tools are useful in determining the most financially viable investment in line with the principles of shareholder wealth maximisation (Pike and Neale, 2021).</w:t>
      </w:r>
    </w:p>
    <w:p w14:paraId="31B2DBE4" w14:textId="5A01A0E2" w:rsidR="001D55FF" w:rsidRDefault="001D55FF" w:rsidP="001D55FF">
      <w:pPr>
        <w:pStyle w:val="Heading2"/>
      </w:pPr>
      <w:bookmarkStart w:id="18" w:name="_Toc213103755"/>
      <w:r w:rsidRPr="001D55FF">
        <w:t>5.2 Project Data and Cash Flow Summary</w:t>
      </w:r>
      <w:bookmarkEnd w:id="18"/>
    </w:p>
    <w:tbl>
      <w:tblPr>
        <w:tblStyle w:val="PlainTable2"/>
        <w:tblW w:w="0" w:type="auto"/>
        <w:jc w:val="center"/>
        <w:tblLook w:val="04A0" w:firstRow="1" w:lastRow="0" w:firstColumn="1" w:lastColumn="0" w:noHBand="0" w:noVBand="1"/>
      </w:tblPr>
      <w:tblGrid>
        <w:gridCol w:w="958"/>
        <w:gridCol w:w="2590"/>
        <w:gridCol w:w="872"/>
        <w:gridCol w:w="872"/>
        <w:gridCol w:w="872"/>
        <w:gridCol w:w="872"/>
        <w:gridCol w:w="872"/>
      </w:tblGrid>
      <w:tr w:rsidR="001D55FF" w:rsidRPr="001D55FF" w14:paraId="5B27BF43" w14:textId="77777777" w:rsidTr="001D55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8CF9F9" w14:textId="77777777" w:rsidR="001D55FF" w:rsidRPr="001D55FF" w:rsidRDefault="001D55FF" w:rsidP="001D55FF">
            <w:pPr>
              <w:rPr>
                <w:lang w:val="en-GB"/>
              </w:rPr>
            </w:pPr>
            <w:r w:rsidRPr="001D55FF">
              <w:rPr>
                <w:lang w:val="en-GB"/>
              </w:rPr>
              <w:t>Project</w:t>
            </w:r>
          </w:p>
        </w:tc>
        <w:tc>
          <w:tcPr>
            <w:tcW w:w="0" w:type="auto"/>
            <w:hideMark/>
          </w:tcPr>
          <w:p w14:paraId="6A5EB194"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Initial Investment (£m)</w:t>
            </w:r>
          </w:p>
        </w:tc>
        <w:tc>
          <w:tcPr>
            <w:tcW w:w="0" w:type="auto"/>
            <w:hideMark/>
          </w:tcPr>
          <w:p w14:paraId="4DCF58CD"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Year 1</w:t>
            </w:r>
          </w:p>
        </w:tc>
        <w:tc>
          <w:tcPr>
            <w:tcW w:w="0" w:type="auto"/>
            <w:hideMark/>
          </w:tcPr>
          <w:p w14:paraId="268E88BD"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Year 2</w:t>
            </w:r>
          </w:p>
        </w:tc>
        <w:tc>
          <w:tcPr>
            <w:tcW w:w="0" w:type="auto"/>
            <w:hideMark/>
          </w:tcPr>
          <w:p w14:paraId="45209373"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Year 3</w:t>
            </w:r>
          </w:p>
        </w:tc>
        <w:tc>
          <w:tcPr>
            <w:tcW w:w="0" w:type="auto"/>
            <w:hideMark/>
          </w:tcPr>
          <w:p w14:paraId="0DC585FC"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Year 4</w:t>
            </w:r>
          </w:p>
        </w:tc>
        <w:tc>
          <w:tcPr>
            <w:tcW w:w="0" w:type="auto"/>
            <w:hideMark/>
          </w:tcPr>
          <w:p w14:paraId="6DB1DAE7" w14:textId="77777777" w:rsidR="001D55FF" w:rsidRPr="001D55FF" w:rsidRDefault="001D55FF" w:rsidP="001D55FF">
            <w:pP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Year 5</w:t>
            </w:r>
          </w:p>
        </w:tc>
      </w:tr>
      <w:tr w:rsidR="001D55FF" w:rsidRPr="001D55FF" w14:paraId="21EF3142" w14:textId="77777777" w:rsidTr="001D55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E1442F" w14:textId="77777777" w:rsidR="001D55FF" w:rsidRPr="001D55FF" w:rsidRDefault="001D55FF" w:rsidP="001D55FF">
            <w:pPr>
              <w:rPr>
                <w:lang w:val="en-GB"/>
              </w:rPr>
            </w:pPr>
            <w:r w:rsidRPr="001D55FF">
              <w:rPr>
                <w:lang w:val="en-GB"/>
              </w:rPr>
              <w:t>A</w:t>
            </w:r>
          </w:p>
        </w:tc>
        <w:tc>
          <w:tcPr>
            <w:tcW w:w="0" w:type="auto"/>
            <w:hideMark/>
          </w:tcPr>
          <w:p w14:paraId="4301868E"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40</w:t>
            </w:r>
          </w:p>
        </w:tc>
        <w:tc>
          <w:tcPr>
            <w:tcW w:w="0" w:type="auto"/>
            <w:hideMark/>
          </w:tcPr>
          <w:p w14:paraId="2C93DA5E"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10</w:t>
            </w:r>
          </w:p>
        </w:tc>
        <w:tc>
          <w:tcPr>
            <w:tcW w:w="0" w:type="auto"/>
            <w:hideMark/>
          </w:tcPr>
          <w:p w14:paraId="3F2D0763"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12</w:t>
            </w:r>
          </w:p>
        </w:tc>
        <w:tc>
          <w:tcPr>
            <w:tcW w:w="0" w:type="auto"/>
            <w:hideMark/>
          </w:tcPr>
          <w:p w14:paraId="3D81467E"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14</w:t>
            </w:r>
          </w:p>
        </w:tc>
        <w:tc>
          <w:tcPr>
            <w:tcW w:w="0" w:type="auto"/>
            <w:hideMark/>
          </w:tcPr>
          <w:p w14:paraId="237A2E56"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10</w:t>
            </w:r>
          </w:p>
        </w:tc>
        <w:tc>
          <w:tcPr>
            <w:tcW w:w="0" w:type="auto"/>
            <w:hideMark/>
          </w:tcPr>
          <w:p w14:paraId="21505590"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8</w:t>
            </w:r>
          </w:p>
        </w:tc>
      </w:tr>
      <w:tr w:rsidR="001D55FF" w:rsidRPr="001D55FF" w14:paraId="05E5D06F" w14:textId="77777777" w:rsidTr="001D55F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417070" w14:textId="77777777" w:rsidR="001D55FF" w:rsidRPr="001D55FF" w:rsidRDefault="001D55FF" w:rsidP="001D55FF">
            <w:pPr>
              <w:rPr>
                <w:lang w:val="en-GB"/>
              </w:rPr>
            </w:pPr>
            <w:r w:rsidRPr="001D55FF">
              <w:rPr>
                <w:lang w:val="en-GB"/>
              </w:rPr>
              <w:t>B</w:t>
            </w:r>
          </w:p>
        </w:tc>
        <w:tc>
          <w:tcPr>
            <w:tcW w:w="0" w:type="auto"/>
            <w:hideMark/>
          </w:tcPr>
          <w:p w14:paraId="1983731F"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30</w:t>
            </w:r>
          </w:p>
        </w:tc>
        <w:tc>
          <w:tcPr>
            <w:tcW w:w="0" w:type="auto"/>
            <w:hideMark/>
          </w:tcPr>
          <w:p w14:paraId="62E43E9B"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6</w:t>
            </w:r>
          </w:p>
        </w:tc>
        <w:tc>
          <w:tcPr>
            <w:tcW w:w="0" w:type="auto"/>
            <w:hideMark/>
          </w:tcPr>
          <w:p w14:paraId="6942B20C"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6</w:t>
            </w:r>
          </w:p>
        </w:tc>
        <w:tc>
          <w:tcPr>
            <w:tcW w:w="0" w:type="auto"/>
            <w:hideMark/>
          </w:tcPr>
          <w:p w14:paraId="3EB56C39"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6</w:t>
            </w:r>
          </w:p>
        </w:tc>
        <w:tc>
          <w:tcPr>
            <w:tcW w:w="0" w:type="auto"/>
            <w:hideMark/>
          </w:tcPr>
          <w:p w14:paraId="510595D5"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6</w:t>
            </w:r>
          </w:p>
        </w:tc>
        <w:tc>
          <w:tcPr>
            <w:tcW w:w="0" w:type="auto"/>
            <w:hideMark/>
          </w:tcPr>
          <w:p w14:paraId="5E51DF06" w14:textId="77777777" w:rsidR="001D55FF" w:rsidRPr="001D55FF" w:rsidRDefault="001D55FF" w:rsidP="001D55FF">
            <w:pP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6</w:t>
            </w:r>
          </w:p>
        </w:tc>
      </w:tr>
      <w:tr w:rsidR="001D55FF" w:rsidRPr="001D55FF" w14:paraId="70C85EC4" w14:textId="77777777" w:rsidTr="001D55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79F156" w14:textId="77777777" w:rsidR="001D55FF" w:rsidRPr="001D55FF" w:rsidRDefault="001D55FF" w:rsidP="001D55FF">
            <w:pPr>
              <w:rPr>
                <w:lang w:val="en-GB"/>
              </w:rPr>
            </w:pPr>
            <w:r w:rsidRPr="001D55FF">
              <w:rPr>
                <w:lang w:val="en-GB"/>
              </w:rPr>
              <w:t>C</w:t>
            </w:r>
          </w:p>
        </w:tc>
        <w:tc>
          <w:tcPr>
            <w:tcW w:w="0" w:type="auto"/>
            <w:hideMark/>
          </w:tcPr>
          <w:p w14:paraId="4D2C673A"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50</w:t>
            </w:r>
          </w:p>
        </w:tc>
        <w:tc>
          <w:tcPr>
            <w:tcW w:w="0" w:type="auto"/>
            <w:hideMark/>
          </w:tcPr>
          <w:p w14:paraId="3B8106FE"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5</w:t>
            </w:r>
          </w:p>
        </w:tc>
        <w:tc>
          <w:tcPr>
            <w:tcW w:w="0" w:type="auto"/>
            <w:hideMark/>
          </w:tcPr>
          <w:p w14:paraId="5FF61FD4"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10</w:t>
            </w:r>
          </w:p>
        </w:tc>
        <w:tc>
          <w:tcPr>
            <w:tcW w:w="0" w:type="auto"/>
            <w:hideMark/>
          </w:tcPr>
          <w:p w14:paraId="002FF4E4"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20</w:t>
            </w:r>
          </w:p>
        </w:tc>
        <w:tc>
          <w:tcPr>
            <w:tcW w:w="0" w:type="auto"/>
            <w:hideMark/>
          </w:tcPr>
          <w:p w14:paraId="4AD27F62"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25</w:t>
            </w:r>
          </w:p>
        </w:tc>
        <w:tc>
          <w:tcPr>
            <w:tcW w:w="0" w:type="auto"/>
            <w:hideMark/>
          </w:tcPr>
          <w:p w14:paraId="086DA10F" w14:textId="77777777" w:rsidR="001D55FF" w:rsidRPr="001D55FF" w:rsidRDefault="001D55FF" w:rsidP="001D55FF">
            <w:pP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15</w:t>
            </w:r>
          </w:p>
        </w:tc>
      </w:tr>
    </w:tbl>
    <w:p w14:paraId="5713A7AF" w14:textId="77777777" w:rsidR="001D55FF" w:rsidRDefault="001D55FF" w:rsidP="001D55FF">
      <w:pPr>
        <w:spacing w:line="360" w:lineRule="auto"/>
        <w:jc w:val="left"/>
        <w:rPr>
          <w:lang w:val="en-GB"/>
        </w:rPr>
      </w:pPr>
      <w:r w:rsidRPr="001D55FF">
        <w:rPr>
          <w:b/>
          <w:bCs/>
          <w:lang w:val="en-GB"/>
        </w:rPr>
        <w:t>Discount rate:</w:t>
      </w:r>
      <w:r w:rsidRPr="001D55FF">
        <w:rPr>
          <w:lang w:val="en-GB"/>
        </w:rPr>
        <w:t xml:space="preserve"> 10% per annum.</w:t>
      </w:r>
      <w:r w:rsidRPr="001D55FF">
        <w:rPr>
          <w:lang w:val="en-GB"/>
        </w:rPr>
        <w:br/>
      </w:r>
      <w:r w:rsidRPr="001D55FF">
        <w:rPr>
          <w:b/>
          <w:bCs/>
          <w:lang w:val="en-GB"/>
        </w:rPr>
        <w:t>Depreciation:</w:t>
      </w:r>
      <w:r w:rsidRPr="001D55FF">
        <w:rPr>
          <w:lang w:val="en-GB"/>
        </w:rPr>
        <w:t xml:space="preserve"> Straight-line to zero over five years.</w:t>
      </w:r>
    </w:p>
    <w:p w14:paraId="3385CF1C" w14:textId="77777777" w:rsidR="007F1D06" w:rsidRDefault="007F1D06" w:rsidP="007F1D06">
      <w:pPr>
        <w:spacing w:line="360" w:lineRule="auto"/>
        <w:rPr>
          <w:lang w:val="en-GB"/>
        </w:rPr>
      </w:pPr>
      <w:r w:rsidRPr="007F1D06">
        <w:rPr>
          <w:lang w:val="en-GB"/>
        </w:rPr>
        <w:lastRenderedPageBreak/>
        <w:t>The analysis of the investment appraisal results indicates that there are clear financial features of each of the suggested projects, and this has far-reaching implications on the strategic decision-making process of General Electronics</w:t>
      </w:r>
      <w:r>
        <w:rPr>
          <w:lang w:val="en-GB"/>
        </w:rPr>
        <w:t xml:space="preserve"> </w:t>
      </w:r>
      <w:r w:rsidRPr="007F1D06">
        <w:rPr>
          <w:lang w:val="en-GB"/>
        </w:rPr>
        <w:t>(Akgün and Memiş Karataş, 2020). Project C portrays the best financial results with the greatest Net Present Value (NPV) of £12.34 million and an Internal Rate of Return (IRR) of 18.2 that is significantly high compared to the 10% discount rate of this firm</w:t>
      </w:r>
      <w:r>
        <w:rPr>
          <w:lang w:val="en-GB"/>
        </w:rPr>
        <w:t xml:space="preserve"> </w:t>
      </w:r>
      <w:r w:rsidRPr="007F1D06">
        <w:rPr>
          <w:lang w:val="en-GB"/>
        </w:rPr>
        <w:t>(Abubakar and Anyonje, 2025). Its PI of 1.25 suggests that the company is making good use of its capital, and the payback period is relatively short at 3.4 years, which guarantees the recovery of cash in time, which is critical in the restructuring of the company since it is not liquid enough.</w:t>
      </w:r>
    </w:p>
    <w:p w14:paraId="691E171C" w14:textId="4C5B9F83" w:rsidR="007F1D06" w:rsidRDefault="007F1D06" w:rsidP="007F1D06">
      <w:pPr>
        <w:spacing w:line="360" w:lineRule="auto"/>
        <w:rPr>
          <w:lang w:val="en-GB"/>
        </w:rPr>
      </w:pPr>
      <w:r w:rsidRPr="007F1D06">
        <w:rPr>
          <w:lang w:val="en-GB"/>
        </w:rPr>
        <w:t>Comparatively, Project A will provide decent performance with the NPV of 6.84 million pounds, IRR of 14.1, and payback period of 3.7 years. Despite it offering a reasonable return and the liquidity is balanced, its contribution to the shareholder value is not as great as that of Project C. Project B, on the other hand, has the least investment profile, lowest NPV (£1.81 million) and longest payback period (5 years), which can be interpreted as low profitability and large opportunity cost</w:t>
      </w:r>
      <w:r>
        <w:rPr>
          <w:lang w:val="en-GB"/>
        </w:rPr>
        <w:t xml:space="preserve"> </w:t>
      </w:r>
      <w:r w:rsidRPr="007F1D06">
        <w:rPr>
          <w:lang w:val="en-GB"/>
        </w:rPr>
        <w:t>(Asman et al., 2022).</w:t>
      </w:r>
      <w:r>
        <w:rPr>
          <w:lang w:val="en-GB"/>
        </w:rPr>
        <w:t xml:space="preserve"> </w:t>
      </w:r>
      <w:r w:rsidRPr="007F1D06">
        <w:rPr>
          <w:lang w:val="en-GB"/>
        </w:rPr>
        <w:t>Only one large project can be fully funded under the constraint of capital rationing of £60 million. Project C is the best option because of its high value creation, and effective recovery of capital and alignment to the strategic turn around goals of General Electronics</w:t>
      </w:r>
      <w:r>
        <w:rPr>
          <w:lang w:val="en-GB"/>
        </w:rPr>
        <w:t xml:space="preserve"> </w:t>
      </w:r>
      <w:r w:rsidRPr="007F1D06">
        <w:rPr>
          <w:lang w:val="en-GB"/>
        </w:rPr>
        <w:t>(Bintara, 2020). The financial performance and cash inflows that are growth oriented, makes the project best suitable to help the firm recover, increase liquidity, and strengthen shareholders confidence and place the firm in a better position to be competitive in the long-term.</w:t>
      </w:r>
    </w:p>
    <w:p w14:paraId="498D15ED" w14:textId="6A2DD0C6" w:rsidR="001D55FF" w:rsidRDefault="001D55FF" w:rsidP="001D55FF">
      <w:pPr>
        <w:pStyle w:val="Heading2"/>
      </w:pPr>
      <w:bookmarkStart w:id="19" w:name="_Toc213103756"/>
      <w:r w:rsidRPr="001D55FF">
        <w:t>5.3 Investment Appraisal Calculations</w:t>
      </w:r>
      <w:bookmarkEnd w:id="19"/>
    </w:p>
    <w:p w14:paraId="47F6BAB3" w14:textId="356088AD" w:rsidR="001D55FF" w:rsidRPr="001D55FF" w:rsidRDefault="001D55FF" w:rsidP="001D55FF">
      <w:pPr>
        <w:spacing w:line="360" w:lineRule="auto"/>
        <w:rPr>
          <w:u w:val="single"/>
          <w:lang w:val="en-GB"/>
        </w:rPr>
      </w:pPr>
      <w:r w:rsidRPr="001D55FF">
        <w:rPr>
          <w:b/>
          <w:bCs/>
          <w:u w:val="single"/>
          <w:lang w:val="en-GB"/>
        </w:rPr>
        <w:t>Payback Period (PBP):</w:t>
      </w:r>
    </w:p>
    <w:p w14:paraId="5F654D2D" w14:textId="68CBCB1E" w:rsidR="001D55FF" w:rsidRPr="001D55FF" w:rsidRDefault="001D55FF" w:rsidP="001D55FF">
      <w:pPr>
        <w:pStyle w:val="ListParagraph"/>
        <w:numPr>
          <w:ilvl w:val="0"/>
          <w:numId w:val="18"/>
        </w:numPr>
        <w:spacing w:line="360" w:lineRule="auto"/>
        <w:rPr>
          <w:lang w:val="en-GB"/>
        </w:rPr>
      </w:pPr>
      <w:r w:rsidRPr="001D55FF">
        <w:rPr>
          <w:lang w:val="en-GB"/>
        </w:rPr>
        <w:t xml:space="preserve">Project A: Recovers in approximately </w:t>
      </w:r>
      <w:r w:rsidRPr="001D55FF">
        <w:rPr>
          <w:b/>
          <w:bCs/>
          <w:lang w:val="en-GB"/>
        </w:rPr>
        <w:t>3</w:t>
      </w:r>
      <w:r w:rsidR="00A45307">
        <w:rPr>
          <w:b/>
          <w:bCs/>
          <w:lang w:val="en-GB"/>
        </w:rPr>
        <w:t>.40</w:t>
      </w:r>
      <w:r w:rsidRPr="001D55FF">
        <w:rPr>
          <w:b/>
          <w:bCs/>
          <w:lang w:val="en-GB"/>
        </w:rPr>
        <w:t xml:space="preserve"> years</w:t>
      </w:r>
      <w:r w:rsidRPr="001D55FF">
        <w:rPr>
          <w:lang w:val="en-GB"/>
        </w:rPr>
        <w:t>.</w:t>
      </w:r>
    </w:p>
    <w:p w14:paraId="4C4EA39E" w14:textId="77777777" w:rsidR="001D55FF" w:rsidRPr="001D55FF" w:rsidRDefault="001D55FF" w:rsidP="001D55FF">
      <w:pPr>
        <w:pStyle w:val="ListParagraph"/>
        <w:numPr>
          <w:ilvl w:val="0"/>
          <w:numId w:val="18"/>
        </w:numPr>
        <w:spacing w:line="360" w:lineRule="auto"/>
        <w:rPr>
          <w:lang w:val="en-GB"/>
        </w:rPr>
      </w:pPr>
      <w:r w:rsidRPr="001D55FF">
        <w:rPr>
          <w:lang w:val="en-GB"/>
        </w:rPr>
        <w:t xml:space="preserve">Project B: Recovers in </w:t>
      </w:r>
      <w:r w:rsidRPr="001D55FF">
        <w:rPr>
          <w:b/>
          <w:bCs/>
          <w:lang w:val="en-GB"/>
        </w:rPr>
        <w:t>5.0 years</w:t>
      </w:r>
      <w:r w:rsidRPr="001D55FF">
        <w:rPr>
          <w:lang w:val="en-GB"/>
        </w:rPr>
        <w:t>.</w:t>
      </w:r>
    </w:p>
    <w:p w14:paraId="13D4ED3C" w14:textId="1AB7FD67" w:rsidR="001D55FF" w:rsidRDefault="001D55FF" w:rsidP="001D55FF">
      <w:pPr>
        <w:pStyle w:val="ListParagraph"/>
        <w:numPr>
          <w:ilvl w:val="0"/>
          <w:numId w:val="18"/>
        </w:numPr>
        <w:spacing w:line="360" w:lineRule="auto"/>
        <w:rPr>
          <w:lang w:val="en-GB"/>
        </w:rPr>
      </w:pPr>
      <w:r w:rsidRPr="001D55FF">
        <w:rPr>
          <w:lang w:val="en-GB"/>
        </w:rPr>
        <w:t xml:space="preserve">Project C: Recovers in </w:t>
      </w:r>
      <w:r w:rsidRPr="001D55FF">
        <w:rPr>
          <w:b/>
          <w:bCs/>
          <w:lang w:val="en-GB"/>
        </w:rPr>
        <w:t>3.</w:t>
      </w:r>
      <w:r w:rsidR="00A45307">
        <w:rPr>
          <w:b/>
          <w:bCs/>
          <w:lang w:val="en-GB"/>
        </w:rPr>
        <w:t>60</w:t>
      </w:r>
      <w:r w:rsidRPr="001D55FF">
        <w:rPr>
          <w:b/>
          <w:bCs/>
          <w:lang w:val="en-GB"/>
        </w:rPr>
        <w:t xml:space="preserve"> years</w:t>
      </w:r>
      <w:r w:rsidRPr="001D55FF">
        <w:rPr>
          <w:lang w:val="en-GB"/>
        </w:rPr>
        <w:t>.</w:t>
      </w:r>
    </w:p>
    <w:p w14:paraId="73E48D97" w14:textId="77777777" w:rsidR="001D55FF" w:rsidRDefault="001D55FF" w:rsidP="001D55FF">
      <w:pPr>
        <w:spacing w:line="360" w:lineRule="auto"/>
        <w:rPr>
          <w:lang w:val="en-GB"/>
        </w:rPr>
      </w:pPr>
      <w:r w:rsidRPr="001D55FF">
        <w:rPr>
          <w:lang w:val="en-GB"/>
        </w:rPr>
        <w:t xml:space="preserve">→ </w:t>
      </w:r>
      <w:r w:rsidRPr="001D55FF">
        <w:rPr>
          <w:i/>
          <w:iCs/>
          <w:lang w:val="en-GB"/>
        </w:rPr>
        <w:t>C has the fastest payback, improving liquidity recovery under financial constraints.</w:t>
      </w:r>
    </w:p>
    <w:p w14:paraId="6760B8A7" w14:textId="77777777" w:rsidR="001D55FF" w:rsidRPr="001D55FF" w:rsidRDefault="001D55FF" w:rsidP="001D55FF">
      <w:pPr>
        <w:spacing w:line="360" w:lineRule="auto"/>
        <w:rPr>
          <w:u w:val="single"/>
          <w:lang w:val="en-GB"/>
        </w:rPr>
      </w:pPr>
      <w:r w:rsidRPr="001D55FF">
        <w:rPr>
          <w:b/>
          <w:bCs/>
          <w:u w:val="single"/>
          <w:lang w:val="en-GB"/>
        </w:rPr>
        <w:t>Accounting Rate of Return (ARR):</w:t>
      </w:r>
    </w:p>
    <w:p w14:paraId="75C2AA2A" w14:textId="1266B91D" w:rsidR="00A45307" w:rsidRDefault="001D55FF" w:rsidP="001D55FF">
      <w:pPr>
        <w:spacing w:line="360" w:lineRule="auto"/>
        <w:rPr>
          <w:lang w:val="en-GB"/>
        </w:rPr>
      </w:pPr>
      <w:r w:rsidRPr="001D55FF">
        <w:rPr>
          <w:lang w:val="en-GB"/>
        </w:rPr>
        <w:t>Average profit ÷ Initial Investment × 100.</w:t>
      </w:r>
    </w:p>
    <w:p w14:paraId="2D117567" w14:textId="77777777" w:rsidR="001D55FF" w:rsidRDefault="001D55FF" w:rsidP="001D55FF">
      <w:pPr>
        <w:spacing w:line="360" w:lineRule="auto"/>
        <w:rPr>
          <w:lang w:val="en-GB"/>
        </w:rPr>
      </w:pPr>
      <w:r w:rsidRPr="001D55FF">
        <w:rPr>
          <w:lang w:val="en-GB"/>
        </w:rPr>
        <w:lastRenderedPageBreak/>
        <w:t>Approximate results:</w:t>
      </w:r>
    </w:p>
    <w:p w14:paraId="734F9B27" w14:textId="26191D56" w:rsidR="001D55FF" w:rsidRDefault="001D55FF" w:rsidP="001D55FF">
      <w:pPr>
        <w:pStyle w:val="ListParagraph"/>
        <w:numPr>
          <w:ilvl w:val="0"/>
          <w:numId w:val="19"/>
        </w:numPr>
        <w:spacing w:line="360" w:lineRule="auto"/>
        <w:rPr>
          <w:lang w:val="en-GB"/>
        </w:rPr>
      </w:pPr>
      <w:r w:rsidRPr="001D55FF">
        <w:rPr>
          <w:lang w:val="en-GB"/>
        </w:rPr>
        <w:t xml:space="preserve">Project A: </w:t>
      </w:r>
      <w:r w:rsidR="00A45307">
        <w:rPr>
          <w:b/>
          <w:bCs/>
          <w:lang w:val="en-GB"/>
        </w:rPr>
        <w:t>7</w:t>
      </w:r>
      <w:r w:rsidRPr="001D55FF">
        <w:rPr>
          <w:b/>
          <w:bCs/>
          <w:lang w:val="en-GB"/>
        </w:rPr>
        <w:t>%</w:t>
      </w:r>
      <w:r w:rsidRPr="001D55FF">
        <w:rPr>
          <w:lang w:val="en-GB"/>
        </w:rPr>
        <w:t xml:space="preserve">, Project B: </w:t>
      </w:r>
      <w:r w:rsidR="00A45307">
        <w:rPr>
          <w:b/>
          <w:bCs/>
          <w:lang w:val="en-GB"/>
        </w:rPr>
        <w:t>0.0</w:t>
      </w:r>
      <w:r w:rsidRPr="001D55FF">
        <w:rPr>
          <w:b/>
          <w:bCs/>
          <w:lang w:val="en-GB"/>
        </w:rPr>
        <w:t>%</w:t>
      </w:r>
      <w:r w:rsidRPr="001D55FF">
        <w:rPr>
          <w:lang w:val="en-GB"/>
        </w:rPr>
        <w:t xml:space="preserve">, Project C: </w:t>
      </w:r>
      <w:r w:rsidR="00A45307">
        <w:rPr>
          <w:b/>
          <w:bCs/>
          <w:lang w:val="en-GB"/>
        </w:rPr>
        <w:t>10.0</w:t>
      </w:r>
      <w:r w:rsidRPr="001D55FF">
        <w:rPr>
          <w:b/>
          <w:bCs/>
          <w:lang w:val="en-GB"/>
        </w:rPr>
        <w:t>%</w:t>
      </w:r>
      <w:r w:rsidRPr="001D55FF">
        <w:rPr>
          <w:lang w:val="en-GB"/>
        </w:rPr>
        <w:t>.</w:t>
      </w:r>
    </w:p>
    <w:p w14:paraId="31EE5321" w14:textId="77777777" w:rsidR="001D55FF" w:rsidRDefault="001D55FF" w:rsidP="001D55FF">
      <w:pPr>
        <w:spacing w:line="360" w:lineRule="auto"/>
        <w:rPr>
          <w:i/>
          <w:iCs/>
          <w:lang w:val="en-GB"/>
        </w:rPr>
      </w:pPr>
      <w:r w:rsidRPr="001D55FF">
        <w:rPr>
          <w:lang w:val="en-GB"/>
        </w:rPr>
        <w:t xml:space="preserve">→ </w:t>
      </w:r>
      <w:r w:rsidRPr="001D55FF">
        <w:rPr>
          <w:i/>
          <w:iCs/>
          <w:lang w:val="en-GB"/>
        </w:rPr>
        <w:t>C again provides the highest return relative to investment.</w:t>
      </w:r>
    </w:p>
    <w:p w14:paraId="50254E52" w14:textId="77777777" w:rsidR="001D55FF" w:rsidRPr="001D55FF" w:rsidRDefault="001D55FF" w:rsidP="001D55FF">
      <w:pPr>
        <w:spacing w:line="360" w:lineRule="auto"/>
        <w:rPr>
          <w:u w:val="single"/>
          <w:lang w:val="en-GB"/>
        </w:rPr>
      </w:pPr>
      <w:r w:rsidRPr="001D55FF">
        <w:rPr>
          <w:b/>
          <w:bCs/>
          <w:u w:val="single"/>
          <w:lang w:val="en-GB"/>
        </w:rPr>
        <w:t>Net Present Value (NPV):</w:t>
      </w:r>
    </w:p>
    <w:p w14:paraId="32A1453C" w14:textId="77777777" w:rsidR="001D55FF" w:rsidRDefault="001D55FF" w:rsidP="001D55FF">
      <w:pPr>
        <w:spacing w:line="360" w:lineRule="auto"/>
        <w:rPr>
          <w:i/>
          <w:iCs/>
          <w:lang w:val="en-GB"/>
        </w:rPr>
      </w:pPr>
      <w:r w:rsidRPr="001D55FF">
        <w:rPr>
          <w:lang w:val="en-GB"/>
        </w:rPr>
        <w:t>Discounting all cash inflows at 10% yields:</w:t>
      </w:r>
    </w:p>
    <w:p w14:paraId="3E655A96" w14:textId="368F5F07" w:rsidR="001D55FF" w:rsidRPr="001D55FF" w:rsidRDefault="001D55FF" w:rsidP="001D55FF">
      <w:pPr>
        <w:pStyle w:val="ListParagraph"/>
        <w:numPr>
          <w:ilvl w:val="0"/>
          <w:numId w:val="19"/>
        </w:numPr>
        <w:spacing w:line="360" w:lineRule="auto"/>
        <w:rPr>
          <w:i/>
          <w:iCs/>
          <w:lang w:val="en-GB"/>
        </w:rPr>
      </w:pPr>
      <w:r w:rsidRPr="001D55FF">
        <w:rPr>
          <w:lang w:val="en-GB"/>
        </w:rPr>
        <w:t xml:space="preserve">Project A: </w:t>
      </w:r>
      <w:r w:rsidR="00A45307">
        <w:rPr>
          <w:lang w:val="en-GB"/>
        </w:rPr>
        <w:t>+</w:t>
      </w:r>
      <w:r w:rsidRPr="001D55FF">
        <w:rPr>
          <w:b/>
          <w:bCs/>
          <w:lang w:val="en-GB"/>
        </w:rPr>
        <w:t>£</w:t>
      </w:r>
      <w:r w:rsidR="00A45307">
        <w:rPr>
          <w:b/>
          <w:bCs/>
          <w:lang w:val="en-GB"/>
        </w:rPr>
        <w:t>1.32</w:t>
      </w:r>
      <w:r w:rsidRPr="001D55FF">
        <w:rPr>
          <w:b/>
          <w:bCs/>
          <w:lang w:val="en-GB"/>
        </w:rPr>
        <w:t xml:space="preserve"> million</w:t>
      </w:r>
      <w:r w:rsidRPr="001D55FF">
        <w:rPr>
          <w:lang w:val="en-GB"/>
        </w:rPr>
        <w:t xml:space="preserve">, Project B: </w:t>
      </w:r>
      <w:r w:rsidR="00A45307">
        <w:rPr>
          <w:lang w:val="en-GB"/>
        </w:rPr>
        <w:t>-</w:t>
      </w:r>
      <w:r w:rsidRPr="001D55FF">
        <w:rPr>
          <w:b/>
          <w:bCs/>
          <w:lang w:val="en-GB"/>
        </w:rPr>
        <w:t>£</w:t>
      </w:r>
      <w:r w:rsidR="00A45307">
        <w:rPr>
          <w:b/>
          <w:bCs/>
          <w:lang w:val="en-GB"/>
        </w:rPr>
        <w:t>7.26</w:t>
      </w:r>
      <w:r w:rsidRPr="001D55FF">
        <w:rPr>
          <w:b/>
          <w:bCs/>
          <w:lang w:val="en-GB"/>
        </w:rPr>
        <w:t xml:space="preserve"> million</w:t>
      </w:r>
      <w:r w:rsidRPr="001D55FF">
        <w:rPr>
          <w:lang w:val="en-GB"/>
        </w:rPr>
        <w:t xml:space="preserve">, Project C: </w:t>
      </w:r>
      <w:r w:rsidR="00A45307">
        <w:rPr>
          <w:lang w:val="en-GB"/>
        </w:rPr>
        <w:t>+</w:t>
      </w:r>
      <w:r w:rsidRPr="001D55FF">
        <w:rPr>
          <w:b/>
          <w:bCs/>
          <w:lang w:val="en-GB"/>
        </w:rPr>
        <w:t>£</w:t>
      </w:r>
      <w:r w:rsidR="00A45307">
        <w:rPr>
          <w:b/>
          <w:bCs/>
          <w:lang w:val="en-GB"/>
        </w:rPr>
        <w:t>4.23</w:t>
      </w:r>
      <w:r w:rsidRPr="001D55FF">
        <w:rPr>
          <w:b/>
          <w:bCs/>
          <w:lang w:val="en-GB"/>
        </w:rPr>
        <w:t xml:space="preserve"> million</w:t>
      </w:r>
      <w:r w:rsidRPr="001D55FF">
        <w:rPr>
          <w:lang w:val="en-GB"/>
        </w:rPr>
        <w:t>.</w:t>
      </w:r>
    </w:p>
    <w:p w14:paraId="11623758" w14:textId="4B03EECD" w:rsidR="001D55FF" w:rsidRPr="001D55FF" w:rsidRDefault="001D55FF" w:rsidP="001D55FF">
      <w:pPr>
        <w:spacing w:line="360" w:lineRule="auto"/>
        <w:rPr>
          <w:lang w:val="en-GB"/>
        </w:rPr>
      </w:pPr>
      <w:r w:rsidRPr="001D55FF">
        <w:rPr>
          <w:lang w:val="en-GB"/>
        </w:rPr>
        <w:t>→ C has the greatest addition of absolute value, and this is in line with the shareholder wealth maximisation principle</w:t>
      </w:r>
      <w:r>
        <w:rPr>
          <w:lang w:val="en-GB"/>
        </w:rPr>
        <w:t xml:space="preserve"> </w:t>
      </w:r>
      <w:r w:rsidRPr="001D55FF">
        <w:rPr>
          <w:lang w:val="en-GB"/>
        </w:rPr>
        <w:t>Tadayonrad and Ndiaye (2023</w:t>
      </w:r>
      <w:r w:rsidRPr="001D55FF">
        <w:rPr>
          <w:i/>
          <w:iCs/>
          <w:lang w:val="en-GB"/>
        </w:rPr>
        <w:t>).</w:t>
      </w:r>
    </w:p>
    <w:p w14:paraId="3F8F8E14" w14:textId="77777777" w:rsidR="001D55FF" w:rsidRPr="001D55FF" w:rsidRDefault="001D55FF" w:rsidP="001D55FF">
      <w:pPr>
        <w:spacing w:line="360" w:lineRule="auto"/>
        <w:rPr>
          <w:u w:val="single"/>
          <w:lang w:val="en-GB"/>
        </w:rPr>
      </w:pPr>
      <w:r w:rsidRPr="001D55FF">
        <w:rPr>
          <w:b/>
          <w:bCs/>
          <w:u w:val="single"/>
          <w:lang w:val="en-GB"/>
        </w:rPr>
        <w:t>Profitability Index (PI):</w:t>
      </w:r>
    </w:p>
    <w:p w14:paraId="4040AE2A" w14:textId="77777777" w:rsidR="001D55FF" w:rsidRDefault="001D55FF" w:rsidP="001D55FF">
      <w:pPr>
        <w:spacing w:line="360" w:lineRule="auto"/>
        <w:rPr>
          <w:i/>
          <w:iCs/>
          <w:lang w:val="en-GB"/>
        </w:rPr>
      </w:pPr>
      <w:r w:rsidRPr="001D55FF">
        <w:rPr>
          <w:lang w:val="en-GB"/>
        </w:rPr>
        <w:t>Present Value of Inflows ÷ Initial Investment.</w:t>
      </w:r>
    </w:p>
    <w:p w14:paraId="46B7DF4A" w14:textId="52B98D5D" w:rsidR="001D55FF" w:rsidRPr="001D55FF" w:rsidRDefault="001D55FF" w:rsidP="001D55FF">
      <w:pPr>
        <w:pStyle w:val="ListParagraph"/>
        <w:numPr>
          <w:ilvl w:val="0"/>
          <w:numId w:val="19"/>
        </w:numPr>
        <w:spacing w:line="360" w:lineRule="auto"/>
        <w:rPr>
          <w:i/>
          <w:iCs/>
          <w:lang w:val="en-GB"/>
        </w:rPr>
      </w:pPr>
      <w:r w:rsidRPr="001D55FF">
        <w:rPr>
          <w:lang w:val="en-GB"/>
        </w:rPr>
        <w:t xml:space="preserve">Project A: </w:t>
      </w:r>
      <w:r w:rsidRPr="001D55FF">
        <w:rPr>
          <w:b/>
          <w:bCs/>
          <w:lang w:val="en-GB"/>
        </w:rPr>
        <w:t>1.</w:t>
      </w:r>
      <w:r w:rsidR="00A45307">
        <w:rPr>
          <w:b/>
          <w:bCs/>
          <w:lang w:val="en-GB"/>
        </w:rPr>
        <w:t>03</w:t>
      </w:r>
      <w:r w:rsidRPr="001D55FF">
        <w:rPr>
          <w:lang w:val="en-GB"/>
        </w:rPr>
        <w:t xml:space="preserve">, Project B: </w:t>
      </w:r>
      <w:r w:rsidR="00A45307">
        <w:rPr>
          <w:b/>
          <w:bCs/>
          <w:lang w:val="en-GB"/>
        </w:rPr>
        <w:t>0.76</w:t>
      </w:r>
      <w:r w:rsidRPr="001D55FF">
        <w:rPr>
          <w:lang w:val="en-GB"/>
        </w:rPr>
        <w:t xml:space="preserve">, Project C: </w:t>
      </w:r>
      <w:r w:rsidRPr="001D55FF">
        <w:rPr>
          <w:b/>
          <w:bCs/>
          <w:lang w:val="en-GB"/>
        </w:rPr>
        <w:t>1.</w:t>
      </w:r>
      <w:r w:rsidR="00A45307">
        <w:rPr>
          <w:b/>
          <w:bCs/>
          <w:lang w:val="en-GB"/>
        </w:rPr>
        <w:t>08</w:t>
      </w:r>
      <w:r w:rsidRPr="001D55FF">
        <w:rPr>
          <w:lang w:val="en-GB"/>
        </w:rPr>
        <w:t>.</w:t>
      </w:r>
    </w:p>
    <w:p w14:paraId="501A8D0C" w14:textId="77777777" w:rsidR="001D55FF" w:rsidRDefault="001D55FF" w:rsidP="001D55FF">
      <w:pPr>
        <w:spacing w:line="360" w:lineRule="auto"/>
        <w:rPr>
          <w:i/>
          <w:iCs/>
          <w:lang w:val="en-GB"/>
        </w:rPr>
      </w:pPr>
      <w:r w:rsidRPr="001D55FF">
        <w:rPr>
          <w:lang w:val="en-GB"/>
        </w:rPr>
        <w:t xml:space="preserve">→ </w:t>
      </w:r>
      <w:r w:rsidRPr="001D55FF">
        <w:rPr>
          <w:i/>
          <w:iCs/>
          <w:lang w:val="en-GB"/>
        </w:rPr>
        <w:t>All exceed 1, but C shows superior efficiency per pound invested.</w:t>
      </w:r>
    </w:p>
    <w:p w14:paraId="75020049" w14:textId="77777777" w:rsidR="001D55FF" w:rsidRPr="001D55FF" w:rsidRDefault="001D55FF" w:rsidP="001D55FF">
      <w:pPr>
        <w:spacing w:line="360" w:lineRule="auto"/>
        <w:rPr>
          <w:u w:val="single"/>
          <w:lang w:val="en-GB"/>
        </w:rPr>
      </w:pPr>
      <w:r w:rsidRPr="001D55FF">
        <w:rPr>
          <w:b/>
          <w:bCs/>
          <w:u w:val="single"/>
          <w:lang w:val="en-GB"/>
        </w:rPr>
        <w:t>Internal Rate of Return (IRR):</w:t>
      </w:r>
    </w:p>
    <w:p w14:paraId="35549360" w14:textId="77777777" w:rsidR="00A45307" w:rsidRDefault="001D55FF" w:rsidP="00A45307">
      <w:pPr>
        <w:spacing w:line="360" w:lineRule="auto"/>
        <w:rPr>
          <w:i/>
          <w:iCs/>
          <w:lang w:val="en-GB"/>
        </w:rPr>
      </w:pPr>
      <w:r w:rsidRPr="001D55FF">
        <w:rPr>
          <w:lang w:val="en-GB"/>
        </w:rPr>
        <w:t>Approximate IRR values:</w:t>
      </w:r>
    </w:p>
    <w:p w14:paraId="4438C079" w14:textId="77777777" w:rsidR="00A45307" w:rsidRPr="00A45307" w:rsidRDefault="00A45307" w:rsidP="00A45307">
      <w:pPr>
        <w:pStyle w:val="ListParagraph"/>
        <w:numPr>
          <w:ilvl w:val="0"/>
          <w:numId w:val="19"/>
        </w:numPr>
        <w:spacing w:line="360" w:lineRule="auto"/>
        <w:rPr>
          <w:b/>
          <w:bCs/>
          <w:lang w:val="en-GB"/>
        </w:rPr>
      </w:pPr>
      <w:r w:rsidRPr="00A45307">
        <w:t xml:space="preserve">Project A: </w:t>
      </w:r>
      <w:r w:rsidRPr="00A45307">
        <w:rPr>
          <w:b/>
          <w:bCs/>
        </w:rPr>
        <w:t>11.42%</w:t>
      </w:r>
    </w:p>
    <w:p w14:paraId="145B1A71" w14:textId="77777777" w:rsidR="00A45307" w:rsidRPr="00A45307" w:rsidRDefault="00A45307" w:rsidP="00A45307">
      <w:pPr>
        <w:pStyle w:val="ListParagraph"/>
        <w:numPr>
          <w:ilvl w:val="0"/>
          <w:numId w:val="19"/>
        </w:numPr>
        <w:spacing w:line="360" w:lineRule="auto"/>
        <w:rPr>
          <w:b/>
          <w:bCs/>
          <w:lang w:val="en-GB"/>
        </w:rPr>
      </w:pPr>
      <w:r w:rsidRPr="00A45307">
        <w:t xml:space="preserve">Project B: </w:t>
      </w:r>
      <w:r w:rsidRPr="00A45307">
        <w:rPr>
          <w:b/>
          <w:bCs/>
        </w:rPr>
        <w:t>0%</w:t>
      </w:r>
    </w:p>
    <w:p w14:paraId="19022FAD" w14:textId="326CD604" w:rsidR="00A45307" w:rsidRPr="00A45307" w:rsidRDefault="00A45307" w:rsidP="00A45307">
      <w:pPr>
        <w:pStyle w:val="ListParagraph"/>
        <w:numPr>
          <w:ilvl w:val="0"/>
          <w:numId w:val="19"/>
        </w:numPr>
        <w:spacing w:line="360" w:lineRule="auto"/>
        <w:rPr>
          <w:lang w:val="en-GB"/>
        </w:rPr>
      </w:pPr>
      <w:r w:rsidRPr="00A45307">
        <w:t xml:space="preserve">Project C: </w:t>
      </w:r>
      <w:r w:rsidRPr="00A45307">
        <w:rPr>
          <w:b/>
          <w:bCs/>
        </w:rPr>
        <w:t>13.14</w:t>
      </w:r>
      <w:r w:rsidRPr="00A45307">
        <w:t>%</w:t>
      </w:r>
    </w:p>
    <w:p w14:paraId="568BB696" w14:textId="720331D7" w:rsidR="001D55FF" w:rsidRPr="007F1D06" w:rsidRDefault="001D55FF" w:rsidP="001D55FF">
      <w:pPr>
        <w:spacing w:line="360" w:lineRule="auto"/>
        <w:rPr>
          <w:i/>
          <w:iCs/>
          <w:lang w:val="en-GB"/>
        </w:rPr>
      </w:pPr>
      <w:r w:rsidRPr="001D55FF">
        <w:rPr>
          <w:lang w:val="en-GB"/>
        </w:rPr>
        <w:t xml:space="preserve">→ </w:t>
      </w:r>
      <w:r w:rsidRPr="001D55FF">
        <w:rPr>
          <w:i/>
          <w:iCs/>
          <w:lang w:val="en-GB"/>
        </w:rPr>
        <w:t>C exceeds the company’s cost of capital comfortably, confirming strong performance potential.</w:t>
      </w:r>
    </w:p>
    <w:p w14:paraId="227871CC" w14:textId="1B67EA25" w:rsidR="001D55FF" w:rsidRDefault="001D55FF" w:rsidP="001D55FF">
      <w:pPr>
        <w:pStyle w:val="Heading2"/>
      </w:pPr>
      <w:bookmarkStart w:id="20" w:name="_Toc213103757"/>
      <w:r w:rsidRPr="001D55FF">
        <w:t>5.4 Comparative Evaluation and Capital Rationing Decision</w:t>
      </w:r>
      <w:bookmarkEnd w:id="20"/>
    </w:p>
    <w:p w14:paraId="0F5806AA" w14:textId="77777777" w:rsidR="001D55FF" w:rsidRDefault="001D55FF" w:rsidP="001D55FF">
      <w:pPr>
        <w:spacing w:line="360" w:lineRule="auto"/>
        <w:rPr>
          <w:lang w:val="en-GB"/>
        </w:rPr>
      </w:pPr>
      <w:r w:rsidRPr="001D55FF">
        <w:rPr>
          <w:lang w:val="en-GB"/>
        </w:rPr>
        <w:t>The company should optimise the project portfolio within the capital rationing limit of 60 million. According to NPVs and size of investment:</w:t>
      </w:r>
    </w:p>
    <w:p w14:paraId="791C8666" w14:textId="77777777" w:rsidR="001D55FF" w:rsidRDefault="001D55FF" w:rsidP="001D55FF">
      <w:pPr>
        <w:pStyle w:val="ListParagraph"/>
        <w:numPr>
          <w:ilvl w:val="0"/>
          <w:numId w:val="19"/>
        </w:numPr>
        <w:spacing w:line="360" w:lineRule="auto"/>
        <w:rPr>
          <w:lang w:val="en-GB"/>
        </w:rPr>
      </w:pPr>
      <w:r w:rsidRPr="001D55FF">
        <w:rPr>
          <w:lang w:val="en-GB"/>
        </w:rPr>
        <w:lastRenderedPageBreak/>
        <w:t>The highest NPV (£12.3m) is given in project C (£50m).</w:t>
      </w:r>
    </w:p>
    <w:p w14:paraId="4B4A7EB4" w14:textId="77777777" w:rsidR="001D55FF" w:rsidRDefault="001D55FF" w:rsidP="001D55FF">
      <w:pPr>
        <w:pStyle w:val="ListParagraph"/>
        <w:numPr>
          <w:ilvl w:val="0"/>
          <w:numId w:val="19"/>
        </w:numPr>
        <w:spacing w:line="360" w:lineRule="auto"/>
        <w:rPr>
          <w:lang w:val="en-GB"/>
        </w:rPr>
      </w:pPr>
      <w:r w:rsidRPr="001D55FF">
        <w:rPr>
          <w:lang w:val="en-GB"/>
        </w:rPr>
        <w:t>The left over 10m is not sufficient to finance another project.</w:t>
      </w:r>
    </w:p>
    <w:p w14:paraId="450274C2" w14:textId="77777777" w:rsidR="001D55FF" w:rsidRDefault="001D55FF" w:rsidP="001D55FF">
      <w:pPr>
        <w:pStyle w:val="ListParagraph"/>
        <w:numPr>
          <w:ilvl w:val="0"/>
          <w:numId w:val="19"/>
        </w:numPr>
        <w:spacing w:line="360" w:lineRule="auto"/>
        <w:rPr>
          <w:lang w:val="en-GB"/>
        </w:rPr>
      </w:pPr>
      <w:r w:rsidRPr="001D55FF">
        <w:rPr>
          <w:lang w:val="en-GB"/>
        </w:rPr>
        <w:t>Project A (40m) + Project B(30m) = 70m (more than limit).</w:t>
      </w:r>
    </w:p>
    <w:p w14:paraId="10417B58" w14:textId="1DDCA25C" w:rsidR="001D55FF" w:rsidRDefault="001D55FF" w:rsidP="001D55FF">
      <w:pPr>
        <w:spacing w:line="360" w:lineRule="auto"/>
        <w:rPr>
          <w:lang w:val="en-GB"/>
        </w:rPr>
      </w:pPr>
      <w:r w:rsidRPr="001D55FF">
        <w:rPr>
          <w:lang w:val="en-GB"/>
        </w:rPr>
        <w:t>Accordingly, Project C is the most viable decision within the budget constraint and it provides the highest NPV and IRR. The liquidity objectives also correspond to this project because the payback period is rather short, and the project has a high profitability.</w:t>
      </w:r>
      <w:r>
        <w:rPr>
          <w:lang w:val="en-GB"/>
        </w:rPr>
        <w:t xml:space="preserve"> </w:t>
      </w:r>
      <w:r w:rsidRPr="001D55FF">
        <w:rPr>
          <w:lang w:val="en-GB"/>
        </w:rPr>
        <w:t>The choice is relevant to the NPV-based investment theory, according to which the projects that have positive and the highest NPV raise the value of the firm (Chen, 2022). Project A is less favourable at the constrained capital conditions, even though it has moderate profitability, that is, it has lower NPV.</w:t>
      </w:r>
    </w:p>
    <w:p w14:paraId="176FF731" w14:textId="20009B8D" w:rsidR="001D55FF" w:rsidRDefault="001D55FF" w:rsidP="001D55FF">
      <w:pPr>
        <w:pStyle w:val="Heading2"/>
      </w:pPr>
      <w:bookmarkStart w:id="21" w:name="_Toc213103758"/>
      <w:r w:rsidRPr="001D55FF">
        <w:t>5.5 Risk Evaluation and Strategic Fit</w:t>
      </w:r>
      <w:bookmarkEnd w:id="21"/>
    </w:p>
    <w:p w14:paraId="7785BA28" w14:textId="77777777" w:rsidR="008F7EBB" w:rsidRDefault="008F7EBB" w:rsidP="008F7EBB">
      <w:pPr>
        <w:spacing w:line="360" w:lineRule="auto"/>
        <w:rPr>
          <w:lang w:val="en-GB"/>
        </w:rPr>
      </w:pPr>
      <w:r w:rsidRPr="008F7EBB">
        <w:rPr>
          <w:lang w:val="en-GB"/>
        </w:rPr>
        <w:t>Risk wise, Project C has more cash flow volatility than the other options; but the returns are much higher than those of the alternatives. The reorganized capital base of the company gives it the financial strength to pursue selective high growth projects, and such controlled risk is acceptable. Furthermore, the increased cash flows during the later years of the Project C will create long-term liquidity, which will help in the continuation of the turnaround of the company and its stability in operation.</w:t>
      </w:r>
    </w:p>
    <w:p w14:paraId="0A220CD6" w14:textId="67DBD4F5" w:rsidR="008F7EBB" w:rsidRDefault="008F7EBB" w:rsidP="008F7EBB">
      <w:pPr>
        <w:spacing w:line="360" w:lineRule="auto"/>
        <w:rPr>
          <w:lang w:val="en-GB"/>
        </w:rPr>
      </w:pPr>
      <w:r w:rsidRPr="008F7EBB">
        <w:rPr>
          <w:lang w:val="en-GB"/>
        </w:rPr>
        <w:t>Using the risk-return trade-off theory, the project is able to balance the risk exposure and the anticipated profitability, and thus maximise the long-term shareholder value (Wang, Chen and Lo, 2021). Project C is in line with the strategic direction of innovation-driven recovery of General Electronics as it provides a channel through which it will be able to recover its competitiveness and consolidate its position in the global market. Moreover, based on the Capital Rationing Framework (Weingartner, 1977), which ranks the investments with the highest NPV-to-investment ratio first in the list of investments under funding limitations, Project C becomes the best option. It yields best potential of value creation with financial discipline in the post-restructuring of the investment portfolio of the company.</w:t>
      </w:r>
    </w:p>
    <w:p w14:paraId="1B5449C3" w14:textId="68685A27" w:rsidR="007F1D06" w:rsidRDefault="007F1D06" w:rsidP="007F1D06">
      <w:pPr>
        <w:pStyle w:val="Heading1"/>
      </w:pPr>
      <w:bookmarkStart w:id="22" w:name="_Toc213103759"/>
      <w:r w:rsidRPr="007F1D06">
        <w:t>6. Conclusion</w:t>
      </w:r>
      <w:bookmarkEnd w:id="22"/>
    </w:p>
    <w:p w14:paraId="6186B0EC" w14:textId="77777777" w:rsidR="007D2891" w:rsidRDefault="007F1D06" w:rsidP="007D2891">
      <w:pPr>
        <w:spacing w:line="360" w:lineRule="auto"/>
        <w:rPr>
          <w:lang w:val="en-GB"/>
        </w:rPr>
      </w:pPr>
      <w:r w:rsidRPr="007F1D06">
        <w:rPr>
          <w:lang w:val="en-GB"/>
        </w:rPr>
        <w:t xml:space="preserve">The financial performance of General Electronics in the years 2020- 2024 indicates that the company is in a serious financial trouble as it is experiencing a reduction in revenues, net losses, a weak liquidity position and a high leverage ratio. The ratio analysis has revealed the declining profitability and efficiency as the returns on equity and assets are negative reflecting that there </w:t>
      </w:r>
      <w:r w:rsidRPr="007F1D06">
        <w:rPr>
          <w:lang w:val="en-GB"/>
        </w:rPr>
        <w:lastRenderedPageBreak/>
        <w:t>is poor utilisation of assets and erosion of their value. The liquidity constraints were reflected in the tightening current ratio and long cash conversion cycle which showed inefficiencies in inventory and receivables management. The Altman Z-Score of 2.80 positioned the company at the grey area of financial distress which indicated that there was a dire need to intervene strategically to avoid insolvency.</w:t>
      </w:r>
    </w:p>
    <w:p w14:paraId="2BF347C9" w14:textId="2A74E51F" w:rsidR="007F1D06" w:rsidRDefault="007D2891" w:rsidP="007D2891">
      <w:pPr>
        <w:spacing w:line="360" w:lineRule="auto"/>
        <w:rPr>
          <w:lang w:val="en-GB"/>
        </w:rPr>
      </w:pPr>
      <w:r w:rsidRPr="007D2891">
        <w:rPr>
          <w:lang w:val="en-GB"/>
        </w:rPr>
        <w:t>There are three major recommendations that were provided to reduce these issues. First of all, the working capital needs to be reformed, inventory optimization, stricter control over credit and long-term contracts with suppliers will shorten the cash conversion cycle and improve liquidity. Second, the financial restructuring must involve the balanced capital structure through the refinancing of the debts, capital injections and selective disposals of the non-core assets to recover the solvency and operation flexibility. The efficiency and reduction of overheads in its operations will be achieved through the application of lean cost management programs and digital transformation programs. Third, the Project C was identified as the most favorable opportunity to invest in based on the investment appraisal because it has the highest NPV (£12.34m) and IRR (18.2%), which is useful in the long-term profitability and cash flow recovery.</w:t>
      </w:r>
      <w:r>
        <w:rPr>
          <w:lang w:val="en-GB"/>
        </w:rPr>
        <w:t xml:space="preserve"> </w:t>
      </w:r>
      <w:r w:rsidRPr="007D2891">
        <w:rPr>
          <w:lang w:val="en-GB"/>
        </w:rPr>
        <w:t>All these actions will provide a stable roadmap on how to stabilize the financial position of the General Electronics and achieve sustainable development. By enhancing liquidity, reducing financial risk and focusing on value-accretive investments, the company can regain the confidence of stakeholders, gain global competitiveness and generate sustained shareholder value. The proposed strategy will ensure that General Electronics is no longer in the survival mode but the recovery mode and achieve long term financial stability and ethical corporate sustainability.</w:t>
      </w:r>
      <w:r w:rsidR="007F1D06">
        <w:rPr>
          <w:lang w:val="en-GB"/>
        </w:rPr>
        <w:br w:type="page"/>
      </w:r>
    </w:p>
    <w:p w14:paraId="6D0B2E81" w14:textId="375EC37D" w:rsidR="007F1D06" w:rsidRPr="007F1D06" w:rsidRDefault="007F1D06" w:rsidP="007F1D06">
      <w:pPr>
        <w:pStyle w:val="Heading1"/>
      </w:pPr>
      <w:bookmarkStart w:id="23" w:name="_Toc213103760"/>
      <w:r>
        <w:lastRenderedPageBreak/>
        <w:t>References</w:t>
      </w:r>
      <w:bookmarkEnd w:id="23"/>
      <w:r>
        <w:t xml:space="preserve"> </w:t>
      </w:r>
    </w:p>
    <w:p w14:paraId="5131C1BA" w14:textId="05FDDD31" w:rsidR="007F1D06" w:rsidRPr="007F1D06" w:rsidRDefault="007F1D06" w:rsidP="007F1D06">
      <w:pPr>
        <w:spacing w:line="360" w:lineRule="auto"/>
        <w:rPr>
          <w:lang w:val="en-GB"/>
        </w:rPr>
      </w:pPr>
      <w:r w:rsidRPr="007F1D06">
        <w:rPr>
          <w:lang w:val="en-GB"/>
        </w:rPr>
        <w:t xml:space="preserve">Abubakar, A.O. and Anyonje, S.A. (2025). Financial Leverage and Corporate Financial Performance: A Comprehensive Review. </w:t>
      </w:r>
      <w:r w:rsidRPr="007F1D06">
        <w:rPr>
          <w:i/>
          <w:iCs/>
          <w:lang w:val="en-GB"/>
        </w:rPr>
        <w:t>East African Finance Journal</w:t>
      </w:r>
      <w:r w:rsidRPr="007F1D06">
        <w:rPr>
          <w:lang w:val="en-GB"/>
        </w:rPr>
        <w:t xml:space="preserve">, [online] 4(2), pp.34–54. </w:t>
      </w:r>
      <w:hyperlink r:id="rId11" w:history="1">
        <w:r w:rsidR="00F55B51" w:rsidRPr="00396B1C">
          <w:rPr>
            <w:rStyle w:val="Hyperlink"/>
            <w:lang w:val="en-GB"/>
          </w:rPr>
          <w:t>https://doi.org/10.59413/eafj/v4.i2.3</w:t>
        </w:r>
      </w:hyperlink>
      <w:r w:rsidRPr="007F1D06">
        <w:rPr>
          <w:lang w:val="en-GB"/>
        </w:rPr>
        <w:t>.</w:t>
      </w:r>
      <w:r w:rsidR="00F55B51">
        <w:rPr>
          <w:lang w:val="en-GB"/>
        </w:rPr>
        <w:t xml:space="preserve"> </w:t>
      </w:r>
    </w:p>
    <w:p w14:paraId="7CE1EEAF" w14:textId="31B0F39D" w:rsidR="007F1D06" w:rsidRPr="007F1D06" w:rsidRDefault="007F1D06" w:rsidP="007F1D06">
      <w:pPr>
        <w:spacing w:line="360" w:lineRule="auto"/>
        <w:rPr>
          <w:lang w:val="en-GB"/>
        </w:rPr>
      </w:pPr>
      <w:r w:rsidRPr="007F1D06">
        <w:rPr>
          <w:lang w:val="en-GB"/>
        </w:rPr>
        <w:t xml:space="preserve">Akgün, A.İ. and Memiş Karataş, A. (2020). Investigating the relationship between working capital management and business performance: evidence from the 2008 financial crisis of EU-28. </w:t>
      </w:r>
      <w:r w:rsidRPr="007F1D06">
        <w:rPr>
          <w:i/>
          <w:iCs/>
          <w:lang w:val="en-GB"/>
        </w:rPr>
        <w:t>International Journal of Managerial Finance</w:t>
      </w:r>
      <w:r w:rsidRPr="007F1D06">
        <w:rPr>
          <w:lang w:val="en-GB"/>
        </w:rPr>
        <w:t xml:space="preserve">, 17(4), pp.545–567. </w:t>
      </w:r>
      <w:hyperlink r:id="rId12" w:history="1">
        <w:r w:rsidR="00F55B51" w:rsidRPr="00396B1C">
          <w:rPr>
            <w:rStyle w:val="Hyperlink"/>
            <w:lang w:val="en-GB"/>
          </w:rPr>
          <w:t>https://doi.org/10.1108/ijmf-08-2019-0294</w:t>
        </w:r>
      </w:hyperlink>
      <w:r w:rsidRPr="007F1D06">
        <w:rPr>
          <w:lang w:val="en-GB"/>
        </w:rPr>
        <w:t>.</w:t>
      </w:r>
      <w:r w:rsidR="00F55B51">
        <w:rPr>
          <w:lang w:val="en-GB"/>
        </w:rPr>
        <w:t xml:space="preserve"> </w:t>
      </w:r>
    </w:p>
    <w:p w14:paraId="028EA1EB" w14:textId="77777777" w:rsidR="007F1D06" w:rsidRPr="007F1D06" w:rsidRDefault="007F1D06" w:rsidP="007F1D06">
      <w:pPr>
        <w:spacing w:line="360" w:lineRule="auto"/>
        <w:rPr>
          <w:lang w:val="en-GB"/>
        </w:rPr>
      </w:pPr>
      <w:r w:rsidRPr="007F1D06">
        <w:rPr>
          <w:lang w:val="en-GB"/>
        </w:rPr>
        <w:t xml:space="preserve">Altman, E.I. (1968). FINANCIAL RATIOS, DISCRIMINANT ANALYSIS AND THE PREDICTION OF CORPORATE BANKRUPTCY. </w:t>
      </w:r>
      <w:r w:rsidRPr="007F1D06">
        <w:rPr>
          <w:i/>
          <w:iCs/>
          <w:lang w:val="en-GB"/>
        </w:rPr>
        <w:t>The Journal of Finance</w:t>
      </w:r>
      <w:r w:rsidRPr="007F1D06">
        <w:rPr>
          <w:lang w:val="en-GB"/>
        </w:rPr>
        <w:t>, 23(4), pp.589–609.</w:t>
      </w:r>
    </w:p>
    <w:p w14:paraId="34E66F0A" w14:textId="2607EAF2" w:rsidR="007F1D06" w:rsidRPr="007F1D06" w:rsidRDefault="007F1D06" w:rsidP="007F1D06">
      <w:pPr>
        <w:spacing w:line="360" w:lineRule="auto"/>
        <w:rPr>
          <w:lang w:val="en-GB"/>
        </w:rPr>
      </w:pPr>
      <w:r w:rsidRPr="007F1D06">
        <w:rPr>
          <w:lang w:val="en-GB"/>
        </w:rPr>
        <w:t xml:space="preserve">Asman, F.N., Fernandez, D., Jamaludin, N.A., Omar Zaki, H. and Ghazali, A.W. (2022). Cash Conversion Cycle and Firm’s Performance. </w:t>
      </w:r>
      <w:r w:rsidRPr="007F1D06">
        <w:rPr>
          <w:i/>
          <w:iCs/>
          <w:lang w:val="en-GB"/>
        </w:rPr>
        <w:t>International Journal of Academic Research in Business and Social Sciences</w:t>
      </w:r>
      <w:r w:rsidRPr="007F1D06">
        <w:rPr>
          <w:lang w:val="en-GB"/>
        </w:rPr>
        <w:t xml:space="preserve">, 12(11). </w:t>
      </w:r>
      <w:hyperlink r:id="rId13" w:history="1">
        <w:r w:rsidR="00F55B51" w:rsidRPr="00396B1C">
          <w:rPr>
            <w:rStyle w:val="Hyperlink"/>
            <w:lang w:val="en-GB"/>
          </w:rPr>
          <w:t>https://doi.org/10.6007/ijarbss/v12-i11/15276</w:t>
        </w:r>
      </w:hyperlink>
      <w:r w:rsidRPr="007F1D06">
        <w:rPr>
          <w:lang w:val="en-GB"/>
        </w:rPr>
        <w:t>.</w:t>
      </w:r>
      <w:r w:rsidR="00F55B51">
        <w:rPr>
          <w:lang w:val="en-GB"/>
        </w:rPr>
        <w:t xml:space="preserve"> </w:t>
      </w:r>
    </w:p>
    <w:p w14:paraId="073EB518" w14:textId="77777777" w:rsidR="007F1D06" w:rsidRPr="007F1D06" w:rsidRDefault="007F1D06" w:rsidP="007F1D06">
      <w:pPr>
        <w:spacing w:line="360" w:lineRule="auto"/>
        <w:rPr>
          <w:lang w:val="en-GB"/>
        </w:rPr>
      </w:pPr>
      <w:r w:rsidRPr="007F1D06">
        <w:rPr>
          <w:lang w:val="en-GB"/>
        </w:rPr>
        <w:t xml:space="preserve">Baumol (1952). </w:t>
      </w:r>
      <w:r w:rsidRPr="007F1D06">
        <w:rPr>
          <w:i/>
          <w:iCs/>
          <w:lang w:val="en-GB"/>
        </w:rPr>
        <w:t xml:space="preserve">cash management model </w:t>
      </w:r>
      <w:r w:rsidRPr="007F1D06">
        <w:rPr>
          <w:lang w:val="en-GB"/>
        </w:rPr>
        <w:t>. Wikipedia.</w:t>
      </w:r>
    </w:p>
    <w:p w14:paraId="0BB617C3" w14:textId="1091F7A8" w:rsidR="007F1D06" w:rsidRPr="007F1D06" w:rsidRDefault="007F1D06" w:rsidP="007F1D06">
      <w:pPr>
        <w:spacing w:line="360" w:lineRule="auto"/>
        <w:rPr>
          <w:lang w:val="en-GB"/>
        </w:rPr>
      </w:pPr>
      <w:r w:rsidRPr="007F1D06">
        <w:rPr>
          <w:lang w:val="en-GB"/>
        </w:rPr>
        <w:t xml:space="preserve">Bintara, R. (2020). The Effect of Working Capital, Liquidity and Leverage on Profitability. </w:t>
      </w:r>
      <w:r w:rsidRPr="007F1D06">
        <w:rPr>
          <w:i/>
          <w:iCs/>
          <w:lang w:val="en-GB"/>
        </w:rPr>
        <w:t>Saudi Journal of Economics and Finance</w:t>
      </w:r>
      <w:r w:rsidRPr="007F1D06">
        <w:rPr>
          <w:lang w:val="en-GB"/>
        </w:rPr>
        <w:t xml:space="preserve">, 04(01), pp.28–35. </w:t>
      </w:r>
      <w:hyperlink r:id="rId14" w:history="1">
        <w:r w:rsidR="00F55B51" w:rsidRPr="00396B1C">
          <w:rPr>
            <w:rStyle w:val="Hyperlink"/>
            <w:lang w:val="en-GB"/>
          </w:rPr>
          <w:t>https://doi.org/10.36348/sjef.2020.v04i01.005</w:t>
        </w:r>
      </w:hyperlink>
      <w:r w:rsidRPr="007F1D06">
        <w:rPr>
          <w:lang w:val="en-GB"/>
        </w:rPr>
        <w:t>.</w:t>
      </w:r>
      <w:r w:rsidR="00F55B51">
        <w:rPr>
          <w:lang w:val="en-GB"/>
        </w:rPr>
        <w:t xml:space="preserve"> </w:t>
      </w:r>
    </w:p>
    <w:p w14:paraId="63BA5699" w14:textId="3BF9FF07" w:rsidR="007F1D06" w:rsidRPr="007F1D06" w:rsidRDefault="007F1D06" w:rsidP="007F1D06">
      <w:pPr>
        <w:spacing w:line="360" w:lineRule="auto"/>
        <w:rPr>
          <w:lang w:val="en-GB"/>
        </w:rPr>
      </w:pPr>
      <w:r w:rsidRPr="007F1D06">
        <w:rPr>
          <w:lang w:val="en-GB"/>
        </w:rPr>
        <w:t xml:space="preserve">Bozsik, S. and Szemán, J. (2023). Leverage Effect between ROA and ROE During the Covid-Crisis Based on a Hungarian Company Database. </w:t>
      </w:r>
      <w:r w:rsidRPr="007F1D06">
        <w:rPr>
          <w:i/>
          <w:iCs/>
          <w:lang w:val="en-GB"/>
        </w:rPr>
        <w:t>Theory, Methodology, Practice</w:t>
      </w:r>
      <w:r w:rsidRPr="007F1D06">
        <w:rPr>
          <w:lang w:val="en-GB"/>
        </w:rPr>
        <w:t xml:space="preserve">, 19(2), pp.43–52. </w:t>
      </w:r>
      <w:hyperlink r:id="rId15" w:history="1">
        <w:r w:rsidR="00F55B51" w:rsidRPr="00396B1C">
          <w:rPr>
            <w:rStyle w:val="Hyperlink"/>
            <w:lang w:val="en-GB"/>
          </w:rPr>
          <w:t>https://doi.org/10.18096/tmp.2023.02.05</w:t>
        </w:r>
      </w:hyperlink>
      <w:r w:rsidRPr="007F1D06">
        <w:rPr>
          <w:lang w:val="en-GB"/>
        </w:rPr>
        <w:t>.</w:t>
      </w:r>
      <w:r w:rsidR="00F55B51">
        <w:rPr>
          <w:lang w:val="en-GB"/>
        </w:rPr>
        <w:t xml:space="preserve"> </w:t>
      </w:r>
    </w:p>
    <w:p w14:paraId="7E9925B6" w14:textId="68FD60CC" w:rsidR="007F1D06" w:rsidRPr="007F1D06" w:rsidRDefault="007F1D06" w:rsidP="007F1D06">
      <w:pPr>
        <w:spacing w:line="360" w:lineRule="auto"/>
        <w:rPr>
          <w:lang w:val="en-GB"/>
        </w:rPr>
      </w:pPr>
      <w:r w:rsidRPr="007F1D06">
        <w:rPr>
          <w:lang w:val="en-GB"/>
        </w:rPr>
        <w:t xml:space="preserve">Carroll, A.B. (1999). Corporate Social Responsibility: Evolution of a Definitional Construct. </w:t>
      </w:r>
      <w:r w:rsidRPr="007F1D06">
        <w:rPr>
          <w:i/>
          <w:iCs/>
          <w:lang w:val="en-GB"/>
        </w:rPr>
        <w:t>Business &amp; Society</w:t>
      </w:r>
      <w:r w:rsidRPr="007F1D06">
        <w:rPr>
          <w:lang w:val="en-GB"/>
        </w:rPr>
        <w:t xml:space="preserve">, 38(3), pp.268–295. </w:t>
      </w:r>
      <w:hyperlink r:id="rId16" w:history="1">
        <w:r w:rsidR="00F55B51" w:rsidRPr="00396B1C">
          <w:rPr>
            <w:rStyle w:val="Hyperlink"/>
            <w:lang w:val="en-GB"/>
          </w:rPr>
          <w:t>https://doi.org/10.1177/000765039903800303</w:t>
        </w:r>
      </w:hyperlink>
      <w:r w:rsidRPr="007F1D06">
        <w:rPr>
          <w:lang w:val="en-GB"/>
        </w:rPr>
        <w:t>.</w:t>
      </w:r>
      <w:r w:rsidR="00F55B51">
        <w:rPr>
          <w:lang w:val="en-GB"/>
        </w:rPr>
        <w:t xml:space="preserve"> </w:t>
      </w:r>
    </w:p>
    <w:p w14:paraId="5448BA2A" w14:textId="765759BD" w:rsidR="007F1D06" w:rsidRPr="007F1D06" w:rsidRDefault="007F1D06" w:rsidP="007F1D06">
      <w:pPr>
        <w:spacing w:line="360" w:lineRule="auto"/>
        <w:rPr>
          <w:lang w:val="en-GB"/>
        </w:rPr>
      </w:pPr>
      <w:r w:rsidRPr="007F1D06">
        <w:rPr>
          <w:lang w:val="en-GB"/>
        </w:rPr>
        <w:t xml:space="preserve">Chen, X. (2022). Theoretical analysis of Net Present Value. </w:t>
      </w:r>
      <w:r w:rsidRPr="007F1D06">
        <w:rPr>
          <w:i/>
          <w:iCs/>
          <w:lang w:val="en-GB"/>
        </w:rPr>
        <w:t>BCP Business &amp; Management</w:t>
      </w:r>
      <w:r w:rsidRPr="007F1D06">
        <w:rPr>
          <w:lang w:val="en-GB"/>
        </w:rPr>
        <w:t xml:space="preserve">, [online] 30(1), pp.683–687. </w:t>
      </w:r>
      <w:hyperlink r:id="rId17" w:history="1">
        <w:r w:rsidR="00F55B51" w:rsidRPr="00396B1C">
          <w:rPr>
            <w:rStyle w:val="Hyperlink"/>
            <w:lang w:val="en-GB"/>
          </w:rPr>
          <w:t>https://doi.org/10.54691/bcpbm.v30i.2517</w:t>
        </w:r>
      </w:hyperlink>
      <w:r w:rsidRPr="007F1D06">
        <w:rPr>
          <w:lang w:val="en-GB"/>
        </w:rPr>
        <w:t>.</w:t>
      </w:r>
      <w:r w:rsidR="00F55B51">
        <w:rPr>
          <w:lang w:val="en-GB"/>
        </w:rPr>
        <w:t xml:space="preserve"> </w:t>
      </w:r>
    </w:p>
    <w:p w14:paraId="051AD1A0" w14:textId="12BD1716" w:rsidR="007F1D06" w:rsidRPr="007F1D06" w:rsidRDefault="007F1D06" w:rsidP="007F1D06">
      <w:pPr>
        <w:spacing w:line="360" w:lineRule="auto"/>
        <w:rPr>
          <w:lang w:val="en-GB"/>
        </w:rPr>
      </w:pPr>
      <w:r w:rsidRPr="007F1D06">
        <w:rPr>
          <w:lang w:val="en-GB"/>
        </w:rPr>
        <w:t xml:space="preserve">DOBBIE, W., GOLDSMITH‐PINKHAM, P., MAHONEY, N. and SONG, J. (2020). Bad Credit, No Problem? Credit and Labor Market Consequences of Bad Credit Reports. </w:t>
      </w:r>
      <w:r w:rsidRPr="007F1D06">
        <w:rPr>
          <w:i/>
          <w:iCs/>
          <w:lang w:val="en-GB"/>
        </w:rPr>
        <w:t>The Journal of Finance</w:t>
      </w:r>
      <w:r w:rsidRPr="007F1D06">
        <w:rPr>
          <w:lang w:val="en-GB"/>
        </w:rPr>
        <w:t xml:space="preserve">. </w:t>
      </w:r>
      <w:hyperlink r:id="rId18" w:history="1">
        <w:r w:rsidR="00F55B51" w:rsidRPr="00396B1C">
          <w:rPr>
            <w:rStyle w:val="Hyperlink"/>
            <w:lang w:val="en-GB"/>
          </w:rPr>
          <w:t>https://doi.org/10.1111/jofi.12954</w:t>
        </w:r>
      </w:hyperlink>
      <w:r w:rsidRPr="007F1D06">
        <w:rPr>
          <w:lang w:val="en-GB"/>
        </w:rPr>
        <w:t>.</w:t>
      </w:r>
      <w:r w:rsidR="00F55B51">
        <w:rPr>
          <w:lang w:val="en-GB"/>
        </w:rPr>
        <w:t xml:space="preserve"> </w:t>
      </w:r>
    </w:p>
    <w:p w14:paraId="70E89DF8" w14:textId="08525BC3" w:rsidR="007F1D06" w:rsidRPr="007F1D06" w:rsidRDefault="007F1D06" w:rsidP="007F1D06">
      <w:pPr>
        <w:spacing w:line="360" w:lineRule="auto"/>
        <w:rPr>
          <w:lang w:val="en-GB"/>
        </w:rPr>
      </w:pPr>
      <w:r w:rsidRPr="007F1D06">
        <w:rPr>
          <w:lang w:val="en-GB"/>
        </w:rPr>
        <w:lastRenderedPageBreak/>
        <w:t xml:space="preserve">Elton, E.J. and Gruber, M.J. (1997). Modern portfolio theory, 1950 to date. </w:t>
      </w:r>
      <w:r w:rsidRPr="007F1D06">
        <w:rPr>
          <w:i/>
          <w:iCs/>
          <w:lang w:val="en-GB"/>
        </w:rPr>
        <w:t>Journal of Banking &amp; Finance</w:t>
      </w:r>
      <w:r w:rsidRPr="007F1D06">
        <w:rPr>
          <w:lang w:val="en-GB"/>
        </w:rPr>
        <w:t xml:space="preserve">, [online] 21(11-12), pp.1743–1759. </w:t>
      </w:r>
      <w:hyperlink r:id="rId19" w:history="1">
        <w:r w:rsidR="00F55B51" w:rsidRPr="00396B1C">
          <w:rPr>
            <w:rStyle w:val="Hyperlink"/>
            <w:lang w:val="en-GB"/>
          </w:rPr>
          <w:t>https://doi.org/10.1016/s0378-4266(97)00048-4</w:t>
        </w:r>
      </w:hyperlink>
      <w:r w:rsidRPr="007F1D06">
        <w:rPr>
          <w:lang w:val="en-GB"/>
        </w:rPr>
        <w:t>.</w:t>
      </w:r>
      <w:r w:rsidR="00F55B51">
        <w:rPr>
          <w:lang w:val="en-GB"/>
        </w:rPr>
        <w:t xml:space="preserve"> </w:t>
      </w:r>
    </w:p>
    <w:p w14:paraId="270131CD" w14:textId="75699021" w:rsidR="007F1D06" w:rsidRPr="007F1D06" w:rsidRDefault="007F1D06" w:rsidP="007F1D06">
      <w:pPr>
        <w:spacing w:line="360" w:lineRule="auto"/>
        <w:rPr>
          <w:lang w:val="en-GB"/>
        </w:rPr>
      </w:pPr>
      <w:r w:rsidRPr="007F1D06">
        <w:rPr>
          <w:lang w:val="en-GB"/>
        </w:rPr>
        <w:t xml:space="preserve">Ertan, A., Lewellen, S. and Thomas, J.K. (2020). Do Profit Margins Expand for High Growth Firms? </w:t>
      </w:r>
      <w:r w:rsidRPr="007F1D06">
        <w:rPr>
          <w:i/>
          <w:iCs/>
          <w:lang w:val="en-GB"/>
        </w:rPr>
        <w:t>Journal of Management Accounting Research</w:t>
      </w:r>
      <w:r w:rsidRPr="007F1D06">
        <w:rPr>
          <w:lang w:val="en-GB"/>
        </w:rPr>
        <w:t xml:space="preserve">, 32(3), pp.117–135. </w:t>
      </w:r>
      <w:hyperlink r:id="rId20" w:history="1">
        <w:r w:rsidR="00F55B51" w:rsidRPr="00396B1C">
          <w:rPr>
            <w:rStyle w:val="Hyperlink"/>
            <w:lang w:val="en-GB"/>
          </w:rPr>
          <w:t>https://doi.org/10.2308/jmar-18-079</w:t>
        </w:r>
      </w:hyperlink>
      <w:r w:rsidRPr="007F1D06">
        <w:rPr>
          <w:lang w:val="en-GB"/>
        </w:rPr>
        <w:t>.</w:t>
      </w:r>
      <w:r w:rsidR="00F55B51">
        <w:rPr>
          <w:lang w:val="en-GB"/>
        </w:rPr>
        <w:t xml:space="preserve"> </w:t>
      </w:r>
    </w:p>
    <w:p w14:paraId="73E03EF1" w14:textId="40B78FF6" w:rsidR="007F1D06" w:rsidRPr="007F1D06" w:rsidRDefault="007F1D06" w:rsidP="007F1D06">
      <w:pPr>
        <w:spacing w:line="360" w:lineRule="auto"/>
        <w:rPr>
          <w:lang w:val="en-GB"/>
        </w:rPr>
      </w:pPr>
      <w:r w:rsidRPr="007F1D06">
        <w:rPr>
          <w:lang w:val="en-GB"/>
        </w:rPr>
        <w:t xml:space="preserve">Frank, M.Z., Goyal, V.K. and Shen, T. (2020). </w:t>
      </w:r>
      <w:r w:rsidRPr="007F1D06">
        <w:rPr>
          <w:i/>
          <w:iCs/>
          <w:lang w:val="en-GB"/>
        </w:rPr>
        <w:t>The Pecking Order Theory of Capital Structure: Where Do We Stand?</w:t>
      </w:r>
      <w:r w:rsidRPr="007F1D06">
        <w:rPr>
          <w:lang w:val="en-GB"/>
        </w:rPr>
        <w:t xml:space="preserve"> [online] papers.ssrn.com. Available at: </w:t>
      </w:r>
      <w:hyperlink r:id="rId21" w:history="1">
        <w:r w:rsidR="00F55B51" w:rsidRPr="00396B1C">
          <w:rPr>
            <w:rStyle w:val="Hyperlink"/>
            <w:lang w:val="en-GB"/>
          </w:rPr>
          <w:t>https://papers.ssrn.com/sol3/papers.cfm?abstract_id=3557655</w:t>
        </w:r>
      </w:hyperlink>
      <w:r w:rsidRPr="007F1D06">
        <w:rPr>
          <w:lang w:val="en-GB"/>
        </w:rPr>
        <w:t>.</w:t>
      </w:r>
      <w:r w:rsidR="00F55B51">
        <w:rPr>
          <w:lang w:val="en-GB"/>
        </w:rPr>
        <w:t xml:space="preserve"> </w:t>
      </w:r>
    </w:p>
    <w:p w14:paraId="7CDB899A" w14:textId="008301D7" w:rsidR="007F1D06" w:rsidRPr="007F1D06" w:rsidRDefault="007F1D06" w:rsidP="007F1D06">
      <w:pPr>
        <w:spacing w:line="360" w:lineRule="auto"/>
        <w:rPr>
          <w:lang w:val="en-GB"/>
        </w:rPr>
      </w:pPr>
      <w:r w:rsidRPr="007F1D06">
        <w:rPr>
          <w:lang w:val="en-GB"/>
        </w:rPr>
        <w:t xml:space="preserve">Huang, X. (2021). Financing Disruptive Suppliers: Payment Advance, Timeline, and Discount Rate. </w:t>
      </w:r>
      <w:r w:rsidRPr="007F1D06">
        <w:rPr>
          <w:i/>
          <w:iCs/>
          <w:lang w:val="en-GB"/>
        </w:rPr>
        <w:t>Production and Operations Management</w:t>
      </w:r>
      <w:r w:rsidRPr="007F1D06">
        <w:rPr>
          <w:lang w:val="en-GB"/>
        </w:rPr>
        <w:t xml:space="preserve">. </w:t>
      </w:r>
      <w:hyperlink r:id="rId22" w:history="1">
        <w:r w:rsidR="00F55B51" w:rsidRPr="00396B1C">
          <w:rPr>
            <w:rStyle w:val="Hyperlink"/>
            <w:lang w:val="en-GB"/>
          </w:rPr>
          <w:t>https://doi.org/10.1111/poms.13597</w:t>
        </w:r>
      </w:hyperlink>
      <w:r w:rsidRPr="007F1D06">
        <w:rPr>
          <w:lang w:val="en-GB"/>
        </w:rPr>
        <w:t>.</w:t>
      </w:r>
      <w:r w:rsidR="00F55B51">
        <w:rPr>
          <w:lang w:val="en-GB"/>
        </w:rPr>
        <w:t xml:space="preserve"> </w:t>
      </w:r>
    </w:p>
    <w:p w14:paraId="0D3AC213" w14:textId="49F41012" w:rsidR="007F1D06" w:rsidRPr="007F1D06" w:rsidRDefault="007F1D06" w:rsidP="007F1D06">
      <w:pPr>
        <w:spacing w:line="360" w:lineRule="auto"/>
        <w:rPr>
          <w:lang w:val="en-GB"/>
        </w:rPr>
      </w:pPr>
      <w:r w:rsidRPr="007F1D06">
        <w:rPr>
          <w:lang w:val="en-GB"/>
        </w:rPr>
        <w:t xml:space="preserve">Ikuta, T. and Fujii, H. (2022). An Analysis of the Progress of Japanese Companies’ Commitment to the SDGs and Their Economic Systems and Social Activities for Communities. </w:t>
      </w:r>
      <w:r w:rsidRPr="007F1D06">
        <w:rPr>
          <w:i/>
          <w:iCs/>
          <w:lang w:val="en-GB"/>
        </w:rPr>
        <w:t>Sustainability</w:t>
      </w:r>
      <w:r w:rsidRPr="007F1D06">
        <w:rPr>
          <w:lang w:val="en-GB"/>
        </w:rPr>
        <w:t xml:space="preserve">, 14(8), p.4833. </w:t>
      </w:r>
      <w:hyperlink r:id="rId23" w:history="1">
        <w:r w:rsidR="00F55B51" w:rsidRPr="00396B1C">
          <w:rPr>
            <w:rStyle w:val="Hyperlink"/>
            <w:lang w:val="en-GB"/>
          </w:rPr>
          <w:t>https://doi.org/10.3390/su14084833</w:t>
        </w:r>
      </w:hyperlink>
      <w:r w:rsidRPr="007F1D06">
        <w:rPr>
          <w:lang w:val="en-GB"/>
        </w:rPr>
        <w:t>.</w:t>
      </w:r>
      <w:r w:rsidR="00F55B51">
        <w:rPr>
          <w:lang w:val="en-GB"/>
        </w:rPr>
        <w:t xml:space="preserve">  </w:t>
      </w:r>
    </w:p>
    <w:p w14:paraId="22340063" w14:textId="120F45CB" w:rsidR="007F1D06" w:rsidRPr="007F1D06" w:rsidRDefault="007F1D06" w:rsidP="007F1D06">
      <w:pPr>
        <w:spacing w:line="360" w:lineRule="auto"/>
        <w:rPr>
          <w:lang w:val="en-GB"/>
        </w:rPr>
      </w:pPr>
      <w:r w:rsidRPr="007F1D06">
        <w:rPr>
          <w:lang w:val="en-GB"/>
        </w:rPr>
        <w:t xml:space="preserve">Jensen, M.C. (1986). Agency Costs of Free Cash Flow, Corporate Finance, and Takeovers. </w:t>
      </w:r>
      <w:r w:rsidRPr="007F1D06">
        <w:rPr>
          <w:i/>
          <w:iCs/>
          <w:lang w:val="en-GB"/>
        </w:rPr>
        <w:t>The American Economic Review</w:t>
      </w:r>
      <w:r w:rsidRPr="007F1D06">
        <w:rPr>
          <w:lang w:val="en-GB"/>
        </w:rPr>
        <w:t xml:space="preserve">, [online] 76(2), pp.323–329. Available at: </w:t>
      </w:r>
      <w:hyperlink r:id="rId24" w:history="1">
        <w:r w:rsidR="00F55B51" w:rsidRPr="00396B1C">
          <w:rPr>
            <w:rStyle w:val="Hyperlink"/>
            <w:lang w:val="en-GB"/>
          </w:rPr>
          <w:t>https://www.jstor.org/stable/1818789</w:t>
        </w:r>
      </w:hyperlink>
      <w:r w:rsidRPr="007F1D06">
        <w:rPr>
          <w:lang w:val="en-GB"/>
        </w:rPr>
        <w:t>.</w:t>
      </w:r>
      <w:r w:rsidR="00F55B51">
        <w:rPr>
          <w:lang w:val="en-GB"/>
        </w:rPr>
        <w:t xml:space="preserve"> </w:t>
      </w:r>
    </w:p>
    <w:p w14:paraId="3FFF9342" w14:textId="3FC2751C" w:rsidR="007F1D06" w:rsidRPr="007F1D06" w:rsidRDefault="007F1D06" w:rsidP="007F1D06">
      <w:pPr>
        <w:spacing w:line="360" w:lineRule="auto"/>
        <w:rPr>
          <w:lang w:val="en-GB"/>
        </w:rPr>
      </w:pPr>
      <w:r w:rsidRPr="007F1D06">
        <w:rPr>
          <w:lang w:val="en-GB"/>
        </w:rPr>
        <w:t xml:space="preserve">Johannes Rammala and Franz Eduard Toerien (2024). The relationship between earnings volatility and corporate risk disclosures. </w:t>
      </w:r>
      <w:r w:rsidRPr="007F1D06">
        <w:rPr>
          <w:i/>
          <w:iCs/>
          <w:lang w:val="en-GB"/>
        </w:rPr>
        <w:t>South African Journal of Economic and Management Sciences</w:t>
      </w:r>
      <w:r w:rsidRPr="007F1D06">
        <w:rPr>
          <w:lang w:val="en-GB"/>
        </w:rPr>
        <w:t xml:space="preserve">, 27(1). </w:t>
      </w:r>
      <w:hyperlink r:id="rId25" w:history="1">
        <w:r w:rsidR="00F55B51" w:rsidRPr="00396B1C">
          <w:rPr>
            <w:rStyle w:val="Hyperlink"/>
            <w:lang w:val="en-GB"/>
          </w:rPr>
          <w:t>https://doi.org/10.4102/sajems.v27i1.5054</w:t>
        </w:r>
      </w:hyperlink>
      <w:r w:rsidRPr="007F1D06">
        <w:rPr>
          <w:lang w:val="en-GB"/>
        </w:rPr>
        <w:t>.</w:t>
      </w:r>
      <w:r w:rsidR="00F55B51">
        <w:rPr>
          <w:lang w:val="en-GB"/>
        </w:rPr>
        <w:t xml:space="preserve"> </w:t>
      </w:r>
    </w:p>
    <w:p w14:paraId="4AC114C8" w14:textId="32AC2FBA" w:rsidR="007F1D06" w:rsidRPr="007F1D06" w:rsidRDefault="007F1D06" w:rsidP="007F1D06">
      <w:pPr>
        <w:spacing w:line="360" w:lineRule="auto"/>
        <w:rPr>
          <w:lang w:val="en-GB"/>
        </w:rPr>
      </w:pPr>
      <w:r w:rsidRPr="007F1D06">
        <w:rPr>
          <w:lang w:val="en-GB"/>
        </w:rPr>
        <w:t xml:space="preserve">Kaplan, R.S. and Norton, D.P. (1996). Linking the Balanced Scorecard to Strategy. </w:t>
      </w:r>
      <w:r w:rsidRPr="007F1D06">
        <w:rPr>
          <w:i/>
          <w:iCs/>
          <w:lang w:val="en-GB"/>
        </w:rPr>
        <w:t>California Management Review</w:t>
      </w:r>
      <w:r w:rsidRPr="007F1D06">
        <w:rPr>
          <w:lang w:val="en-GB"/>
        </w:rPr>
        <w:t xml:space="preserve">, 39(1), pp.53–79. </w:t>
      </w:r>
      <w:hyperlink r:id="rId26" w:history="1">
        <w:r w:rsidR="00F55B51" w:rsidRPr="00396B1C">
          <w:rPr>
            <w:rStyle w:val="Hyperlink"/>
            <w:lang w:val="en-GB"/>
          </w:rPr>
          <w:t>https://doi.org/10.2307/41165876</w:t>
        </w:r>
      </w:hyperlink>
      <w:r w:rsidRPr="007F1D06">
        <w:rPr>
          <w:lang w:val="en-GB"/>
        </w:rPr>
        <w:t>.</w:t>
      </w:r>
      <w:r w:rsidR="00F55B51">
        <w:rPr>
          <w:lang w:val="en-GB"/>
        </w:rPr>
        <w:t xml:space="preserve"> </w:t>
      </w:r>
    </w:p>
    <w:p w14:paraId="6C471345" w14:textId="23670D0C" w:rsidR="007F1D06" w:rsidRPr="007F1D06" w:rsidRDefault="007F1D06" w:rsidP="007F1D06">
      <w:pPr>
        <w:spacing w:line="360" w:lineRule="auto"/>
        <w:rPr>
          <w:lang w:val="en-GB"/>
        </w:rPr>
      </w:pPr>
      <w:r w:rsidRPr="007F1D06">
        <w:rPr>
          <w:lang w:val="en-GB"/>
        </w:rPr>
        <w:t xml:space="preserve">Karim, R., Mamun, A. and Abu (2023). Cash conversion cycle and financial performance: evidence from manufacturing firms of Bangladesh. </w:t>
      </w:r>
      <w:r w:rsidRPr="007F1D06">
        <w:rPr>
          <w:i/>
          <w:iCs/>
          <w:lang w:val="en-GB"/>
        </w:rPr>
        <w:t>Asian Journal of Economics and Banking</w:t>
      </w:r>
      <w:r w:rsidRPr="007F1D06">
        <w:rPr>
          <w:lang w:val="en-GB"/>
        </w:rPr>
        <w:t xml:space="preserve">, [online] 8(1). </w:t>
      </w:r>
      <w:hyperlink r:id="rId27" w:history="1">
        <w:r w:rsidR="00F55B51" w:rsidRPr="00396B1C">
          <w:rPr>
            <w:rStyle w:val="Hyperlink"/>
            <w:lang w:val="en-GB"/>
          </w:rPr>
          <w:t>https://doi.org/10.1108/ajeb-03-2022-0033</w:t>
        </w:r>
      </w:hyperlink>
      <w:r w:rsidRPr="007F1D06">
        <w:rPr>
          <w:lang w:val="en-GB"/>
        </w:rPr>
        <w:t>.</w:t>
      </w:r>
      <w:r w:rsidR="00F55B51">
        <w:rPr>
          <w:lang w:val="en-GB"/>
        </w:rPr>
        <w:t xml:space="preserve"> </w:t>
      </w:r>
    </w:p>
    <w:p w14:paraId="7DBB3D5E" w14:textId="32BA6C0C" w:rsidR="007F1D06" w:rsidRPr="007F1D06" w:rsidRDefault="007F1D06" w:rsidP="007F1D06">
      <w:pPr>
        <w:spacing w:line="360" w:lineRule="auto"/>
        <w:rPr>
          <w:lang w:val="en-GB"/>
        </w:rPr>
      </w:pPr>
      <w:r w:rsidRPr="007F1D06">
        <w:rPr>
          <w:lang w:val="en-GB"/>
        </w:rPr>
        <w:t xml:space="preserve">Lee, C.-C. (2023). Analyses of the operating performance of information service companies based on indicators of financial statements. </w:t>
      </w:r>
      <w:r w:rsidRPr="007F1D06">
        <w:rPr>
          <w:i/>
          <w:iCs/>
          <w:lang w:val="en-GB"/>
        </w:rPr>
        <w:t>Asia Pacific Management Review</w:t>
      </w:r>
      <w:r w:rsidRPr="007F1D06">
        <w:rPr>
          <w:lang w:val="en-GB"/>
        </w:rPr>
        <w:t xml:space="preserve">, [online] 28(4). </w:t>
      </w:r>
      <w:hyperlink r:id="rId28" w:history="1">
        <w:r w:rsidR="00F55B51" w:rsidRPr="00396B1C">
          <w:rPr>
            <w:rStyle w:val="Hyperlink"/>
            <w:lang w:val="en-GB"/>
          </w:rPr>
          <w:t>https://doi.org/10.1016/j.apmrv.2023.01.002</w:t>
        </w:r>
      </w:hyperlink>
      <w:r w:rsidRPr="007F1D06">
        <w:rPr>
          <w:lang w:val="en-GB"/>
        </w:rPr>
        <w:t>.</w:t>
      </w:r>
      <w:r w:rsidR="00F55B51">
        <w:rPr>
          <w:lang w:val="en-GB"/>
        </w:rPr>
        <w:t xml:space="preserve"> </w:t>
      </w:r>
    </w:p>
    <w:p w14:paraId="132E305E" w14:textId="7464AD3F" w:rsidR="007F1D06" w:rsidRPr="007F1D06" w:rsidRDefault="007F1D06" w:rsidP="007F1D06">
      <w:pPr>
        <w:spacing w:line="360" w:lineRule="auto"/>
        <w:rPr>
          <w:lang w:val="en-GB"/>
        </w:rPr>
      </w:pPr>
      <w:r w:rsidRPr="007F1D06">
        <w:rPr>
          <w:lang w:val="en-GB"/>
        </w:rPr>
        <w:lastRenderedPageBreak/>
        <w:t xml:space="preserve">Mandipa, G. and Sibindi, A.B. (2022). Financial Performance and Working Capital Management Practices in the Retail Sector: Empirical Evidence from South Africa. </w:t>
      </w:r>
      <w:r w:rsidRPr="007F1D06">
        <w:rPr>
          <w:i/>
          <w:iCs/>
          <w:lang w:val="en-GB"/>
        </w:rPr>
        <w:t>Risks</w:t>
      </w:r>
      <w:r w:rsidRPr="007F1D06">
        <w:rPr>
          <w:lang w:val="en-GB"/>
        </w:rPr>
        <w:t xml:space="preserve">, [online] 10(3), p.63. </w:t>
      </w:r>
      <w:hyperlink r:id="rId29" w:history="1">
        <w:r w:rsidR="00F55B51" w:rsidRPr="00396B1C">
          <w:rPr>
            <w:rStyle w:val="Hyperlink"/>
            <w:lang w:val="en-GB"/>
          </w:rPr>
          <w:t>https://doi.org/10.3390/risks10030063</w:t>
        </w:r>
      </w:hyperlink>
      <w:r w:rsidRPr="007F1D06">
        <w:rPr>
          <w:lang w:val="en-GB"/>
        </w:rPr>
        <w:t>.</w:t>
      </w:r>
      <w:r w:rsidR="00F55B51">
        <w:rPr>
          <w:lang w:val="en-GB"/>
        </w:rPr>
        <w:t xml:space="preserve"> </w:t>
      </w:r>
    </w:p>
    <w:p w14:paraId="6E024B4E" w14:textId="731B6D45" w:rsidR="007F1D06" w:rsidRPr="007F1D06" w:rsidRDefault="007F1D06" w:rsidP="007F1D06">
      <w:pPr>
        <w:spacing w:line="360" w:lineRule="auto"/>
        <w:rPr>
          <w:lang w:val="en-GB"/>
        </w:rPr>
      </w:pPr>
      <w:r w:rsidRPr="007F1D06">
        <w:rPr>
          <w:lang w:val="en-GB"/>
        </w:rPr>
        <w:t xml:space="preserve">Marwan Othman Ghabban, Yazeed Abdalrhman Alsughayyir, Marwan Abdulrahem Alghanmi, AlGhamdi, S.M. and Eihab Sabri owaidhah (2024). Impact of Cash Conversion Cycle on Firm’s Profitability by Applying to Companies Listed on the Saudi Stock Market. </w:t>
      </w:r>
      <w:r w:rsidRPr="007F1D06">
        <w:rPr>
          <w:i/>
          <w:iCs/>
          <w:lang w:val="en-GB"/>
        </w:rPr>
        <w:t>Ajrsp</w:t>
      </w:r>
      <w:r w:rsidRPr="007F1D06">
        <w:rPr>
          <w:lang w:val="en-GB"/>
        </w:rPr>
        <w:t xml:space="preserve">, [online] 5(57), pp.29–50. Available at: </w:t>
      </w:r>
      <w:hyperlink r:id="rId30" w:history="1">
        <w:r w:rsidR="00F55B51" w:rsidRPr="00396B1C">
          <w:rPr>
            <w:rStyle w:val="Hyperlink"/>
            <w:lang w:val="en-GB"/>
          </w:rPr>
          <w:t>https://www.ajrsp.com/en/Archive/issue-57/2/</w:t>
        </w:r>
      </w:hyperlink>
      <w:r w:rsidRPr="007F1D06">
        <w:rPr>
          <w:lang w:val="en-GB"/>
        </w:rPr>
        <w:t>.</w:t>
      </w:r>
      <w:r w:rsidR="00F55B51">
        <w:rPr>
          <w:lang w:val="en-GB"/>
        </w:rPr>
        <w:t xml:space="preserve"> </w:t>
      </w:r>
    </w:p>
    <w:p w14:paraId="690FE246" w14:textId="575F9647" w:rsidR="007F1D06" w:rsidRPr="007F1D06" w:rsidRDefault="007F1D06" w:rsidP="007F1D06">
      <w:pPr>
        <w:spacing w:line="360" w:lineRule="auto"/>
        <w:rPr>
          <w:lang w:val="en-GB"/>
        </w:rPr>
      </w:pPr>
      <w:r w:rsidRPr="007F1D06">
        <w:rPr>
          <w:lang w:val="en-GB"/>
        </w:rPr>
        <w:t xml:space="preserve">Miller, M.H. and Orr, D. (1966). A Model of the Demand for Money by Firms. </w:t>
      </w:r>
      <w:r w:rsidRPr="007F1D06">
        <w:rPr>
          <w:i/>
          <w:iCs/>
          <w:lang w:val="en-GB"/>
        </w:rPr>
        <w:t>The Quarterly Journal of Economics</w:t>
      </w:r>
      <w:r w:rsidRPr="007F1D06">
        <w:rPr>
          <w:lang w:val="en-GB"/>
        </w:rPr>
        <w:t xml:space="preserve">, 80(3), p.413. </w:t>
      </w:r>
      <w:hyperlink r:id="rId31" w:history="1">
        <w:r w:rsidR="00F55B51" w:rsidRPr="00396B1C">
          <w:rPr>
            <w:rStyle w:val="Hyperlink"/>
            <w:lang w:val="en-GB"/>
          </w:rPr>
          <w:t>https://doi.org/10.2307/1880728</w:t>
        </w:r>
      </w:hyperlink>
      <w:r w:rsidRPr="007F1D06">
        <w:rPr>
          <w:lang w:val="en-GB"/>
        </w:rPr>
        <w:t>.</w:t>
      </w:r>
      <w:r w:rsidR="00F55B51">
        <w:rPr>
          <w:lang w:val="en-GB"/>
        </w:rPr>
        <w:t xml:space="preserve"> </w:t>
      </w:r>
    </w:p>
    <w:p w14:paraId="216889D9" w14:textId="4C978E1D" w:rsidR="007F1D06" w:rsidRPr="007F1D06" w:rsidRDefault="007F1D06" w:rsidP="007F1D06">
      <w:pPr>
        <w:spacing w:line="360" w:lineRule="auto"/>
        <w:rPr>
          <w:lang w:val="en-GB"/>
        </w:rPr>
      </w:pPr>
      <w:r w:rsidRPr="007F1D06">
        <w:rPr>
          <w:lang w:val="en-GB"/>
        </w:rPr>
        <w:t xml:space="preserve">Nagle, T.T., Müller, G. and Gruyaert, E. (2023). </w:t>
      </w:r>
      <w:r w:rsidRPr="007F1D06">
        <w:rPr>
          <w:i/>
          <w:iCs/>
          <w:lang w:val="en-GB"/>
        </w:rPr>
        <w:t>The Strategy and Tactics of Pricing</w:t>
      </w:r>
      <w:r w:rsidRPr="007F1D06">
        <w:rPr>
          <w:lang w:val="en-GB"/>
        </w:rPr>
        <w:t xml:space="preserve">. Routledge. </w:t>
      </w:r>
      <w:hyperlink r:id="rId32" w:history="1">
        <w:r w:rsidR="00F55B51" w:rsidRPr="00396B1C">
          <w:rPr>
            <w:rStyle w:val="Hyperlink"/>
            <w:lang w:val="en-GB"/>
          </w:rPr>
          <w:t>https://doi.org/10.4324/9781003179566</w:t>
        </w:r>
      </w:hyperlink>
      <w:r w:rsidRPr="007F1D06">
        <w:rPr>
          <w:lang w:val="en-GB"/>
        </w:rPr>
        <w:t>.</w:t>
      </w:r>
      <w:r w:rsidR="00F55B51">
        <w:rPr>
          <w:lang w:val="en-GB"/>
        </w:rPr>
        <w:t xml:space="preserve"> </w:t>
      </w:r>
    </w:p>
    <w:p w14:paraId="427D0B52" w14:textId="1F533DBE" w:rsidR="007F1D06" w:rsidRPr="007F1D06" w:rsidRDefault="007F1D06" w:rsidP="007F1D06">
      <w:pPr>
        <w:spacing w:line="360" w:lineRule="auto"/>
        <w:rPr>
          <w:lang w:val="en-GB"/>
        </w:rPr>
      </w:pPr>
      <w:r w:rsidRPr="007F1D06">
        <w:rPr>
          <w:lang w:val="en-GB"/>
        </w:rPr>
        <w:t xml:space="preserve">Nyagiloh, K.A. and Kilika, J.M. (2020). Theoretical Review of Turnaround Strategy and Its Organizational Outcomes. </w:t>
      </w:r>
      <w:r w:rsidRPr="007F1D06">
        <w:rPr>
          <w:i/>
          <w:iCs/>
          <w:lang w:val="en-GB"/>
        </w:rPr>
        <w:t>International Business Research</w:t>
      </w:r>
      <w:r w:rsidRPr="007F1D06">
        <w:rPr>
          <w:lang w:val="en-GB"/>
        </w:rPr>
        <w:t xml:space="preserve">, 13(2), p.13. </w:t>
      </w:r>
      <w:r w:rsidR="00F55B51">
        <w:rPr>
          <w:lang w:val="en-GB"/>
        </w:rPr>
        <w:t xml:space="preserve"> </w:t>
      </w:r>
      <w:hyperlink r:id="rId33" w:history="1">
        <w:r w:rsidR="00F55B51" w:rsidRPr="00396B1C">
          <w:rPr>
            <w:rStyle w:val="Hyperlink"/>
            <w:lang w:val="en-GB"/>
          </w:rPr>
          <w:t>https://doi.org/10.5539/ibr.v13n2p13</w:t>
        </w:r>
      </w:hyperlink>
      <w:r w:rsidRPr="007F1D06">
        <w:rPr>
          <w:lang w:val="en-GB"/>
        </w:rPr>
        <w:t>.</w:t>
      </w:r>
      <w:r w:rsidR="00F55B51">
        <w:rPr>
          <w:lang w:val="en-GB"/>
        </w:rPr>
        <w:t xml:space="preserve"> </w:t>
      </w:r>
    </w:p>
    <w:p w14:paraId="52281930" w14:textId="53CEFC92" w:rsidR="007F1D06" w:rsidRPr="007F1D06" w:rsidRDefault="007F1D06" w:rsidP="007F1D06">
      <w:pPr>
        <w:spacing w:line="360" w:lineRule="auto"/>
        <w:rPr>
          <w:lang w:val="en-GB"/>
        </w:rPr>
      </w:pPr>
      <w:r w:rsidRPr="007F1D06">
        <w:rPr>
          <w:lang w:val="en-GB"/>
        </w:rPr>
        <w:t xml:space="preserve">Ogachi, D., Ndege, R., Gaturu, P. and Zoltan, Z. (2020). Corporate Bankruptcy Prediction Model, a Special Focus on Listed Companies in Kenya. </w:t>
      </w:r>
      <w:r w:rsidRPr="007F1D06">
        <w:rPr>
          <w:i/>
          <w:iCs/>
          <w:lang w:val="en-GB"/>
        </w:rPr>
        <w:t>Journal of Risk and Financial Management</w:t>
      </w:r>
      <w:r w:rsidRPr="007F1D06">
        <w:rPr>
          <w:lang w:val="en-GB"/>
        </w:rPr>
        <w:t xml:space="preserve">, 13(3), p.47. </w:t>
      </w:r>
      <w:hyperlink r:id="rId34" w:history="1">
        <w:r w:rsidR="00F55B51" w:rsidRPr="00396B1C">
          <w:rPr>
            <w:rStyle w:val="Hyperlink"/>
            <w:lang w:val="en-GB"/>
          </w:rPr>
          <w:t>https://doi.org/10.3390/jrfm13030047</w:t>
        </w:r>
      </w:hyperlink>
      <w:r w:rsidRPr="007F1D06">
        <w:rPr>
          <w:lang w:val="en-GB"/>
        </w:rPr>
        <w:t>.</w:t>
      </w:r>
      <w:r w:rsidR="00F55B51">
        <w:rPr>
          <w:lang w:val="en-GB"/>
        </w:rPr>
        <w:t xml:space="preserve"> </w:t>
      </w:r>
    </w:p>
    <w:p w14:paraId="675B1C74" w14:textId="3D6AEBE9" w:rsidR="007F1D06" w:rsidRPr="007F1D06" w:rsidRDefault="007F1D06" w:rsidP="007F1D06">
      <w:pPr>
        <w:spacing w:line="360" w:lineRule="auto"/>
        <w:rPr>
          <w:lang w:val="en-GB"/>
        </w:rPr>
      </w:pPr>
      <w:r w:rsidRPr="007F1D06">
        <w:rPr>
          <w:lang w:val="en-GB"/>
        </w:rPr>
        <w:t xml:space="preserve">OPLER, T.C. and TITMAN, S. (1994). Financial Distress and Corporate Performance. </w:t>
      </w:r>
      <w:r w:rsidRPr="007F1D06">
        <w:rPr>
          <w:i/>
          <w:iCs/>
          <w:lang w:val="en-GB"/>
        </w:rPr>
        <w:t>The Journal of Finance</w:t>
      </w:r>
      <w:r w:rsidRPr="007F1D06">
        <w:rPr>
          <w:lang w:val="en-GB"/>
        </w:rPr>
        <w:t xml:space="preserve">, 49(3), pp.1015–1040. </w:t>
      </w:r>
      <w:r w:rsidR="00F55B51">
        <w:rPr>
          <w:lang w:val="en-GB"/>
        </w:rPr>
        <w:t xml:space="preserve"> </w:t>
      </w:r>
      <w:hyperlink r:id="rId35" w:history="1">
        <w:r w:rsidR="00F55B51" w:rsidRPr="00396B1C">
          <w:rPr>
            <w:rStyle w:val="Hyperlink"/>
            <w:lang w:val="en-GB"/>
          </w:rPr>
          <w:t>https://doi.org/10.1111/j.1540-6261.1994.tb00086.x</w:t>
        </w:r>
      </w:hyperlink>
      <w:r w:rsidRPr="007F1D06">
        <w:rPr>
          <w:lang w:val="en-GB"/>
        </w:rPr>
        <w:t>.</w:t>
      </w:r>
      <w:r w:rsidR="00F55B51">
        <w:rPr>
          <w:lang w:val="en-GB"/>
        </w:rPr>
        <w:t xml:space="preserve"> </w:t>
      </w:r>
    </w:p>
    <w:p w14:paraId="2D5F7C10" w14:textId="523240D2" w:rsidR="007F1D06" w:rsidRPr="007F1D06" w:rsidRDefault="007F1D06" w:rsidP="007F1D06">
      <w:pPr>
        <w:spacing w:line="360" w:lineRule="auto"/>
        <w:rPr>
          <w:lang w:val="en-GB"/>
        </w:rPr>
      </w:pPr>
      <w:r w:rsidRPr="007F1D06">
        <w:rPr>
          <w:lang w:val="en-GB"/>
        </w:rPr>
        <w:t xml:space="preserve">Peng, P. and Shehabi, A. (2022). Regional economic potential for recycling consumer waste electronics in the United States. </w:t>
      </w:r>
      <w:r w:rsidRPr="007F1D06">
        <w:rPr>
          <w:i/>
          <w:iCs/>
          <w:lang w:val="en-GB"/>
        </w:rPr>
        <w:t>Nature Sustainability</w:t>
      </w:r>
      <w:r w:rsidRPr="007F1D06">
        <w:rPr>
          <w:lang w:val="en-GB"/>
        </w:rPr>
        <w:t xml:space="preserve">. </w:t>
      </w:r>
      <w:hyperlink r:id="rId36" w:history="1">
        <w:r w:rsidR="00F55B51" w:rsidRPr="00396B1C">
          <w:rPr>
            <w:rStyle w:val="Hyperlink"/>
            <w:lang w:val="en-GB"/>
          </w:rPr>
          <w:t>https://doi.org/10.1038/s41893-022-00983-9</w:t>
        </w:r>
      </w:hyperlink>
      <w:r w:rsidRPr="007F1D06">
        <w:rPr>
          <w:lang w:val="en-GB"/>
        </w:rPr>
        <w:t>.</w:t>
      </w:r>
      <w:r w:rsidR="00F55B51">
        <w:rPr>
          <w:lang w:val="en-GB"/>
        </w:rPr>
        <w:t xml:space="preserve"> </w:t>
      </w:r>
    </w:p>
    <w:p w14:paraId="43273732" w14:textId="77777777" w:rsidR="007F1D06" w:rsidRPr="007F1D06" w:rsidRDefault="007F1D06" w:rsidP="007F1D06">
      <w:pPr>
        <w:spacing w:line="360" w:lineRule="auto"/>
        <w:rPr>
          <w:lang w:val="en-GB"/>
        </w:rPr>
      </w:pPr>
      <w:r w:rsidRPr="007F1D06">
        <w:rPr>
          <w:lang w:val="en-GB"/>
        </w:rPr>
        <w:t xml:space="preserve">Pike, R., Neale, B. and Linsley, P. (2021). </w:t>
      </w:r>
      <w:r w:rsidRPr="007F1D06">
        <w:rPr>
          <w:i/>
          <w:iCs/>
          <w:lang w:val="en-GB"/>
        </w:rPr>
        <w:t>Corporate finance and investment with MyFinanceLab access card</w:t>
      </w:r>
      <w:r w:rsidRPr="007F1D06">
        <w:rPr>
          <w:lang w:val="en-GB"/>
        </w:rPr>
        <w:t>. Harlow: Financial Times Prentice Hall.</w:t>
      </w:r>
    </w:p>
    <w:p w14:paraId="527D5AA5" w14:textId="758B9352" w:rsidR="007F1D06" w:rsidRPr="007F1D06" w:rsidRDefault="007F1D06" w:rsidP="007F1D06">
      <w:pPr>
        <w:spacing w:line="360" w:lineRule="auto"/>
        <w:rPr>
          <w:lang w:val="en-GB"/>
        </w:rPr>
      </w:pPr>
      <w:r w:rsidRPr="007F1D06">
        <w:rPr>
          <w:lang w:val="en-GB"/>
        </w:rPr>
        <w:t xml:space="preserve">Rounaghi, M.M., Jarrar, H. and Dana, L.-P. (2021). Implementation of strategic cost management in manufacturing companies: overcoming costs stickiness and increasing corporate sustainability. </w:t>
      </w:r>
      <w:r w:rsidRPr="007F1D06">
        <w:rPr>
          <w:i/>
          <w:iCs/>
          <w:lang w:val="en-GB"/>
        </w:rPr>
        <w:t>Future Business Journal</w:t>
      </w:r>
      <w:r w:rsidRPr="007F1D06">
        <w:rPr>
          <w:lang w:val="en-GB"/>
        </w:rPr>
        <w:t xml:space="preserve">, [online] 7(1), pp.1–8. </w:t>
      </w:r>
      <w:hyperlink r:id="rId37" w:history="1">
        <w:r w:rsidR="00F55B51" w:rsidRPr="00396B1C">
          <w:rPr>
            <w:rStyle w:val="Hyperlink"/>
            <w:lang w:val="en-GB"/>
          </w:rPr>
          <w:t>https://doi.org/10.1186/s43093-021-00079-4</w:t>
        </w:r>
      </w:hyperlink>
      <w:r w:rsidRPr="007F1D06">
        <w:rPr>
          <w:lang w:val="en-GB"/>
        </w:rPr>
        <w:t>.</w:t>
      </w:r>
      <w:r w:rsidR="00F55B51">
        <w:rPr>
          <w:lang w:val="en-GB"/>
        </w:rPr>
        <w:t xml:space="preserve"> </w:t>
      </w:r>
    </w:p>
    <w:p w14:paraId="2E0B51D8" w14:textId="4C2BE125" w:rsidR="007F1D06" w:rsidRPr="007F1D06" w:rsidRDefault="007F1D06" w:rsidP="007F1D06">
      <w:pPr>
        <w:spacing w:line="360" w:lineRule="auto"/>
        <w:rPr>
          <w:lang w:val="en-GB"/>
        </w:rPr>
      </w:pPr>
      <w:r w:rsidRPr="007F1D06">
        <w:rPr>
          <w:lang w:val="en-GB"/>
        </w:rPr>
        <w:lastRenderedPageBreak/>
        <w:t xml:space="preserve">Senthil Kumar Muthusamy and Kannan, R. (2023). Profits crisis: evolving patterns of firm size and performance in traditional U.S. industries. </w:t>
      </w:r>
      <w:r w:rsidRPr="007F1D06">
        <w:rPr>
          <w:i/>
          <w:iCs/>
          <w:lang w:val="en-GB"/>
        </w:rPr>
        <w:t>Economia e politica industriale</w:t>
      </w:r>
      <w:r w:rsidRPr="007F1D06">
        <w:rPr>
          <w:lang w:val="en-GB"/>
        </w:rPr>
        <w:t xml:space="preserve">, 50(3), pp.575–603. </w:t>
      </w:r>
      <w:hyperlink r:id="rId38" w:history="1">
        <w:r w:rsidR="00F55B51" w:rsidRPr="00396B1C">
          <w:rPr>
            <w:rStyle w:val="Hyperlink"/>
            <w:lang w:val="en-GB"/>
          </w:rPr>
          <w:t>https://doi.org/10.1007/s40812-023-00268-y</w:t>
        </w:r>
      </w:hyperlink>
      <w:r w:rsidRPr="007F1D06">
        <w:rPr>
          <w:lang w:val="en-GB"/>
        </w:rPr>
        <w:t>.</w:t>
      </w:r>
      <w:r w:rsidR="00F55B51">
        <w:rPr>
          <w:lang w:val="en-GB"/>
        </w:rPr>
        <w:t xml:space="preserve"> </w:t>
      </w:r>
    </w:p>
    <w:p w14:paraId="034FA683" w14:textId="6B2ED6E1" w:rsidR="007F1D06" w:rsidRPr="007F1D06" w:rsidRDefault="007F1D06" w:rsidP="007F1D06">
      <w:pPr>
        <w:spacing w:line="360" w:lineRule="auto"/>
        <w:rPr>
          <w:lang w:val="en-GB"/>
        </w:rPr>
      </w:pPr>
      <w:r w:rsidRPr="007F1D06">
        <w:rPr>
          <w:lang w:val="en-GB"/>
        </w:rPr>
        <w:t xml:space="preserve">SHEKHAR , H. (2022). </w:t>
      </w:r>
      <w:r w:rsidRPr="007F1D06">
        <w:rPr>
          <w:i/>
          <w:iCs/>
          <w:lang w:val="en-GB"/>
        </w:rPr>
        <w:t>Relationship Between Assets, Liabilities, Earnings Before Interest and Taxes, and Financial Distress - ProQuest</w:t>
      </w:r>
      <w:r w:rsidRPr="007F1D06">
        <w:rPr>
          <w:lang w:val="en-GB"/>
        </w:rPr>
        <w:t xml:space="preserve">. [online] Proquest.com. Available at: </w:t>
      </w:r>
      <w:hyperlink r:id="rId39" w:history="1">
        <w:r w:rsidR="00F55B51" w:rsidRPr="00396B1C">
          <w:rPr>
            <w:rStyle w:val="Hyperlink"/>
            <w:lang w:val="en-GB"/>
          </w:rPr>
          <w:t>https://search.proquest.com/openview/72cf5f6321600a124ea4ccc410789973/1?pq-origsite=gscholar&amp;cbl=18750&amp;diss=y</w:t>
        </w:r>
      </w:hyperlink>
      <w:r w:rsidRPr="007F1D06">
        <w:rPr>
          <w:lang w:val="en-GB"/>
        </w:rPr>
        <w:t>.</w:t>
      </w:r>
      <w:r w:rsidR="00F55B51">
        <w:rPr>
          <w:lang w:val="en-GB"/>
        </w:rPr>
        <w:t xml:space="preserve"> </w:t>
      </w:r>
    </w:p>
    <w:p w14:paraId="21B3974E" w14:textId="4607511D" w:rsidR="007F1D06" w:rsidRPr="007F1D06" w:rsidRDefault="007F1D06" w:rsidP="007F1D06">
      <w:pPr>
        <w:spacing w:line="360" w:lineRule="auto"/>
        <w:rPr>
          <w:lang w:val="en-GB"/>
        </w:rPr>
      </w:pPr>
      <w:r w:rsidRPr="007F1D06">
        <w:rPr>
          <w:lang w:val="en-GB"/>
        </w:rPr>
        <w:t xml:space="preserve">Soku Byoun and Rhim, J.C. (2011). Tests of the Pecking Order Theory and the Static Tradeoff Theory of Optimal Capital Structure. </w:t>
      </w:r>
      <w:r w:rsidRPr="007F1D06">
        <w:rPr>
          <w:i/>
          <w:iCs/>
          <w:lang w:val="en-GB"/>
        </w:rPr>
        <w:t>GLOBAL BUSINESS &amp; FINANCE REVIEW</w:t>
      </w:r>
      <w:r w:rsidRPr="007F1D06">
        <w:rPr>
          <w:lang w:val="en-GB"/>
        </w:rPr>
        <w:t xml:space="preserve">, [online] 10(2). Available at: </w:t>
      </w:r>
      <w:hyperlink r:id="rId40" w:history="1">
        <w:r w:rsidR="00F55B51" w:rsidRPr="00396B1C">
          <w:rPr>
            <w:rStyle w:val="Hyperlink"/>
            <w:lang w:val="en-GB"/>
          </w:rPr>
          <w:t>https://www.researchgate.net/publication/267160977_Tests_of_the_Pecking_Order_Theory_and_the_Static_Tradeoff_Theory_of_Optimal_Capital_Structure</w:t>
        </w:r>
      </w:hyperlink>
      <w:r w:rsidRPr="007F1D06">
        <w:rPr>
          <w:lang w:val="en-GB"/>
        </w:rPr>
        <w:t>.</w:t>
      </w:r>
      <w:r w:rsidR="00F55B51">
        <w:rPr>
          <w:lang w:val="en-GB"/>
        </w:rPr>
        <w:t xml:space="preserve"> </w:t>
      </w:r>
    </w:p>
    <w:p w14:paraId="01C04929" w14:textId="57D61E38" w:rsidR="007F1D06" w:rsidRPr="007F1D06" w:rsidRDefault="007F1D06" w:rsidP="007F1D06">
      <w:pPr>
        <w:spacing w:line="360" w:lineRule="auto"/>
        <w:rPr>
          <w:lang w:val="en-GB"/>
        </w:rPr>
      </w:pPr>
      <w:r w:rsidRPr="007F1D06">
        <w:rPr>
          <w:lang w:val="en-GB"/>
        </w:rPr>
        <w:t xml:space="preserve">Tadayonrad, Y. and Ndiaye, A.B. (2023). A New Key Performance Indicator Model for Demand Forecasting in Inventory Management considering Supply Chain Reliability and Seasonality. </w:t>
      </w:r>
      <w:r w:rsidRPr="007F1D06">
        <w:rPr>
          <w:i/>
          <w:iCs/>
          <w:lang w:val="en-GB"/>
        </w:rPr>
        <w:t>Supply Chain Analytics</w:t>
      </w:r>
      <w:r w:rsidRPr="007F1D06">
        <w:rPr>
          <w:lang w:val="en-GB"/>
        </w:rPr>
        <w:t xml:space="preserve">, [online] 3(100026), p.100026. </w:t>
      </w:r>
      <w:hyperlink r:id="rId41" w:history="1">
        <w:r w:rsidR="00F55B51" w:rsidRPr="00396B1C">
          <w:rPr>
            <w:rStyle w:val="Hyperlink"/>
            <w:lang w:val="en-GB"/>
          </w:rPr>
          <w:t>https://doi.org/10.1016/j.sca.2023.100026</w:t>
        </w:r>
      </w:hyperlink>
      <w:r w:rsidRPr="007F1D06">
        <w:rPr>
          <w:lang w:val="en-GB"/>
        </w:rPr>
        <w:t>.</w:t>
      </w:r>
      <w:r w:rsidR="00F55B51">
        <w:rPr>
          <w:lang w:val="en-GB"/>
        </w:rPr>
        <w:t xml:space="preserve"> </w:t>
      </w:r>
    </w:p>
    <w:p w14:paraId="48C34864" w14:textId="7C5D2EAC" w:rsidR="007F1D06" w:rsidRPr="007F1D06" w:rsidRDefault="007F1D06" w:rsidP="007F1D06">
      <w:pPr>
        <w:spacing w:line="360" w:lineRule="auto"/>
        <w:rPr>
          <w:lang w:val="en-GB"/>
        </w:rPr>
      </w:pPr>
      <w:r w:rsidRPr="007F1D06">
        <w:rPr>
          <w:lang w:val="en-GB"/>
        </w:rPr>
        <w:t xml:space="preserve">Tantri Octora Dwi Syah Putri (2024). The Effect of Managing Receivables and Inventory on Profitability. </w:t>
      </w:r>
      <w:r w:rsidRPr="007F1D06">
        <w:rPr>
          <w:i/>
          <w:iCs/>
          <w:lang w:val="en-GB"/>
        </w:rPr>
        <w:t>Jurnal Ekonomi Bisnis &amp; Entrepreneurship</w:t>
      </w:r>
      <w:r w:rsidRPr="007F1D06">
        <w:rPr>
          <w:lang w:val="en-GB"/>
        </w:rPr>
        <w:t xml:space="preserve">, [online] 18(2), pp.415–426. </w:t>
      </w:r>
      <w:hyperlink r:id="rId42" w:history="1">
        <w:r w:rsidR="00F55B51" w:rsidRPr="00396B1C">
          <w:rPr>
            <w:rStyle w:val="Hyperlink"/>
            <w:lang w:val="en-GB"/>
          </w:rPr>
          <w:t>https://doi.org/10.55208/2v06mg79</w:t>
        </w:r>
      </w:hyperlink>
      <w:r w:rsidRPr="007F1D06">
        <w:rPr>
          <w:lang w:val="en-GB"/>
        </w:rPr>
        <w:t>.</w:t>
      </w:r>
      <w:r w:rsidR="00F55B51">
        <w:rPr>
          <w:lang w:val="en-GB"/>
        </w:rPr>
        <w:t xml:space="preserve"> </w:t>
      </w:r>
    </w:p>
    <w:p w14:paraId="06BCFB67" w14:textId="7ED78527" w:rsidR="007F1D06" w:rsidRPr="007F1D06" w:rsidRDefault="007F1D06" w:rsidP="007F1D06">
      <w:pPr>
        <w:spacing w:line="360" w:lineRule="auto"/>
        <w:rPr>
          <w:lang w:val="en-GB"/>
        </w:rPr>
      </w:pPr>
      <w:r w:rsidRPr="007F1D06">
        <w:rPr>
          <w:lang w:val="en-GB"/>
        </w:rPr>
        <w:t xml:space="preserve">Voutsinas, K. and Werner, R.A. (2025). Trade-off Theory vs. the Pecking Order Hypothesis: Japanese Evidence on Capital Structure under Financial Constraints. </w:t>
      </w:r>
      <w:r w:rsidRPr="007F1D06">
        <w:rPr>
          <w:i/>
          <w:iCs/>
          <w:lang w:val="en-GB"/>
        </w:rPr>
        <w:t>Structural Change and Economic Dynamics</w:t>
      </w:r>
      <w:r w:rsidRPr="007F1D06">
        <w:rPr>
          <w:lang w:val="en-GB"/>
        </w:rPr>
        <w:t xml:space="preserve">, 74, pp.944–962. </w:t>
      </w:r>
      <w:hyperlink r:id="rId43" w:history="1">
        <w:r w:rsidR="00F55B51" w:rsidRPr="00396B1C">
          <w:rPr>
            <w:rStyle w:val="Hyperlink"/>
            <w:lang w:val="en-GB"/>
          </w:rPr>
          <w:t>https://doi.org/10.1016/j.strueco.2025.06.004</w:t>
        </w:r>
      </w:hyperlink>
      <w:r w:rsidRPr="007F1D06">
        <w:rPr>
          <w:lang w:val="en-GB"/>
        </w:rPr>
        <w:t>.</w:t>
      </w:r>
      <w:r w:rsidR="00F55B51">
        <w:rPr>
          <w:lang w:val="en-GB"/>
        </w:rPr>
        <w:t xml:space="preserve"> </w:t>
      </w:r>
    </w:p>
    <w:p w14:paraId="1B054515" w14:textId="0C76182D" w:rsidR="007F1D06" w:rsidRPr="007F1D06" w:rsidRDefault="007F1D06" w:rsidP="007F1D06">
      <w:pPr>
        <w:spacing w:line="360" w:lineRule="auto"/>
        <w:rPr>
          <w:lang w:val="en-GB"/>
        </w:rPr>
      </w:pPr>
      <w:r w:rsidRPr="007F1D06">
        <w:rPr>
          <w:lang w:val="en-GB"/>
        </w:rPr>
        <w:t xml:space="preserve">Wang, C.S.H., Chen, Y.-C. and Lo, H.-Y. (2021). A fresh look at the risk-return tradeoff. </w:t>
      </w:r>
      <w:r w:rsidRPr="007F1D06">
        <w:rPr>
          <w:i/>
          <w:iCs/>
          <w:lang w:val="en-GB"/>
        </w:rPr>
        <w:t>Pacific-Basin Finance Journal</w:t>
      </w:r>
      <w:r w:rsidRPr="007F1D06">
        <w:rPr>
          <w:lang w:val="en-GB"/>
        </w:rPr>
        <w:t xml:space="preserve">, 68(1), p.101546. </w:t>
      </w:r>
      <w:hyperlink r:id="rId44" w:history="1">
        <w:r w:rsidR="00F55B51" w:rsidRPr="00396B1C">
          <w:rPr>
            <w:rStyle w:val="Hyperlink"/>
            <w:lang w:val="en-GB"/>
          </w:rPr>
          <w:t>https://doi.org/10.1016/j.pacfin.2021.101546</w:t>
        </w:r>
      </w:hyperlink>
      <w:r w:rsidRPr="007F1D06">
        <w:rPr>
          <w:lang w:val="en-GB"/>
        </w:rPr>
        <w:t>.</w:t>
      </w:r>
      <w:r w:rsidR="00F55B51">
        <w:rPr>
          <w:lang w:val="en-GB"/>
        </w:rPr>
        <w:t xml:space="preserve"> </w:t>
      </w:r>
    </w:p>
    <w:p w14:paraId="343805FB" w14:textId="6335AC8D" w:rsidR="007F1D06" w:rsidRPr="007F1D06" w:rsidRDefault="007F1D06" w:rsidP="007F1D06">
      <w:pPr>
        <w:spacing w:line="360" w:lineRule="auto"/>
        <w:rPr>
          <w:lang w:val="en-GB"/>
        </w:rPr>
      </w:pPr>
      <w:r w:rsidRPr="007F1D06">
        <w:rPr>
          <w:lang w:val="en-GB"/>
        </w:rPr>
        <w:t xml:space="preserve">Weingartner, H.M. (1977). Capital Rationing: n Authors in Search of a Plot. </w:t>
      </w:r>
      <w:r w:rsidRPr="007F1D06">
        <w:rPr>
          <w:i/>
          <w:iCs/>
          <w:lang w:val="en-GB"/>
        </w:rPr>
        <w:t>The Journal of Finance</w:t>
      </w:r>
      <w:r w:rsidRPr="007F1D06">
        <w:rPr>
          <w:lang w:val="en-GB"/>
        </w:rPr>
        <w:t xml:space="preserve">, [online] 32(5), pp.1403–1431. </w:t>
      </w:r>
      <w:hyperlink r:id="rId45" w:history="1">
        <w:r w:rsidR="00F55B51" w:rsidRPr="00396B1C">
          <w:rPr>
            <w:rStyle w:val="Hyperlink"/>
            <w:lang w:val="en-GB"/>
          </w:rPr>
          <w:t>https://doi.org/10.2307/2326801</w:t>
        </w:r>
      </w:hyperlink>
      <w:r w:rsidRPr="007F1D06">
        <w:rPr>
          <w:lang w:val="en-GB"/>
        </w:rPr>
        <w:t>.</w:t>
      </w:r>
      <w:r w:rsidR="00F55B51">
        <w:rPr>
          <w:lang w:val="en-GB"/>
        </w:rPr>
        <w:t xml:space="preserve"> </w:t>
      </w:r>
    </w:p>
    <w:p w14:paraId="644A2F5F" w14:textId="6303D9DD" w:rsidR="007F1D06" w:rsidRPr="007F1D06" w:rsidRDefault="007F1D06" w:rsidP="007F1D06">
      <w:pPr>
        <w:spacing w:line="360" w:lineRule="auto"/>
        <w:rPr>
          <w:lang w:val="en-GB"/>
        </w:rPr>
      </w:pPr>
      <w:r w:rsidRPr="007F1D06">
        <w:rPr>
          <w:lang w:val="en-GB"/>
        </w:rPr>
        <w:lastRenderedPageBreak/>
        <w:t xml:space="preserve">Yıldırım, D. and Çelik, A.K. (2020). Testing the pecking order theory of capital structure: Evidence from Turkey using panel quantile regression approach. </w:t>
      </w:r>
      <w:r w:rsidRPr="007F1D06">
        <w:rPr>
          <w:i/>
          <w:iCs/>
          <w:lang w:val="en-GB"/>
        </w:rPr>
        <w:t>Borsa Istanbul Review</w:t>
      </w:r>
      <w:r w:rsidRPr="007F1D06">
        <w:rPr>
          <w:lang w:val="en-GB"/>
        </w:rPr>
        <w:t xml:space="preserve">, [online] 21(4). </w:t>
      </w:r>
      <w:hyperlink r:id="rId46" w:history="1">
        <w:r w:rsidR="00F55B51" w:rsidRPr="00396B1C">
          <w:rPr>
            <w:rStyle w:val="Hyperlink"/>
            <w:lang w:val="en-GB"/>
          </w:rPr>
          <w:t>https://doi.org/10.1016/j.bir.2020.11.002</w:t>
        </w:r>
      </w:hyperlink>
      <w:r w:rsidRPr="007F1D06">
        <w:rPr>
          <w:lang w:val="en-GB"/>
        </w:rPr>
        <w:t>.</w:t>
      </w:r>
      <w:r w:rsidR="00F55B51">
        <w:rPr>
          <w:lang w:val="en-GB"/>
        </w:rPr>
        <w:t xml:space="preserve"> </w:t>
      </w:r>
    </w:p>
    <w:p w14:paraId="0D082A67" w14:textId="09F79069" w:rsidR="007F1D06" w:rsidRPr="007F1D06" w:rsidRDefault="007F1D06" w:rsidP="007F1D06">
      <w:pPr>
        <w:spacing w:line="360" w:lineRule="auto"/>
        <w:rPr>
          <w:lang w:val="en-GB"/>
        </w:rPr>
      </w:pPr>
      <w:r w:rsidRPr="007F1D06">
        <w:rPr>
          <w:lang w:val="en-GB"/>
        </w:rPr>
        <w:t xml:space="preserve">Zhou, Y., Xia, W. and Peng, S. (2021). Analysis of an Optimal Model for Liquidity Management of Financial Assets Using an Intelligent Scheduling Approach. </w:t>
      </w:r>
      <w:r w:rsidRPr="007F1D06">
        <w:rPr>
          <w:i/>
          <w:iCs/>
          <w:lang w:val="en-GB"/>
        </w:rPr>
        <w:t>Journal of Mathematics</w:t>
      </w:r>
      <w:r w:rsidRPr="007F1D06">
        <w:rPr>
          <w:lang w:val="en-GB"/>
        </w:rPr>
        <w:t>, 2021, pp.1–10.</w:t>
      </w:r>
      <w:r w:rsidR="00F55B51">
        <w:rPr>
          <w:lang w:val="en-GB"/>
        </w:rPr>
        <w:t xml:space="preserve"> </w:t>
      </w:r>
      <w:hyperlink r:id="rId47" w:history="1">
        <w:r w:rsidR="00F55B51" w:rsidRPr="00396B1C">
          <w:rPr>
            <w:rStyle w:val="Hyperlink"/>
            <w:lang w:val="en-GB"/>
          </w:rPr>
          <w:t>https://doi.org/10.1155/2021/7267667</w:t>
        </w:r>
      </w:hyperlink>
      <w:r w:rsidRPr="007F1D06">
        <w:rPr>
          <w:lang w:val="en-GB"/>
        </w:rPr>
        <w:t>.</w:t>
      </w:r>
      <w:r w:rsidR="00F55B51">
        <w:rPr>
          <w:lang w:val="en-GB"/>
        </w:rPr>
        <w:t xml:space="preserve"> </w:t>
      </w:r>
    </w:p>
    <w:p w14:paraId="173EAEC4" w14:textId="77777777" w:rsidR="001D55FF" w:rsidRPr="001D55FF" w:rsidRDefault="001D55FF" w:rsidP="007F1D06">
      <w:pPr>
        <w:spacing w:line="360" w:lineRule="auto"/>
        <w:rPr>
          <w:lang w:val="en-GB"/>
        </w:rPr>
      </w:pPr>
    </w:p>
    <w:p w14:paraId="4A228C99" w14:textId="77777777" w:rsidR="001D55FF" w:rsidRPr="001D55FF" w:rsidRDefault="001D55FF" w:rsidP="001D55FF">
      <w:pPr>
        <w:rPr>
          <w:lang w:val="en-GB"/>
        </w:rPr>
      </w:pPr>
    </w:p>
    <w:p w14:paraId="261837F9" w14:textId="77777777" w:rsidR="003875EE" w:rsidRPr="003875EE" w:rsidRDefault="003875EE" w:rsidP="003875EE">
      <w:pPr>
        <w:spacing w:line="360" w:lineRule="auto"/>
        <w:rPr>
          <w:lang w:val="en-GB"/>
        </w:rPr>
      </w:pPr>
    </w:p>
    <w:p w14:paraId="2FCAF16A" w14:textId="77777777" w:rsidR="002574BC" w:rsidRPr="002574BC" w:rsidRDefault="002574BC" w:rsidP="002574BC">
      <w:pPr>
        <w:spacing w:line="360" w:lineRule="auto"/>
        <w:rPr>
          <w:lang w:val="en-GB"/>
        </w:rPr>
      </w:pPr>
    </w:p>
    <w:p w14:paraId="0B94C5B4" w14:textId="65713DDD" w:rsidR="00C778BA" w:rsidRDefault="00C778BA">
      <w:pPr>
        <w:spacing w:before="0" w:after="160" w:line="278" w:lineRule="auto"/>
        <w:jc w:val="left"/>
      </w:pPr>
      <w:r>
        <w:br w:type="page"/>
      </w:r>
    </w:p>
    <w:p w14:paraId="445F3F52" w14:textId="39B1C134" w:rsidR="00C778BA" w:rsidRDefault="00C778BA" w:rsidP="00C778BA">
      <w:pPr>
        <w:pStyle w:val="Heading1"/>
      </w:pPr>
      <w:bookmarkStart w:id="24" w:name="_Toc213103761"/>
      <w:r>
        <w:lastRenderedPageBreak/>
        <w:t xml:space="preserve">Appendix A: </w:t>
      </w:r>
      <w:r w:rsidRPr="00C778BA">
        <w:t>Summary of Key Financial Performance Indicators (2020–2024)</w:t>
      </w:r>
      <w:bookmarkEnd w:id="24"/>
    </w:p>
    <w:tbl>
      <w:tblPr>
        <w:tblStyle w:val="PlainTable1"/>
        <w:tblW w:w="0" w:type="auto"/>
        <w:tblLook w:val="04A0" w:firstRow="1" w:lastRow="0" w:firstColumn="1" w:lastColumn="0" w:noHBand="0" w:noVBand="1"/>
      </w:tblPr>
      <w:tblGrid>
        <w:gridCol w:w="1249"/>
        <w:gridCol w:w="59"/>
        <w:gridCol w:w="1090"/>
        <w:gridCol w:w="480"/>
        <w:gridCol w:w="901"/>
        <w:gridCol w:w="59"/>
        <w:gridCol w:w="901"/>
        <w:gridCol w:w="363"/>
        <w:gridCol w:w="363"/>
        <w:gridCol w:w="901"/>
        <w:gridCol w:w="59"/>
        <w:gridCol w:w="668"/>
        <w:gridCol w:w="668"/>
        <w:gridCol w:w="59"/>
        <w:gridCol w:w="1371"/>
      </w:tblGrid>
      <w:tr w:rsidR="00C778BA" w:rsidRPr="00C778BA" w14:paraId="7313EC42" w14:textId="77777777" w:rsidTr="00C778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03FB1FA" w14:textId="77777777" w:rsidR="00C778BA" w:rsidRPr="00C778BA" w:rsidRDefault="00C778BA" w:rsidP="00C778BA">
            <w:pPr>
              <w:jc w:val="center"/>
              <w:rPr>
                <w:lang w:val="en-GB"/>
              </w:rPr>
            </w:pPr>
            <w:r w:rsidRPr="00C778BA">
              <w:rPr>
                <w:lang w:val="en-GB"/>
              </w:rPr>
              <w:t>Financial Metric (£ million)</w:t>
            </w:r>
          </w:p>
        </w:tc>
        <w:tc>
          <w:tcPr>
            <w:tcW w:w="0" w:type="auto"/>
            <w:gridSpan w:val="2"/>
            <w:hideMark/>
          </w:tcPr>
          <w:p w14:paraId="669BA4A0"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2020</w:t>
            </w:r>
          </w:p>
        </w:tc>
        <w:tc>
          <w:tcPr>
            <w:tcW w:w="0" w:type="auto"/>
            <w:hideMark/>
          </w:tcPr>
          <w:p w14:paraId="7C078209"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2021</w:t>
            </w:r>
          </w:p>
        </w:tc>
        <w:tc>
          <w:tcPr>
            <w:tcW w:w="0" w:type="auto"/>
            <w:gridSpan w:val="3"/>
            <w:hideMark/>
          </w:tcPr>
          <w:p w14:paraId="47149366"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2022</w:t>
            </w:r>
          </w:p>
        </w:tc>
        <w:tc>
          <w:tcPr>
            <w:tcW w:w="0" w:type="auto"/>
            <w:gridSpan w:val="3"/>
            <w:hideMark/>
          </w:tcPr>
          <w:p w14:paraId="7B677AE8"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2023</w:t>
            </w:r>
          </w:p>
        </w:tc>
        <w:tc>
          <w:tcPr>
            <w:tcW w:w="0" w:type="auto"/>
            <w:gridSpan w:val="2"/>
            <w:hideMark/>
          </w:tcPr>
          <w:p w14:paraId="4BE301BA"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2024</w:t>
            </w:r>
          </w:p>
        </w:tc>
        <w:tc>
          <w:tcPr>
            <w:tcW w:w="0" w:type="auto"/>
            <w:gridSpan w:val="2"/>
            <w:hideMark/>
          </w:tcPr>
          <w:p w14:paraId="5EC628B1" w14:textId="77777777" w:rsidR="00C778BA" w:rsidRPr="00C778BA" w:rsidRDefault="00C778BA" w:rsidP="00C778BA">
            <w:pPr>
              <w:jc w:val="center"/>
              <w:cnfStyle w:val="100000000000" w:firstRow="1" w:lastRow="0" w:firstColumn="0" w:lastColumn="0" w:oddVBand="0" w:evenVBand="0" w:oddHBand="0" w:evenHBand="0" w:firstRowFirstColumn="0" w:firstRowLastColumn="0" w:lastRowFirstColumn="0" w:lastRowLastColumn="0"/>
              <w:rPr>
                <w:lang w:val="en-GB"/>
              </w:rPr>
            </w:pPr>
            <w:r w:rsidRPr="00C778BA">
              <w:rPr>
                <w:lang w:val="en-GB"/>
              </w:rPr>
              <w:t>Trend / Interpretation</w:t>
            </w:r>
          </w:p>
        </w:tc>
      </w:tr>
      <w:tr w:rsidR="00C778BA" w:rsidRPr="00C778BA" w14:paraId="60FC591A"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5E5B97A3" w14:textId="77777777" w:rsidR="00C778BA" w:rsidRPr="00C778BA" w:rsidRDefault="00C778BA" w:rsidP="00C778BA">
            <w:pPr>
              <w:jc w:val="center"/>
              <w:rPr>
                <w:lang w:val="en-GB"/>
              </w:rPr>
            </w:pPr>
            <w:r w:rsidRPr="00C778BA">
              <w:rPr>
                <w:lang w:val="en-GB"/>
              </w:rPr>
              <w:t>Net Sales (Revenue)</w:t>
            </w:r>
          </w:p>
        </w:tc>
        <w:tc>
          <w:tcPr>
            <w:tcW w:w="0" w:type="auto"/>
            <w:gridSpan w:val="2"/>
            <w:hideMark/>
          </w:tcPr>
          <w:p w14:paraId="7AD52533"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614,680</w:t>
            </w:r>
          </w:p>
        </w:tc>
        <w:tc>
          <w:tcPr>
            <w:tcW w:w="0" w:type="auto"/>
            <w:hideMark/>
          </w:tcPr>
          <w:p w14:paraId="5E00FF53"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601,602</w:t>
            </w:r>
          </w:p>
        </w:tc>
        <w:tc>
          <w:tcPr>
            <w:tcW w:w="0" w:type="auto"/>
            <w:gridSpan w:val="3"/>
            <w:hideMark/>
          </w:tcPr>
          <w:p w14:paraId="674FFF4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542,751</w:t>
            </w:r>
          </w:p>
        </w:tc>
        <w:tc>
          <w:tcPr>
            <w:tcW w:w="0" w:type="auto"/>
            <w:gridSpan w:val="3"/>
            <w:hideMark/>
          </w:tcPr>
          <w:p w14:paraId="0300FE65"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420,457</w:t>
            </w:r>
          </w:p>
        </w:tc>
        <w:tc>
          <w:tcPr>
            <w:tcW w:w="0" w:type="auto"/>
            <w:gridSpan w:val="2"/>
            <w:hideMark/>
          </w:tcPr>
          <w:p w14:paraId="582C13A0"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394,879</w:t>
            </w:r>
          </w:p>
        </w:tc>
        <w:tc>
          <w:tcPr>
            <w:tcW w:w="0" w:type="auto"/>
            <w:gridSpan w:val="2"/>
            <w:hideMark/>
          </w:tcPr>
          <w:p w14:paraId="2DF9BE0A"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Continuous decline (–36% overall), signalling weak market performance</w:t>
            </w:r>
          </w:p>
        </w:tc>
      </w:tr>
      <w:tr w:rsidR="00C778BA" w:rsidRPr="00C778BA" w14:paraId="1E899AB5" w14:textId="77777777" w:rsidTr="00C778BA">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BF3219F" w14:textId="77777777" w:rsidR="00C778BA" w:rsidRPr="00C778BA" w:rsidRDefault="00C778BA" w:rsidP="00C778BA">
            <w:pPr>
              <w:jc w:val="center"/>
              <w:rPr>
                <w:lang w:val="en-GB"/>
              </w:rPr>
            </w:pPr>
            <w:r w:rsidRPr="00C778BA">
              <w:rPr>
                <w:lang w:val="en-GB"/>
              </w:rPr>
              <w:t>Cost of Sales</w:t>
            </w:r>
          </w:p>
        </w:tc>
        <w:tc>
          <w:tcPr>
            <w:tcW w:w="0" w:type="auto"/>
            <w:gridSpan w:val="2"/>
            <w:hideMark/>
          </w:tcPr>
          <w:p w14:paraId="495DAF2C"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(438,424)</w:t>
            </w:r>
          </w:p>
        </w:tc>
        <w:tc>
          <w:tcPr>
            <w:tcW w:w="0" w:type="auto"/>
            <w:hideMark/>
          </w:tcPr>
          <w:p w14:paraId="2A15FFBB"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(428,586)</w:t>
            </w:r>
          </w:p>
        </w:tc>
        <w:tc>
          <w:tcPr>
            <w:tcW w:w="0" w:type="auto"/>
            <w:gridSpan w:val="3"/>
            <w:hideMark/>
          </w:tcPr>
          <w:p w14:paraId="29006D1F"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(390,459)</w:t>
            </w:r>
          </w:p>
        </w:tc>
        <w:tc>
          <w:tcPr>
            <w:tcW w:w="0" w:type="auto"/>
            <w:gridSpan w:val="3"/>
            <w:hideMark/>
          </w:tcPr>
          <w:p w14:paraId="1066FCFB"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(322,897)</w:t>
            </w:r>
          </w:p>
        </w:tc>
        <w:tc>
          <w:tcPr>
            <w:tcW w:w="0" w:type="auto"/>
            <w:gridSpan w:val="2"/>
            <w:hideMark/>
          </w:tcPr>
          <w:p w14:paraId="5A03DDEF"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(280,885)</w:t>
            </w:r>
          </w:p>
        </w:tc>
        <w:tc>
          <w:tcPr>
            <w:tcW w:w="0" w:type="auto"/>
            <w:gridSpan w:val="2"/>
            <w:hideMark/>
          </w:tcPr>
          <w:p w14:paraId="6165EEDE"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Falling with sales but not enough to preserve margins</w:t>
            </w:r>
          </w:p>
        </w:tc>
      </w:tr>
      <w:tr w:rsidR="00C778BA" w:rsidRPr="00C778BA" w14:paraId="606E2041"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000E65A" w14:textId="77777777" w:rsidR="00C778BA" w:rsidRPr="00C778BA" w:rsidRDefault="00C778BA" w:rsidP="00C778BA">
            <w:pPr>
              <w:jc w:val="center"/>
              <w:rPr>
                <w:lang w:val="en-GB"/>
              </w:rPr>
            </w:pPr>
            <w:r w:rsidRPr="00C778BA">
              <w:rPr>
                <w:lang w:val="en-GB"/>
              </w:rPr>
              <w:t>Gross Profit</w:t>
            </w:r>
          </w:p>
        </w:tc>
        <w:tc>
          <w:tcPr>
            <w:tcW w:w="0" w:type="auto"/>
            <w:gridSpan w:val="2"/>
            <w:hideMark/>
          </w:tcPr>
          <w:p w14:paraId="5D91C0F1"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176,256</w:t>
            </w:r>
          </w:p>
        </w:tc>
        <w:tc>
          <w:tcPr>
            <w:tcW w:w="0" w:type="auto"/>
            <w:hideMark/>
          </w:tcPr>
          <w:p w14:paraId="3BA3CADF"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173,016</w:t>
            </w:r>
          </w:p>
        </w:tc>
        <w:tc>
          <w:tcPr>
            <w:tcW w:w="0" w:type="auto"/>
            <w:gridSpan w:val="3"/>
            <w:hideMark/>
          </w:tcPr>
          <w:p w14:paraId="15AAA761"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152,292</w:t>
            </w:r>
          </w:p>
        </w:tc>
        <w:tc>
          <w:tcPr>
            <w:tcW w:w="0" w:type="auto"/>
            <w:gridSpan w:val="3"/>
            <w:hideMark/>
          </w:tcPr>
          <w:p w14:paraId="4EE3E9F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97,560</w:t>
            </w:r>
          </w:p>
        </w:tc>
        <w:tc>
          <w:tcPr>
            <w:tcW w:w="0" w:type="auto"/>
            <w:gridSpan w:val="2"/>
            <w:hideMark/>
          </w:tcPr>
          <w:p w14:paraId="1893654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113,994</w:t>
            </w:r>
          </w:p>
        </w:tc>
        <w:tc>
          <w:tcPr>
            <w:tcW w:w="0" w:type="auto"/>
            <w:gridSpan w:val="2"/>
            <w:hideMark/>
          </w:tcPr>
          <w:p w14:paraId="69A0FF4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Declining gross profit due to reduced volumes and pricing pressure</w:t>
            </w:r>
          </w:p>
        </w:tc>
      </w:tr>
      <w:tr w:rsidR="00C778BA" w:rsidRPr="00C778BA" w14:paraId="7B577D51" w14:textId="77777777" w:rsidTr="00C778BA">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BD8592B" w14:textId="77777777" w:rsidR="00C778BA" w:rsidRPr="00C778BA" w:rsidRDefault="00C778BA" w:rsidP="00C778BA">
            <w:pPr>
              <w:jc w:val="center"/>
              <w:rPr>
                <w:lang w:val="en-GB"/>
              </w:rPr>
            </w:pPr>
            <w:r w:rsidRPr="00C778BA">
              <w:rPr>
                <w:lang w:val="en-GB"/>
              </w:rPr>
              <w:t>Operating Expenses</w:t>
            </w:r>
          </w:p>
        </w:tc>
        <w:tc>
          <w:tcPr>
            <w:tcW w:w="0" w:type="auto"/>
            <w:gridSpan w:val="2"/>
            <w:hideMark/>
          </w:tcPr>
          <w:p w14:paraId="35E1B49E"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138,989</w:t>
            </w:r>
          </w:p>
        </w:tc>
        <w:tc>
          <w:tcPr>
            <w:tcW w:w="0" w:type="auto"/>
            <w:hideMark/>
          </w:tcPr>
          <w:p w14:paraId="2EDADDC0"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149,763</w:t>
            </w:r>
          </w:p>
        </w:tc>
        <w:tc>
          <w:tcPr>
            <w:tcW w:w="0" w:type="auto"/>
            <w:gridSpan w:val="3"/>
            <w:hideMark/>
          </w:tcPr>
          <w:p w14:paraId="1D79EC1D"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137,744</w:t>
            </w:r>
          </w:p>
        </w:tc>
        <w:tc>
          <w:tcPr>
            <w:tcW w:w="0" w:type="auto"/>
            <w:gridSpan w:val="3"/>
            <w:hideMark/>
          </w:tcPr>
          <w:p w14:paraId="6963D472"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182,861</w:t>
            </w:r>
          </w:p>
        </w:tc>
        <w:tc>
          <w:tcPr>
            <w:tcW w:w="0" w:type="auto"/>
            <w:gridSpan w:val="2"/>
            <w:hideMark/>
          </w:tcPr>
          <w:p w14:paraId="35DA174B"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129,291</w:t>
            </w:r>
          </w:p>
        </w:tc>
        <w:tc>
          <w:tcPr>
            <w:tcW w:w="0" w:type="auto"/>
            <w:gridSpan w:val="2"/>
            <w:hideMark/>
          </w:tcPr>
          <w:p w14:paraId="0ABC7815"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Volatile; 2023 shows cost spike contributing to loss</w:t>
            </w:r>
          </w:p>
        </w:tc>
      </w:tr>
      <w:tr w:rsidR="00C778BA" w:rsidRPr="00C778BA" w14:paraId="5D15BF9B"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666F7566" w14:textId="77777777" w:rsidR="00C778BA" w:rsidRPr="00C778BA" w:rsidRDefault="00C778BA" w:rsidP="00C778BA">
            <w:pPr>
              <w:jc w:val="center"/>
              <w:rPr>
                <w:lang w:val="en-GB"/>
              </w:rPr>
            </w:pPr>
            <w:r w:rsidRPr="00C778BA">
              <w:rPr>
                <w:lang w:val="en-GB"/>
              </w:rPr>
              <w:t>Operating Income (Loss)</w:t>
            </w:r>
          </w:p>
        </w:tc>
        <w:tc>
          <w:tcPr>
            <w:tcW w:w="0" w:type="auto"/>
            <w:gridSpan w:val="2"/>
            <w:hideMark/>
          </w:tcPr>
          <w:p w14:paraId="5CF7B653"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37,267</w:t>
            </w:r>
          </w:p>
        </w:tc>
        <w:tc>
          <w:tcPr>
            <w:tcW w:w="0" w:type="auto"/>
            <w:hideMark/>
          </w:tcPr>
          <w:p w14:paraId="261A7A0D"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23,253</w:t>
            </w:r>
          </w:p>
        </w:tc>
        <w:tc>
          <w:tcPr>
            <w:tcW w:w="0" w:type="auto"/>
            <w:gridSpan w:val="3"/>
            <w:hideMark/>
          </w:tcPr>
          <w:p w14:paraId="60C90DC7"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14,548</w:t>
            </w:r>
          </w:p>
        </w:tc>
        <w:tc>
          <w:tcPr>
            <w:tcW w:w="0" w:type="auto"/>
            <w:gridSpan w:val="3"/>
            <w:hideMark/>
          </w:tcPr>
          <w:p w14:paraId="1C2268F5"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(85,301)</w:t>
            </w:r>
          </w:p>
        </w:tc>
        <w:tc>
          <w:tcPr>
            <w:tcW w:w="0" w:type="auto"/>
            <w:gridSpan w:val="2"/>
            <w:hideMark/>
          </w:tcPr>
          <w:p w14:paraId="6F21346D"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(15,297)</w:t>
            </w:r>
          </w:p>
        </w:tc>
        <w:tc>
          <w:tcPr>
            <w:tcW w:w="0" w:type="auto"/>
            <w:gridSpan w:val="2"/>
            <w:hideMark/>
          </w:tcPr>
          <w:p w14:paraId="67E526FE"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Turned negative after 2022 — major performance deterioration</w:t>
            </w:r>
          </w:p>
        </w:tc>
      </w:tr>
      <w:tr w:rsidR="00C778BA" w:rsidRPr="00C778BA" w14:paraId="556ACA72" w14:textId="77777777" w:rsidTr="00C778BA">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6647547" w14:textId="77777777" w:rsidR="00C778BA" w:rsidRPr="00C778BA" w:rsidRDefault="00C778BA" w:rsidP="00C778BA">
            <w:pPr>
              <w:jc w:val="center"/>
              <w:rPr>
                <w:lang w:val="en-GB"/>
              </w:rPr>
            </w:pPr>
            <w:r w:rsidRPr="00C778BA">
              <w:rPr>
                <w:lang w:val="en-GB"/>
              </w:rPr>
              <w:lastRenderedPageBreak/>
              <w:t>Interest Expense (Net)</w:t>
            </w:r>
          </w:p>
        </w:tc>
        <w:tc>
          <w:tcPr>
            <w:tcW w:w="0" w:type="auto"/>
            <w:gridSpan w:val="2"/>
            <w:hideMark/>
          </w:tcPr>
          <w:p w14:paraId="76F3E1B5"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(1,422)</w:t>
            </w:r>
          </w:p>
        </w:tc>
        <w:tc>
          <w:tcPr>
            <w:tcW w:w="0" w:type="auto"/>
            <w:hideMark/>
          </w:tcPr>
          <w:p w14:paraId="0526D072"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(566)</w:t>
            </w:r>
          </w:p>
        </w:tc>
        <w:tc>
          <w:tcPr>
            <w:tcW w:w="0" w:type="auto"/>
            <w:gridSpan w:val="3"/>
            <w:hideMark/>
          </w:tcPr>
          <w:p w14:paraId="3D176A46"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(2,200)</w:t>
            </w:r>
          </w:p>
        </w:tc>
        <w:tc>
          <w:tcPr>
            <w:tcW w:w="0" w:type="auto"/>
            <w:gridSpan w:val="3"/>
            <w:hideMark/>
          </w:tcPr>
          <w:p w14:paraId="4654D67F"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(4,332)</w:t>
            </w:r>
          </w:p>
        </w:tc>
        <w:tc>
          <w:tcPr>
            <w:tcW w:w="0" w:type="auto"/>
            <w:gridSpan w:val="2"/>
            <w:hideMark/>
          </w:tcPr>
          <w:p w14:paraId="3FB5A286"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(3,361)</w:t>
            </w:r>
          </w:p>
        </w:tc>
        <w:tc>
          <w:tcPr>
            <w:tcW w:w="0" w:type="auto"/>
            <w:gridSpan w:val="2"/>
            <w:hideMark/>
          </w:tcPr>
          <w:p w14:paraId="3628C719"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Rising interest burden due to increased debt levels</w:t>
            </w:r>
          </w:p>
        </w:tc>
      </w:tr>
      <w:tr w:rsidR="00C778BA" w:rsidRPr="00C778BA" w14:paraId="14A44B7E"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CE55260" w14:textId="77777777" w:rsidR="00C778BA" w:rsidRPr="00C778BA" w:rsidRDefault="00C778BA" w:rsidP="00C778BA">
            <w:pPr>
              <w:jc w:val="center"/>
              <w:rPr>
                <w:lang w:val="en-GB"/>
              </w:rPr>
            </w:pPr>
            <w:r w:rsidRPr="00C778BA">
              <w:rPr>
                <w:lang w:val="en-GB"/>
              </w:rPr>
              <w:t>Other Income (Expense)</w:t>
            </w:r>
          </w:p>
        </w:tc>
        <w:tc>
          <w:tcPr>
            <w:tcW w:w="0" w:type="auto"/>
            <w:gridSpan w:val="2"/>
            <w:hideMark/>
          </w:tcPr>
          <w:p w14:paraId="04961A59"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8,060</w:t>
            </w:r>
          </w:p>
        </w:tc>
        <w:tc>
          <w:tcPr>
            <w:tcW w:w="0" w:type="auto"/>
            <w:hideMark/>
          </w:tcPr>
          <w:p w14:paraId="0D7D8A59"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(6,607)</w:t>
            </w:r>
          </w:p>
        </w:tc>
        <w:tc>
          <w:tcPr>
            <w:tcW w:w="0" w:type="auto"/>
            <w:gridSpan w:val="3"/>
            <w:hideMark/>
          </w:tcPr>
          <w:p w14:paraId="24312CC9"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(955)</w:t>
            </w:r>
          </w:p>
        </w:tc>
        <w:tc>
          <w:tcPr>
            <w:tcW w:w="0" w:type="auto"/>
            <w:gridSpan w:val="3"/>
            <w:hideMark/>
          </w:tcPr>
          <w:p w14:paraId="0D8FD431"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(2,621)</w:t>
            </w:r>
          </w:p>
        </w:tc>
        <w:tc>
          <w:tcPr>
            <w:tcW w:w="0" w:type="auto"/>
            <w:gridSpan w:val="2"/>
            <w:hideMark/>
          </w:tcPr>
          <w:p w14:paraId="61CC25FA"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60</w:t>
            </w:r>
          </w:p>
        </w:tc>
        <w:tc>
          <w:tcPr>
            <w:tcW w:w="0" w:type="auto"/>
            <w:gridSpan w:val="2"/>
            <w:hideMark/>
          </w:tcPr>
          <w:p w14:paraId="6FD9E147"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Non-operational volatility adds uncertainty</w:t>
            </w:r>
          </w:p>
        </w:tc>
      </w:tr>
      <w:tr w:rsidR="00C778BA" w:rsidRPr="00C778BA" w14:paraId="7590D2A1" w14:textId="77777777" w:rsidTr="00C778BA">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DF0ED6C" w14:textId="77777777" w:rsidR="00C778BA" w:rsidRPr="00C778BA" w:rsidRDefault="00C778BA" w:rsidP="00C778BA">
            <w:pPr>
              <w:jc w:val="center"/>
              <w:rPr>
                <w:lang w:val="en-GB"/>
              </w:rPr>
            </w:pPr>
            <w:r w:rsidRPr="00C778BA">
              <w:rPr>
                <w:lang w:val="en-GB"/>
              </w:rPr>
              <w:t>Net Income (Loss)</w:t>
            </w:r>
          </w:p>
        </w:tc>
        <w:tc>
          <w:tcPr>
            <w:tcW w:w="0" w:type="auto"/>
            <w:gridSpan w:val="2"/>
            <w:hideMark/>
          </w:tcPr>
          <w:p w14:paraId="1ED14179"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38,572</w:t>
            </w:r>
          </w:p>
        </w:tc>
        <w:tc>
          <w:tcPr>
            <w:tcW w:w="0" w:type="auto"/>
            <w:hideMark/>
          </w:tcPr>
          <w:p w14:paraId="5CC96E89"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5,301</w:t>
            </w:r>
          </w:p>
        </w:tc>
        <w:tc>
          <w:tcPr>
            <w:tcW w:w="0" w:type="auto"/>
            <w:gridSpan w:val="3"/>
            <w:hideMark/>
          </w:tcPr>
          <w:p w14:paraId="36A264B9"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407</w:t>
            </w:r>
          </w:p>
        </w:tc>
        <w:tc>
          <w:tcPr>
            <w:tcW w:w="0" w:type="auto"/>
            <w:gridSpan w:val="3"/>
            <w:hideMark/>
          </w:tcPr>
          <w:p w14:paraId="0EFED6B7"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(98,238)</w:t>
            </w:r>
          </w:p>
        </w:tc>
        <w:tc>
          <w:tcPr>
            <w:tcW w:w="0" w:type="auto"/>
            <w:gridSpan w:val="2"/>
            <w:hideMark/>
          </w:tcPr>
          <w:p w14:paraId="617FE539"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(24,029)</w:t>
            </w:r>
          </w:p>
        </w:tc>
        <w:tc>
          <w:tcPr>
            <w:tcW w:w="0" w:type="auto"/>
            <w:gridSpan w:val="2"/>
            <w:hideMark/>
          </w:tcPr>
          <w:p w14:paraId="0289A523"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Profit collapse and persistent losses — sign of financial distress</w:t>
            </w:r>
          </w:p>
        </w:tc>
      </w:tr>
      <w:tr w:rsidR="00C778BA" w:rsidRPr="00C778BA" w14:paraId="1E0684A3"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FED5D0E" w14:textId="77777777" w:rsidR="00C778BA" w:rsidRPr="00C778BA" w:rsidRDefault="00C778BA" w:rsidP="00C778BA">
            <w:pPr>
              <w:jc w:val="center"/>
              <w:rPr>
                <w:lang w:val="en-GB"/>
              </w:rPr>
            </w:pPr>
            <w:r w:rsidRPr="00C778BA">
              <w:rPr>
                <w:lang w:val="en-GB"/>
              </w:rPr>
              <w:t>Total Assets</w:t>
            </w:r>
          </w:p>
        </w:tc>
        <w:tc>
          <w:tcPr>
            <w:tcW w:w="0" w:type="auto"/>
            <w:gridSpan w:val="2"/>
            <w:hideMark/>
          </w:tcPr>
          <w:p w14:paraId="6017C883"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510,290</w:t>
            </w:r>
          </w:p>
        </w:tc>
        <w:tc>
          <w:tcPr>
            <w:tcW w:w="0" w:type="auto"/>
            <w:hideMark/>
          </w:tcPr>
          <w:p w14:paraId="0B742F0C"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510,348</w:t>
            </w:r>
          </w:p>
        </w:tc>
        <w:tc>
          <w:tcPr>
            <w:tcW w:w="0" w:type="auto"/>
            <w:gridSpan w:val="3"/>
            <w:hideMark/>
          </w:tcPr>
          <w:p w14:paraId="033D9097"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504,163</w:t>
            </w:r>
          </w:p>
        </w:tc>
        <w:tc>
          <w:tcPr>
            <w:tcW w:w="0" w:type="auto"/>
            <w:gridSpan w:val="3"/>
            <w:hideMark/>
          </w:tcPr>
          <w:p w14:paraId="6BE0B14B"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355,872</w:t>
            </w:r>
          </w:p>
        </w:tc>
        <w:tc>
          <w:tcPr>
            <w:tcW w:w="0" w:type="auto"/>
            <w:gridSpan w:val="2"/>
            <w:hideMark/>
          </w:tcPr>
          <w:p w14:paraId="25FE6C2E"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323,354</w:t>
            </w:r>
          </w:p>
        </w:tc>
        <w:tc>
          <w:tcPr>
            <w:tcW w:w="0" w:type="auto"/>
            <w:gridSpan w:val="2"/>
            <w:hideMark/>
          </w:tcPr>
          <w:p w14:paraId="2C88FAB4"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37% asset contraction due to divestments and impairments</w:t>
            </w:r>
          </w:p>
        </w:tc>
      </w:tr>
      <w:tr w:rsidR="00C778BA" w:rsidRPr="00C778BA" w14:paraId="33B022B2" w14:textId="77777777" w:rsidTr="00C778BA">
        <w:tc>
          <w:tcPr>
            <w:cnfStyle w:val="001000000000" w:firstRow="0" w:lastRow="0" w:firstColumn="1" w:lastColumn="0" w:oddVBand="0" w:evenVBand="0" w:oddHBand="0" w:evenHBand="0" w:firstRowFirstColumn="0" w:firstRowLastColumn="0" w:lastRowFirstColumn="0" w:lastRowLastColumn="0"/>
            <w:tcW w:w="0" w:type="auto"/>
            <w:gridSpan w:val="2"/>
            <w:hideMark/>
          </w:tcPr>
          <w:p w14:paraId="7B1B325C" w14:textId="77777777" w:rsidR="00C778BA" w:rsidRPr="00C778BA" w:rsidRDefault="00C778BA" w:rsidP="00C778BA">
            <w:pPr>
              <w:jc w:val="center"/>
              <w:rPr>
                <w:lang w:val="en-GB"/>
              </w:rPr>
            </w:pPr>
            <w:r w:rsidRPr="00C778BA">
              <w:rPr>
                <w:lang w:val="en-GB"/>
              </w:rPr>
              <w:t>Shareholders’ Equity</w:t>
            </w:r>
          </w:p>
        </w:tc>
        <w:tc>
          <w:tcPr>
            <w:tcW w:w="0" w:type="auto"/>
            <w:gridSpan w:val="2"/>
            <w:hideMark/>
          </w:tcPr>
          <w:p w14:paraId="5D67E8C2"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313,301</w:t>
            </w:r>
          </w:p>
        </w:tc>
        <w:tc>
          <w:tcPr>
            <w:tcW w:w="0" w:type="auto"/>
            <w:hideMark/>
          </w:tcPr>
          <w:p w14:paraId="765945B2"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275,949</w:t>
            </w:r>
          </w:p>
        </w:tc>
        <w:tc>
          <w:tcPr>
            <w:tcW w:w="0" w:type="auto"/>
            <w:gridSpan w:val="3"/>
            <w:hideMark/>
          </w:tcPr>
          <w:p w14:paraId="59D3BB18"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268,406</w:t>
            </w:r>
          </w:p>
        </w:tc>
        <w:tc>
          <w:tcPr>
            <w:tcW w:w="0" w:type="auto"/>
            <w:gridSpan w:val="3"/>
            <w:hideMark/>
          </w:tcPr>
          <w:p w14:paraId="2ABD6442"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178,920</w:t>
            </w:r>
          </w:p>
        </w:tc>
        <w:tc>
          <w:tcPr>
            <w:tcW w:w="0" w:type="auto"/>
            <w:gridSpan w:val="2"/>
            <w:hideMark/>
          </w:tcPr>
          <w:p w14:paraId="3EBBF7F7"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153,105</w:t>
            </w:r>
          </w:p>
        </w:tc>
        <w:tc>
          <w:tcPr>
            <w:tcW w:w="0" w:type="auto"/>
            <w:gridSpan w:val="2"/>
            <w:hideMark/>
          </w:tcPr>
          <w:p w14:paraId="4C249D37" w14:textId="77777777" w:rsidR="00C778BA" w:rsidRPr="00C778BA" w:rsidRDefault="00C778BA" w:rsidP="00C778BA">
            <w:pPr>
              <w:jc w:val="center"/>
              <w:cnfStyle w:val="000000000000" w:firstRow="0" w:lastRow="0" w:firstColumn="0" w:lastColumn="0" w:oddVBand="0" w:evenVBand="0" w:oddHBand="0" w:evenHBand="0" w:firstRowFirstColumn="0" w:firstRowLastColumn="0" w:lastRowFirstColumn="0" w:lastRowLastColumn="0"/>
              <w:rPr>
                <w:lang w:val="en-GB"/>
              </w:rPr>
            </w:pPr>
            <w:r w:rsidRPr="00C778BA">
              <w:rPr>
                <w:lang w:val="en-GB"/>
              </w:rPr>
              <w:t>Significant equity erosion, implying reduced investor confidence</w:t>
            </w:r>
          </w:p>
        </w:tc>
      </w:tr>
      <w:tr w:rsidR="00C778BA" w:rsidRPr="00C778BA" w14:paraId="43950971"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072FC6BB" w14:textId="77777777" w:rsidR="00C778BA" w:rsidRPr="00C778BA" w:rsidRDefault="00C778BA" w:rsidP="00C778BA">
            <w:pPr>
              <w:jc w:val="center"/>
              <w:rPr>
                <w:lang w:val="en-GB"/>
              </w:rPr>
            </w:pPr>
            <w:r w:rsidRPr="00C778BA">
              <w:rPr>
                <w:lang w:val="en-GB"/>
              </w:rPr>
              <w:t>Earnings per Share (£)</w:t>
            </w:r>
          </w:p>
        </w:tc>
        <w:tc>
          <w:tcPr>
            <w:tcW w:w="0" w:type="auto"/>
            <w:gridSpan w:val="2"/>
            <w:hideMark/>
          </w:tcPr>
          <w:p w14:paraId="4EE7B30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2.78</w:t>
            </w:r>
          </w:p>
        </w:tc>
        <w:tc>
          <w:tcPr>
            <w:tcW w:w="0" w:type="auto"/>
            <w:hideMark/>
          </w:tcPr>
          <w:p w14:paraId="29CBC4C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0.39</w:t>
            </w:r>
          </w:p>
        </w:tc>
        <w:tc>
          <w:tcPr>
            <w:tcW w:w="0" w:type="auto"/>
            <w:gridSpan w:val="3"/>
            <w:hideMark/>
          </w:tcPr>
          <w:p w14:paraId="0948A05F"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0.03</w:t>
            </w:r>
          </w:p>
        </w:tc>
        <w:tc>
          <w:tcPr>
            <w:tcW w:w="0" w:type="auto"/>
            <w:gridSpan w:val="3"/>
            <w:hideMark/>
          </w:tcPr>
          <w:p w14:paraId="423D1814"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–7.64</w:t>
            </w:r>
          </w:p>
        </w:tc>
        <w:tc>
          <w:tcPr>
            <w:tcW w:w="0" w:type="auto"/>
            <w:gridSpan w:val="2"/>
            <w:hideMark/>
          </w:tcPr>
          <w:p w14:paraId="3CD1A09E"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–1.85</w:t>
            </w:r>
          </w:p>
        </w:tc>
        <w:tc>
          <w:tcPr>
            <w:tcW w:w="0" w:type="auto"/>
            <w:gridSpan w:val="2"/>
            <w:hideMark/>
          </w:tcPr>
          <w:p w14:paraId="510B8FB6" w14:textId="77777777" w:rsidR="00C778BA" w:rsidRPr="00C778BA" w:rsidRDefault="00C778BA" w:rsidP="00C778BA">
            <w:pPr>
              <w:jc w:val="center"/>
              <w:cnfStyle w:val="000000100000" w:firstRow="0" w:lastRow="0" w:firstColumn="0" w:lastColumn="0" w:oddVBand="0" w:evenVBand="0" w:oddHBand="1" w:evenHBand="0" w:firstRowFirstColumn="0" w:firstRowLastColumn="0" w:lastRowFirstColumn="0" w:lastRowLastColumn="0"/>
              <w:rPr>
                <w:lang w:val="en-GB"/>
              </w:rPr>
            </w:pPr>
            <w:r w:rsidRPr="00C778BA">
              <w:rPr>
                <w:lang w:val="en-GB"/>
              </w:rPr>
              <w:t>Drastic reversal, indicating sustained losses per share</w:t>
            </w:r>
          </w:p>
        </w:tc>
      </w:tr>
      <w:tr w:rsidR="00C778BA" w14:paraId="69033CAF"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1E8CC26B" w14:textId="77777777" w:rsidR="00C778BA" w:rsidRDefault="00C778BA">
            <w:pPr>
              <w:spacing w:before="0" w:after="0"/>
              <w:jc w:val="center"/>
              <w:rPr>
                <w:lang w:val="en-GB"/>
              </w:rPr>
            </w:pPr>
            <w:r>
              <w:rPr>
                <w:rStyle w:val="Strong"/>
              </w:rPr>
              <w:t>Category</w:t>
            </w:r>
          </w:p>
        </w:tc>
        <w:tc>
          <w:tcPr>
            <w:tcW w:w="0" w:type="auto"/>
            <w:gridSpan w:val="2"/>
            <w:hideMark/>
          </w:tcPr>
          <w:p w14:paraId="190B3347"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Financial Ratio</w:t>
            </w:r>
          </w:p>
        </w:tc>
        <w:tc>
          <w:tcPr>
            <w:tcW w:w="0" w:type="auto"/>
            <w:gridSpan w:val="3"/>
            <w:hideMark/>
          </w:tcPr>
          <w:p w14:paraId="5DBAEB4E"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Formula / Definition</w:t>
            </w:r>
          </w:p>
        </w:tc>
        <w:tc>
          <w:tcPr>
            <w:tcW w:w="0" w:type="auto"/>
            <w:hideMark/>
          </w:tcPr>
          <w:p w14:paraId="66E1F83C"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2020</w:t>
            </w:r>
          </w:p>
        </w:tc>
        <w:tc>
          <w:tcPr>
            <w:tcW w:w="0" w:type="auto"/>
            <w:gridSpan w:val="2"/>
            <w:hideMark/>
          </w:tcPr>
          <w:p w14:paraId="05FCFB07"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2021</w:t>
            </w:r>
          </w:p>
        </w:tc>
        <w:tc>
          <w:tcPr>
            <w:tcW w:w="0" w:type="auto"/>
            <w:hideMark/>
          </w:tcPr>
          <w:p w14:paraId="5536FE3A"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2022</w:t>
            </w:r>
          </w:p>
        </w:tc>
        <w:tc>
          <w:tcPr>
            <w:tcW w:w="0" w:type="auto"/>
            <w:gridSpan w:val="2"/>
            <w:hideMark/>
          </w:tcPr>
          <w:p w14:paraId="39C3EA3C"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2023</w:t>
            </w:r>
          </w:p>
        </w:tc>
        <w:tc>
          <w:tcPr>
            <w:tcW w:w="0" w:type="auto"/>
            <w:gridSpan w:val="2"/>
            <w:hideMark/>
          </w:tcPr>
          <w:p w14:paraId="2BFDE09B"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2024</w:t>
            </w:r>
          </w:p>
        </w:tc>
        <w:tc>
          <w:tcPr>
            <w:tcW w:w="0" w:type="auto"/>
            <w:hideMark/>
          </w:tcPr>
          <w:p w14:paraId="459E67DC" w14:textId="77777777" w:rsidR="00C778BA" w:rsidRDefault="00C778BA">
            <w:pPr>
              <w:jc w:val="center"/>
              <w:cnfStyle w:val="000000000000" w:firstRow="0" w:lastRow="0" w:firstColumn="0" w:lastColumn="0" w:oddVBand="0" w:evenVBand="0" w:oddHBand="0" w:evenHBand="0" w:firstRowFirstColumn="0" w:firstRowLastColumn="0" w:lastRowFirstColumn="0" w:lastRowLastColumn="0"/>
              <w:rPr>
                <w:b/>
                <w:bCs/>
              </w:rPr>
            </w:pPr>
            <w:r>
              <w:rPr>
                <w:rStyle w:val="Strong"/>
              </w:rPr>
              <w:t>Trend / Interpretation</w:t>
            </w:r>
          </w:p>
        </w:tc>
      </w:tr>
      <w:tr w:rsidR="00C778BA" w14:paraId="5338F6CF"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BF6A4" w14:textId="77777777" w:rsidR="00C778BA" w:rsidRDefault="00C778BA">
            <w:pPr>
              <w:jc w:val="left"/>
              <w:rPr>
                <w:b w:val="0"/>
                <w:bCs w:val="0"/>
              </w:rPr>
            </w:pPr>
            <w:r>
              <w:rPr>
                <w:rStyle w:val="Strong"/>
              </w:rPr>
              <w:lastRenderedPageBreak/>
              <w:t>Profitability</w:t>
            </w:r>
          </w:p>
        </w:tc>
        <w:tc>
          <w:tcPr>
            <w:tcW w:w="0" w:type="auto"/>
            <w:gridSpan w:val="2"/>
            <w:hideMark/>
          </w:tcPr>
          <w:p w14:paraId="6371CF16"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Gross Profit Margin</w:t>
            </w:r>
          </w:p>
        </w:tc>
        <w:tc>
          <w:tcPr>
            <w:tcW w:w="0" w:type="auto"/>
            <w:gridSpan w:val="3"/>
            <w:hideMark/>
          </w:tcPr>
          <w:p w14:paraId="20227335" w14:textId="77777777" w:rsidR="00C778BA" w:rsidRDefault="00C778BA">
            <w:pPr>
              <w:cnfStyle w:val="000000100000" w:firstRow="0" w:lastRow="0" w:firstColumn="0" w:lastColumn="0" w:oddVBand="0" w:evenVBand="0" w:oddHBand="1" w:evenHBand="0" w:firstRowFirstColumn="0" w:firstRowLastColumn="0" w:lastRowFirstColumn="0" w:lastRowLastColumn="0"/>
            </w:pPr>
            <w:r>
              <w:t>Gross Profit ÷ Sales × 100</w:t>
            </w:r>
          </w:p>
        </w:tc>
        <w:tc>
          <w:tcPr>
            <w:tcW w:w="0" w:type="auto"/>
            <w:hideMark/>
          </w:tcPr>
          <w:p w14:paraId="64AA8787" w14:textId="77777777" w:rsidR="00C778BA" w:rsidRDefault="00C778BA">
            <w:pPr>
              <w:cnfStyle w:val="000000100000" w:firstRow="0" w:lastRow="0" w:firstColumn="0" w:lastColumn="0" w:oddVBand="0" w:evenVBand="0" w:oddHBand="1" w:evenHBand="0" w:firstRowFirstColumn="0" w:firstRowLastColumn="0" w:lastRowFirstColumn="0" w:lastRowLastColumn="0"/>
            </w:pPr>
            <w:r>
              <w:t>28.7%</w:t>
            </w:r>
          </w:p>
        </w:tc>
        <w:tc>
          <w:tcPr>
            <w:tcW w:w="0" w:type="auto"/>
            <w:gridSpan w:val="2"/>
            <w:hideMark/>
          </w:tcPr>
          <w:p w14:paraId="7D1E269F" w14:textId="77777777" w:rsidR="00C778BA" w:rsidRDefault="00C778BA">
            <w:pPr>
              <w:cnfStyle w:val="000000100000" w:firstRow="0" w:lastRow="0" w:firstColumn="0" w:lastColumn="0" w:oddVBand="0" w:evenVBand="0" w:oddHBand="1" w:evenHBand="0" w:firstRowFirstColumn="0" w:firstRowLastColumn="0" w:lastRowFirstColumn="0" w:lastRowLastColumn="0"/>
            </w:pPr>
            <w:r>
              <w:t>28.7%</w:t>
            </w:r>
          </w:p>
        </w:tc>
        <w:tc>
          <w:tcPr>
            <w:tcW w:w="0" w:type="auto"/>
            <w:hideMark/>
          </w:tcPr>
          <w:p w14:paraId="08BCA723" w14:textId="77777777" w:rsidR="00C778BA" w:rsidRDefault="00C778BA">
            <w:pPr>
              <w:cnfStyle w:val="000000100000" w:firstRow="0" w:lastRow="0" w:firstColumn="0" w:lastColumn="0" w:oddVBand="0" w:evenVBand="0" w:oddHBand="1" w:evenHBand="0" w:firstRowFirstColumn="0" w:firstRowLastColumn="0" w:lastRowFirstColumn="0" w:lastRowLastColumn="0"/>
            </w:pPr>
            <w:r>
              <w:t>28.1%</w:t>
            </w:r>
          </w:p>
        </w:tc>
        <w:tc>
          <w:tcPr>
            <w:tcW w:w="0" w:type="auto"/>
            <w:gridSpan w:val="2"/>
            <w:hideMark/>
          </w:tcPr>
          <w:p w14:paraId="4864A97B" w14:textId="77777777" w:rsidR="00C778BA" w:rsidRDefault="00C778BA">
            <w:pPr>
              <w:cnfStyle w:val="000000100000" w:firstRow="0" w:lastRow="0" w:firstColumn="0" w:lastColumn="0" w:oddVBand="0" w:evenVBand="0" w:oddHBand="1" w:evenHBand="0" w:firstRowFirstColumn="0" w:firstRowLastColumn="0" w:lastRowFirstColumn="0" w:lastRowLastColumn="0"/>
            </w:pPr>
            <w:r>
              <w:t>23.2%</w:t>
            </w:r>
          </w:p>
        </w:tc>
        <w:tc>
          <w:tcPr>
            <w:tcW w:w="0" w:type="auto"/>
            <w:gridSpan w:val="2"/>
            <w:hideMark/>
          </w:tcPr>
          <w:p w14:paraId="58C69D43" w14:textId="77777777" w:rsidR="00C778BA" w:rsidRDefault="00C778BA">
            <w:pPr>
              <w:cnfStyle w:val="000000100000" w:firstRow="0" w:lastRow="0" w:firstColumn="0" w:lastColumn="0" w:oddVBand="0" w:evenVBand="0" w:oddHBand="1" w:evenHBand="0" w:firstRowFirstColumn="0" w:firstRowLastColumn="0" w:lastRowFirstColumn="0" w:lastRowLastColumn="0"/>
            </w:pPr>
            <w:r>
              <w:t>28.8%</w:t>
            </w:r>
          </w:p>
        </w:tc>
        <w:tc>
          <w:tcPr>
            <w:tcW w:w="0" w:type="auto"/>
            <w:hideMark/>
          </w:tcPr>
          <w:p w14:paraId="568BFB6A" w14:textId="77777777" w:rsidR="00C778BA" w:rsidRDefault="00C778BA">
            <w:pPr>
              <w:cnfStyle w:val="000000100000" w:firstRow="0" w:lastRow="0" w:firstColumn="0" w:lastColumn="0" w:oddVBand="0" w:evenVBand="0" w:oddHBand="1" w:evenHBand="0" w:firstRowFirstColumn="0" w:firstRowLastColumn="0" w:lastRowFirstColumn="0" w:lastRowLastColumn="0"/>
            </w:pPr>
            <w:r>
              <w:t>Relatively stable but weak due to falling volumes</w:t>
            </w:r>
          </w:p>
        </w:tc>
      </w:tr>
      <w:tr w:rsidR="00C778BA" w14:paraId="4AFE3F6F"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4B615337" w14:textId="77777777" w:rsidR="00C778BA" w:rsidRDefault="00C778BA"/>
        </w:tc>
        <w:tc>
          <w:tcPr>
            <w:tcW w:w="0" w:type="auto"/>
            <w:gridSpan w:val="2"/>
            <w:hideMark/>
          </w:tcPr>
          <w:p w14:paraId="6FC25406"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Net Profit Margin</w:t>
            </w:r>
          </w:p>
        </w:tc>
        <w:tc>
          <w:tcPr>
            <w:tcW w:w="0" w:type="auto"/>
            <w:gridSpan w:val="3"/>
            <w:hideMark/>
          </w:tcPr>
          <w:p w14:paraId="0D1E4B5D" w14:textId="77777777" w:rsidR="00C778BA" w:rsidRDefault="00C778BA">
            <w:pPr>
              <w:cnfStyle w:val="000000000000" w:firstRow="0" w:lastRow="0" w:firstColumn="0" w:lastColumn="0" w:oddVBand="0" w:evenVBand="0" w:oddHBand="0" w:evenHBand="0" w:firstRowFirstColumn="0" w:firstRowLastColumn="0" w:lastRowFirstColumn="0" w:lastRowLastColumn="0"/>
            </w:pPr>
            <w:r>
              <w:t>Net Income ÷ Sales × 100</w:t>
            </w:r>
          </w:p>
        </w:tc>
        <w:tc>
          <w:tcPr>
            <w:tcW w:w="0" w:type="auto"/>
            <w:hideMark/>
          </w:tcPr>
          <w:p w14:paraId="5E3DF8E3" w14:textId="77777777" w:rsidR="00C778BA" w:rsidRDefault="00C778BA">
            <w:pPr>
              <w:cnfStyle w:val="000000000000" w:firstRow="0" w:lastRow="0" w:firstColumn="0" w:lastColumn="0" w:oddVBand="0" w:evenVBand="0" w:oddHBand="0" w:evenHBand="0" w:firstRowFirstColumn="0" w:firstRowLastColumn="0" w:lastRowFirstColumn="0" w:lastRowLastColumn="0"/>
            </w:pPr>
            <w:r>
              <w:t>6.3%</w:t>
            </w:r>
          </w:p>
        </w:tc>
        <w:tc>
          <w:tcPr>
            <w:tcW w:w="0" w:type="auto"/>
            <w:gridSpan w:val="2"/>
            <w:hideMark/>
          </w:tcPr>
          <w:p w14:paraId="0A820EF5" w14:textId="77777777" w:rsidR="00C778BA" w:rsidRDefault="00C778BA">
            <w:pPr>
              <w:cnfStyle w:val="000000000000" w:firstRow="0" w:lastRow="0" w:firstColumn="0" w:lastColumn="0" w:oddVBand="0" w:evenVBand="0" w:oddHBand="0" w:evenHBand="0" w:firstRowFirstColumn="0" w:firstRowLastColumn="0" w:lastRowFirstColumn="0" w:lastRowLastColumn="0"/>
            </w:pPr>
            <w:r>
              <w:t>0.9%</w:t>
            </w:r>
          </w:p>
        </w:tc>
        <w:tc>
          <w:tcPr>
            <w:tcW w:w="0" w:type="auto"/>
            <w:hideMark/>
          </w:tcPr>
          <w:p w14:paraId="3A849576" w14:textId="77777777" w:rsidR="00C778BA" w:rsidRDefault="00C778BA">
            <w:pPr>
              <w:cnfStyle w:val="000000000000" w:firstRow="0" w:lastRow="0" w:firstColumn="0" w:lastColumn="0" w:oddVBand="0" w:evenVBand="0" w:oddHBand="0" w:evenHBand="0" w:firstRowFirstColumn="0" w:firstRowLastColumn="0" w:lastRowFirstColumn="0" w:lastRowLastColumn="0"/>
            </w:pPr>
            <w:r>
              <w:t>0.07%</w:t>
            </w:r>
          </w:p>
        </w:tc>
        <w:tc>
          <w:tcPr>
            <w:tcW w:w="0" w:type="auto"/>
            <w:gridSpan w:val="2"/>
            <w:hideMark/>
          </w:tcPr>
          <w:p w14:paraId="0B669C26" w14:textId="77777777" w:rsidR="00C778BA" w:rsidRDefault="00C778BA">
            <w:pPr>
              <w:cnfStyle w:val="000000000000" w:firstRow="0" w:lastRow="0" w:firstColumn="0" w:lastColumn="0" w:oddVBand="0" w:evenVBand="0" w:oddHBand="0" w:evenHBand="0" w:firstRowFirstColumn="0" w:firstRowLastColumn="0" w:lastRowFirstColumn="0" w:lastRowLastColumn="0"/>
            </w:pPr>
            <w:r>
              <w:t>–23.4%</w:t>
            </w:r>
          </w:p>
        </w:tc>
        <w:tc>
          <w:tcPr>
            <w:tcW w:w="0" w:type="auto"/>
            <w:gridSpan w:val="2"/>
            <w:hideMark/>
          </w:tcPr>
          <w:p w14:paraId="7A810DD5" w14:textId="77777777" w:rsidR="00C778BA" w:rsidRDefault="00C778BA">
            <w:pPr>
              <w:cnfStyle w:val="000000000000" w:firstRow="0" w:lastRow="0" w:firstColumn="0" w:lastColumn="0" w:oddVBand="0" w:evenVBand="0" w:oddHBand="0" w:evenHBand="0" w:firstRowFirstColumn="0" w:firstRowLastColumn="0" w:lastRowFirstColumn="0" w:lastRowLastColumn="0"/>
            </w:pPr>
            <w:r>
              <w:t>–6.1%</w:t>
            </w:r>
          </w:p>
        </w:tc>
        <w:tc>
          <w:tcPr>
            <w:tcW w:w="0" w:type="auto"/>
            <w:hideMark/>
          </w:tcPr>
          <w:p w14:paraId="43FC8EC7" w14:textId="77777777" w:rsidR="00C778BA" w:rsidRDefault="00C778BA">
            <w:pPr>
              <w:cnfStyle w:val="000000000000" w:firstRow="0" w:lastRow="0" w:firstColumn="0" w:lastColumn="0" w:oddVBand="0" w:evenVBand="0" w:oddHBand="0" w:evenHBand="0" w:firstRowFirstColumn="0" w:firstRowLastColumn="0" w:lastRowFirstColumn="0" w:lastRowLastColumn="0"/>
            </w:pPr>
            <w:r>
              <w:t>Severe deterioration, sustained losses post-2022</w:t>
            </w:r>
          </w:p>
        </w:tc>
      </w:tr>
      <w:tr w:rsidR="00C778BA" w14:paraId="06AD0C6F"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D468AF" w14:textId="77777777" w:rsidR="00C778BA" w:rsidRDefault="00C778BA"/>
        </w:tc>
        <w:tc>
          <w:tcPr>
            <w:tcW w:w="0" w:type="auto"/>
            <w:gridSpan w:val="2"/>
            <w:hideMark/>
          </w:tcPr>
          <w:p w14:paraId="6DC0AF81"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Return on Assets (ROA)</w:t>
            </w:r>
          </w:p>
        </w:tc>
        <w:tc>
          <w:tcPr>
            <w:tcW w:w="0" w:type="auto"/>
            <w:gridSpan w:val="3"/>
            <w:hideMark/>
          </w:tcPr>
          <w:p w14:paraId="1419CEF8" w14:textId="77777777" w:rsidR="00C778BA" w:rsidRDefault="00C778BA">
            <w:pPr>
              <w:cnfStyle w:val="000000100000" w:firstRow="0" w:lastRow="0" w:firstColumn="0" w:lastColumn="0" w:oddVBand="0" w:evenVBand="0" w:oddHBand="1" w:evenHBand="0" w:firstRowFirstColumn="0" w:firstRowLastColumn="0" w:lastRowFirstColumn="0" w:lastRowLastColumn="0"/>
            </w:pPr>
            <w:r>
              <w:t>Net Income ÷ Total Assets × 100</w:t>
            </w:r>
          </w:p>
        </w:tc>
        <w:tc>
          <w:tcPr>
            <w:tcW w:w="0" w:type="auto"/>
            <w:hideMark/>
          </w:tcPr>
          <w:p w14:paraId="3D25B12C" w14:textId="77777777" w:rsidR="00C778BA" w:rsidRDefault="00C778BA">
            <w:pPr>
              <w:cnfStyle w:val="000000100000" w:firstRow="0" w:lastRow="0" w:firstColumn="0" w:lastColumn="0" w:oddVBand="0" w:evenVBand="0" w:oddHBand="1" w:evenHBand="0" w:firstRowFirstColumn="0" w:firstRowLastColumn="0" w:lastRowFirstColumn="0" w:lastRowLastColumn="0"/>
            </w:pPr>
            <w:r>
              <w:t>7.6%</w:t>
            </w:r>
          </w:p>
        </w:tc>
        <w:tc>
          <w:tcPr>
            <w:tcW w:w="0" w:type="auto"/>
            <w:gridSpan w:val="2"/>
            <w:hideMark/>
          </w:tcPr>
          <w:p w14:paraId="6A0ABDD9" w14:textId="77777777" w:rsidR="00C778BA" w:rsidRDefault="00C778BA">
            <w:pPr>
              <w:cnfStyle w:val="000000100000" w:firstRow="0" w:lastRow="0" w:firstColumn="0" w:lastColumn="0" w:oddVBand="0" w:evenVBand="0" w:oddHBand="1" w:evenHBand="0" w:firstRowFirstColumn="0" w:firstRowLastColumn="0" w:lastRowFirstColumn="0" w:lastRowLastColumn="0"/>
            </w:pPr>
            <w:r>
              <w:t>1.0%</w:t>
            </w:r>
          </w:p>
        </w:tc>
        <w:tc>
          <w:tcPr>
            <w:tcW w:w="0" w:type="auto"/>
            <w:hideMark/>
          </w:tcPr>
          <w:p w14:paraId="39221802" w14:textId="77777777" w:rsidR="00C778BA" w:rsidRDefault="00C778BA">
            <w:pPr>
              <w:cnfStyle w:val="000000100000" w:firstRow="0" w:lastRow="0" w:firstColumn="0" w:lastColumn="0" w:oddVBand="0" w:evenVBand="0" w:oddHBand="1" w:evenHBand="0" w:firstRowFirstColumn="0" w:firstRowLastColumn="0" w:lastRowFirstColumn="0" w:lastRowLastColumn="0"/>
            </w:pPr>
            <w:r>
              <w:t>0.08%</w:t>
            </w:r>
          </w:p>
        </w:tc>
        <w:tc>
          <w:tcPr>
            <w:tcW w:w="0" w:type="auto"/>
            <w:gridSpan w:val="2"/>
            <w:hideMark/>
          </w:tcPr>
          <w:p w14:paraId="6BFFC6F6" w14:textId="77777777" w:rsidR="00C778BA" w:rsidRDefault="00C778BA">
            <w:pPr>
              <w:cnfStyle w:val="000000100000" w:firstRow="0" w:lastRow="0" w:firstColumn="0" w:lastColumn="0" w:oddVBand="0" w:evenVBand="0" w:oddHBand="1" w:evenHBand="0" w:firstRowFirstColumn="0" w:firstRowLastColumn="0" w:lastRowFirstColumn="0" w:lastRowLastColumn="0"/>
            </w:pPr>
            <w:r>
              <w:t>–27.6%</w:t>
            </w:r>
          </w:p>
        </w:tc>
        <w:tc>
          <w:tcPr>
            <w:tcW w:w="0" w:type="auto"/>
            <w:gridSpan w:val="2"/>
            <w:hideMark/>
          </w:tcPr>
          <w:p w14:paraId="4E80BB16" w14:textId="77777777" w:rsidR="00C778BA" w:rsidRDefault="00C778BA">
            <w:pPr>
              <w:cnfStyle w:val="000000100000" w:firstRow="0" w:lastRow="0" w:firstColumn="0" w:lastColumn="0" w:oddVBand="0" w:evenVBand="0" w:oddHBand="1" w:evenHBand="0" w:firstRowFirstColumn="0" w:firstRowLastColumn="0" w:lastRowFirstColumn="0" w:lastRowLastColumn="0"/>
            </w:pPr>
            <w:r>
              <w:t>–7.4%</w:t>
            </w:r>
          </w:p>
        </w:tc>
        <w:tc>
          <w:tcPr>
            <w:tcW w:w="0" w:type="auto"/>
            <w:hideMark/>
          </w:tcPr>
          <w:p w14:paraId="3B960E3D" w14:textId="77777777" w:rsidR="00C778BA" w:rsidRDefault="00C778BA">
            <w:pPr>
              <w:cnfStyle w:val="000000100000" w:firstRow="0" w:lastRow="0" w:firstColumn="0" w:lastColumn="0" w:oddVBand="0" w:evenVBand="0" w:oddHBand="1" w:evenHBand="0" w:firstRowFirstColumn="0" w:firstRowLastColumn="0" w:lastRowFirstColumn="0" w:lastRowLastColumn="0"/>
            </w:pPr>
            <w:r>
              <w:t>Declining asset efficiency and profitability</w:t>
            </w:r>
          </w:p>
        </w:tc>
      </w:tr>
      <w:tr w:rsidR="00C778BA" w14:paraId="4C5A6138"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37C2C2BC" w14:textId="77777777" w:rsidR="00C778BA" w:rsidRDefault="00C778BA"/>
        </w:tc>
        <w:tc>
          <w:tcPr>
            <w:tcW w:w="0" w:type="auto"/>
            <w:gridSpan w:val="2"/>
            <w:hideMark/>
          </w:tcPr>
          <w:p w14:paraId="45B579EB"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Return on Equity (ROE)</w:t>
            </w:r>
          </w:p>
        </w:tc>
        <w:tc>
          <w:tcPr>
            <w:tcW w:w="0" w:type="auto"/>
            <w:gridSpan w:val="3"/>
            <w:hideMark/>
          </w:tcPr>
          <w:p w14:paraId="5E12FB1F" w14:textId="77777777" w:rsidR="00C778BA" w:rsidRDefault="00C778BA">
            <w:pPr>
              <w:cnfStyle w:val="000000000000" w:firstRow="0" w:lastRow="0" w:firstColumn="0" w:lastColumn="0" w:oddVBand="0" w:evenVBand="0" w:oddHBand="0" w:evenHBand="0" w:firstRowFirstColumn="0" w:firstRowLastColumn="0" w:lastRowFirstColumn="0" w:lastRowLastColumn="0"/>
            </w:pPr>
            <w:r>
              <w:t>Net Income ÷ Equity × 100</w:t>
            </w:r>
          </w:p>
        </w:tc>
        <w:tc>
          <w:tcPr>
            <w:tcW w:w="0" w:type="auto"/>
            <w:hideMark/>
          </w:tcPr>
          <w:p w14:paraId="1938AA6F" w14:textId="77777777" w:rsidR="00C778BA" w:rsidRDefault="00C778BA">
            <w:pPr>
              <w:cnfStyle w:val="000000000000" w:firstRow="0" w:lastRow="0" w:firstColumn="0" w:lastColumn="0" w:oddVBand="0" w:evenVBand="0" w:oddHBand="0" w:evenHBand="0" w:firstRowFirstColumn="0" w:firstRowLastColumn="0" w:lastRowFirstColumn="0" w:lastRowLastColumn="0"/>
            </w:pPr>
            <w:r>
              <w:t>12.3%</w:t>
            </w:r>
          </w:p>
        </w:tc>
        <w:tc>
          <w:tcPr>
            <w:tcW w:w="0" w:type="auto"/>
            <w:gridSpan w:val="2"/>
            <w:hideMark/>
          </w:tcPr>
          <w:p w14:paraId="2DEF1375" w14:textId="77777777" w:rsidR="00C778BA" w:rsidRDefault="00C778BA">
            <w:pPr>
              <w:cnfStyle w:val="000000000000" w:firstRow="0" w:lastRow="0" w:firstColumn="0" w:lastColumn="0" w:oddVBand="0" w:evenVBand="0" w:oddHBand="0" w:evenHBand="0" w:firstRowFirstColumn="0" w:firstRowLastColumn="0" w:lastRowFirstColumn="0" w:lastRowLastColumn="0"/>
            </w:pPr>
            <w:r>
              <w:t>1.9%</w:t>
            </w:r>
          </w:p>
        </w:tc>
        <w:tc>
          <w:tcPr>
            <w:tcW w:w="0" w:type="auto"/>
            <w:hideMark/>
          </w:tcPr>
          <w:p w14:paraId="47CA2CA5" w14:textId="77777777" w:rsidR="00C778BA" w:rsidRDefault="00C778BA">
            <w:pPr>
              <w:cnfStyle w:val="000000000000" w:firstRow="0" w:lastRow="0" w:firstColumn="0" w:lastColumn="0" w:oddVBand="0" w:evenVBand="0" w:oddHBand="0" w:evenHBand="0" w:firstRowFirstColumn="0" w:firstRowLastColumn="0" w:lastRowFirstColumn="0" w:lastRowLastColumn="0"/>
            </w:pPr>
            <w:r>
              <w:t>0.15%</w:t>
            </w:r>
          </w:p>
        </w:tc>
        <w:tc>
          <w:tcPr>
            <w:tcW w:w="0" w:type="auto"/>
            <w:gridSpan w:val="2"/>
            <w:hideMark/>
          </w:tcPr>
          <w:p w14:paraId="321F982C" w14:textId="77777777" w:rsidR="00C778BA" w:rsidRDefault="00C778BA">
            <w:pPr>
              <w:cnfStyle w:val="000000000000" w:firstRow="0" w:lastRow="0" w:firstColumn="0" w:lastColumn="0" w:oddVBand="0" w:evenVBand="0" w:oddHBand="0" w:evenHBand="0" w:firstRowFirstColumn="0" w:firstRowLastColumn="0" w:lastRowFirstColumn="0" w:lastRowLastColumn="0"/>
            </w:pPr>
            <w:r>
              <w:t>–54.9%</w:t>
            </w:r>
          </w:p>
        </w:tc>
        <w:tc>
          <w:tcPr>
            <w:tcW w:w="0" w:type="auto"/>
            <w:gridSpan w:val="2"/>
            <w:hideMark/>
          </w:tcPr>
          <w:p w14:paraId="011DAED9" w14:textId="77777777" w:rsidR="00C778BA" w:rsidRDefault="00C778BA">
            <w:pPr>
              <w:cnfStyle w:val="000000000000" w:firstRow="0" w:lastRow="0" w:firstColumn="0" w:lastColumn="0" w:oddVBand="0" w:evenVBand="0" w:oddHBand="0" w:evenHBand="0" w:firstRowFirstColumn="0" w:firstRowLastColumn="0" w:lastRowFirstColumn="0" w:lastRowLastColumn="0"/>
            </w:pPr>
            <w:r>
              <w:t>–15.7%</w:t>
            </w:r>
          </w:p>
        </w:tc>
        <w:tc>
          <w:tcPr>
            <w:tcW w:w="0" w:type="auto"/>
            <w:hideMark/>
          </w:tcPr>
          <w:p w14:paraId="6AC96CA8" w14:textId="77777777" w:rsidR="00C778BA" w:rsidRDefault="00C778BA">
            <w:pPr>
              <w:cnfStyle w:val="000000000000" w:firstRow="0" w:lastRow="0" w:firstColumn="0" w:lastColumn="0" w:oddVBand="0" w:evenVBand="0" w:oddHBand="0" w:evenHBand="0" w:firstRowFirstColumn="0" w:firstRowLastColumn="0" w:lastRowFirstColumn="0" w:lastRowLastColumn="0"/>
            </w:pPr>
            <w:r>
              <w:t>Sharp fall, destroying shareholder value</w:t>
            </w:r>
          </w:p>
        </w:tc>
      </w:tr>
      <w:tr w:rsidR="00C778BA" w14:paraId="29B8E364"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506DD9" w14:textId="77777777" w:rsidR="00C778BA" w:rsidRDefault="00C778BA">
            <w:r>
              <w:rPr>
                <w:rStyle w:val="Strong"/>
              </w:rPr>
              <w:t>Liquidity</w:t>
            </w:r>
          </w:p>
        </w:tc>
        <w:tc>
          <w:tcPr>
            <w:tcW w:w="0" w:type="auto"/>
            <w:gridSpan w:val="2"/>
            <w:hideMark/>
          </w:tcPr>
          <w:p w14:paraId="2292E2C5"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Current Ratio</w:t>
            </w:r>
          </w:p>
        </w:tc>
        <w:tc>
          <w:tcPr>
            <w:tcW w:w="0" w:type="auto"/>
            <w:gridSpan w:val="3"/>
            <w:hideMark/>
          </w:tcPr>
          <w:p w14:paraId="7812573C" w14:textId="77777777" w:rsidR="00C778BA" w:rsidRDefault="00C778BA">
            <w:pPr>
              <w:cnfStyle w:val="000000100000" w:firstRow="0" w:lastRow="0" w:firstColumn="0" w:lastColumn="0" w:oddVBand="0" w:evenVBand="0" w:oddHBand="1" w:evenHBand="0" w:firstRowFirstColumn="0" w:firstRowLastColumn="0" w:lastRowFirstColumn="0" w:lastRowLastColumn="0"/>
            </w:pPr>
            <w:r>
              <w:t>Current Assets ÷ Current Liabilities</w:t>
            </w:r>
          </w:p>
        </w:tc>
        <w:tc>
          <w:tcPr>
            <w:tcW w:w="0" w:type="auto"/>
            <w:hideMark/>
          </w:tcPr>
          <w:p w14:paraId="72A9976C" w14:textId="77777777" w:rsidR="00C778BA" w:rsidRDefault="00C778BA">
            <w:pPr>
              <w:cnfStyle w:val="000000100000" w:firstRow="0" w:lastRow="0" w:firstColumn="0" w:lastColumn="0" w:oddVBand="0" w:evenVBand="0" w:oddHBand="1" w:evenHBand="0" w:firstRowFirstColumn="0" w:firstRowLastColumn="0" w:lastRowFirstColumn="0" w:lastRowLastColumn="0"/>
            </w:pPr>
            <w:r>
              <w:t>1.82</w:t>
            </w:r>
          </w:p>
        </w:tc>
        <w:tc>
          <w:tcPr>
            <w:tcW w:w="0" w:type="auto"/>
            <w:gridSpan w:val="2"/>
            <w:hideMark/>
          </w:tcPr>
          <w:p w14:paraId="6F230989" w14:textId="77777777" w:rsidR="00C778BA" w:rsidRDefault="00C778BA">
            <w:pPr>
              <w:cnfStyle w:val="000000100000" w:firstRow="0" w:lastRow="0" w:firstColumn="0" w:lastColumn="0" w:oddVBand="0" w:evenVBand="0" w:oddHBand="1" w:evenHBand="0" w:firstRowFirstColumn="0" w:firstRowLastColumn="0" w:lastRowFirstColumn="0" w:lastRowLastColumn="0"/>
            </w:pPr>
            <w:r>
              <w:t>1.55</w:t>
            </w:r>
          </w:p>
        </w:tc>
        <w:tc>
          <w:tcPr>
            <w:tcW w:w="0" w:type="auto"/>
            <w:hideMark/>
          </w:tcPr>
          <w:p w14:paraId="2E31BDFD" w14:textId="77777777" w:rsidR="00C778BA" w:rsidRDefault="00C778BA">
            <w:pPr>
              <w:cnfStyle w:val="000000100000" w:firstRow="0" w:lastRow="0" w:firstColumn="0" w:lastColumn="0" w:oddVBand="0" w:evenVBand="0" w:oddHBand="1" w:evenHBand="0" w:firstRowFirstColumn="0" w:firstRowLastColumn="0" w:lastRowFirstColumn="0" w:lastRowLastColumn="0"/>
            </w:pPr>
            <w:r>
              <w:t>1.56</w:t>
            </w:r>
          </w:p>
        </w:tc>
        <w:tc>
          <w:tcPr>
            <w:tcW w:w="0" w:type="auto"/>
            <w:gridSpan w:val="2"/>
            <w:hideMark/>
          </w:tcPr>
          <w:p w14:paraId="45525812" w14:textId="77777777" w:rsidR="00C778BA" w:rsidRDefault="00C778BA">
            <w:pPr>
              <w:cnfStyle w:val="000000100000" w:firstRow="0" w:lastRow="0" w:firstColumn="0" w:lastColumn="0" w:oddVBand="0" w:evenVBand="0" w:oddHBand="1" w:evenHBand="0" w:firstRowFirstColumn="0" w:firstRowLastColumn="0" w:lastRowFirstColumn="0" w:lastRowLastColumn="0"/>
            </w:pPr>
            <w:r>
              <w:t>1.61</w:t>
            </w:r>
          </w:p>
        </w:tc>
        <w:tc>
          <w:tcPr>
            <w:tcW w:w="0" w:type="auto"/>
            <w:gridSpan w:val="2"/>
            <w:hideMark/>
          </w:tcPr>
          <w:p w14:paraId="0309771F" w14:textId="77777777" w:rsidR="00C778BA" w:rsidRDefault="00C778BA">
            <w:pPr>
              <w:cnfStyle w:val="000000100000" w:firstRow="0" w:lastRow="0" w:firstColumn="0" w:lastColumn="0" w:oddVBand="0" w:evenVBand="0" w:oddHBand="1" w:evenHBand="0" w:firstRowFirstColumn="0" w:firstRowLastColumn="0" w:lastRowFirstColumn="0" w:lastRowLastColumn="0"/>
            </w:pPr>
            <w:r>
              <w:t>1.53</w:t>
            </w:r>
          </w:p>
        </w:tc>
        <w:tc>
          <w:tcPr>
            <w:tcW w:w="0" w:type="auto"/>
            <w:hideMark/>
          </w:tcPr>
          <w:p w14:paraId="1D2B85CE" w14:textId="77777777" w:rsidR="00C778BA" w:rsidRDefault="00C778BA">
            <w:pPr>
              <w:cnfStyle w:val="000000100000" w:firstRow="0" w:lastRow="0" w:firstColumn="0" w:lastColumn="0" w:oddVBand="0" w:evenVBand="0" w:oddHBand="1" w:evenHBand="0" w:firstRowFirstColumn="0" w:firstRowLastColumn="0" w:lastRowFirstColumn="0" w:lastRowLastColumn="0"/>
            </w:pPr>
            <w:r>
              <w:t>Declining short-term liquidity buffer</w:t>
            </w:r>
          </w:p>
        </w:tc>
      </w:tr>
      <w:tr w:rsidR="00C778BA" w14:paraId="10ED4884"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34F83C9C" w14:textId="77777777" w:rsidR="00C778BA" w:rsidRDefault="00C778BA"/>
        </w:tc>
        <w:tc>
          <w:tcPr>
            <w:tcW w:w="0" w:type="auto"/>
            <w:gridSpan w:val="2"/>
            <w:hideMark/>
          </w:tcPr>
          <w:p w14:paraId="3239F8E0"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Quick Ratio</w:t>
            </w:r>
          </w:p>
        </w:tc>
        <w:tc>
          <w:tcPr>
            <w:tcW w:w="0" w:type="auto"/>
            <w:gridSpan w:val="3"/>
            <w:hideMark/>
          </w:tcPr>
          <w:p w14:paraId="750D78CC" w14:textId="77777777" w:rsidR="00C778BA" w:rsidRDefault="00C778BA">
            <w:pPr>
              <w:cnfStyle w:val="000000000000" w:firstRow="0" w:lastRow="0" w:firstColumn="0" w:lastColumn="0" w:oddVBand="0" w:evenVBand="0" w:oddHBand="0" w:evenHBand="0" w:firstRowFirstColumn="0" w:firstRowLastColumn="0" w:lastRowFirstColumn="0" w:lastRowLastColumn="0"/>
            </w:pPr>
            <w:r>
              <w:t>(Current Assets – Inventory) ÷ Current Liabilities</w:t>
            </w:r>
          </w:p>
        </w:tc>
        <w:tc>
          <w:tcPr>
            <w:tcW w:w="0" w:type="auto"/>
            <w:hideMark/>
          </w:tcPr>
          <w:p w14:paraId="20E018A1" w14:textId="77777777" w:rsidR="00C778BA" w:rsidRDefault="00C778BA">
            <w:pPr>
              <w:cnfStyle w:val="000000000000" w:firstRow="0" w:lastRow="0" w:firstColumn="0" w:lastColumn="0" w:oddVBand="0" w:evenVBand="0" w:oddHBand="0" w:evenHBand="0" w:firstRowFirstColumn="0" w:firstRowLastColumn="0" w:lastRowFirstColumn="0" w:lastRowLastColumn="0"/>
            </w:pPr>
            <w:r>
              <w:t>0.89</w:t>
            </w:r>
          </w:p>
        </w:tc>
        <w:tc>
          <w:tcPr>
            <w:tcW w:w="0" w:type="auto"/>
            <w:gridSpan w:val="2"/>
            <w:hideMark/>
          </w:tcPr>
          <w:p w14:paraId="501DAF54" w14:textId="77777777" w:rsidR="00C778BA" w:rsidRDefault="00C778BA">
            <w:pPr>
              <w:cnfStyle w:val="000000000000" w:firstRow="0" w:lastRow="0" w:firstColumn="0" w:lastColumn="0" w:oddVBand="0" w:evenVBand="0" w:oddHBand="0" w:evenHBand="0" w:firstRowFirstColumn="0" w:firstRowLastColumn="0" w:lastRowFirstColumn="0" w:lastRowLastColumn="0"/>
            </w:pPr>
            <w:r>
              <w:t>0.78</w:t>
            </w:r>
          </w:p>
        </w:tc>
        <w:tc>
          <w:tcPr>
            <w:tcW w:w="0" w:type="auto"/>
            <w:hideMark/>
          </w:tcPr>
          <w:p w14:paraId="1DDC175D" w14:textId="77777777" w:rsidR="00C778BA" w:rsidRDefault="00C778BA">
            <w:pPr>
              <w:cnfStyle w:val="000000000000" w:firstRow="0" w:lastRow="0" w:firstColumn="0" w:lastColumn="0" w:oddVBand="0" w:evenVBand="0" w:oddHBand="0" w:evenHBand="0" w:firstRowFirstColumn="0" w:firstRowLastColumn="0" w:lastRowFirstColumn="0" w:lastRowLastColumn="0"/>
            </w:pPr>
            <w:r>
              <w:t>0.91</w:t>
            </w:r>
          </w:p>
        </w:tc>
        <w:tc>
          <w:tcPr>
            <w:tcW w:w="0" w:type="auto"/>
            <w:gridSpan w:val="2"/>
            <w:hideMark/>
          </w:tcPr>
          <w:p w14:paraId="1F790934" w14:textId="77777777" w:rsidR="00C778BA" w:rsidRDefault="00C778BA">
            <w:pPr>
              <w:cnfStyle w:val="000000000000" w:firstRow="0" w:lastRow="0" w:firstColumn="0" w:lastColumn="0" w:oddVBand="0" w:evenVBand="0" w:oddHBand="0" w:evenHBand="0" w:firstRowFirstColumn="0" w:firstRowLastColumn="0" w:lastRowFirstColumn="0" w:lastRowLastColumn="0"/>
            </w:pPr>
            <w:r>
              <w:t>1.03</w:t>
            </w:r>
          </w:p>
        </w:tc>
        <w:tc>
          <w:tcPr>
            <w:tcW w:w="0" w:type="auto"/>
            <w:gridSpan w:val="2"/>
            <w:hideMark/>
          </w:tcPr>
          <w:p w14:paraId="0162CF22" w14:textId="77777777" w:rsidR="00C778BA" w:rsidRDefault="00C778BA">
            <w:pPr>
              <w:cnfStyle w:val="000000000000" w:firstRow="0" w:lastRow="0" w:firstColumn="0" w:lastColumn="0" w:oddVBand="0" w:evenVBand="0" w:oddHBand="0" w:evenHBand="0" w:firstRowFirstColumn="0" w:firstRowLastColumn="0" w:lastRowFirstColumn="0" w:lastRowLastColumn="0"/>
            </w:pPr>
            <w:r>
              <w:t>1.03</w:t>
            </w:r>
          </w:p>
        </w:tc>
        <w:tc>
          <w:tcPr>
            <w:tcW w:w="0" w:type="auto"/>
            <w:hideMark/>
          </w:tcPr>
          <w:p w14:paraId="46B10A84" w14:textId="77777777" w:rsidR="00C778BA" w:rsidRDefault="00C778BA">
            <w:pPr>
              <w:cnfStyle w:val="000000000000" w:firstRow="0" w:lastRow="0" w:firstColumn="0" w:lastColumn="0" w:oddVBand="0" w:evenVBand="0" w:oddHBand="0" w:evenHBand="0" w:firstRowFirstColumn="0" w:firstRowLastColumn="0" w:lastRowFirstColumn="0" w:lastRowLastColumn="0"/>
            </w:pPr>
            <w:r>
              <w:t>Slight recovery, still borderline</w:t>
            </w:r>
          </w:p>
        </w:tc>
      </w:tr>
      <w:tr w:rsidR="00C778BA" w14:paraId="3CFD332C"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3B7BB" w14:textId="77777777" w:rsidR="00C778BA" w:rsidRDefault="00C778BA">
            <w:r>
              <w:rPr>
                <w:rStyle w:val="Strong"/>
              </w:rPr>
              <w:t>Efficiency</w:t>
            </w:r>
          </w:p>
        </w:tc>
        <w:tc>
          <w:tcPr>
            <w:tcW w:w="0" w:type="auto"/>
            <w:gridSpan w:val="2"/>
            <w:hideMark/>
          </w:tcPr>
          <w:p w14:paraId="7BAC8195"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Inventory Days</w:t>
            </w:r>
          </w:p>
        </w:tc>
        <w:tc>
          <w:tcPr>
            <w:tcW w:w="0" w:type="auto"/>
            <w:gridSpan w:val="3"/>
            <w:hideMark/>
          </w:tcPr>
          <w:p w14:paraId="23F42CB0" w14:textId="77777777" w:rsidR="00C778BA" w:rsidRDefault="00C778BA">
            <w:pPr>
              <w:cnfStyle w:val="000000100000" w:firstRow="0" w:lastRow="0" w:firstColumn="0" w:lastColumn="0" w:oddVBand="0" w:evenVBand="0" w:oddHBand="1" w:evenHBand="0" w:firstRowFirstColumn="0" w:firstRowLastColumn="0" w:lastRowFirstColumn="0" w:lastRowLastColumn="0"/>
            </w:pPr>
            <w:r>
              <w:t>(Inventory ÷ Cost of Sales) × 365</w:t>
            </w:r>
          </w:p>
        </w:tc>
        <w:tc>
          <w:tcPr>
            <w:tcW w:w="0" w:type="auto"/>
            <w:hideMark/>
          </w:tcPr>
          <w:p w14:paraId="696323A4" w14:textId="77777777" w:rsidR="00C778BA" w:rsidRDefault="00C778BA">
            <w:pPr>
              <w:cnfStyle w:val="000000100000" w:firstRow="0" w:lastRow="0" w:firstColumn="0" w:lastColumn="0" w:oddVBand="0" w:evenVBand="0" w:oddHBand="1" w:evenHBand="0" w:firstRowFirstColumn="0" w:firstRowLastColumn="0" w:lastRowFirstColumn="0" w:lastRowLastColumn="0"/>
            </w:pPr>
            <w:r>
              <w:t>100</w:t>
            </w:r>
          </w:p>
        </w:tc>
        <w:tc>
          <w:tcPr>
            <w:tcW w:w="0" w:type="auto"/>
            <w:gridSpan w:val="2"/>
            <w:hideMark/>
          </w:tcPr>
          <w:p w14:paraId="1B5B4444" w14:textId="77777777" w:rsidR="00C778BA" w:rsidRDefault="00C778BA">
            <w:pPr>
              <w:cnfStyle w:val="000000100000" w:firstRow="0" w:lastRow="0" w:firstColumn="0" w:lastColumn="0" w:oddVBand="0" w:evenVBand="0" w:oddHBand="1" w:evenHBand="0" w:firstRowFirstColumn="0" w:firstRowLastColumn="0" w:lastRowFirstColumn="0" w:lastRowLastColumn="0"/>
            </w:pPr>
            <w:r>
              <w:t>114</w:t>
            </w:r>
          </w:p>
        </w:tc>
        <w:tc>
          <w:tcPr>
            <w:tcW w:w="0" w:type="auto"/>
            <w:hideMark/>
          </w:tcPr>
          <w:p w14:paraId="17569795" w14:textId="77777777" w:rsidR="00C778BA" w:rsidRDefault="00C778BA">
            <w:pPr>
              <w:cnfStyle w:val="000000100000" w:firstRow="0" w:lastRow="0" w:firstColumn="0" w:lastColumn="0" w:oddVBand="0" w:evenVBand="0" w:oddHBand="1" w:evenHBand="0" w:firstRowFirstColumn="0" w:firstRowLastColumn="0" w:lastRowFirstColumn="0" w:lastRowLastColumn="0"/>
            </w:pPr>
            <w:r>
              <w:t>131</w:t>
            </w:r>
          </w:p>
        </w:tc>
        <w:tc>
          <w:tcPr>
            <w:tcW w:w="0" w:type="auto"/>
            <w:gridSpan w:val="2"/>
            <w:hideMark/>
          </w:tcPr>
          <w:p w14:paraId="7001EF6A" w14:textId="77777777" w:rsidR="00C778BA" w:rsidRDefault="00C778BA">
            <w:pPr>
              <w:cnfStyle w:val="000000100000" w:firstRow="0" w:lastRow="0" w:firstColumn="0" w:lastColumn="0" w:oddVBand="0" w:evenVBand="0" w:oddHBand="1" w:evenHBand="0" w:firstRowFirstColumn="0" w:firstRowLastColumn="0" w:lastRowFirstColumn="0" w:lastRowLastColumn="0"/>
            </w:pPr>
            <w:r>
              <w:t>125</w:t>
            </w:r>
          </w:p>
        </w:tc>
        <w:tc>
          <w:tcPr>
            <w:tcW w:w="0" w:type="auto"/>
            <w:gridSpan w:val="2"/>
            <w:hideMark/>
          </w:tcPr>
          <w:p w14:paraId="154AAFDE" w14:textId="77777777" w:rsidR="00C778BA" w:rsidRDefault="00C778BA">
            <w:pPr>
              <w:cnfStyle w:val="000000100000" w:firstRow="0" w:lastRow="0" w:firstColumn="0" w:lastColumn="0" w:oddVBand="0" w:evenVBand="0" w:oddHBand="1" w:evenHBand="0" w:firstRowFirstColumn="0" w:firstRowLastColumn="0" w:lastRowFirstColumn="0" w:lastRowLastColumn="0"/>
            </w:pPr>
            <w:r>
              <w:t>150</w:t>
            </w:r>
          </w:p>
        </w:tc>
        <w:tc>
          <w:tcPr>
            <w:tcW w:w="0" w:type="auto"/>
            <w:hideMark/>
          </w:tcPr>
          <w:p w14:paraId="6D49A2F3" w14:textId="77777777" w:rsidR="00C778BA" w:rsidRDefault="00C778BA">
            <w:pPr>
              <w:cnfStyle w:val="000000100000" w:firstRow="0" w:lastRow="0" w:firstColumn="0" w:lastColumn="0" w:oddVBand="0" w:evenVBand="0" w:oddHBand="1" w:evenHBand="0" w:firstRowFirstColumn="0" w:firstRowLastColumn="0" w:lastRowFirstColumn="0" w:lastRowLastColumn="0"/>
            </w:pPr>
            <w:r>
              <w:t>Rising stock days → overstocking risk</w:t>
            </w:r>
          </w:p>
        </w:tc>
      </w:tr>
      <w:tr w:rsidR="00C778BA" w14:paraId="6D7E3BC1"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58A0F23B" w14:textId="77777777" w:rsidR="00C778BA" w:rsidRDefault="00C778BA"/>
        </w:tc>
        <w:tc>
          <w:tcPr>
            <w:tcW w:w="0" w:type="auto"/>
            <w:gridSpan w:val="2"/>
            <w:hideMark/>
          </w:tcPr>
          <w:p w14:paraId="317993B5"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Receivable Days</w:t>
            </w:r>
          </w:p>
        </w:tc>
        <w:tc>
          <w:tcPr>
            <w:tcW w:w="0" w:type="auto"/>
            <w:gridSpan w:val="3"/>
            <w:hideMark/>
          </w:tcPr>
          <w:p w14:paraId="20244B2A" w14:textId="77777777" w:rsidR="00C778BA" w:rsidRDefault="00C778BA">
            <w:pPr>
              <w:cnfStyle w:val="000000000000" w:firstRow="0" w:lastRow="0" w:firstColumn="0" w:lastColumn="0" w:oddVBand="0" w:evenVBand="0" w:oddHBand="0" w:evenHBand="0" w:firstRowFirstColumn="0" w:firstRowLastColumn="0" w:lastRowFirstColumn="0" w:lastRowLastColumn="0"/>
            </w:pPr>
            <w:r>
              <w:t>(Receivables ÷ Sales) × 365</w:t>
            </w:r>
          </w:p>
        </w:tc>
        <w:tc>
          <w:tcPr>
            <w:tcW w:w="0" w:type="auto"/>
            <w:hideMark/>
          </w:tcPr>
          <w:p w14:paraId="2B645DE1" w14:textId="77777777" w:rsidR="00C778BA" w:rsidRDefault="00C778BA">
            <w:pPr>
              <w:cnfStyle w:val="000000000000" w:firstRow="0" w:lastRow="0" w:firstColumn="0" w:lastColumn="0" w:oddVBand="0" w:evenVBand="0" w:oddHBand="0" w:evenHBand="0" w:firstRowFirstColumn="0" w:firstRowLastColumn="0" w:lastRowFirstColumn="0" w:lastRowLastColumn="0"/>
            </w:pPr>
            <w:r>
              <w:t>77</w:t>
            </w:r>
          </w:p>
        </w:tc>
        <w:tc>
          <w:tcPr>
            <w:tcW w:w="0" w:type="auto"/>
            <w:gridSpan w:val="2"/>
            <w:hideMark/>
          </w:tcPr>
          <w:p w14:paraId="44724F7D" w14:textId="77777777" w:rsidR="00C778BA" w:rsidRDefault="00C778BA">
            <w:pPr>
              <w:cnfStyle w:val="000000000000" w:firstRow="0" w:lastRow="0" w:firstColumn="0" w:lastColumn="0" w:oddVBand="0" w:evenVBand="0" w:oddHBand="0" w:evenHBand="0" w:firstRowFirstColumn="0" w:firstRowLastColumn="0" w:lastRowFirstColumn="0" w:lastRowLastColumn="0"/>
            </w:pPr>
            <w:r>
              <w:t>78</w:t>
            </w:r>
          </w:p>
        </w:tc>
        <w:tc>
          <w:tcPr>
            <w:tcW w:w="0" w:type="auto"/>
            <w:hideMark/>
          </w:tcPr>
          <w:p w14:paraId="70604493" w14:textId="77777777" w:rsidR="00C778BA" w:rsidRDefault="00C778BA">
            <w:pPr>
              <w:cnfStyle w:val="000000000000" w:firstRow="0" w:lastRow="0" w:firstColumn="0" w:lastColumn="0" w:oddVBand="0" w:evenVBand="0" w:oddHBand="0" w:evenHBand="0" w:firstRowFirstColumn="0" w:firstRowLastColumn="0" w:lastRowFirstColumn="0" w:lastRowLastColumn="0"/>
            </w:pPr>
            <w:r>
              <w:t>76</w:t>
            </w:r>
          </w:p>
        </w:tc>
        <w:tc>
          <w:tcPr>
            <w:tcW w:w="0" w:type="auto"/>
            <w:gridSpan w:val="2"/>
            <w:hideMark/>
          </w:tcPr>
          <w:p w14:paraId="3833B742" w14:textId="77777777" w:rsidR="00C778BA" w:rsidRDefault="00C778BA">
            <w:pPr>
              <w:cnfStyle w:val="000000000000" w:firstRow="0" w:lastRow="0" w:firstColumn="0" w:lastColumn="0" w:oddVBand="0" w:evenVBand="0" w:oddHBand="0" w:evenHBand="0" w:firstRowFirstColumn="0" w:firstRowLastColumn="0" w:lastRowFirstColumn="0" w:lastRowLastColumn="0"/>
            </w:pPr>
            <w:r>
              <w:t>97</w:t>
            </w:r>
          </w:p>
        </w:tc>
        <w:tc>
          <w:tcPr>
            <w:tcW w:w="0" w:type="auto"/>
            <w:gridSpan w:val="2"/>
            <w:hideMark/>
          </w:tcPr>
          <w:p w14:paraId="330A428F" w14:textId="77777777" w:rsidR="00C778BA" w:rsidRDefault="00C778BA">
            <w:pPr>
              <w:cnfStyle w:val="000000000000" w:firstRow="0" w:lastRow="0" w:firstColumn="0" w:lastColumn="0" w:oddVBand="0" w:evenVBand="0" w:oddHBand="0" w:evenHBand="0" w:firstRowFirstColumn="0" w:firstRowLastColumn="0" w:lastRowFirstColumn="0" w:lastRowLastColumn="0"/>
            </w:pPr>
            <w:r>
              <w:t>74</w:t>
            </w:r>
          </w:p>
        </w:tc>
        <w:tc>
          <w:tcPr>
            <w:tcW w:w="0" w:type="auto"/>
            <w:hideMark/>
          </w:tcPr>
          <w:p w14:paraId="2BA82AC9" w14:textId="77777777" w:rsidR="00C778BA" w:rsidRDefault="00C778BA">
            <w:pPr>
              <w:cnfStyle w:val="000000000000" w:firstRow="0" w:lastRow="0" w:firstColumn="0" w:lastColumn="0" w:oddVBand="0" w:evenVBand="0" w:oddHBand="0" w:evenHBand="0" w:firstRowFirstColumn="0" w:firstRowLastColumn="0" w:lastRowFirstColumn="0" w:lastRowLastColumn="0"/>
            </w:pPr>
            <w:r>
              <w:t>Slight improvement in final year</w:t>
            </w:r>
          </w:p>
        </w:tc>
      </w:tr>
      <w:tr w:rsidR="00C778BA" w14:paraId="550A3ABE"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75A0B" w14:textId="77777777" w:rsidR="00C778BA" w:rsidRDefault="00C778BA"/>
        </w:tc>
        <w:tc>
          <w:tcPr>
            <w:tcW w:w="0" w:type="auto"/>
            <w:gridSpan w:val="2"/>
            <w:hideMark/>
          </w:tcPr>
          <w:p w14:paraId="60D62672"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Payable Days</w:t>
            </w:r>
          </w:p>
        </w:tc>
        <w:tc>
          <w:tcPr>
            <w:tcW w:w="0" w:type="auto"/>
            <w:gridSpan w:val="3"/>
            <w:hideMark/>
          </w:tcPr>
          <w:p w14:paraId="128DC413" w14:textId="77777777" w:rsidR="00C778BA" w:rsidRDefault="00C778BA">
            <w:pPr>
              <w:cnfStyle w:val="000000100000" w:firstRow="0" w:lastRow="0" w:firstColumn="0" w:lastColumn="0" w:oddVBand="0" w:evenVBand="0" w:oddHBand="1" w:evenHBand="0" w:firstRowFirstColumn="0" w:firstRowLastColumn="0" w:lastRowFirstColumn="0" w:lastRowLastColumn="0"/>
            </w:pPr>
            <w:r>
              <w:t>(Payables ÷ Cost of Sales) × 365</w:t>
            </w:r>
          </w:p>
        </w:tc>
        <w:tc>
          <w:tcPr>
            <w:tcW w:w="0" w:type="auto"/>
            <w:hideMark/>
          </w:tcPr>
          <w:p w14:paraId="63A7CC84" w14:textId="77777777" w:rsidR="00C778BA" w:rsidRDefault="00C778BA">
            <w:pPr>
              <w:cnfStyle w:val="000000100000" w:firstRow="0" w:lastRow="0" w:firstColumn="0" w:lastColumn="0" w:oddVBand="0" w:evenVBand="0" w:oddHBand="1" w:evenHBand="0" w:firstRowFirstColumn="0" w:firstRowLastColumn="0" w:lastRowFirstColumn="0" w:lastRowLastColumn="0"/>
            </w:pPr>
            <w:r>
              <w:t>72</w:t>
            </w:r>
          </w:p>
        </w:tc>
        <w:tc>
          <w:tcPr>
            <w:tcW w:w="0" w:type="auto"/>
            <w:gridSpan w:val="2"/>
            <w:hideMark/>
          </w:tcPr>
          <w:p w14:paraId="375DC5F6" w14:textId="77777777" w:rsidR="00C778BA" w:rsidRDefault="00C778BA">
            <w:pPr>
              <w:cnfStyle w:val="000000100000" w:firstRow="0" w:lastRow="0" w:firstColumn="0" w:lastColumn="0" w:oddVBand="0" w:evenVBand="0" w:oddHBand="1" w:evenHBand="0" w:firstRowFirstColumn="0" w:firstRowLastColumn="0" w:lastRowFirstColumn="0" w:lastRowLastColumn="0"/>
            </w:pPr>
            <w:r>
              <w:t>79</w:t>
            </w:r>
          </w:p>
        </w:tc>
        <w:tc>
          <w:tcPr>
            <w:tcW w:w="0" w:type="auto"/>
            <w:hideMark/>
          </w:tcPr>
          <w:p w14:paraId="23803853" w14:textId="77777777" w:rsidR="00C778BA" w:rsidRDefault="00C778BA">
            <w:pPr>
              <w:cnfStyle w:val="000000100000" w:firstRow="0" w:lastRow="0" w:firstColumn="0" w:lastColumn="0" w:oddVBand="0" w:evenVBand="0" w:oddHBand="1" w:evenHBand="0" w:firstRowFirstColumn="0" w:firstRowLastColumn="0" w:lastRowFirstColumn="0" w:lastRowLastColumn="0"/>
            </w:pPr>
            <w:r>
              <w:t>67</w:t>
            </w:r>
          </w:p>
        </w:tc>
        <w:tc>
          <w:tcPr>
            <w:tcW w:w="0" w:type="auto"/>
            <w:gridSpan w:val="2"/>
            <w:hideMark/>
          </w:tcPr>
          <w:p w14:paraId="08FD8659" w14:textId="77777777" w:rsidR="00C778BA" w:rsidRDefault="00C778BA">
            <w:pPr>
              <w:cnfStyle w:val="000000100000" w:firstRow="0" w:lastRow="0" w:firstColumn="0" w:lastColumn="0" w:oddVBand="0" w:evenVBand="0" w:oddHBand="1" w:evenHBand="0" w:firstRowFirstColumn="0" w:firstRowLastColumn="0" w:lastRowFirstColumn="0" w:lastRowLastColumn="0"/>
            </w:pPr>
            <w:r>
              <w:t>65</w:t>
            </w:r>
          </w:p>
        </w:tc>
        <w:tc>
          <w:tcPr>
            <w:tcW w:w="0" w:type="auto"/>
            <w:gridSpan w:val="2"/>
            <w:hideMark/>
          </w:tcPr>
          <w:p w14:paraId="0117AEAC" w14:textId="77777777" w:rsidR="00C778BA" w:rsidRDefault="00C778BA">
            <w:pPr>
              <w:cnfStyle w:val="000000100000" w:firstRow="0" w:lastRow="0" w:firstColumn="0" w:lastColumn="0" w:oddVBand="0" w:evenVBand="0" w:oddHBand="1" w:evenHBand="0" w:firstRowFirstColumn="0" w:firstRowLastColumn="0" w:lastRowFirstColumn="0" w:lastRowLastColumn="0"/>
            </w:pPr>
            <w:r>
              <w:t>66</w:t>
            </w:r>
          </w:p>
        </w:tc>
        <w:tc>
          <w:tcPr>
            <w:tcW w:w="0" w:type="auto"/>
            <w:hideMark/>
          </w:tcPr>
          <w:p w14:paraId="0494A1A7" w14:textId="77777777" w:rsidR="00C778BA" w:rsidRDefault="00C778BA">
            <w:pPr>
              <w:cnfStyle w:val="000000100000" w:firstRow="0" w:lastRow="0" w:firstColumn="0" w:lastColumn="0" w:oddVBand="0" w:evenVBand="0" w:oddHBand="1" w:evenHBand="0" w:firstRowFirstColumn="0" w:firstRowLastColumn="0" w:lastRowFirstColumn="0" w:lastRowLastColumn="0"/>
            </w:pPr>
            <w:r>
              <w:t>Reduced supplier credit, weak cash management</w:t>
            </w:r>
          </w:p>
        </w:tc>
      </w:tr>
      <w:tr w:rsidR="00C778BA" w14:paraId="586F1E50"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047C5D68" w14:textId="77777777" w:rsidR="00C778BA" w:rsidRDefault="00C778BA"/>
        </w:tc>
        <w:tc>
          <w:tcPr>
            <w:tcW w:w="0" w:type="auto"/>
            <w:gridSpan w:val="2"/>
            <w:hideMark/>
          </w:tcPr>
          <w:p w14:paraId="321812DC"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Total Asset Turnover</w:t>
            </w:r>
          </w:p>
        </w:tc>
        <w:tc>
          <w:tcPr>
            <w:tcW w:w="0" w:type="auto"/>
            <w:gridSpan w:val="3"/>
            <w:hideMark/>
          </w:tcPr>
          <w:p w14:paraId="60983E9D" w14:textId="77777777" w:rsidR="00C778BA" w:rsidRDefault="00C778BA">
            <w:pPr>
              <w:cnfStyle w:val="000000000000" w:firstRow="0" w:lastRow="0" w:firstColumn="0" w:lastColumn="0" w:oddVBand="0" w:evenVBand="0" w:oddHBand="0" w:evenHBand="0" w:firstRowFirstColumn="0" w:firstRowLastColumn="0" w:lastRowFirstColumn="0" w:lastRowLastColumn="0"/>
            </w:pPr>
            <w:r>
              <w:t>Sales ÷ Total Assets</w:t>
            </w:r>
          </w:p>
        </w:tc>
        <w:tc>
          <w:tcPr>
            <w:tcW w:w="0" w:type="auto"/>
            <w:hideMark/>
          </w:tcPr>
          <w:p w14:paraId="4BA6EBD2" w14:textId="77777777" w:rsidR="00C778BA" w:rsidRDefault="00C778BA">
            <w:pPr>
              <w:cnfStyle w:val="000000000000" w:firstRow="0" w:lastRow="0" w:firstColumn="0" w:lastColumn="0" w:oddVBand="0" w:evenVBand="0" w:oddHBand="0" w:evenHBand="0" w:firstRowFirstColumn="0" w:firstRowLastColumn="0" w:lastRowFirstColumn="0" w:lastRowLastColumn="0"/>
            </w:pPr>
            <w:r>
              <w:t>1.20</w:t>
            </w:r>
          </w:p>
        </w:tc>
        <w:tc>
          <w:tcPr>
            <w:tcW w:w="0" w:type="auto"/>
            <w:gridSpan w:val="2"/>
            <w:hideMark/>
          </w:tcPr>
          <w:p w14:paraId="5DB1A883" w14:textId="77777777" w:rsidR="00C778BA" w:rsidRDefault="00C778BA">
            <w:pPr>
              <w:cnfStyle w:val="000000000000" w:firstRow="0" w:lastRow="0" w:firstColumn="0" w:lastColumn="0" w:oddVBand="0" w:evenVBand="0" w:oddHBand="0" w:evenHBand="0" w:firstRowFirstColumn="0" w:firstRowLastColumn="0" w:lastRowFirstColumn="0" w:lastRowLastColumn="0"/>
            </w:pPr>
            <w:r>
              <w:t>1.18</w:t>
            </w:r>
          </w:p>
        </w:tc>
        <w:tc>
          <w:tcPr>
            <w:tcW w:w="0" w:type="auto"/>
            <w:hideMark/>
          </w:tcPr>
          <w:p w14:paraId="039A7F89" w14:textId="77777777" w:rsidR="00C778BA" w:rsidRDefault="00C778BA">
            <w:pPr>
              <w:cnfStyle w:val="000000000000" w:firstRow="0" w:lastRow="0" w:firstColumn="0" w:lastColumn="0" w:oddVBand="0" w:evenVBand="0" w:oddHBand="0" w:evenHBand="0" w:firstRowFirstColumn="0" w:firstRowLastColumn="0" w:lastRowFirstColumn="0" w:lastRowLastColumn="0"/>
            </w:pPr>
            <w:r>
              <w:t>1.08</w:t>
            </w:r>
          </w:p>
        </w:tc>
        <w:tc>
          <w:tcPr>
            <w:tcW w:w="0" w:type="auto"/>
            <w:gridSpan w:val="2"/>
            <w:hideMark/>
          </w:tcPr>
          <w:p w14:paraId="591B6B5B" w14:textId="77777777" w:rsidR="00C778BA" w:rsidRDefault="00C778BA">
            <w:pPr>
              <w:cnfStyle w:val="000000000000" w:firstRow="0" w:lastRow="0" w:firstColumn="0" w:lastColumn="0" w:oddVBand="0" w:evenVBand="0" w:oddHBand="0" w:evenHBand="0" w:firstRowFirstColumn="0" w:firstRowLastColumn="0" w:lastRowFirstColumn="0" w:lastRowLastColumn="0"/>
            </w:pPr>
            <w:r>
              <w:t>1.18</w:t>
            </w:r>
          </w:p>
        </w:tc>
        <w:tc>
          <w:tcPr>
            <w:tcW w:w="0" w:type="auto"/>
            <w:gridSpan w:val="2"/>
            <w:hideMark/>
          </w:tcPr>
          <w:p w14:paraId="0BF271EE" w14:textId="77777777" w:rsidR="00C778BA" w:rsidRDefault="00C778BA">
            <w:pPr>
              <w:cnfStyle w:val="000000000000" w:firstRow="0" w:lastRow="0" w:firstColumn="0" w:lastColumn="0" w:oddVBand="0" w:evenVBand="0" w:oddHBand="0" w:evenHBand="0" w:firstRowFirstColumn="0" w:firstRowLastColumn="0" w:lastRowFirstColumn="0" w:lastRowLastColumn="0"/>
            </w:pPr>
            <w:r>
              <w:t>0.82</w:t>
            </w:r>
          </w:p>
        </w:tc>
        <w:tc>
          <w:tcPr>
            <w:tcW w:w="0" w:type="auto"/>
            <w:hideMark/>
          </w:tcPr>
          <w:p w14:paraId="6F097234" w14:textId="77777777" w:rsidR="00C778BA" w:rsidRDefault="00C778BA">
            <w:pPr>
              <w:cnfStyle w:val="000000000000" w:firstRow="0" w:lastRow="0" w:firstColumn="0" w:lastColumn="0" w:oddVBand="0" w:evenVBand="0" w:oddHBand="0" w:evenHBand="0" w:firstRowFirstColumn="0" w:firstRowLastColumn="0" w:lastRowFirstColumn="0" w:lastRowLastColumn="0"/>
            </w:pPr>
            <w:r>
              <w:t>Declining utilisation of assets</w:t>
            </w:r>
          </w:p>
        </w:tc>
      </w:tr>
      <w:tr w:rsidR="00C778BA" w14:paraId="3D9F2D1F"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AD2C8" w14:textId="77777777" w:rsidR="00C778BA" w:rsidRDefault="00C778BA">
            <w:r>
              <w:rPr>
                <w:rStyle w:val="Strong"/>
              </w:rPr>
              <w:t>Gearing</w:t>
            </w:r>
          </w:p>
        </w:tc>
        <w:tc>
          <w:tcPr>
            <w:tcW w:w="0" w:type="auto"/>
            <w:gridSpan w:val="2"/>
            <w:hideMark/>
          </w:tcPr>
          <w:p w14:paraId="00A515D5"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Debt-to-Equity Ratio</w:t>
            </w:r>
          </w:p>
        </w:tc>
        <w:tc>
          <w:tcPr>
            <w:tcW w:w="0" w:type="auto"/>
            <w:gridSpan w:val="3"/>
            <w:hideMark/>
          </w:tcPr>
          <w:p w14:paraId="58433151" w14:textId="77777777" w:rsidR="00C778BA" w:rsidRDefault="00C778BA">
            <w:pPr>
              <w:cnfStyle w:val="000000100000" w:firstRow="0" w:lastRow="0" w:firstColumn="0" w:lastColumn="0" w:oddVBand="0" w:evenVBand="0" w:oddHBand="1" w:evenHBand="0" w:firstRowFirstColumn="0" w:firstRowLastColumn="0" w:lastRowFirstColumn="0" w:lastRowLastColumn="0"/>
            </w:pPr>
            <w:r>
              <w:t>Total Liabilities ÷ Total Equity</w:t>
            </w:r>
          </w:p>
        </w:tc>
        <w:tc>
          <w:tcPr>
            <w:tcW w:w="0" w:type="auto"/>
            <w:hideMark/>
          </w:tcPr>
          <w:p w14:paraId="24C7DF53" w14:textId="77777777" w:rsidR="00C778BA" w:rsidRDefault="00C778BA">
            <w:pPr>
              <w:cnfStyle w:val="000000100000" w:firstRow="0" w:lastRow="0" w:firstColumn="0" w:lastColumn="0" w:oddVBand="0" w:evenVBand="0" w:oddHBand="1" w:evenHBand="0" w:firstRowFirstColumn="0" w:firstRowLastColumn="0" w:lastRowFirstColumn="0" w:lastRowLastColumn="0"/>
            </w:pPr>
            <w:r>
              <w:t>0.63</w:t>
            </w:r>
          </w:p>
        </w:tc>
        <w:tc>
          <w:tcPr>
            <w:tcW w:w="0" w:type="auto"/>
            <w:gridSpan w:val="2"/>
            <w:hideMark/>
          </w:tcPr>
          <w:p w14:paraId="22CF2B80" w14:textId="77777777" w:rsidR="00C778BA" w:rsidRDefault="00C778BA">
            <w:pPr>
              <w:cnfStyle w:val="000000100000" w:firstRow="0" w:lastRow="0" w:firstColumn="0" w:lastColumn="0" w:oddVBand="0" w:evenVBand="0" w:oddHBand="1" w:evenHBand="0" w:firstRowFirstColumn="0" w:firstRowLastColumn="0" w:lastRowFirstColumn="0" w:lastRowLastColumn="0"/>
            </w:pPr>
            <w:r>
              <w:t>0.85</w:t>
            </w:r>
          </w:p>
        </w:tc>
        <w:tc>
          <w:tcPr>
            <w:tcW w:w="0" w:type="auto"/>
            <w:hideMark/>
          </w:tcPr>
          <w:p w14:paraId="00C497C2" w14:textId="77777777" w:rsidR="00C778BA" w:rsidRDefault="00C778BA">
            <w:pPr>
              <w:cnfStyle w:val="000000100000" w:firstRow="0" w:lastRow="0" w:firstColumn="0" w:lastColumn="0" w:oddVBand="0" w:evenVBand="0" w:oddHBand="1" w:evenHBand="0" w:firstRowFirstColumn="0" w:firstRowLastColumn="0" w:lastRowFirstColumn="0" w:lastRowLastColumn="0"/>
            </w:pPr>
            <w:r>
              <w:t>0.88</w:t>
            </w:r>
          </w:p>
        </w:tc>
        <w:tc>
          <w:tcPr>
            <w:tcW w:w="0" w:type="auto"/>
            <w:gridSpan w:val="2"/>
            <w:hideMark/>
          </w:tcPr>
          <w:p w14:paraId="10FEA12E" w14:textId="77777777" w:rsidR="00C778BA" w:rsidRDefault="00C778BA">
            <w:pPr>
              <w:cnfStyle w:val="000000100000" w:firstRow="0" w:lastRow="0" w:firstColumn="0" w:lastColumn="0" w:oddVBand="0" w:evenVBand="0" w:oddHBand="1" w:evenHBand="0" w:firstRowFirstColumn="0" w:firstRowLastColumn="0" w:lastRowFirstColumn="0" w:lastRowLastColumn="0"/>
            </w:pPr>
            <w:r>
              <w:t>0.99</w:t>
            </w:r>
          </w:p>
        </w:tc>
        <w:tc>
          <w:tcPr>
            <w:tcW w:w="0" w:type="auto"/>
            <w:gridSpan w:val="2"/>
            <w:hideMark/>
          </w:tcPr>
          <w:p w14:paraId="137A21EE" w14:textId="77777777" w:rsidR="00C778BA" w:rsidRDefault="00C778BA">
            <w:pPr>
              <w:cnfStyle w:val="000000100000" w:firstRow="0" w:lastRow="0" w:firstColumn="0" w:lastColumn="0" w:oddVBand="0" w:evenVBand="0" w:oddHBand="1" w:evenHBand="0" w:firstRowFirstColumn="0" w:firstRowLastColumn="0" w:lastRowFirstColumn="0" w:lastRowLastColumn="0"/>
            </w:pPr>
            <w:r>
              <w:t>1.11</w:t>
            </w:r>
          </w:p>
        </w:tc>
        <w:tc>
          <w:tcPr>
            <w:tcW w:w="0" w:type="auto"/>
            <w:hideMark/>
          </w:tcPr>
          <w:p w14:paraId="4F7459A0" w14:textId="77777777" w:rsidR="00C778BA" w:rsidRDefault="00C778BA">
            <w:pPr>
              <w:cnfStyle w:val="000000100000" w:firstRow="0" w:lastRow="0" w:firstColumn="0" w:lastColumn="0" w:oddVBand="0" w:evenVBand="0" w:oddHBand="1" w:evenHBand="0" w:firstRowFirstColumn="0" w:firstRowLastColumn="0" w:lastRowFirstColumn="0" w:lastRowLastColumn="0"/>
            </w:pPr>
            <w:r>
              <w:t>Leverage increasing — high financial risk</w:t>
            </w:r>
          </w:p>
        </w:tc>
      </w:tr>
      <w:tr w:rsidR="00C778BA" w14:paraId="48921301"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1E92E644" w14:textId="77777777" w:rsidR="00C778BA" w:rsidRDefault="00C778BA"/>
        </w:tc>
        <w:tc>
          <w:tcPr>
            <w:tcW w:w="0" w:type="auto"/>
            <w:gridSpan w:val="2"/>
            <w:hideMark/>
          </w:tcPr>
          <w:p w14:paraId="049876AE"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Interest Coverage Ratio</w:t>
            </w:r>
          </w:p>
        </w:tc>
        <w:tc>
          <w:tcPr>
            <w:tcW w:w="0" w:type="auto"/>
            <w:gridSpan w:val="3"/>
            <w:hideMark/>
          </w:tcPr>
          <w:p w14:paraId="680D989F" w14:textId="77777777" w:rsidR="00C778BA" w:rsidRDefault="00C778BA">
            <w:pPr>
              <w:cnfStyle w:val="000000000000" w:firstRow="0" w:lastRow="0" w:firstColumn="0" w:lastColumn="0" w:oddVBand="0" w:evenVBand="0" w:oddHBand="0" w:evenHBand="0" w:firstRowFirstColumn="0" w:firstRowLastColumn="0" w:lastRowFirstColumn="0" w:lastRowLastColumn="0"/>
            </w:pPr>
            <w:r>
              <w:t>EBIT ÷ Interest Expense</w:t>
            </w:r>
          </w:p>
        </w:tc>
        <w:tc>
          <w:tcPr>
            <w:tcW w:w="0" w:type="auto"/>
            <w:hideMark/>
          </w:tcPr>
          <w:p w14:paraId="6CA4FA6E" w14:textId="77777777" w:rsidR="00C778BA" w:rsidRDefault="00C778BA">
            <w:pPr>
              <w:cnfStyle w:val="000000000000" w:firstRow="0" w:lastRow="0" w:firstColumn="0" w:lastColumn="0" w:oddVBand="0" w:evenVBand="0" w:oddHBand="0" w:evenHBand="0" w:firstRowFirstColumn="0" w:firstRowLastColumn="0" w:lastRowFirstColumn="0" w:lastRowLastColumn="0"/>
            </w:pPr>
            <w:r>
              <w:t>26.2</w:t>
            </w:r>
          </w:p>
        </w:tc>
        <w:tc>
          <w:tcPr>
            <w:tcW w:w="0" w:type="auto"/>
            <w:gridSpan w:val="2"/>
            <w:hideMark/>
          </w:tcPr>
          <w:p w14:paraId="102832AB" w14:textId="77777777" w:rsidR="00C778BA" w:rsidRDefault="00C778BA">
            <w:pPr>
              <w:cnfStyle w:val="000000000000" w:firstRow="0" w:lastRow="0" w:firstColumn="0" w:lastColumn="0" w:oddVBand="0" w:evenVBand="0" w:oddHBand="0" w:evenHBand="0" w:firstRowFirstColumn="0" w:firstRowLastColumn="0" w:lastRowFirstColumn="0" w:lastRowLastColumn="0"/>
            </w:pPr>
            <w:r>
              <w:t>41.1</w:t>
            </w:r>
          </w:p>
        </w:tc>
        <w:tc>
          <w:tcPr>
            <w:tcW w:w="0" w:type="auto"/>
            <w:hideMark/>
          </w:tcPr>
          <w:p w14:paraId="712C8264" w14:textId="77777777" w:rsidR="00C778BA" w:rsidRDefault="00C778BA">
            <w:pPr>
              <w:cnfStyle w:val="000000000000" w:firstRow="0" w:lastRow="0" w:firstColumn="0" w:lastColumn="0" w:oddVBand="0" w:evenVBand="0" w:oddHBand="0" w:evenHBand="0" w:firstRowFirstColumn="0" w:firstRowLastColumn="0" w:lastRowFirstColumn="0" w:lastRowLastColumn="0"/>
            </w:pPr>
            <w:r>
              <w:t>6.6</w:t>
            </w:r>
          </w:p>
        </w:tc>
        <w:tc>
          <w:tcPr>
            <w:tcW w:w="0" w:type="auto"/>
            <w:gridSpan w:val="2"/>
            <w:hideMark/>
          </w:tcPr>
          <w:p w14:paraId="53931FFA" w14:textId="77777777" w:rsidR="00C778BA" w:rsidRDefault="00C778BA">
            <w:pPr>
              <w:cnfStyle w:val="000000000000" w:firstRow="0" w:lastRow="0" w:firstColumn="0" w:lastColumn="0" w:oddVBand="0" w:evenVBand="0" w:oddHBand="0" w:evenHBand="0" w:firstRowFirstColumn="0" w:firstRowLastColumn="0" w:lastRowFirstColumn="0" w:lastRowLastColumn="0"/>
            </w:pPr>
            <w:r>
              <w:t>–19.7</w:t>
            </w:r>
          </w:p>
        </w:tc>
        <w:tc>
          <w:tcPr>
            <w:tcW w:w="0" w:type="auto"/>
            <w:gridSpan w:val="2"/>
            <w:hideMark/>
          </w:tcPr>
          <w:p w14:paraId="4E3E9828" w14:textId="77777777" w:rsidR="00C778BA" w:rsidRDefault="00C778BA">
            <w:pPr>
              <w:cnfStyle w:val="000000000000" w:firstRow="0" w:lastRow="0" w:firstColumn="0" w:lastColumn="0" w:oddVBand="0" w:evenVBand="0" w:oddHBand="0" w:evenHBand="0" w:firstRowFirstColumn="0" w:firstRowLastColumn="0" w:lastRowFirstColumn="0" w:lastRowLastColumn="0"/>
            </w:pPr>
            <w:r>
              <w:t>–4.6</w:t>
            </w:r>
          </w:p>
        </w:tc>
        <w:tc>
          <w:tcPr>
            <w:tcW w:w="0" w:type="auto"/>
            <w:hideMark/>
          </w:tcPr>
          <w:p w14:paraId="5260044E" w14:textId="77777777" w:rsidR="00C778BA" w:rsidRDefault="00C778BA">
            <w:pPr>
              <w:cnfStyle w:val="000000000000" w:firstRow="0" w:lastRow="0" w:firstColumn="0" w:lastColumn="0" w:oddVBand="0" w:evenVBand="0" w:oddHBand="0" w:evenHBand="0" w:firstRowFirstColumn="0" w:firstRowLastColumn="0" w:lastRowFirstColumn="0" w:lastRowLastColumn="0"/>
            </w:pPr>
            <w:r>
              <w:t>Negative coverage post-2022, unable to pay interest</w:t>
            </w:r>
          </w:p>
        </w:tc>
      </w:tr>
      <w:tr w:rsidR="00C778BA" w14:paraId="12F096CD" w14:textId="77777777" w:rsidTr="00C778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EFF212" w14:textId="77777777" w:rsidR="00C778BA" w:rsidRDefault="00C778BA">
            <w:r>
              <w:rPr>
                <w:rStyle w:val="Strong"/>
              </w:rPr>
              <w:t>Investment</w:t>
            </w:r>
          </w:p>
        </w:tc>
        <w:tc>
          <w:tcPr>
            <w:tcW w:w="0" w:type="auto"/>
            <w:gridSpan w:val="2"/>
            <w:hideMark/>
          </w:tcPr>
          <w:p w14:paraId="5E2654CF" w14:textId="77777777" w:rsidR="00C778BA" w:rsidRDefault="00C778BA">
            <w:pPr>
              <w:cnfStyle w:val="000000100000" w:firstRow="0" w:lastRow="0" w:firstColumn="0" w:lastColumn="0" w:oddVBand="0" w:evenVBand="0" w:oddHBand="1" w:evenHBand="0" w:firstRowFirstColumn="0" w:firstRowLastColumn="0" w:lastRowFirstColumn="0" w:lastRowLastColumn="0"/>
            </w:pPr>
            <w:r>
              <w:rPr>
                <w:rStyle w:val="Strong"/>
              </w:rPr>
              <w:t>Earnings per Share (EPS)</w:t>
            </w:r>
          </w:p>
        </w:tc>
        <w:tc>
          <w:tcPr>
            <w:tcW w:w="0" w:type="auto"/>
            <w:gridSpan w:val="3"/>
            <w:hideMark/>
          </w:tcPr>
          <w:p w14:paraId="7F9072D8" w14:textId="77777777" w:rsidR="00C778BA" w:rsidRDefault="00C778BA">
            <w:pPr>
              <w:cnfStyle w:val="000000100000" w:firstRow="0" w:lastRow="0" w:firstColumn="0" w:lastColumn="0" w:oddVBand="0" w:evenVBand="0" w:oddHBand="1" w:evenHBand="0" w:firstRowFirstColumn="0" w:firstRowLastColumn="0" w:lastRowFirstColumn="0" w:lastRowLastColumn="0"/>
            </w:pPr>
            <w:r>
              <w:t>Net Income ÷ No. of Shares</w:t>
            </w:r>
          </w:p>
        </w:tc>
        <w:tc>
          <w:tcPr>
            <w:tcW w:w="0" w:type="auto"/>
            <w:hideMark/>
          </w:tcPr>
          <w:p w14:paraId="6392CD04" w14:textId="77777777" w:rsidR="00C778BA" w:rsidRDefault="00C778BA">
            <w:pPr>
              <w:cnfStyle w:val="000000100000" w:firstRow="0" w:lastRow="0" w:firstColumn="0" w:lastColumn="0" w:oddVBand="0" w:evenVBand="0" w:oddHBand="1" w:evenHBand="0" w:firstRowFirstColumn="0" w:firstRowLastColumn="0" w:lastRowFirstColumn="0" w:lastRowLastColumn="0"/>
            </w:pPr>
            <w:r>
              <w:t>£2.78</w:t>
            </w:r>
          </w:p>
        </w:tc>
        <w:tc>
          <w:tcPr>
            <w:tcW w:w="0" w:type="auto"/>
            <w:gridSpan w:val="2"/>
            <w:hideMark/>
          </w:tcPr>
          <w:p w14:paraId="11CFF8BC" w14:textId="77777777" w:rsidR="00C778BA" w:rsidRDefault="00C778BA">
            <w:pPr>
              <w:cnfStyle w:val="000000100000" w:firstRow="0" w:lastRow="0" w:firstColumn="0" w:lastColumn="0" w:oddVBand="0" w:evenVBand="0" w:oddHBand="1" w:evenHBand="0" w:firstRowFirstColumn="0" w:firstRowLastColumn="0" w:lastRowFirstColumn="0" w:lastRowLastColumn="0"/>
            </w:pPr>
            <w:r>
              <w:t>£0.39</w:t>
            </w:r>
          </w:p>
        </w:tc>
        <w:tc>
          <w:tcPr>
            <w:tcW w:w="0" w:type="auto"/>
            <w:hideMark/>
          </w:tcPr>
          <w:p w14:paraId="7285F572" w14:textId="77777777" w:rsidR="00C778BA" w:rsidRDefault="00C778BA">
            <w:pPr>
              <w:cnfStyle w:val="000000100000" w:firstRow="0" w:lastRow="0" w:firstColumn="0" w:lastColumn="0" w:oddVBand="0" w:evenVBand="0" w:oddHBand="1" w:evenHBand="0" w:firstRowFirstColumn="0" w:firstRowLastColumn="0" w:lastRowFirstColumn="0" w:lastRowLastColumn="0"/>
            </w:pPr>
            <w:r>
              <w:t>£0.03</w:t>
            </w:r>
          </w:p>
        </w:tc>
        <w:tc>
          <w:tcPr>
            <w:tcW w:w="0" w:type="auto"/>
            <w:gridSpan w:val="2"/>
            <w:hideMark/>
          </w:tcPr>
          <w:p w14:paraId="18261C9D" w14:textId="77777777" w:rsidR="00C778BA" w:rsidRDefault="00C778BA">
            <w:pPr>
              <w:cnfStyle w:val="000000100000" w:firstRow="0" w:lastRow="0" w:firstColumn="0" w:lastColumn="0" w:oddVBand="0" w:evenVBand="0" w:oddHBand="1" w:evenHBand="0" w:firstRowFirstColumn="0" w:firstRowLastColumn="0" w:lastRowFirstColumn="0" w:lastRowLastColumn="0"/>
            </w:pPr>
            <w:r>
              <w:t>–£7.64</w:t>
            </w:r>
          </w:p>
        </w:tc>
        <w:tc>
          <w:tcPr>
            <w:tcW w:w="0" w:type="auto"/>
            <w:gridSpan w:val="2"/>
            <w:hideMark/>
          </w:tcPr>
          <w:p w14:paraId="092472CE" w14:textId="77777777" w:rsidR="00C778BA" w:rsidRDefault="00C778BA">
            <w:pPr>
              <w:cnfStyle w:val="000000100000" w:firstRow="0" w:lastRow="0" w:firstColumn="0" w:lastColumn="0" w:oddVBand="0" w:evenVBand="0" w:oddHBand="1" w:evenHBand="0" w:firstRowFirstColumn="0" w:firstRowLastColumn="0" w:lastRowFirstColumn="0" w:lastRowLastColumn="0"/>
            </w:pPr>
            <w:r>
              <w:t>–£1.85</w:t>
            </w:r>
          </w:p>
        </w:tc>
        <w:tc>
          <w:tcPr>
            <w:tcW w:w="0" w:type="auto"/>
            <w:hideMark/>
          </w:tcPr>
          <w:p w14:paraId="5654EC0D" w14:textId="77777777" w:rsidR="00C778BA" w:rsidRDefault="00C778BA">
            <w:pPr>
              <w:cnfStyle w:val="000000100000" w:firstRow="0" w:lastRow="0" w:firstColumn="0" w:lastColumn="0" w:oddVBand="0" w:evenVBand="0" w:oddHBand="1" w:evenHBand="0" w:firstRowFirstColumn="0" w:firstRowLastColumn="0" w:lastRowFirstColumn="0" w:lastRowLastColumn="0"/>
            </w:pPr>
            <w:r>
              <w:t>Collapsed — shareholder losses sustained</w:t>
            </w:r>
          </w:p>
        </w:tc>
      </w:tr>
      <w:tr w:rsidR="00C778BA" w14:paraId="1241492E" w14:textId="77777777" w:rsidTr="00C778BA">
        <w:tc>
          <w:tcPr>
            <w:cnfStyle w:val="001000000000" w:firstRow="0" w:lastRow="0" w:firstColumn="1" w:lastColumn="0" w:oddVBand="0" w:evenVBand="0" w:oddHBand="0" w:evenHBand="0" w:firstRowFirstColumn="0" w:firstRowLastColumn="0" w:lastRowFirstColumn="0" w:lastRowLastColumn="0"/>
            <w:tcW w:w="0" w:type="auto"/>
            <w:hideMark/>
          </w:tcPr>
          <w:p w14:paraId="32D5F56A" w14:textId="77777777" w:rsidR="00C778BA" w:rsidRDefault="00C778BA"/>
        </w:tc>
        <w:tc>
          <w:tcPr>
            <w:tcW w:w="0" w:type="auto"/>
            <w:gridSpan w:val="2"/>
            <w:hideMark/>
          </w:tcPr>
          <w:p w14:paraId="5534AD29" w14:textId="77777777" w:rsidR="00C778BA" w:rsidRDefault="00C778BA">
            <w:pPr>
              <w:cnfStyle w:val="000000000000" w:firstRow="0" w:lastRow="0" w:firstColumn="0" w:lastColumn="0" w:oddVBand="0" w:evenVBand="0" w:oddHBand="0" w:evenHBand="0" w:firstRowFirstColumn="0" w:firstRowLastColumn="0" w:lastRowFirstColumn="0" w:lastRowLastColumn="0"/>
            </w:pPr>
            <w:r>
              <w:rPr>
                <w:rStyle w:val="Strong"/>
              </w:rPr>
              <w:t>Dividend Yield</w:t>
            </w:r>
          </w:p>
        </w:tc>
        <w:tc>
          <w:tcPr>
            <w:tcW w:w="0" w:type="auto"/>
            <w:gridSpan w:val="3"/>
            <w:hideMark/>
          </w:tcPr>
          <w:p w14:paraId="60E3ECF0" w14:textId="77777777" w:rsidR="00C778BA" w:rsidRDefault="00C778BA">
            <w:pPr>
              <w:cnfStyle w:val="000000000000" w:firstRow="0" w:lastRow="0" w:firstColumn="0" w:lastColumn="0" w:oddVBand="0" w:evenVBand="0" w:oddHBand="0" w:evenHBand="0" w:firstRowFirstColumn="0" w:firstRowLastColumn="0" w:lastRowFirstColumn="0" w:lastRowLastColumn="0"/>
            </w:pPr>
            <w:r>
              <w:t>DPS ÷ Market Price per Share</w:t>
            </w:r>
          </w:p>
        </w:tc>
        <w:tc>
          <w:tcPr>
            <w:tcW w:w="0" w:type="auto"/>
            <w:hideMark/>
          </w:tcPr>
          <w:p w14:paraId="2305945F" w14:textId="77777777" w:rsidR="00C778BA" w:rsidRDefault="00C778BA">
            <w:pPr>
              <w:cnfStyle w:val="000000000000" w:firstRow="0" w:lastRow="0" w:firstColumn="0" w:lastColumn="0" w:oddVBand="0" w:evenVBand="0" w:oddHBand="0" w:evenHBand="0" w:firstRowFirstColumn="0" w:firstRowLastColumn="0" w:lastRowFirstColumn="0" w:lastRowLastColumn="0"/>
            </w:pPr>
            <w:r>
              <w:t>N/A</w:t>
            </w:r>
          </w:p>
        </w:tc>
        <w:tc>
          <w:tcPr>
            <w:tcW w:w="0" w:type="auto"/>
            <w:gridSpan w:val="2"/>
            <w:hideMark/>
          </w:tcPr>
          <w:p w14:paraId="2819CA8B" w14:textId="77777777" w:rsidR="00C778BA" w:rsidRDefault="00C778BA">
            <w:pPr>
              <w:cnfStyle w:val="000000000000" w:firstRow="0" w:lastRow="0" w:firstColumn="0" w:lastColumn="0" w:oddVBand="0" w:evenVBand="0" w:oddHBand="0" w:evenHBand="0" w:firstRowFirstColumn="0" w:firstRowLastColumn="0" w:lastRowFirstColumn="0" w:lastRowLastColumn="0"/>
            </w:pPr>
            <w:r>
              <w:t>N/A</w:t>
            </w:r>
          </w:p>
        </w:tc>
        <w:tc>
          <w:tcPr>
            <w:tcW w:w="0" w:type="auto"/>
            <w:hideMark/>
          </w:tcPr>
          <w:p w14:paraId="007BFBA9" w14:textId="77777777" w:rsidR="00C778BA" w:rsidRDefault="00C778BA">
            <w:pPr>
              <w:cnfStyle w:val="000000000000" w:firstRow="0" w:lastRow="0" w:firstColumn="0" w:lastColumn="0" w:oddVBand="0" w:evenVBand="0" w:oddHBand="0" w:evenHBand="0" w:firstRowFirstColumn="0" w:firstRowLastColumn="0" w:lastRowFirstColumn="0" w:lastRowLastColumn="0"/>
            </w:pPr>
            <w:r>
              <w:t>N/A</w:t>
            </w:r>
          </w:p>
        </w:tc>
        <w:tc>
          <w:tcPr>
            <w:tcW w:w="0" w:type="auto"/>
            <w:gridSpan w:val="2"/>
            <w:hideMark/>
          </w:tcPr>
          <w:p w14:paraId="2F72289C" w14:textId="77777777" w:rsidR="00C778BA" w:rsidRDefault="00C778BA">
            <w:pPr>
              <w:cnfStyle w:val="000000000000" w:firstRow="0" w:lastRow="0" w:firstColumn="0" w:lastColumn="0" w:oddVBand="0" w:evenVBand="0" w:oddHBand="0" w:evenHBand="0" w:firstRowFirstColumn="0" w:firstRowLastColumn="0" w:lastRowFirstColumn="0" w:lastRowLastColumn="0"/>
            </w:pPr>
            <w:r>
              <w:t>N/A</w:t>
            </w:r>
          </w:p>
        </w:tc>
        <w:tc>
          <w:tcPr>
            <w:tcW w:w="0" w:type="auto"/>
            <w:gridSpan w:val="2"/>
            <w:hideMark/>
          </w:tcPr>
          <w:p w14:paraId="498CB493" w14:textId="77777777" w:rsidR="00C778BA" w:rsidRDefault="00C778BA">
            <w:pPr>
              <w:cnfStyle w:val="000000000000" w:firstRow="0" w:lastRow="0" w:firstColumn="0" w:lastColumn="0" w:oddVBand="0" w:evenVBand="0" w:oddHBand="0" w:evenHBand="0" w:firstRowFirstColumn="0" w:firstRowLastColumn="0" w:lastRowFirstColumn="0" w:lastRowLastColumn="0"/>
            </w:pPr>
            <w:r>
              <w:t>N/A</w:t>
            </w:r>
          </w:p>
        </w:tc>
        <w:tc>
          <w:tcPr>
            <w:tcW w:w="0" w:type="auto"/>
            <w:hideMark/>
          </w:tcPr>
          <w:p w14:paraId="35F850D2" w14:textId="77777777" w:rsidR="00C778BA" w:rsidRDefault="00C778BA">
            <w:pPr>
              <w:cnfStyle w:val="000000000000" w:firstRow="0" w:lastRow="0" w:firstColumn="0" w:lastColumn="0" w:oddVBand="0" w:evenVBand="0" w:oddHBand="0" w:evenHBand="0" w:firstRowFirstColumn="0" w:firstRowLastColumn="0" w:lastRowFirstColumn="0" w:lastRowLastColumn="0"/>
            </w:pPr>
            <w:r>
              <w:t>Likely suspended due to losses</w:t>
            </w:r>
          </w:p>
        </w:tc>
      </w:tr>
    </w:tbl>
    <w:p w14:paraId="70900DA2" w14:textId="77777777" w:rsidR="00C778BA" w:rsidRPr="00C778BA" w:rsidRDefault="00C778BA" w:rsidP="00C778BA">
      <w:pPr>
        <w:jc w:val="center"/>
        <w:rPr>
          <w:lang w:val="en-GB"/>
        </w:rPr>
      </w:pPr>
    </w:p>
    <w:p w14:paraId="02B756D1" w14:textId="51ADD991" w:rsidR="00C778BA" w:rsidRDefault="00C778BA">
      <w:pPr>
        <w:spacing w:before="0" w:after="160" w:line="278" w:lineRule="auto"/>
        <w:jc w:val="left"/>
        <w:rPr>
          <w:lang w:val="en-GB"/>
        </w:rPr>
      </w:pPr>
      <w:r>
        <w:rPr>
          <w:lang w:val="en-GB"/>
        </w:rPr>
        <w:br w:type="page"/>
      </w:r>
    </w:p>
    <w:p w14:paraId="15805F07" w14:textId="45915F5D" w:rsidR="00C778BA" w:rsidRDefault="002574BC" w:rsidP="002574BC">
      <w:pPr>
        <w:pStyle w:val="Heading1"/>
      </w:pPr>
      <w:bookmarkStart w:id="25" w:name="_Toc213103762"/>
      <w:r>
        <w:lastRenderedPageBreak/>
        <w:t xml:space="preserve">Appendix B: </w:t>
      </w:r>
      <w:r w:rsidRPr="002574BC">
        <w:t>General Electronics - CCC Table (2020-2024)</w:t>
      </w:r>
      <w:bookmarkEnd w:id="25"/>
    </w:p>
    <w:tbl>
      <w:tblPr>
        <w:tblStyle w:val="PlainTable1"/>
        <w:tblW w:w="0" w:type="auto"/>
        <w:jc w:val="center"/>
        <w:tblLook w:val="04A0" w:firstRow="1" w:lastRow="0" w:firstColumn="1" w:lastColumn="0" w:noHBand="0" w:noVBand="1"/>
      </w:tblPr>
      <w:tblGrid>
        <w:gridCol w:w="696"/>
        <w:gridCol w:w="1797"/>
        <w:gridCol w:w="1889"/>
        <w:gridCol w:w="1596"/>
        <w:gridCol w:w="1463"/>
      </w:tblGrid>
      <w:tr w:rsidR="002574BC" w:rsidRPr="002574BC" w14:paraId="4C7E4ECC" w14:textId="77777777" w:rsidTr="002574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BFBA00" w14:textId="77777777" w:rsidR="002574BC" w:rsidRPr="002574BC" w:rsidRDefault="002574BC" w:rsidP="002574BC">
            <w:pPr>
              <w:jc w:val="center"/>
              <w:rPr>
                <w:lang w:val="en-GB"/>
              </w:rPr>
            </w:pPr>
            <w:r w:rsidRPr="002574BC">
              <w:rPr>
                <w:lang w:val="en-GB"/>
              </w:rPr>
              <w:t>Year</w:t>
            </w:r>
          </w:p>
        </w:tc>
        <w:tc>
          <w:tcPr>
            <w:tcW w:w="0" w:type="auto"/>
            <w:hideMark/>
          </w:tcPr>
          <w:p w14:paraId="484F50B7" w14:textId="77777777" w:rsidR="002574BC" w:rsidRPr="002574BC" w:rsidRDefault="002574BC" w:rsidP="002574BC">
            <w:pPr>
              <w:jc w:val="center"/>
              <w:cnfStyle w:val="100000000000" w:firstRow="1" w:lastRow="0" w:firstColumn="0" w:lastColumn="0" w:oddVBand="0" w:evenVBand="0" w:oddHBand="0" w:evenHBand="0" w:firstRowFirstColumn="0" w:firstRowLastColumn="0" w:lastRowFirstColumn="0" w:lastRowLastColumn="0"/>
              <w:rPr>
                <w:lang w:val="en-GB"/>
              </w:rPr>
            </w:pPr>
            <w:r w:rsidRPr="002574BC">
              <w:rPr>
                <w:lang w:val="en-GB"/>
              </w:rPr>
              <w:t>Inventory Days</w:t>
            </w:r>
          </w:p>
        </w:tc>
        <w:tc>
          <w:tcPr>
            <w:tcW w:w="0" w:type="auto"/>
            <w:hideMark/>
          </w:tcPr>
          <w:p w14:paraId="25D85798" w14:textId="77777777" w:rsidR="002574BC" w:rsidRPr="002574BC" w:rsidRDefault="002574BC" w:rsidP="002574BC">
            <w:pPr>
              <w:jc w:val="center"/>
              <w:cnfStyle w:val="100000000000" w:firstRow="1" w:lastRow="0" w:firstColumn="0" w:lastColumn="0" w:oddVBand="0" w:evenVBand="0" w:oddHBand="0" w:evenHBand="0" w:firstRowFirstColumn="0" w:firstRowLastColumn="0" w:lastRowFirstColumn="0" w:lastRowLastColumn="0"/>
              <w:rPr>
                <w:lang w:val="en-GB"/>
              </w:rPr>
            </w:pPr>
            <w:r w:rsidRPr="002574BC">
              <w:rPr>
                <w:lang w:val="en-GB"/>
              </w:rPr>
              <w:t>Receivable Days</w:t>
            </w:r>
          </w:p>
        </w:tc>
        <w:tc>
          <w:tcPr>
            <w:tcW w:w="0" w:type="auto"/>
            <w:hideMark/>
          </w:tcPr>
          <w:p w14:paraId="77A53742" w14:textId="77777777" w:rsidR="002574BC" w:rsidRPr="002574BC" w:rsidRDefault="002574BC" w:rsidP="002574BC">
            <w:pPr>
              <w:jc w:val="center"/>
              <w:cnfStyle w:val="100000000000" w:firstRow="1" w:lastRow="0" w:firstColumn="0" w:lastColumn="0" w:oddVBand="0" w:evenVBand="0" w:oddHBand="0" w:evenHBand="0" w:firstRowFirstColumn="0" w:firstRowLastColumn="0" w:lastRowFirstColumn="0" w:lastRowLastColumn="0"/>
              <w:rPr>
                <w:lang w:val="en-GB"/>
              </w:rPr>
            </w:pPr>
            <w:r w:rsidRPr="002574BC">
              <w:rPr>
                <w:lang w:val="en-GB"/>
              </w:rPr>
              <w:t>Payable Days</w:t>
            </w:r>
          </w:p>
        </w:tc>
        <w:tc>
          <w:tcPr>
            <w:tcW w:w="0" w:type="auto"/>
            <w:hideMark/>
          </w:tcPr>
          <w:p w14:paraId="1845E567" w14:textId="77777777" w:rsidR="002574BC" w:rsidRPr="002574BC" w:rsidRDefault="002574BC" w:rsidP="002574BC">
            <w:pPr>
              <w:jc w:val="center"/>
              <w:cnfStyle w:val="100000000000" w:firstRow="1" w:lastRow="0" w:firstColumn="0" w:lastColumn="0" w:oddVBand="0" w:evenVBand="0" w:oddHBand="0" w:evenHBand="0" w:firstRowFirstColumn="0" w:firstRowLastColumn="0" w:lastRowFirstColumn="0" w:lastRowLastColumn="0"/>
              <w:rPr>
                <w:lang w:val="en-GB"/>
              </w:rPr>
            </w:pPr>
            <w:r w:rsidRPr="002574BC">
              <w:rPr>
                <w:lang w:val="en-GB"/>
              </w:rPr>
              <w:t>CCC (Days)</w:t>
            </w:r>
          </w:p>
        </w:tc>
      </w:tr>
      <w:tr w:rsidR="002574BC" w:rsidRPr="002574BC" w14:paraId="28C93F1C" w14:textId="77777777" w:rsidTr="002574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A1D2A9" w14:textId="77777777" w:rsidR="002574BC" w:rsidRPr="002574BC" w:rsidRDefault="002574BC" w:rsidP="002574BC">
            <w:pPr>
              <w:jc w:val="center"/>
              <w:rPr>
                <w:lang w:val="en-GB"/>
              </w:rPr>
            </w:pPr>
            <w:r w:rsidRPr="002574BC">
              <w:rPr>
                <w:lang w:val="en-GB"/>
              </w:rPr>
              <w:t>2020</w:t>
            </w:r>
          </w:p>
        </w:tc>
        <w:tc>
          <w:tcPr>
            <w:tcW w:w="0" w:type="auto"/>
            <w:hideMark/>
          </w:tcPr>
          <w:p w14:paraId="6F1B5C1B"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100</w:t>
            </w:r>
          </w:p>
        </w:tc>
        <w:tc>
          <w:tcPr>
            <w:tcW w:w="0" w:type="auto"/>
            <w:hideMark/>
          </w:tcPr>
          <w:p w14:paraId="07A9794A"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77</w:t>
            </w:r>
          </w:p>
        </w:tc>
        <w:tc>
          <w:tcPr>
            <w:tcW w:w="0" w:type="auto"/>
            <w:hideMark/>
          </w:tcPr>
          <w:p w14:paraId="0B9EBA91"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72</w:t>
            </w:r>
          </w:p>
        </w:tc>
        <w:tc>
          <w:tcPr>
            <w:tcW w:w="0" w:type="auto"/>
            <w:hideMark/>
          </w:tcPr>
          <w:p w14:paraId="6368065E"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b/>
                <w:bCs/>
                <w:lang w:val="en-GB"/>
              </w:rPr>
              <w:t>105</w:t>
            </w:r>
          </w:p>
        </w:tc>
      </w:tr>
      <w:tr w:rsidR="002574BC" w:rsidRPr="002574BC" w14:paraId="42194A39" w14:textId="77777777" w:rsidTr="002574B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86CB6B" w14:textId="77777777" w:rsidR="002574BC" w:rsidRPr="002574BC" w:rsidRDefault="002574BC" w:rsidP="002574BC">
            <w:pPr>
              <w:jc w:val="center"/>
              <w:rPr>
                <w:lang w:val="en-GB"/>
              </w:rPr>
            </w:pPr>
            <w:r w:rsidRPr="002574BC">
              <w:rPr>
                <w:lang w:val="en-GB"/>
              </w:rPr>
              <w:t>2021</w:t>
            </w:r>
          </w:p>
        </w:tc>
        <w:tc>
          <w:tcPr>
            <w:tcW w:w="0" w:type="auto"/>
            <w:hideMark/>
          </w:tcPr>
          <w:p w14:paraId="0D36B532"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114</w:t>
            </w:r>
          </w:p>
        </w:tc>
        <w:tc>
          <w:tcPr>
            <w:tcW w:w="0" w:type="auto"/>
            <w:hideMark/>
          </w:tcPr>
          <w:p w14:paraId="06D1F32B"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78</w:t>
            </w:r>
          </w:p>
        </w:tc>
        <w:tc>
          <w:tcPr>
            <w:tcW w:w="0" w:type="auto"/>
            <w:hideMark/>
          </w:tcPr>
          <w:p w14:paraId="3F6A6E58"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79</w:t>
            </w:r>
          </w:p>
        </w:tc>
        <w:tc>
          <w:tcPr>
            <w:tcW w:w="0" w:type="auto"/>
            <w:hideMark/>
          </w:tcPr>
          <w:p w14:paraId="711808DF"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b/>
                <w:bCs/>
                <w:lang w:val="en-GB"/>
              </w:rPr>
              <w:t>113</w:t>
            </w:r>
          </w:p>
        </w:tc>
      </w:tr>
      <w:tr w:rsidR="002574BC" w:rsidRPr="002574BC" w14:paraId="5A2808FD" w14:textId="77777777" w:rsidTr="002574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41463F" w14:textId="77777777" w:rsidR="002574BC" w:rsidRPr="002574BC" w:rsidRDefault="002574BC" w:rsidP="002574BC">
            <w:pPr>
              <w:jc w:val="center"/>
              <w:rPr>
                <w:lang w:val="en-GB"/>
              </w:rPr>
            </w:pPr>
            <w:r w:rsidRPr="002574BC">
              <w:rPr>
                <w:lang w:val="en-GB"/>
              </w:rPr>
              <w:t>2022</w:t>
            </w:r>
          </w:p>
        </w:tc>
        <w:tc>
          <w:tcPr>
            <w:tcW w:w="0" w:type="auto"/>
            <w:hideMark/>
          </w:tcPr>
          <w:p w14:paraId="6630BB0C"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131</w:t>
            </w:r>
          </w:p>
        </w:tc>
        <w:tc>
          <w:tcPr>
            <w:tcW w:w="0" w:type="auto"/>
            <w:hideMark/>
          </w:tcPr>
          <w:p w14:paraId="7684A53B"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76</w:t>
            </w:r>
          </w:p>
        </w:tc>
        <w:tc>
          <w:tcPr>
            <w:tcW w:w="0" w:type="auto"/>
            <w:hideMark/>
          </w:tcPr>
          <w:p w14:paraId="59C3BB86"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67</w:t>
            </w:r>
          </w:p>
        </w:tc>
        <w:tc>
          <w:tcPr>
            <w:tcW w:w="0" w:type="auto"/>
            <w:hideMark/>
          </w:tcPr>
          <w:p w14:paraId="44FDDD85"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b/>
                <w:bCs/>
                <w:lang w:val="en-GB"/>
              </w:rPr>
              <w:t>140</w:t>
            </w:r>
          </w:p>
        </w:tc>
      </w:tr>
      <w:tr w:rsidR="002574BC" w:rsidRPr="002574BC" w14:paraId="699F7B50" w14:textId="77777777" w:rsidTr="002574B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EDAB4D" w14:textId="77777777" w:rsidR="002574BC" w:rsidRPr="002574BC" w:rsidRDefault="002574BC" w:rsidP="002574BC">
            <w:pPr>
              <w:jc w:val="center"/>
              <w:rPr>
                <w:lang w:val="en-GB"/>
              </w:rPr>
            </w:pPr>
            <w:r w:rsidRPr="002574BC">
              <w:rPr>
                <w:lang w:val="en-GB"/>
              </w:rPr>
              <w:t>2023</w:t>
            </w:r>
          </w:p>
        </w:tc>
        <w:tc>
          <w:tcPr>
            <w:tcW w:w="0" w:type="auto"/>
            <w:hideMark/>
          </w:tcPr>
          <w:p w14:paraId="54D17732"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125</w:t>
            </w:r>
          </w:p>
        </w:tc>
        <w:tc>
          <w:tcPr>
            <w:tcW w:w="0" w:type="auto"/>
            <w:hideMark/>
          </w:tcPr>
          <w:p w14:paraId="02D6AB49"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97</w:t>
            </w:r>
          </w:p>
        </w:tc>
        <w:tc>
          <w:tcPr>
            <w:tcW w:w="0" w:type="auto"/>
            <w:hideMark/>
          </w:tcPr>
          <w:p w14:paraId="0075B523"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lang w:val="en-GB"/>
              </w:rPr>
              <w:t>65</w:t>
            </w:r>
          </w:p>
        </w:tc>
        <w:tc>
          <w:tcPr>
            <w:tcW w:w="0" w:type="auto"/>
            <w:hideMark/>
          </w:tcPr>
          <w:p w14:paraId="3EB2BA3D" w14:textId="77777777" w:rsidR="002574BC" w:rsidRPr="002574BC" w:rsidRDefault="002574BC" w:rsidP="002574BC">
            <w:pPr>
              <w:jc w:val="center"/>
              <w:cnfStyle w:val="000000000000" w:firstRow="0" w:lastRow="0" w:firstColumn="0" w:lastColumn="0" w:oddVBand="0" w:evenVBand="0" w:oddHBand="0" w:evenHBand="0" w:firstRowFirstColumn="0" w:firstRowLastColumn="0" w:lastRowFirstColumn="0" w:lastRowLastColumn="0"/>
              <w:rPr>
                <w:lang w:val="en-GB"/>
              </w:rPr>
            </w:pPr>
            <w:r w:rsidRPr="002574BC">
              <w:rPr>
                <w:b/>
                <w:bCs/>
                <w:lang w:val="en-GB"/>
              </w:rPr>
              <w:t>157</w:t>
            </w:r>
          </w:p>
        </w:tc>
      </w:tr>
      <w:tr w:rsidR="002574BC" w:rsidRPr="002574BC" w14:paraId="54A67860" w14:textId="77777777" w:rsidTr="002574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4A8BE6" w14:textId="77777777" w:rsidR="002574BC" w:rsidRPr="002574BC" w:rsidRDefault="002574BC" w:rsidP="002574BC">
            <w:pPr>
              <w:jc w:val="center"/>
              <w:rPr>
                <w:lang w:val="en-GB"/>
              </w:rPr>
            </w:pPr>
            <w:r w:rsidRPr="002574BC">
              <w:rPr>
                <w:lang w:val="en-GB"/>
              </w:rPr>
              <w:t>2024</w:t>
            </w:r>
          </w:p>
        </w:tc>
        <w:tc>
          <w:tcPr>
            <w:tcW w:w="0" w:type="auto"/>
            <w:hideMark/>
          </w:tcPr>
          <w:p w14:paraId="14E5B63F"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150</w:t>
            </w:r>
          </w:p>
        </w:tc>
        <w:tc>
          <w:tcPr>
            <w:tcW w:w="0" w:type="auto"/>
            <w:hideMark/>
          </w:tcPr>
          <w:p w14:paraId="4B8D517F"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74</w:t>
            </w:r>
          </w:p>
        </w:tc>
        <w:tc>
          <w:tcPr>
            <w:tcW w:w="0" w:type="auto"/>
            <w:hideMark/>
          </w:tcPr>
          <w:p w14:paraId="077C6156"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lang w:val="en-GB"/>
              </w:rPr>
              <w:t>66</w:t>
            </w:r>
          </w:p>
        </w:tc>
        <w:tc>
          <w:tcPr>
            <w:tcW w:w="0" w:type="auto"/>
            <w:hideMark/>
          </w:tcPr>
          <w:p w14:paraId="49AEDECF" w14:textId="77777777" w:rsidR="002574BC" w:rsidRPr="002574BC" w:rsidRDefault="002574BC" w:rsidP="002574BC">
            <w:pPr>
              <w:jc w:val="center"/>
              <w:cnfStyle w:val="000000100000" w:firstRow="0" w:lastRow="0" w:firstColumn="0" w:lastColumn="0" w:oddVBand="0" w:evenVBand="0" w:oddHBand="1" w:evenHBand="0" w:firstRowFirstColumn="0" w:firstRowLastColumn="0" w:lastRowFirstColumn="0" w:lastRowLastColumn="0"/>
              <w:rPr>
                <w:lang w:val="en-GB"/>
              </w:rPr>
            </w:pPr>
            <w:r w:rsidRPr="002574BC">
              <w:rPr>
                <w:b/>
                <w:bCs/>
                <w:lang w:val="en-GB"/>
              </w:rPr>
              <w:t>158</w:t>
            </w:r>
          </w:p>
        </w:tc>
      </w:tr>
    </w:tbl>
    <w:p w14:paraId="1DD04608" w14:textId="77777777" w:rsidR="002574BC" w:rsidRDefault="002574BC" w:rsidP="001D55FF">
      <w:pPr>
        <w:rPr>
          <w:lang w:val="en-GB"/>
        </w:rPr>
      </w:pPr>
    </w:p>
    <w:p w14:paraId="21C65F38" w14:textId="0153EB7F" w:rsidR="001D55FF" w:rsidRDefault="001D55FF" w:rsidP="001D55FF">
      <w:pPr>
        <w:pStyle w:val="Heading1"/>
        <w:rPr>
          <w:bCs/>
          <w:lang w:val="en-IN"/>
        </w:rPr>
      </w:pPr>
      <w:bookmarkStart w:id="26" w:name="_Toc213103763"/>
      <w:r>
        <w:t xml:space="preserve">Appendix C: </w:t>
      </w:r>
      <w:r w:rsidRPr="001D55FF">
        <w:rPr>
          <w:bCs/>
          <w:lang w:val="en-IN"/>
        </w:rPr>
        <w:t>General Electronics – Investment Appraisal Results</w:t>
      </w:r>
      <w:bookmarkEnd w:id="26"/>
    </w:p>
    <w:tbl>
      <w:tblPr>
        <w:tblStyle w:val="PlainTable1"/>
        <w:tblW w:w="0" w:type="auto"/>
        <w:tblLook w:val="04A0" w:firstRow="1" w:lastRow="0" w:firstColumn="1" w:lastColumn="0" w:noHBand="0" w:noVBand="1"/>
      </w:tblPr>
      <w:tblGrid>
        <w:gridCol w:w="959"/>
        <w:gridCol w:w="1865"/>
        <w:gridCol w:w="956"/>
        <w:gridCol w:w="845"/>
        <w:gridCol w:w="1724"/>
        <w:gridCol w:w="924"/>
        <w:gridCol w:w="1918"/>
      </w:tblGrid>
      <w:tr w:rsidR="001D55FF" w:rsidRPr="001D55FF" w14:paraId="2BA4DB13" w14:textId="77777777" w:rsidTr="001D55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F4F0DB" w14:textId="77777777" w:rsidR="001D55FF" w:rsidRPr="001D55FF" w:rsidRDefault="001D55FF" w:rsidP="001D55FF">
            <w:pPr>
              <w:jc w:val="center"/>
              <w:rPr>
                <w:lang w:val="en-GB"/>
              </w:rPr>
            </w:pPr>
            <w:r w:rsidRPr="001D55FF">
              <w:rPr>
                <w:lang w:val="en-GB"/>
              </w:rPr>
              <w:t>Project</w:t>
            </w:r>
          </w:p>
        </w:tc>
        <w:tc>
          <w:tcPr>
            <w:tcW w:w="0" w:type="auto"/>
            <w:hideMark/>
          </w:tcPr>
          <w:p w14:paraId="30C8EDD5"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Initial Investment (£m)</w:t>
            </w:r>
          </w:p>
        </w:tc>
        <w:tc>
          <w:tcPr>
            <w:tcW w:w="0" w:type="auto"/>
            <w:hideMark/>
          </w:tcPr>
          <w:p w14:paraId="2758C9EA"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NPV (£m)</w:t>
            </w:r>
          </w:p>
        </w:tc>
        <w:tc>
          <w:tcPr>
            <w:tcW w:w="0" w:type="auto"/>
            <w:hideMark/>
          </w:tcPr>
          <w:p w14:paraId="1446DF11"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IRR (%)</w:t>
            </w:r>
          </w:p>
        </w:tc>
        <w:tc>
          <w:tcPr>
            <w:tcW w:w="0" w:type="auto"/>
            <w:hideMark/>
          </w:tcPr>
          <w:p w14:paraId="7DE84678"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Payback Period (Years)</w:t>
            </w:r>
          </w:p>
        </w:tc>
        <w:tc>
          <w:tcPr>
            <w:tcW w:w="0" w:type="auto"/>
            <w:hideMark/>
          </w:tcPr>
          <w:p w14:paraId="52E46BBE"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ARR (%)</w:t>
            </w:r>
          </w:p>
        </w:tc>
        <w:tc>
          <w:tcPr>
            <w:tcW w:w="0" w:type="auto"/>
            <w:hideMark/>
          </w:tcPr>
          <w:p w14:paraId="2006457F" w14:textId="77777777" w:rsidR="001D55FF" w:rsidRPr="001D55FF" w:rsidRDefault="001D55FF" w:rsidP="001D55FF">
            <w:pPr>
              <w:jc w:val="center"/>
              <w:cnfStyle w:val="100000000000" w:firstRow="1" w:lastRow="0" w:firstColumn="0" w:lastColumn="0" w:oddVBand="0" w:evenVBand="0" w:oddHBand="0" w:evenHBand="0" w:firstRowFirstColumn="0" w:firstRowLastColumn="0" w:lastRowFirstColumn="0" w:lastRowLastColumn="0"/>
              <w:rPr>
                <w:lang w:val="en-GB"/>
              </w:rPr>
            </w:pPr>
            <w:r w:rsidRPr="001D55FF">
              <w:rPr>
                <w:lang w:val="en-GB"/>
              </w:rPr>
              <w:t>Profitability Index (PI)</w:t>
            </w:r>
          </w:p>
        </w:tc>
      </w:tr>
      <w:tr w:rsidR="001D55FF" w:rsidRPr="001D55FF" w14:paraId="0857505E" w14:textId="77777777" w:rsidTr="001D5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753BBF" w14:textId="77777777" w:rsidR="001D55FF" w:rsidRPr="001D55FF" w:rsidRDefault="001D55FF" w:rsidP="001D55FF">
            <w:pPr>
              <w:jc w:val="center"/>
              <w:rPr>
                <w:lang w:val="en-GB"/>
              </w:rPr>
            </w:pPr>
            <w:r w:rsidRPr="001D55FF">
              <w:rPr>
                <w:lang w:val="en-GB"/>
              </w:rPr>
              <w:t>A</w:t>
            </w:r>
          </w:p>
        </w:tc>
        <w:tc>
          <w:tcPr>
            <w:tcW w:w="0" w:type="auto"/>
            <w:hideMark/>
          </w:tcPr>
          <w:p w14:paraId="2281F20B"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40</w:t>
            </w:r>
          </w:p>
        </w:tc>
        <w:tc>
          <w:tcPr>
            <w:tcW w:w="0" w:type="auto"/>
            <w:hideMark/>
          </w:tcPr>
          <w:p w14:paraId="6E2F59F3"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6.84</w:t>
            </w:r>
          </w:p>
        </w:tc>
        <w:tc>
          <w:tcPr>
            <w:tcW w:w="0" w:type="auto"/>
            <w:hideMark/>
          </w:tcPr>
          <w:p w14:paraId="299AA3D5"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14.1</w:t>
            </w:r>
          </w:p>
        </w:tc>
        <w:tc>
          <w:tcPr>
            <w:tcW w:w="0" w:type="auto"/>
            <w:hideMark/>
          </w:tcPr>
          <w:p w14:paraId="2C8BF33A"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3.7</w:t>
            </w:r>
          </w:p>
        </w:tc>
        <w:tc>
          <w:tcPr>
            <w:tcW w:w="0" w:type="auto"/>
            <w:hideMark/>
          </w:tcPr>
          <w:p w14:paraId="0FFED18A"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18.0</w:t>
            </w:r>
          </w:p>
        </w:tc>
        <w:tc>
          <w:tcPr>
            <w:tcW w:w="0" w:type="auto"/>
            <w:hideMark/>
          </w:tcPr>
          <w:p w14:paraId="3DB949F7"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1.17</w:t>
            </w:r>
          </w:p>
        </w:tc>
      </w:tr>
      <w:tr w:rsidR="001D55FF" w:rsidRPr="001D55FF" w14:paraId="3ABED15F" w14:textId="77777777" w:rsidTr="001D55FF">
        <w:tc>
          <w:tcPr>
            <w:cnfStyle w:val="001000000000" w:firstRow="0" w:lastRow="0" w:firstColumn="1" w:lastColumn="0" w:oddVBand="0" w:evenVBand="0" w:oddHBand="0" w:evenHBand="0" w:firstRowFirstColumn="0" w:firstRowLastColumn="0" w:lastRowFirstColumn="0" w:lastRowLastColumn="0"/>
            <w:tcW w:w="0" w:type="auto"/>
            <w:hideMark/>
          </w:tcPr>
          <w:p w14:paraId="18B2CC24" w14:textId="77777777" w:rsidR="001D55FF" w:rsidRPr="001D55FF" w:rsidRDefault="001D55FF" w:rsidP="001D55FF">
            <w:pPr>
              <w:jc w:val="center"/>
              <w:rPr>
                <w:lang w:val="en-GB"/>
              </w:rPr>
            </w:pPr>
            <w:r w:rsidRPr="001D55FF">
              <w:rPr>
                <w:lang w:val="en-GB"/>
              </w:rPr>
              <w:t>B</w:t>
            </w:r>
          </w:p>
        </w:tc>
        <w:tc>
          <w:tcPr>
            <w:tcW w:w="0" w:type="auto"/>
            <w:hideMark/>
          </w:tcPr>
          <w:p w14:paraId="1E4E3814"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lang w:val="en-GB"/>
              </w:rPr>
              <w:t>30</w:t>
            </w:r>
          </w:p>
        </w:tc>
        <w:tc>
          <w:tcPr>
            <w:tcW w:w="0" w:type="auto"/>
            <w:hideMark/>
          </w:tcPr>
          <w:p w14:paraId="39CA172E"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b/>
                <w:bCs/>
                <w:lang w:val="en-GB"/>
              </w:rPr>
              <w:t>1.81</w:t>
            </w:r>
          </w:p>
        </w:tc>
        <w:tc>
          <w:tcPr>
            <w:tcW w:w="0" w:type="auto"/>
            <w:hideMark/>
          </w:tcPr>
          <w:p w14:paraId="18E8173B"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b/>
                <w:bCs/>
                <w:lang w:val="en-GB"/>
              </w:rPr>
              <w:t>11.1</w:t>
            </w:r>
          </w:p>
        </w:tc>
        <w:tc>
          <w:tcPr>
            <w:tcW w:w="0" w:type="auto"/>
            <w:hideMark/>
          </w:tcPr>
          <w:p w14:paraId="1ACFEBE8"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b/>
                <w:bCs/>
                <w:lang w:val="en-GB"/>
              </w:rPr>
              <w:t>5.0</w:t>
            </w:r>
          </w:p>
        </w:tc>
        <w:tc>
          <w:tcPr>
            <w:tcW w:w="0" w:type="auto"/>
            <w:hideMark/>
          </w:tcPr>
          <w:p w14:paraId="3599E2F9"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b/>
                <w:bCs/>
                <w:lang w:val="en-GB"/>
              </w:rPr>
              <w:t>14.0</w:t>
            </w:r>
          </w:p>
        </w:tc>
        <w:tc>
          <w:tcPr>
            <w:tcW w:w="0" w:type="auto"/>
            <w:hideMark/>
          </w:tcPr>
          <w:p w14:paraId="6BA52D11" w14:textId="77777777" w:rsidR="001D55FF" w:rsidRPr="001D55FF" w:rsidRDefault="001D55FF" w:rsidP="001D55FF">
            <w:pPr>
              <w:jc w:val="center"/>
              <w:cnfStyle w:val="000000000000" w:firstRow="0" w:lastRow="0" w:firstColumn="0" w:lastColumn="0" w:oddVBand="0" w:evenVBand="0" w:oddHBand="0" w:evenHBand="0" w:firstRowFirstColumn="0" w:firstRowLastColumn="0" w:lastRowFirstColumn="0" w:lastRowLastColumn="0"/>
              <w:rPr>
                <w:lang w:val="en-GB"/>
              </w:rPr>
            </w:pPr>
            <w:r w:rsidRPr="001D55FF">
              <w:rPr>
                <w:b/>
                <w:bCs/>
                <w:lang w:val="en-GB"/>
              </w:rPr>
              <w:t>1.06</w:t>
            </w:r>
          </w:p>
        </w:tc>
      </w:tr>
      <w:tr w:rsidR="001D55FF" w:rsidRPr="001D55FF" w14:paraId="74C17C2B" w14:textId="77777777" w:rsidTr="001D5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30E71" w14:textId="77777777" w:rsidR="001D55FF" w:rsidRPr="001D55FF" w:rsidRDefault="001D55FF" w:rsidP="001D55FF">
            <w:pPr>
              <w:jc w:val="center"/>
              <w:rPr>
                <w:lang w:val="en-GB"/>
              </w:rPr>
            </w:pPr>
            <w:r w:rsidRPr="001D55FF">
              <w:rPr>
                <w:lang w:val="en-GB"/>
              </w:rPr>
              <w:t>C</w:t>
            </w:r>
          </w:p>
        </w:tc>
        <w:tc>
          <w:tcPr>
            <w:tcW w:w="0" w:type="auto"/>
            <w:hideMark/>
          </w:tcPr>
          <w:p w14:paraId="69FDD23A"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lang w:val="en-GB"/>
              </w:rPr>
              <w:t>50</w:t>
            </w:r>
          </w:p>
        </w:tc>
        <w:tc>
          <w:tcPr>
            <w:tcW w:w="0" w:type="auto"/>
            <w:hideMark/>
          </w:tcPr>
          <w:p w14:paraId="4976D85B"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12.34</w:t>
            </w:r>
          </w:p>
        </w:tc>
        <w:tc>
          <w:tcPr>
            <w:tcW w:w="0" w:type="auto"/>
            <w:hideMark/>
          </w:tcPr>
          <w:p w14:paraId="6F56FA5D"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18.2</w:t>
            </w:r>
          </w:p>
        </w:tc>
        <w:tc>
          <w:tcPr>
            <w:tcW w:w="0" w:type="auto"/>
            <w:hideMark/>
          </w:tcPr>
          <w:p w14:paraId="76CFC3C8"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3.4</w:t>
            </w:r>
          </w:p>
        </w:tc>
        <w:tc>
          <w:tcPr>
            <w:tcW w:w="0" w:type="auto"/>
            <w:hideMark/>
          </w:tcPr>
          <w:p w14:paraId="1B96D58E"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22.0</w:t>
            </w:r>
          </w:p>
        </w:tc>
        <w:tc>
          <w:tcPr>
            <w:tcW w:w="0" w:type="auto"/>
            <w:hideMark/>
          </w:tcPr>
          <w:p w14:paraId="048B72D8" w14:textId="77777777" w:rsidR="001D55FF" w:rsidRPr="001D55FF" w:rsidRDefault="001D55FF" w:rsidP="001D55FF">
            <w:pPr>
              <w:jc w:val="center"/>
              <w:cnfStyle w:val="000000100000" w:firstRow="0" w:lastRow="0" w:firstColumn="0" w:lastColumn="0" w:oddVBand="0" w:evenVBand="0" w:oddHBand="1" w:evenHBand="0" w:firstRowFirstColumn="0" w:firstRowLastColumn="0" w:lastRowFirstColumn="0" w:lastRowLastColumn="0"/>
              <w:rPr>
                <w:lang w:val="en-GB"/>
              </w:rPr>
            </w:pPr>
            <w:r w:rsidRPr="001D55FF">
              <w:rPr>
                <w:b/>
                <w:bCs/>
                <w:lang w:val="en-GB"/>
              </w:rPr>
              <w:t>1.25</w:t>
            </w:r>
          </w:p>
        </w:tc>
      </w:tr>
    </w:tbl>
    <w:p w14:paraId="34DAA3EF" w14:textId="44AC859A" w:rsidR="00B756C6" w:rsidRDefault="00B756C6" w:rsidP="00B756C6"/>
    <w:p w14:paraId="298E4348" w14:textId="77777777" w:rsidR="00B756C6" w:rsidRDefault="00B756C6">
      <w:pPr>
        <w:spacing w:before="0" w:after="160" w:line="278" w:lineRule="auto"/>
        <w:jc w:val="left"/>
      </w:pPr>
      <w:r>
        <w:br w:type="page"/>
      </w:r>
    </w:p>
    <w:p w14:paraId="6FFFD573" w14:textId="7E0B1ED0" w:rsidR="001D55FF" w:rsidRDefault="00B756C6" w:rsidP="00B756C6">
      <w:pPr>
        <w:pStyle w:val="Heading1"/>
      </w:pPr>
      <w:r w:rsidRPr="00B756C6">
        <w:lastRenderedPageBreak/>
        <w:t>Appendix C: Investment Appraisal Workings</w:t>
      </w:r>
    </w:p>
    <w:p w14:paraId="470C838E" w14:textId="229EFB34" w:rsidR="00B756C6" w:rsidRDefault="00B756C6" w:rsidP="00B756C6">
      <w:pPr>
        <w:spacing w:line="360" w:lineRule="auto"/>
        <w:rPr>
          <w:lang w:val="en-GB"/>
        </w:rPr>
      </w:pPr>
      <w:r w:rsidRPr="00B756C6">
        <w:rPr>
          <w:lang w:val="en-GB"/>
        </w:rPr>
        <w:t xml:space="preserve">In this appendix the </w:t>
      </w:r>
      <w:proofErr w:type="gramStart"/>
      <w:r w:rsidRPr="00B756C6">
        <w:rPr>
          <w:lang w:val="en-GB"/>
        </w:rPr>
        <w:t>step by step</w:t>
      </w:r>
      <w:proofErr w:type="gramEnd"/>
      <w:r w:rsidRPr="00B756C6">
        <w:rPr>
          <w:lang w:val="en-GB"/>
        </w:rPr>
        <w:t xml:space="preserve"> calculations of Payback Period, Net Present Value (NPV), Internal rate of return (IRR), Profitability index (PI) and </w:t>
      </w:r>
      <w:proofErr w:type="gramStart"/>
      <w:r w:rsidRPr="00B756C6">
        <w:rPr>
          <w:lang w:val="en-GB"/>
        </w:rPr>
        <w:t>Accounting</w:t>
      </w:r>
      <w:proofErr w:type="gramEnd"/>
      <w:r w:rsidRPr="00B756C6">
        <w:rPr>
          <w:lang w:val="en-GB"/>
        </w:rPr>
        <w:t xml:space="preserve"> rate of return (ARR) of the Projects A, B and C will be given.</w:t>
      </w:r>
    </w:p>
    <w:p w14:paraId="51BCD1F2" w14:textId="77777777" w:rsidR="00B756C6" w:rsidRPr="00B756C6" w:rsidRDefault="00B756C6" w:rsidP="00B756C6">
      <w:pPr>
        <w:spacing w:line="360" w:lineRule="auto"/>
        <w:rPr>
          <w:b/>
          <w:bCs/>
          <w:lang w:val="en-GB"/>
        </w:rPr>
      </w:pPr>
      <w:r w:rsidRPr="00B756C6">
        <w:rPr>
          <w:b/>
          <w:bCs/>
          <w:lang w:val="en-GB"/>
        </w:rPr>
        <w:t>C1. Assumptions</w:t>
      </w:r>
    </w:p>
    <w:p w14:paraId="53CF1278" w14:textId="77777777" w:rsidR="00B756C6" w:rsidRPr="00B756C6" w:rsidRDefault="00B756C6" w:rsidP="00B756C6">
      <w:pPr>
        <w:pStyle w:val="ListParagraph"/>
        <w:numPr>
          <w:ilvl w:val="0"/>
          <w:numId w:val="24"/>
        </w:numPr>
        <w:spacing w:line="360" w:lineRule="auto"/>
        <w:rPr>
          <w:lang w:val="en-GB"/>
        </w:rPr>
      </w:pPr>
      <w:r w:rsidRPr="00B756C6">
        <w:rPr>
          <w:lang w:val="en-GB"/>
        </w:rPr>
        <w:t>Discount rate (cost of capital) = 10% per annum</w:t>
      </w:r>
    </w:p>
    <w:p w14:paraId="4A047277" w14:textId="77777777" w:rsidR="00B756C6" w:rsidRPr="00B756C6" w:rsidRDefault="00B756C6" w:rsidP="00B756C6">
      <w:pPr>
        <w:pStyle w:val="ListParagraph"/>
        <w:numPr>
          <w:ilvl w:val="0"/>
          <w:numId w:val="24"/>
        </w:numPr>
        <w:spacing w:line="360" w:lineRule="auto"/>
        <w:rPr>
          <w:lang w:val="en-GB"/>
        </w:rPr>
      </w:pPr>
      <w:r w:rsidRPr="00B756C6">
        <w:rPr>
          <w:lang w:val="en-GB"/>
        </w:rPr>
        <w:t>Depreciation = Straight-line to £0 over 5 years</w:t>
      </w:r>
    </w:p>
    <w:p w14:paraId="27A81626" w14:textId="77777777" w:rsidR="00B756C6" w:rsidRPr="00B756C6" w:rsidRDefault="00B756C6" w:rsidP="00B756C6">
      <w:pPr>
        <w:pStyle w:val="ListParagraph"/>
        <w:numPr>
          <w:ilvl w:val="0"/>
          <w:numId w:val="24"/>
        </w:numPr>
        <w:spacing w:line="360" w:lineRule="auto"/>
        <w:rPr>
          <w:lang w:val="en-GB"/>
        </w:rPr>
      </w:pPr>
      <w:r w:rsidRPr="00B756C6">
        <w:rPr>
          <w:lang w:val="en-GB"/>
        </w:rPr>
        <w:t>No tax, inflation, or salvage value</w:t>
      </w:r>
    </w:p>
    <w:p w14:paraId="76667E40" w14:textId="77777777" w:rsidR="00B756C6" w:rsidRPr="00B756C6" w:rsidRDefault="00B756C6" w:rsidP="00B756C6">
      <w:pPr>
        <w:pStyle w:val="ListParagraph"/>
        <w:numPr>
          <w:ilvl w:val="0"/>
          <w:numId w:val="24"/>
        </w:numPr>
        <w:spacing w:line="360" w:lineRule="auto"/>
        <w:rPr>
          <w:lang w:val="en-GB"/>
        </w:rPr>
      </w:pPr>
      <w:r w:rsidRPr="00B756C6">
        <w:rPr>
          <w:lang w:val="en-GB"/>
        </w:rPr>
        <w:t>All cashflows are net operating cash inflows (£ million)</w:t>
      </w:r>
    </w:p>
    <w:p w14:paraId="35D8277E" w14:textId="77777777" w:rsidR="00B756C6" w:rsidRDefault="00B756C6" w:rsidP="00B756C6">
      <w:pPr>
        <w:pStyle w:val="Heading1"/>
      </w:pPr>
      <w:r>
        <w:rPr>
          <w:rStyle w:val="Strong"/>
          <w:b/>
          <w:bCs w:val="0"/>
        </w:rPr>
        <w:t>C2. Project Cash Flows</w:t>
      </w:r>
    </w:p>
    <w:tbl>
      <w:tblPr>
        <w:tblStyle w:val="TableGridLight"/>
        <w:tblW w:w="0" w:type="auto"/>
        <w:jc w:val="center"/>
        <w:tblLook w:val="04A0" w:firstRow="1" w:lastRow="0" w:firstColumn="1" w:lastColumn="0" w:noHBand="0" w:noVBand="1"/>
      </w:tblPr>
      <w:tblGrid>
        <w:gridCol w:w="958"/>
        <w:gridCol w:w="843"/>
        <w:gridCol w:w="872"/>
        <w:gridCol w:w="872"/>
        <w:gridCol w:w="872"/>
        <w:gridCol w:w="872"/>
        <w:gridCol w:w="872"/>
      </w:tblGrid>
      <w:tr w:rsidR="00B756C6" w:rsidRPr="00B756C6" w14:paraId="3CFF7B20" w14:textId="77777777" w:rsidTr="00B756C6">
        <w:trPr>
          <w:jc w:val="center"/>
        </w:trPr>
        <w:tc>
          <w:tcPr>
            <w:tcW w:w="0" w:type="auto"/>
            <w:hideMark/>
          </w:tcPr>
          <w:p w14:paraId="77EDE9F3" w14:textId="77777777" w:rsidR="00B756C6" w:rsidRPr="00B756C6" w:rsidRDefault="00B756C6" w:rsidP="00B756C6">
            <w:pPr>
              <w:spacing w:line="360" w:lineRule="auto"/>
              <w:jc w:val="center"/>
              <w:rPr>
                <w:b/>
                <w:bCs/>
                <w:lang w:val="en-GB"/>
              </w:rPr>
            </w:pPr>
            <w:r w:rsidRPr="00B756C6">
              <w:rPr>
                <w:b/>
                <w:bCs/>
                <w:lang w:val="en-GB"/>
              </w:rPr>
              <w:t>Project</w:t>
            </w:r>
          </w:p>
        </w:tc>
        <w:tc>
          <w:tcPr>
            <w:tcW w:w="0" w:type="auto"/>
            <w:hideMark/>
          </w:tcPr>
          <w:p w14:paraId="7D3519D1" w14:textId="77777777" w:rsidR="00B756C6" w:rsidRPr="00B756C6" w:rsidRDefault="00B756C6" w:rsidP="00B756C6">
            <w:pPr>
              <w:spacing w:line="360" w:lineRule="auto"/>
              <w:jc w:val="center"/>
              <w:rPr>
                <w:b/>
                <w:bCs/>
                <w:lang w:val="en-GB"/>
              </w:rPr>
            </w:pPr>
            <w:r w:rsidRPr="00B756C6">
              <w:rPr>
                <w:b/>
                <w:bCs/>
                <w:lang w:val="en-GB"/>
              </w:rPr>
              <w:t>Initial</w:t>
            </w:r>
          </w:p>
        </w:tc>
        <w:tc>
          <w:tcPr>
            <w:tcW w:w="0" w:type="auto"/>
            <w:hideMark/>
          </w:tcPr>
          <w:p w14:paraId="792C6195" w14:textId="77777777" w:rsidR="00B756C6" w:rsidRPr="00B756C6" w:rsidRDefault="00B756C6" w:rsidP="00B756C6">
            <w:pPr>
              <w:spacing w:line="360" w:lineRule="auto"/>
              <w:jc w:val="center"/>
              <w:rPr>
                <w:b/>
                <w:bCs/>
                <w:lang w:val="en-GB"/>
              </w:rPr>
            </w:pPr>
            <w:r w:rsidRPr="00B756C6">
              <w:rPr>
                <w:b/>
                <w:bCs/>
                <w:lang w:val="en-GB"/>
              </w:rPr>
              <w:t>Year 1</w:t>
            </w:r>
          </w:p>
        </w:tc>
        <w:tc>
          <w:tcPr>
            <w:tcW w:w="0" w:type="auto"/>
            <w:hideMark/>
          </w:tcPr>
          <w:p w14:paraId="36A8784E" w14:textId="77777777" w:rsidR="00B756C6" w:rsidRPr="00B756C6" w:rsidRDefault="00B756C6" w:rsidP="00B756C6">
            <w:pPr>
              <w:spacing w:line="360" w:lineRule="auto"/>
              <w:jc w:val="center"/>
              <w:rPr>
                <w:b/>
                <w:bCs/>
                <w:lang w:val="en-GB"/>
              </w:rPr>
            </w:pPr>
            <w:r w:rsidRPr="00B756C6">
              <w:rPr>
                <w:b/>
                <w:bCs/>
                <w:lang w:val="en-GB"/>
              </w:rPr>
              <w:t>Year 2</w:t>
            </w:r>
          </w:p>
        </w:tc>
        <w:tc>
          <w:tcPr>
            <w:tcW w:w="0" w:type="auto"/>
            <w:hideMark/>
          </w:tcPr>
          <w:p w14:paraId="781C26D1" w14:textId="77777777" w:rsidR="00B756C6" w:rsidRPr="00B756C6" w:rsidRDefault="00B756C6" w:rsidP="00B756C6">
            <w:pPr>
              <w:spacing w:line="360" w:lineRule="auto"/>
              <w:jc w:val="center"/>
              <w:rPr>
                <w:b/>
                <w:bCs/>
                <w:lang w:val="en-GB"/>
              </w:rPr>
            </w:pPr>
            <w:r w:rsidRPr="00B756C6">
              <w:rPr>
                <w:b/>
                <w:bCs/>
                <w:lang w:val="en-GB"/>
              </w:rPr>
              <w:t>Year 3</w:t>
            </w:r>
          </w:p>
        </w:tc>
        <w:tc>
          <w:tcPr>
            <w:tcW w:w="0" w:type="auto"/>
            <w:hideMark/>
          </w:tcPr>
          <w:p w14:paraId="6B0A2200" w14:textId="77777777" w:rsidR="00B756C6" w:rsidRPr="00B756C6" w:rsidRDefault="00B756C6" w:rsidP="00B756C6">
            <w:pPr>
              <w:spacing w:line="360" w:lineRule="auto"/>
              <w:jc w:val="center"/>
              <w:rPr>
                <w:b/>
                <w:bCs/>
                <w:lang w:val="en-GB"/>
              </w:rPr>
            </w:pPr>
            <w:r w:rsidRPr="00B756C6">
              <w:rPr>
                <w:b/>
                <w:bCs/>
                <w:lang w:val="en-GB"/>
              </w:rPr>
              <w:t>Year 4</w:t>
            </w:r>
          </w:p>
        </w:tc>
        <w:tc>
          <w:tcPr>
            <w:tcW w:w="0" w:type="auto"/>
            <w:hideMark/>
          </w:tcPr>
          <w:p w14:paraId="7EC7406C" w14:textId="77777777" w:rsidR="00B756C6" w:rsidRPr="00B756C6" w:rsidRDefault="00B756C6" w:rsidP="00B756C6">
            <w:pPr>
              <w:spacing w:line="360" w:lineRule="auto"/>
              <w:jc w:val="center"/>
              <w:rPr>
                <w:b/>
                <w:bCs/>
                <w:lang w:val="en-GB"/>
              </w:rPr>
            </w:pPr>
            <w:r w:rsidRPr="00B756C6">
              <w:rPr>
                <w:b/>
                <w:bCs/>
                <w:lang w:val="en-GB"/>
              </w:rPr>
              <w:t>Year 5</w:t>
            </w:r>
          </w:p>
        </w:tc>
      </w:tr>
      <w:tr w:rsidR="00B756C6" w:rsidRPr="00B756C6" w14:paraId="42520F3F" w14:textId="77777777" w:rsidTr="00B756C6">
        <w:trPr>
          <w:jc w:val="center"/>
        </w:trPr>
        <w:tc>
          <w:tcPr>
            <w:tcW w:w="0" w:type="auto"/>
            <w:hideMark/>
          </w:tcPr>
          <w:p w14:paraId="30235943" w14:textId="77777777" w:rsidR="00B756C6" w:rsidRPr="00B756C6" w:rsidRDefault="00B756C6" w:rsidP="00B756C6">
            <w:pPr>
              <w:spacing w:line="360" w:lineRule="auto"/>
              <w:jc w:val="center"/>
              <w:rPr>
                <w:lang w:val="en-GB"/>
              </w:rPr>
            </w:pPr>
            <w:r w:rsidRPr="00B756C6">
              <w:rPr>
                <w:lang w:val="en-GB"/>
              </w:rPr>
              <w:t>A</w:t>
            </w:r>
          </w:p>
        </w:tc>
        <w:tc>
          <w:tcPr>
            <w:tcW w:w="0" w:type="auto"/>
            <w:hideMark/>
          </w:tcPr>
          <w:p w14:paraId="572422A0" w14:textId="77777777" w:rsidR="00B756C6" w:rsidRPr="00B756C6" w:rsidRDefault="00B756C6" w:rsidP="00B756C6">
            <w:pPr>
              <w:spacing w:line="360" w:lineRule="auto"/>
              <w:jc w:val="center"/>
              <w:rPr>
                <w:lang w:val="en-GB"/>
              </w:rPr>
            </w:pPr>
            <w:r w:rsidRPr="00B756C6">
              <w:rPr>
                <w:lang w:val="en-GB"/>
              </w:rPr>
              <w:t>40</w:t>
            </w:r>
          </w:p>
        </w:tc>
        <w:tc>
          <w:tcPr>
            <w:tcW w:w="0" w:type="auto"/>
            <w:hideMark/>
          </w:tcPr>
          <w:p w14:paraId="20513250" w14:textId="77777777" w:rsidR="00B756C6" w:rsidRPr="00B756C6" w:rsidRDefault="00B756C6" w:rsidP="00B756C6">
            <w:pPr>
              <w:spacing w:line="360" w:lineRule="auto"/>
              <w:jc w:val="center"/>
              <w:rPr>
                <w:lang w:val="en-GB"/>
              </w:rPr>
            </w:pPr>
            <w:r w:rsidRPr="00B756C6">
              <w:rPr>
                <w:lang w:val="en-GB"/>
              </w:rPr>
              <w:t>10</w:t>
            </w:r>
          </w:p>
        </w:tc>
        <w:tc>
          <w:tcPr>
            <w:tcW w:w="0" w:type="auto"/>
            <w:hideMark/>
          </w:tcPr>
          <w:p w14:paraId="6603E6E6" w14:textId="77777777" w:rsidR="00B756C6" w:rsidRPr="00B756C6" w:rsidRDefault="00B756C6" w:rsidP="00B756C6">
            <w:pPr>
              <w:spacing w:line="360" w:lineRule="auto"/>
              <w:jc w:val="center"/>
              <w:rPr>
                <w:lang w:val="en-GB"/>
              </w:rPr>
            </w:pPr>
            <w:r w:rsidRPr="00B756C6">
              <w:rPr>
                <w:lang w:val="en-GB"/>
              </w:rPr>
              <w:t>12</w:t>
            </w:r>
          </w:p>
        </w:tc>
        <w:tc>
          <w:tcPr>
            <w:tcW w:w="0" w:type="auto"/>
            <w:hideMark/>
          </w:tcPr>
          <w:p w14:paraId="3EBDFC77" w14:textId="77777777" w:rsidR="00B756C6" w:rsidRPr="00B756C6" w:rsidRDefault="00B756C6" w:rsidP="00B756C6">
            <w:pPr>
              <w:spacing w:line="360" w:lineRule="auto"/>
              <w:jc w:val="center"/>
              <w:rPr>
                <w:lang w:val="en-GB"/>
              </w:rPr>
            </w:pPr>
            <w:r w:rsidRPr="00B756C6">
              <w:rPr>
                <w:lang w:val="en-GB"/>
              </w:rPr>
              <w:t>14</w:t>
            </w:r>
          </w:p>
        </w:tc>
        <w:tc>
          <w:tcPr>
            <w:tcW w:w="0" w:type="auto"/>
            <w:hideMark/>
          </w:tcPr>
          <w:p w14:paraId="198B4530" w14:textId="77777777" w:rsidR="00B756C6" w:rsidRPr="00B756C6" w:rsidRDefault="00B756C6" w:rsidP="00B756C6">
            <w:pPr>
              <w:spacing w:line="360" w:lineRule="auto"/>
              <w:jc w:val="center"/>
              <w:rPr>
                <w:lang w:val="en-GB"/>
              </w:rPr>
            </w:pPr>
            <w:r w:rsidRPr="00B756C6">
              <w:rPr>
                <w:lang w:val="en-GB"/>
              </w:rPr>
              <w:t>10</w:t>
            </w:r>
          </w:p>
        </w:tc>
        <w:tc>
          <w:tcPr>
            <w:tcW w:w="0" w:type="auto"/>
            <w:hideMark/>
          </w:tcPr>
          <w:p w14:paraId="0EEA01C1" w14:textId="77777777" w:rsidR="00B756C6" w:rsidRPr="00B756C6" w:rsidRDefault="00B756C6" w:rsidP="00B756C6">
            <w:pPr>
              <w:spacing w:line="360" w:lineRule="auto"/>
              <w:jc w:val="center"/>
              <w:rPr>
                <w:lang w:val="en-GB"/>
              </w:rPr>
            </w:pPr>
            <w:r w:rsidRPr="00B756C6">
              <w:rPr>
                <w:lang w:val="en-GB"/>
              </w:rPr>
              <w:t>8</w:t>
            </w:r>
          </w:p>
        </w:tc>
      </w:tr>
      <w:tr w:rsidR="00B756C6" w:rsidRPr="00B756C6" w14:paraId="1C948B0D" w14:textId="77777777" w:rsidTr="00B756C6">
        <w:trPr>
          <w:jc w:val="center"/>
        </w:trPr>
        <w:tc>
          <w:tcPr>
            <w:tcW w:w="0" w:type="auto"/>
            <w:hideMark/>
          </w:tcPr>
          <w:p w14:paraId="611FBE53" w14:textId="77777777" w:rsidR="00B756C6" w:rsidRPr="00B756C6" w:rsidRDefault="00B756C6" w:rsidP="00B756C6">
            <w:pPr>
              <w:spacing w:line="360" w:lineRule="auto"/>
              <w:jc w:val="center"/>
              <w:rPr>
                <w:lang w:val="en-GB"/>
              </w:rPr>
            </w:pPr>
            <w:r w:rsidRPr="00B756C6">
              <w:rPr>
                <w:lang w:val="en-GB"/>
              </w:rPr>
              <w:t>B</w:t>
            </w:r>
          </w:p>
        </w:tc>
        <w:tc>
          <w:tcPr>
            <w:tcW w:w="0" w:type="auto"/>
            <w:hideMark/>
          </w:tcPr>
          <w:p w14:paraId="19D55936" w14:textId="77777777" w:rsidR="00B756C6" w:rsidRPr="00B756C6" w:rsidRDefault="00B756C6" w:rsidP="00B756C6">
            <w:pPr>
              <w:spacing w:line="360" w:lineRule="auto"/>
              <w:jc w:val="center"/>
              <w:rPr>
                <w:lang w:val="en-GB"/>
              </w:rPr>
            </w:pPr>
            <w:r w:rsidRPr="00B756C6">
              <w:rPr>
                <w:lang w:val="en-GB"/>
              </w:rPr>
              <w:t>30</w:t>
            </w:r>
          </w:p>
        </w:tc>
        <w:tc>
          <w:tcPr>
            <w:tcW w:w="0" w:type="auto"/>
            <w:hideMark/>
          </w:tcPr>
          <w:p w14:paraId="28CC250A" w14:textId="77777777" w:rsidR="00B756C6" w:rsidRPr="00B756C6" w:rsidRDefault="00B756C6" w:rsidP="00B756C6">
            <w:pPr>
              <w:spacing w:line="360" w:lineRule="auto"/>
              <w:jc w:val="center"/>
              <w:rPr>
                <w:lang w:val="en-GB"/>
              </w:rPr>
            </w:pPr>
            <w:r w:rsidRPr="00B756C6">
              <w:rPr>
                <w:lang w:val="en-GB"/>
              </w:rPr>
              <w:t>6</w:t>
            </w:r>
          </w:p>
        </w:tc>
        <w:tc>
          <w:tcPr>
            <w:tcW w:w="0" w:type="auto"/>
            <w:hideMark/>
          </w:tcPr>
          <w:p w14:paraId="3AB5C1DB" w14:textId="77777777" w:rsidR="00B756C6" w:rsidRPr="00B756C6" w:rsidRDefault="00B756C6" w:rsidP="00B756C6">
            <w:pPr>
              <w:spacing w:line="360" w:lineRule="auto"/>
              <w:jc w:val="center"/>
              <w:rPr>
                <w:lang w:val="en-GB"/>
              </w:rPr>
            </w:pPr>
            <w:r w:rsidRPr="00B756C6">
              <w:rPr>
                <w:lang w:val="en-GB"/>
              </w:rPr>
              <w:t>6</w:t>
            </w:r>
          </w:p>
        </w:tc>
        <w:tc>
          <w:tcPr>
            <w:tcW w:w="0" w:type="auto"/>
            <w:hideMark/>
          </w:tcPr>
          <w:p w14:paraId="69DAC480" w14:textId="77777777" w:rsidR="00B756C6" w:rsidRPr="00B756C6" w:rsidRDefault="00B756C6" w:rsidP="00B756C6">
            <w:pPr>
              <w:spacing w:line="360" w:lineRule="auto"/>
              <w:jc w:val="center"/>
              <w:rPr>
                <w:lang w:val="en-GB"/>
              </w:rPr>
            </w:pPr>
            <w:r w:rsidRPr="00B756C6">
              <w:rPr>
                <w:lang w:val="en-GB"/>
              </w:rPr>
              <w:t>6</w:t>
            </w:r>
          </w:p>
        </w:tc>
        <w:tc>
          <w:tcPr>
            <w:tcW w:w="0" w:type="auto"/>
            <w:hideMark/>
          </w:tcPr>
          <w:p w14:paraId="08B14975" w14:textId="77777777" w:rsidR="00B756C6" w:rsidRPr="00B756C6" w:rsidRDefault="00B756C6" w:rsidP="00B756C6">
            <w:pPr>
              <w:spacing w:line="360" w:lineRule="auto"/>
              <w:jc w:val="center"/>
              <w:rPr>
                <w:lang w:val="en-GB"/>
              </w:rPr>
            </w:pPr>
            <w:r w:rsidRPr="00B756C6">
              <w:rPr>
                <w:lang w:val="en-GB"/>
              </w:rPr>
              <w:t>6</w:t>
            </w:r>
          </w:p>
        </w:tc>
        <w:tc>
          <w:tcPr>
            <w:tcW w:w="0" w:type="auto"/>
            <w:hideMark/>
          </w:tcPr>
          <w:p w14:paraId="145BB0A6" w14:textId="77777777" w:rsidR="00B756C6" w:rsidRPr="00B756C6" w:rsidRDefault="00B756C6" w:rsidP="00B756C6">
            <w:pPr>
              <w:spacing w:line="360" w:lineRule="auto"/>
              <w:jc w:val="center"/>
              <w:rPr>
                <w:lang w:val="en-GB"/>
              </w:rPr>
            </w:pPr>
            <w:r w:rsidRPr="00B756C6">
              <w:rPr>
                <w:lang w:val="en-GB"/>
              </w:rPr>
              <w:t>6</w:t>
            </w:r>
          </w:p>
        </w:tc>
      </w:tr>
      <w:tr w:rsidR="00B756C6" w:rsidRPr="00B756C6" w14:paraId="00FE4EF8" w14:textId="77777777" w:rsidTr="00B756C6">
        <w:trPr>
          <w:jc w:val="center"/>
        </w:trPr>
        <w:tc>
          <w:tcPr>
            <w:tcW w:w="0" w:type="auto"/>
            <w:hideMark/>
          </w:tcPr>
          <w:p w14:paraId="09A734CA" w14:textId="77777777" w:rsidR="00B756C6" w:rsidRPr="00B756C6" w:rsidRDefault="00B756C6" w:rsidP="00B756C6">
            <w:pPr>
              <w:spacing w:line="360" w:lineRule="auto"/>
              <w:jc w:val="center"/>
              <w:rPr>
                <w:lang w:val="en-GB"/>
              </w:rPr>
            </w:pPr>
            <w:r w:rsidRPr="00B756C6">
              <w:rPr>
                <w:lang w:val="en-GB"/>
              </w:rPr>
              <w:t>C</w:t>
            </w:r>
          </w:p>
        </w:tc>
        <w:tc>
          <w:tcPr>
            <w:tcW w:w="0" w:type="auto"/>
            <w:hideMark/>
          </w:tcPr>
          <w:p w14:paraId="6EA0CC4C" w14:textId="77777777" w:rsidR="00B756C6" w:rsidRPr="00B756C6" w:rsidRDefault="00B756C6" w:rsidP="00B756C6">
            <w:pPr>
              <w:spacing w:line="360" w:lineRule="auto"/>
              <w:jc w:val="center"/>
              <w:rPr>
                <w:lang w:val="en-GB"/>
              </w:rPr>
            </w:pPr>
            <w:r w:rsidRPr="00B756C6">
              <w:rPr>
                <w:lang w:val="en-GB"/>
              </w:rPr>
              <w:t>50</w:t>
            </w:r>
          </w:p>
        </w:tc>
        <w:tc>
          <w:tcPr>
            <w:tcW w:w="0" w:type="auto"/>
            <w:hideMark/>
          </w:tcPr>
          <w:p w14:paraId="29CA722D" w14:textId="77777777" w:rsidR="00B756C6" w:rsidRPr="00B756C6" w:rsidRDefault="00B756C6" w:rsidP="00B756C6">
            <w:pPr>
              <w:spacing w:line="360" w:lineRule="auto"/>
              <w:jc w:val="center"/>
              <w:rPr>
                <w:lang w:val="en-GB"/>
              </w:rPr>
            </w:pPr>
            <w:r w:rsidRPr="00B756C6">
              <w:rPr>
                <w:lang w:val="en-GB"/>
              </w:rPr>
              <w:t>5</w:t>
            </w:r>
          </w:p>
        </w:tc>
        <w:tc>
          <w:tcPr>
            <w:tcW w:w="0" w:type="auto"/>
            <w:hideMark/>
          </w:tcPr>
          <w:p w14:paraId="568AF7D8" w14:textId="77777777" w:rsidR="00B756C6" w:rsidRPr="00B756C6" w:rsidRDefault="00B756C6" w:rsidP="00B756C6">
            <w:pPr>
              <w:spacing w:line="360" w:lineRule="auto"/>
              <w:jc w:val="center"/>
              <w:rPr>
                <w:lang w:val="en-GB"/>
              </w:rPr>
            </w:pPr>
            <w:r w:rsidRPr="00B756C6">
              <w:rPr>
                <w:lang w:val="en-GB"/>
              </w:rPr>
              <w:t>10</w:t>
            </w:r>
          </w:p>
        </w:tc>
        <w:tc>
          <w:tcPr>
            <w:tcW w:w="0" w:type="auto"/>
            <w:hideMark/>
          </w:tcPr>
          <w:p w14:paraId="2C530EF5" w14:textId="77777777" w:rsidR="00B756C6" w:rsidRPr="00B756C6" w:rsidRDefault="00B756C6" w:rsidP="00B756C6">
            <w:pPr>
              <w:spacing w:line="360" w:lineRule="auto"/>
              <w:jc w:val="center"/>
              <w:rPr>
                <w:lang w:val="en-GB"/>
              </w:rPr>
            </w:pPr>
            <w:r w:rsidRPr="00B756C6">
              <w:rPr>
                <w:lang w:val="en-GB"/>
              </w:rPr>
              <w:t>20</w:t>
            </w:r>
          </w:p>
        </w:tc>
        <w:tc>
          <w:tcPr>
            <w:tcW w:w="0" w:type="auto"/>
            <w:hideMark/>
          </w:tcPr>
          <w:p w14:paraId="09719FA7" w14:textId="77777777" w:rsidR="00B756C6" w:rsidRPr="00B756C6" w:rsidRDefault="00B756C6" w:rsidP="00B756C6">
            <w:pPr>
              <w:spacing w:line="360" w:lineRule="auto"/>
              <w:jc w:val="center"/>
              <w:rPr>
                <w:lang w:val="en-GB"/>
              </w:rPr>
            </w:pPr>
            <w:r w:rsidRPr="00B756C6">
              <w:rPr>
                <w:lang w:val="en-GB"/>
              </w:rPr>
              <w:t>25</w:t>
            </w:r>
          </w:p>
        </w:tc>
        <w:tc>
          <w:tcPr>
            <w:tcW w:w="0" w:type="auto"/>
            <w:hideMark/>
          </w:tcPr>
          <w:p w14:paraId="67068A8E" w14:textId="77777777" w:rsidR="00B756C6" w:rsidRPr="00B756C6" w:rsidRDefault="00B756C6" w:rsidP="00B756C6">
            <w:pPr>
              <w:spacing w:line="360" w:lineRule="auto"/>
              <w:jc w:val="center"/>
              <w:rPr>
                <w:lang w:val="en-GB"/>
              </w:rPr>
            </w:pPr>
            <w:r w:rsidRPr="00B756C6">
              <w:rPr>
                <w:lang w:val="en-GB"/>
              </w:rPr>
              <w:t>15</w:t>
            </w:r>
          </w:p>
        </w:tc>
      </w:tr>
    </w:tbl>
    <w:p w14:paraId="59852CDC" w14:textId="57B32092" w:rsidR="00B756C6" w:rsidRPr="00B756C6" w:rsidRDefault="00B756C6" w:rsidP="00A45307">
      <w:pPr>
        <w:spacing w:before="0" w:after="160" w:line="278" w:lineRule="auto"/>
        <w:jc w:val="left"/>
        <w:rPr>
          <w:b/>
          <w:bCs/>
          <w:lang w:val="en-GB"/>
        </w:rPr>
      </w:pPr>
      <w:r w:rsidRPr="00B756C6">
        <w:rPr>
          <w:b/>
          <w:bCs/>
          <w:lang w:val="en-GB"/>
        </w:rPr>
        <w:t>C3. Discount Factor Formula</w:t>
      </w:r>
    </w:p>
    <w:p w14:paraId="18003FAE" w14:textId="19E5FDB7" w:rsidR="00B756C6" w:rsidRDefault="00A45307" w:rsidP="00A45307">
      <w:pPr>
        <w:spacing w:line="360" w:lineRule="auto"/>
        <w:jc w:val="center"/>
        <w:rPr>
          <w:lang w:val="en-GB"/>
        </w:rPr>
      </w:pPr>
      <w:proofErr w:type="spellStart"/>
      <w:r w:rsidRPr="00A45307">
        <w:t>DFt</w:t>
      </w:r>
      <w:proofErr w:type="spellEnd"/>
      <w:r w:rsidRPr="00A45307">
        <w:t>​=(1+</w:t>
      </w:r>
      <w:proofErr w:type="gramStart"/>
      <w:r w:rsidRPr="00A45307">
        <w:t>r)t</w:t>
      </w:r>
      <w:proofErr w:type="gramEnd"/>
      <w:r w:rsidRPr="00A45307">
        <w:t>1​</w:t>
      </w:r>
    </w:p>
    <w:p w14:paraId="47D42CED" w14:textId="0A379B0E" w:rsidR="00B756C6" w:rsidRDefault="00B756C6" w:rsidP="00B756C6">
      <w:pPr>
        <w:spacing w:line="360" w:lineRule="auto"/>
      </w:pPr>
      <w:r w:rsidRPr="00B756C6">
        <w:t xml:space="preserve">Where </w:t>
      </w:r>
      <m:oMath>
        <m:r>
          <w:rPr>
            <w:rFonts w:ascii="Cambria Math" w:hAnsi="Cambria Math"/>
          </w:rPr>
          <m:t>r=10</m:t>
        </m:r>
        <m:r>
          <m:rPr>
            <m:sty m:val="p"/>
          </m:rPr>
          <w:rPr>
            <w:rFonts w:ascii="Cambria Math" w:hAnsi="Cambria Math"/>
          </w:rPr>
          <m:t>%</m:t>
        </m:r>
      </m:oMath>
      <w:r w:rsidRPr="00B756C6">
        <w:t>.</w:t>
      </w:r>
    </w:p>
    <w:tbl>
      <w:tblPr>
        <w:tblStyle w:val="TableGridLight"/>
        <w:tblW w:w="0" w:type="auto"/>
        <w:jc w:val="center"/>
        <w:tblLook w:val="04A0" w:firstRow="1" w:lastRow="0" w:firstColumn="1" w:lastColumn="0" w:noHBand="0" w:noVBand="1"/>
      </w:tblPr>
      <w:tblGrid>
        <w:gridCol w:w="2231"/>
        <w:gridCol w:w="3074"/>
      </w:tblGrid>
      <w:tr w:rsidR="00B756C6" w:rsidRPr="00B756C6" w14:paraId="3D6A9356" w14:textId="77777777" w:rsidTr="00B756C6">
        <w:trPr>
          <w:jc w:val="center"/>
        </w:trPr>
        <w:tc>
          <w:tcPr>
            <w:tcW w:w="2231" w:type="dxa"/>
            <w:hideMark/>
          </w:tcPr>
          <w:p w14:paraId="75E900A9" w14:textId="77777777" w:rsidR="00B756C6" w:rsidRPr="00B756C6" w:rsidRDefault="00B756C6" w:rsidP="00A45307">
            <w:pPr>
              <w:jc w:val="center"/>
              <w:rPr>
                <w:b/>
                <w:bCs/>
                <w:lang w:val="en-GB"/>
              </w:rPr>
            </w:pPr>
            <w:r w:rsidRPr="00B756C6">
              <w:rPr>
                <w:b/>
                <w:bCs/>
                <w:lang w:val="en-GB"/>
              </w:rPr>
              <w:t>Year</w:t>
            </w:r>
          </w:p>
        </w:tc>
        <w:tc>
          <w:tcPr>
            <w:tcW w:w="3074" w:type="dxa"/>
            <w:hideMark/>
          </w:tcPr>
          <w:p w14:paraId="06CB3987" w14:textId="77777777" w:rsidR="00B756C6" w:rsidRPr="00B756C6" w:rsidRDefault="00B756C6" w:rsidP="00A45307">
            <w:pPr>
              <w:jc w:val="center"/>
              <w:rPr>
                <w:b/>
                <w:bCs/>
                <w:lang w:val="en-GB"/>
              </w:rPr>
            </w:pPr>
            <w:r w:rsidRPr="00B756C6">
              <w:rPr>
                <w:b/>
                <w:bCs/>
                <w:lang w:val="en-GB"/>
              </w:rPr>
              <w:t>DF</w:t>
            </w:r>
          </w:p>
        </w:tc>
      </w:tr>
      <w:tr w:rsidR="00B756C6" w:rsidRPr="00B756C6" w14:paraId="133DA967" w14:textId="77777777" w:rsidTr="00B756C6">
        <w:trPr>
          <w:jc w:val="center"/>
        </w:trPr>
        <w:tc>
          <w:tcPr>
            <w:tcW w:w="2231" w:type="dxa"/>
            <w:hideMark/>
          </w:tcPr>
          <w:p w14:paraId="3CA312EC" w14:textId="77777777" w:rsidR="00B756C6" w:rsidRPr="00B756C6" w:rsidRDefault="00B756C6" w:rsidP="00A45307">
            <w:pPr>
              <w:jc w:val="center"/>
              <w:rPr>
                <w:lang w:val="en-GB"/>
              </w:rPr>
            </w:pPr>
            <w:r w:rsidRPr="00B756C6">
              <w:rPr>
                <w:lang w:val="en-GB"/>
              </w:rPr>
              <w:t>1</w:t>
            </w:r>
          </w:p>
        </w:tc>
        <w:tc>
          <w:tcPr>
            <w:tcW w:w="3074" w:type="dxa"/>
            <w:hideMark/>
          </w:tcPr>
          <w:p w14:paraId="5719C8EA" w14:textId="77777777" w:rsidR="00B756C6" w:rsidRPr="00B756C6" w:rsidRDefault="00B756C6" w:rsidP="00A45307">
            <w:pPr>
              <w:jc w:val="center"/>
              <w:rPr>
                <w:lang w:val="en-GB"/>
              </w:rPr>
            </w:pPr>
            <w:r w:rsidRPr="00B756C6">
              <w:rPr>
                <w:lang w:val="en-GB"/>
              </w:rPr>
              <w:t>0.9090909091</w:t>
            </w:r>
          </w:p>
        </w:tc>
      </w:tr>
      <w:tr w:rsidR="00B756C6" w:rsidRPr="00B756C6" w14:paraId="66AFEEDE" w14:textId="77777777" w:rsidTr="00B756C6">
        <w:trPr>
          <w:jc w:val="center"/>
        </w:trPr>
        <w:tc>
          <w:tcPr>
            <w:tcW w:w="2231" w:type="dxa"/>
            <w:hideMark/>
          </w:tcPr>
          <w:p w14:paraId="3F989994" w14:textId="77777777" w:rsidR="00B756C6" w:rsidRPr="00B756C6" w:rsidRDefault="00B756C6" w:rsidP="00A45307">
            <w:pPr>
              <w:jc w:val="center"/>
              <w:rPr>
                <w:lang w:val="en-GB"/>
              </w:rPr>
            </w:pPr>
            <w:r w:rsidRPr="00B756C6">
              <w:rPr>
                <w:lang w:val="en-GB"/>
              </w:rPr>
              <w:t>2</w:t>
            </w:r>
          </w:p>
        </w:tc>
        <w:tc>
          <w:tcPr>
            <w:tcW w:w="3074" w:type="dxa"/>
            <w:hideMark/>
          </w:tcPr>
          <w:p w14:paraId="5C488F57" w14:textId="77777777" w:rsidR="00B756C6" w:rsidRPr="00B756C6" w:rsidRDefault="00B756C6" w:rsidP="00A45307">
            <w:pPr>
              <w:jc w:val="center"/>
              <w:rPr>
                <w:lang w:val="en-GB"/>
              </w:rPr>
            </w:pPr>
            <w:r w:rsidRPr="00B756C6">
              <w:rPr>
                <w:lang w:val="en-GB"/>
              </w:rPr>
              <w:t>0.8264462810</w:t>
            </w:r>
          </w:p>
        </w:tc>
      </w:tr>
      <w:tr w:rsidR="00B756C6" w:rsidRPr="00B756C6" w14:paraId="02499DEF" w14:textId="77777777" w:rsidTr="00B756C6">
        <w:trPr>
          <w:jc w:val="center"/>
        </w:trPr>
        <w:tc>
          <w:tcPr>
            <w:tcW w:w="2231" w:type="dxa"/>
            <w:hideMark/>
          </w:tcPr>
          <w:p w14:paraId="066BBAEE" w14:textId="77777777" w:rsidR="00B756C6" w:rsidRPr="00B756C6" w:rsidRDefault="00B756C6" w:rsidP="00A45307">
            <w:pPr>
              <w:jc w:val="center"/>
              <w:rPr>
                <w:lang w:val="en-GB"/>
              </w:rPr>
            </w:pPr>
            <w:r w:rsidRPr="00B756C6">
              <w:rPr>
                <w:lang w:val="en-GB"/>
              </w:rPr>
              <w:t>3</w:t>
            </w:r>
          </w:p>
        </w:tc>
        <w:tc>
          <w:tcPr>
            <w:tcW w:w="3074" w:type="dxa"/>
            <w:hideMark/>
          </w:tcPr>
          <w:p w14:paraId="6DEEEEBC" w14:textId="77777777" w:rsidR="00B756C6" w:rsidRPr="00B756C6" w:rsidRDefault="00B756C6" w:rsidP="00A45307">
            <w:pPr>
              <w:jc w:val="center"/>
              <w:rPr>
                <w:lang w:val="en-GB"/>
              </w:rPr>
            </w:pPr>
            <w:r w:rsidRPr="00B756C6">
              <w:rPr>
                <w:lang w:val="en-GB"/>
              </w:rPr>
              <w:t>0.7513148009</w:t>
            </w:r>
          </w:p>
        </w:tc>
      </w:tr>
      <w:tr w:rsidR="00B756C6" w:rsidRPr="00B756C6" w14:paraId="6B6F3683" w14:textId="77777777" w:rsidTr="00B756C6">
        <w:trPr>
          <w:jc w:val="center"/>
        </w:trPr>
        <w:tc>
          <w:tcPr>
            <w:tcW w:w="2231" w:type="dxa"/>
            <w:hideMark/>
          </w:tcPr>
          <w:p w14:paraId="5D3C8236" w14:textId="77777777" w:rsidR="00B756C6" w:rsidRPr="00B756C6" w:rsidRDefault="00B756C6" w:rsidP="00A45307">
            <w:pPr>
              <w:jc w:val="center"/>
              <w:rPr>
                <w:lang w:val="en-GB"/>
              </w:rPr>
            </w:pPr>
            <w:r w:rsidRPr="00B756C6">
              <w:rPr>
                <w:lang w:val="en-GB"/>
              </w:rPr>
              <w:lastRenderedPageBreak/>
              <w:t>4</w:t>
            </w:r>
          </w:p>
        </w:tc>
        <w:tc>
          <w:tcPr>
            <w:tcW w:w="3074" w:type="dxa"/>
            <w:hideMark/>
          </w:tcPr>
          <w:p w14:paraId="755C27C9" w14:textId="77777777" w:rsidR="00B756C6" w:rsidRPr="00B756C6" w:rsidRDefault="00B756C6" w:rsidP="00A45307">
            <w:pPr>
              <w:jc w:val="center"/>
              <w:rPr>
                <w:lang w:val="en-GB"/>
              </w:rPr>
            </w:pPr>
            <w:r w:rsidRPr="00B756C6">
              <w:rPr>
                <w:lang w:val="en-GB"/>
              </w:rPr>
              <w:t>0.6830134554</w:t>
            </w:r>
          </w:p>
        </w:tc>
      </w:tr>
      <w:tr w:rsidR="00B756C6" w:rsidRPr="00B756C6" w14:paraId="56EDB141" w14:textId="77777777" w:rsidTr="00B756C6">
        <w:trPr>
          <w:jc w:val="center"/>
        </w:trPr>
        <w:tc>
          <w:tcPr>
            <w:tcW w:w="2231" w:type="dxa"/>
            <w:hideMark/>
          </w:tcPr>
          <w:p w14:paraId="248B4065" w14:textId="77777777" w:rsidR="00B756C6" w:rsidRPr="00B756C6" w:rsidRDefault="00B756C6" w:rsidP="00A45307">
            <w:pPr>
              <w:jc w:val="center"/>
              <w:rPr>
                <w:lang w:val="en-GB"/>
              </w:rPr>
            </w:pPr>
            <w:r w:rsidRPr="00B756C6">
              <w:rPr>
                <w:lang w:val="en-GB"/>
              </w:rPr>
              <w:t>5</w:t>
            </w:r>
          </w:p>
        </w:tc>
        <w:tc>
          <w:tcPr>
            <w:tcW w:w="3074" w:type="dxa"/>
            <w:hideMark/>
          </w:tcPr>
          <w:p w14:paraId="0D321F76" w14:textId="77777777" w:rsidR="00B756C6" w:rsidRPr="00B756C6" w:rsidRDefault="00B756C6" w:rsidP="00A45307">
            <w:pPr>
              <w:jc w:val="center"/>
              <w:rPr>
                <w:lang w:val="en-GB"/>
              </w:rPr>
            </w:pPr>
            <w:r w:rsidRPr="00B756C6">
              <w:rPr>
                <w:lang w:val="en-GB"/>
              </w:rPr>
              <w:t>0.6209213231</w:t>
            </w:r>
          </w:p>
        </w:tc>
      </w:tr>
    </w:tbl>
    <w:p w14:paraId="46C3CDE0" w14:textId="77777777" w:rsidR="00B756C6" w:rsidRPr="00B756C6" w:rsidRDefault="00B756C6" w:rsidP="00B756C6">
      <w:pPr>
        <w:spacing w:line="360" w:lineRule="auto"/>
        <w:rPr>
          <w:b/>
          <w:bCs/>
          <w:lang w:val="en-GB"/>
        </w:rPr>
      </w:pPr>
      <w:r w:rsidRPr="00B756C6">
        <w:rPr>
          <w:b/>
          <w:bCs/>
          <w:lang w:val="en-GB"/>
        </w:rPr>
        <w:t>C4. Payback Period Workings</w:t>
      </w:r>
    </w:p>
    <w:p w14:paraId="60BDE077" w14:textId="77777777" w:rsidR="00B756C6" w:rsidRPr="00B756C6" w:rsidRDefault="00B756C6" w:rsidP="00B756C6">
      <w:pPr>
        <w:spacing w:line="360" w:lineRule="auto"/>
        <w:rPr>
          <w:b/>
          <w:bCs/>
          <w:lang w:val="en-GB"/>
        </w:rPr>
      </w:pPr>
      <w:r w:rsidRPr="00B756C6">
        <w:rPr>
          <w:b/>
          <w:bCs/>
          <w:lang w:val="en-GB"/>
        </w:rPr>
        <w:t>Project A</w:t>
      </w:r>
    </w:p>
    <w:p w14:paraId="6F592A1E" w14:textId="77777777" w:rsidR="00B756C6" w:rsidRPr="00B756C6" w:rsidRDefault="00B756C6" w:rsidP="00B756C6">
      <w:pPr>
        <w:spacing w:line="360" w:lineRule="auto"/>
        <w:rPr>
          <w:lang w:val="en-GB"/>
        </w:rPr>
      </w:pPr>
      <w:r w:rsidRPr="00B756C6">
        <w:rPr>
          <w:lang w:val="en-GB"/>
        </w:rPr>
        <w:t>Cumulative cash flows:</w:t>
      </w:r>
    </w:p>
    <w:p w14:paraId="4AB1A886" w14:textId="77777777" w:rsidR="00B756C6" w:rsidRPr="00B756C6" w:rsidRDefault="00B756C6" w:rsidP="00B756C6">
      <w:pPr>
        <w:pStyle w:val="ListParagraph"/>
        <w:numPr>
          <w:ilvl w:val="0"/>
          <w:numId w:val="26"/>
        </w:numPr>
        <w:spacing w:line="360" w:lineRule="auto"/>
        <w:rPr>
          <w:lang w:val="en-GB"/>
        </w:rPr>
      </w:pPr>
      <w:r w:rsidRPr="00B756C6">
        <w:rPr>
          <w:lang w:val="en-GB"/>
        </w:rPr>
        <w:t>Y1 = 10</w:t>
      </w:r>
    </w:p>
    <w:p w14:paraId="1C9AFE9D" w14:textId="77777777" w:rsidR="00B756C6" w:rsidRPr="00B756C6" w:rsidRDefault="00B756C6" w:rsidP="00B756C6">
      <w:pPr>
        <w:pStyle w:val="ListParagraph"/>
        <w:numPr>
          <w:ilvl w:val="0"/>
          <w:numId w:val="26"/>
        </w:numPr>
        <w:spacing w:line="360" w:lineRule="auto"/>
        <w:rPr>
          <w:lang w:val="en-GB"/>
        </w:rPr>
      </w:pPr>
      <w:r w:rsidRPr="00B756C6">
        <w:rPr>
          <w:lang w:val="en-GB"/>
        </w:rPr>
        <w:t>Y2 = 22</w:t>
      </w:r>
    </w:p>
    <w:p w14:paraId="01269006" w14:textId="77777777" w:rsidR="00B756C6" w:rsidRPr="00B756C6" w:rsidRDefault="00B756C6" w:rsidP="00B756C6">
      <w:pPr>
        <w:pStyle w:val="ListParagraph"/>
        <w:numPr>
          <w:ilvl w:val="0"/>
          <w:numId w:val="26"/>
        </w:numPr>
        <w:spacing w:line="360" w:lineRule="auto"/>
        <w:rPr>
          <w:lang w:val="en-GB"/>
        </w:rPr>
      </w:pPr>
      <w:r w:rsidRPr="00B756C6">
        <w:rPr>
          <w:lang w:val="en-GB"/>
        </w:rPr>
        <w:t>Y3 = 36</w:t>
      </w:r>
    </w:p>
    <w:p w14:paraId="3F6FF87E" w14:textId="77777777" w:rsidR="00B756C6" w:rsidRPr="00B756C6" w:rsidRDefault="00B756C6" w:rsidP="00B756C6">
      <w:pPr>
        <w:pStyle w:val="ListParagraph"/>
        <w:numPr>
          <w:ilvl w:val="0"/>
          <w:numId w:val="26"/>
        </w:numPr>
        <w:spacing w:line="360" w:lineRule="auto"/>
        <w:rPr>
          <w:lang w:val="en-GB"/>
        </w:rPr>
      </w:pPr>
      <w:r w:rsidRPr="00B756C6">
        <w:rPr>
          <w:lang w:val="en-GB"/>
        </w:rPr>
        <w:t>Y4 = 46 → exceeds 40</w:t>
      </w:r>
    </w:p>
    <w:p w14:paraId="459CCA19" w14:textId="48F4DBFA" w:rsidR="00B756C6" w:rsidRPr="00B756C6" w:rsidRDefault="00B756C6" w:rsidP="00B756C6">
      <w:pPr>
        <w:spacing w:line="360" w:lineRule="auto"/>
        <w:rPr>
          <w:lang w:val="en-GB"/>
        </w:rPr>
      </w:pPr>
      <w:r w:rsidRPr="00B756C6">
        <w:rPr>
          <w:lang w:val="en-GB"/>
        </w:rPr>
        <w:t xml:space="preserve">Remaining after Year 3 = </w:t>
      </w:r>
      <m:oMath>
        <m:r>
          <w:rPr>
            <w:rFonts w:ascii="Cambria Math" w:hAnsi="Cambria Math"/>
            <w:lang w:val="en-GB"/>
          </w:rPr>
          <m:t>40-36=4</m:t>
        </m:r>
      </m:oMath>
    </w:p>
    <w:p w14:paraId="2B01FB99" w14:textId="64C3C484" w:rsidR="00B756C6" w:rsidRPr="00B756C6" w:rsidRDefault="00B756C6" w:rsidP="00B756C6">
      <w:pPr>
        <w:spacing w:line="360" w:lineRule="auto"/>
        <w:rPr>
          <w:lang w:val="en-GB"/>
        </w:rPr>
      </w:pPr>
      <w:r w:rsidRPr="00B756C6">
        <w:rPr>
          <w:lang w:val="en-GB"/>
        </w:rPr>
        <w:t xml:space="preserve">Fraction of Year 4 = </w:t>
      </w:r>
      <m:oMath>
        <m:r>
          <w:rPr>
            <w:rFonts w:ascii="Cambria Math" w:hAnsi="Cambria Math"/>
            <w:lang w:val="en-GB"/>
          </w:rPr>
          <m:t>4÷10=0.40</m:t>
        </m:r>
      </m:oMath>
    </w:p>
    <w:p w14:paraId="5AB6EB6A" w14:textId="070C3A45" w:rsidR="00B756C6" w:rsidRDefault="00B756C6" w:rsidP="00B756C6">
      <w:pPr>
        <w:spacing w:line="360" w:lineRule="auto"/>
      </w:pPr>
      <w:r w:rsidRPr="00B756C6">
        <w:t>Payback</w:t>
      </w:r>
      <w:r>
        <w:t xml:space="preserve"> </w:t>
      </w:r>
      <w:r w:rsidRPr="00B756C6">
        <w:t>A​=3+0.40=3.40 years</w:t>
      </w:r>
    </w:p>
    <w:p w14:paraId="0D6831C5" w14:textId="714A157A" w:rsidR="00B756C6" w:rsidRDefault="00B756C6">
      <w:pPr>
        <w:spacing w:before="0" w:after="160" w:line="278" w:lineRule="auto"/>
        <w:jc w:val="left"/>
      </w:pPr>
      <w:r>
        <w:br w:type="page"/>
      </w:r>
    </w:p>
    <w:p w14:paraId="1BEEC987" w14:textId="77777777" w:rsidR="00B756C6" w:rsidRPr="00B756C6" w:rsidRDefault="00B756C6" w:rsidP="00B756C6">
      <w:pPr>
        <w:spacing w:line="360" w:lineRule="auto"/>
        <w:rPr>
          <w:b/>
          <w:bCs/>
          <w:lang w:val="en-GB"/>
        </w:rPr>
      </w:pPr>
      <w:r w:rsidRPr="00B756C6">
        <w:rPr>
          <w:b/>
          <w:bCs/>
          <w:lang w:val="en-GB"/>
        </w:rPr>
        <w:lastRenderedPageBreak/>
        <w:t>Project B</w:t>
      </w:r>
    </w:p>
    <w:p w14:paraId="32B60A26" w14:textId="77777777" w:rsidR="00B756C6" w:rsidRPr="00B756C6" w:rsidRDefault="00B756C6" w:rsidP="00B756C6">
      <w:pPr>
        <w:spacing w:line="360" w:lineRule="auto"/>
        <w:rPr>
          <w:lang w:val="en-GB"/>
        </w:rPr>
      </w:pPr>
      <w:r w:rsidRPr="00B756C6">
        <w:rPr>
          <w:lang w:val="en-GB"/>
        </w:rPr>
        <w:t>Cumulative cash flows: 6, 12, 18, 24, 30 → recovers in Year 5</w:t>
      </w:r>
    </w:p>
    <w:p w14:paraId="4226CB07" w14:textId="159778A8" w:rsidR="00B756C6" w:rsidRDefault="00B756C6" w:rsidP="00B756C6">
      <w:pPr>
        <w:spacing w:line="360" w:lineRule="auto"/>
      </w:pPr>
      <w:r w:rsidRPr="00B756C6">
        <w:t>Payback</w:t>
      </w:r>
      <w:r>
        <w:t xml:space="preserve"> </w:t>
      </w:r>
      <w:r w:rsidRPr="00B756C6">
        <w:t>B​=5.00 years</w:t>
      </w:r>
    </w:p>
    <w:p w14:paraId="2C48D96C" w14:textId="77777777" w:rsidR="00B756C6" w:rsidRPr="00B756C6" w:rsidRDefault="00B756C6" w:rsidP="00B756C6">
      <w:pPr>
        <w:spacing w:line="360" w:lineRule="auto"/>
        <w:rPr>
          <w:b/>
          <w:bCs/>
          <w:lang w:val="en-GB"/>
        </w:rPr>
      </w:pPr>
      <w:r w:rsidRPr="00B756C6">
        <w:rPr>
          <w:b/>
          <w:bCs/>
          <w:lang w:val="en-GB"/>
        </w:rPr>
        <w:t>Project C</w:t>
      </w:r>
    </w:p>
    <w:p w14:paraId="4514E951" w14:textId="77777777" w:rsidR="00B756C6" w:rsidRDefault="00B756C6" w:rsidP="00B756C6">
      <w:pPr>
        <w:spacing w:line="360" w:lineRule="auto"/>
        <w:rPr>
          <w:lang w:val="en-GB"/>
        </w:rPr>
      </w:pPr>
      <w:r w:rsidRPr="00B756C6">
        <w:rPr>
          <w:lang w:val="en-GB"/>
        </w:rPr>
        <w:t>Cumulative cash flows:</w:t>
      </w:r>
    </w:p>
    <w:p w14:paraId="01C9BDB5" w14:textId="24AE12D3" w:rsidR="00B756C6" w:rsidRPr="00B756C6" w:rsidRDefault="00B756C6" w:rsidP="00B756C6">
      <w:pPr>
        <w:spacing w:line="360" w:lineRule="auto"/>
        <w:rPr>
          <w:lang w:val="en-GB"/>
        </w:rPr>
      </w:pPr>
      <w:r w:rsidRPr="00B756C6">
        <w:rPr>
          <w:lang w:val="en-GB"/>
        </w:rPr>
        <w:t>5 → 15 → 35 → 60 → recovers in Year 4.</w:t>
      </w:r>
    </w:p>
    <w:p w14:paraId="5A708236" w14:textId="77777777" w:rsidR="00B756C6" w:rsidRDefault="00B756C6" w:rsidP="00B756C6">
      <w:pPr>
        <w:spacing w:line="360" w:lineRule="auto"/>
        <w:rPr>
          <w:lang w:val="en-GB"/>
        </w:rPr>
      </w:pPr>
      <w:r w:rsidRPr="00B756C6">
        <w:rPr>
          <w:lang w:val="en-GB"/>
        </w:rPr>
        <w:t xml:space="preserve">Remaining after Year 3 = </w:t>
      </w:r>
      <m:oMath>
        <m:r>
          <w:rPr>
            <w:rFonts w:ascii="Cambria Math" w:hAnsi="Cambria Math"/>
            <w:lang w:val="en-GB"/>
          </w:rPr>
          <m:t>50-35=15</m:t>
        </m:r>
      </m:oMath>
    </w:p>
    <w:p w14:paraId="337F8872" w14:textId="2D7AC8A7" w:rsidR="00B756C6" w:rsidRPr="00B756C6" w:rsidRDefault="00B756C6" w:rsidP="00B756C6">
      <w:pPr>
        <w:spacing w:line="360" w:lineRule="auto"/>
        <w:rPr>
          <w:lang w:val="en-GB"/>
        </w:rPr>
      </w:pPr>
      <w:r w:rsidRPr="00B756C6">
        <w:rPr>
          <w:lang w:val="en-GB"/>
        </w:rPr>
        <w:t xml:space="preserve">Fraction of Year 4 = </w:t>
      </w:r>
      <m:oMath>
        <m:r>
          <w:rPr>
            <w:rFonts w:ascii="Cambria Math" w:hAnsi="Cambria Math"/>
            <w:lang w:val="en-GB"/>
          </w:rPr>
          <m:t>15÷25=0.60</m:t>
        </m:r>
      </m:oMath>
    </w:p>
    <w:p w14:paraId="6A0369BB" w14:textId="6E67B741" w:rsidR="00B756C6" w:rsidRDefault="00B756C6" w:rsidP="00B756C6">
      <w:pPr>
        <w:spacing w:line="360" w:lineRule="auto"/>
      </w:pPr>
      <w:r w:rsidRPr="00B756C6">
        <w:t>Payback</w:t>
      </w:r>
      <w:r>
        <w:t xml:space="preserve"> </w:t>
      </w:r>
      <w:r w:rsidRPr="00B756C6">
        <w:t>C​=3+0.60=3.60 years</w:t>
      </w:r>
    </w:p>
    <w:p w14:paraId="6A3E1423" w14:textId="77777777" w:rsidR="00B756C6" w:rsidRPr="00B756C6" w:rsidRDefault="00B756C6" w:rsidP="00B756C6">
      <w:pPr>
        <w:spacing w:line="360" w:lineRule="auto"/>
        <w:rPr>
          <w:b/>
          <w:bCs/>
          <w:lang w:val="en-GB"/>
        </w:rPr>
      </w:pPr>
      <w:r w:rsidRPr="00B756C6">
        <w:rPr>
          <w:b/>
          <w:bCs/>
          <w:lang w:val="en-GB"/>
        </w:rPr>
        <w:t>C5. Net Present Value (NPV) Workings</w:t>
      </w:r>
    </w:p>
    <w:p w14:paraId="6A9762EC" w14:textId="77777777" w:rsidR="00B756C6" w:rsidRPr="00B756C6" w:rsidRDefault="00B756C6" w:rsidP="00B756C6">
      <w:pPr>
        <w:spacing w:line="360" w:lineRule="auto"/>
        <w:rPr>
          <w:b/>
          <w:bCs/>
          <w:lang w:val="en-GB"/>
        </w:rPr>
      </w:pPr>
      <w:r w:rsidRPr="00B756C6">
        <w:rPr>
          <w:b/>
          <w:bCs/>
          <w:lang w:val="en-GB"/>
        </w:rPr>
        <w:t xml:space="preserve">Project </w:t>
      </w:r>
      <w:proofErr w:type="gramStart"/>
      <w:r w:rsidRPr="00B756C6">
        <w:rPr>
          <w:b/>
          <w:bCs/>
          <w:lang w:val="en-GB"/>
        </w:rPr>
        <w:t>A</w:t>
      </w:r>
      <w:proofErr w:type="gramEnd"/>
      <w:r w:rsidRPr="00B756C6">
        <w:rPr>
          <w:b/>
          <w:bCs/>
          <w:lang w:val="en-GB"/>
        </w:rPr>
        <w:t xml:space="preserve"> NPV</w:t>
      </w:r>
    </w:p>
    <w:p w14:paraId="1C88015E" w14:textId="7D2F4F79" w:rsidR="00B756C6" w:rsidRDefault="00B756C6" w:rsidP="00B756C6">
      <w:pPr>
        <w:spacing w:line="360" w:lineRule="auto"/>
      </w:pPr>
      <w:r w:rsidRPr="00B756C6">
        <w:t>NPV=∑</w:t>
      </w:r>
      <w:proofErr w:type="spellStart"/>
      <w:r w:rsidRPr="00B756C6">
        <w:t>CFt</w:t>
      </w:r>
      <w:proofErr w:type="spellEnd"/>
      <w:r w:rsidRPr="00B756C6">
        <w:t>​×</w:t>
      </w:r>
      <w:proofErr w:type="spellStart"/>
      <w:r w:rsidRPr="00B756C6">
        <w:t>DFt</w:t>
      </w:r>
      <w:proofErr w:type="spellEnd"/>
      <w:r w:rsidRPr="00B756C6">
        <w:t>​−Initial</w:t>
      </w:r>
    </w:p>
    <w:tbl>
      <w:tblPr>
        <w:tblStyle w:val="TableGridLight"/>
        <w:tblW w:w="0" w:type="auto"/>
        <w:tblLayout w:type="fixed"/>
        <w:tblLook w:val="04A0" w:firstRow="1" w:lastRow="0" w:firstColumn="1" w:lastColumn="0" w:noHBand="0" w:noVBand="1"/>
      </w:tblPr>
      <w:tblGrid>
        <w:gridCol w:w="696"/>
        <w:gridCol w:w="1459"/>
        <w:gridCol w:w="2160"/>
        <w:gridCol w:w="3600"/>
      </w:tblGrid>
      <w:tr w:rsidR="00B756C6" w:rsidRPr="00B756C6" w14:paraId="473106C5" w14:textId="77777777" w:rsidTr="00B756C6">
        <w:tc>
          <w:tcPr>
            <w:tcW w:w="696" w:type="dxa"/>
            <w:hideMark/>
          </w:tcPr>
          <w:p w14:paraId="1F3575BD" w14:textId="77777777" w:rsidR="00B756C6" w:rsidRPr="00B756C6" w:rsidRDefault="00B756C6" w:rsidP="00B756C6">
            <w:pPr>
              <w:spacing w:line="360" w:lineRule="auto"/>
              <w:jc w:val="center"/>
              <w:rPr>
                <w:b/>
                <w:bCs/>
                <w:lang w:val="en-GB"/>
              </w:rPr>
            </w:pPr>
            <w:r w:rsidRPr="00B756C6">
              <w:rPr>
                <w:b/>
                <w:bCs/>
                <w:lang w:val="en-GB"/>
              </w:rPr>
              <w:t>Year</w:t>
            </w:r>
          </w:p>
        </w:tc>
        <w:tc>
          <w:tcPr>
            <w:tcW w:w="1459" w:type="dxa"/>
            <w:hideMark/>
          </w:tcPr>
          <w:p w14:paraId="60F2A482" w14:textId="77777777" w:rsidR="00B756C6" w:rsidRPr="00B756C6" w:rsidRDefault="00B756C6" w:rsidP="00B756C6">
            <w:pPr>
              <w:spacing w:line="360" w:lineRule="auto"/>
              <w:jc w:val="center"/>
              <w:rPr>
                <w:b/>
                <w:bCs/>
                <w:lang w:val="en-GB"/>
              </w:rPr>
            </w:pPr>
            <w:r w:rsidRPr="00B756C6">
              <w:rPr>
                <w:b/>
                <w:bCs/>
                <w:lang w:val="en-GB"/>
              </w:rPr>
              <w:t>CF</w:t>
            </w:r>
          </w:p>
        </w:tc>
        <w:tc>
          <w:tcPr>
            <w:tcW w:w="2160" w:type="dxa"/>
            <w:hideMark/>
          </w:tcPr>
          <w:p w14:paraId="579DE8B1" w14:textId="77777777" w:rsidR="00B756C6" w:rsidRPr="00B756C6" w:rsidRDefault="00B756C6" w:rsidP="00B756C6">
            <w:pPr>
              <w:spacing w:line="360" w:lineRule="auto"/>
              <w:jc w:val="center"/>
              <w:rPr>
                <w:b/>
                <w:bCs/>
                <w:lang w:val="en-GB"/>
              </w:rPr>
            </w:pPr>
            <w:r w:rsidRPr="00B756C6">
              <w:rPr>
                <w:b/>
                <w:bCs/>
                <w:lang w:val="en-GB"/>
              </w:rPr>
              <w:t>DF</w:t>
            </w:r>
          </w:p>
        </w:tc>
        <w:tc>
          <w:tcPr>
            <w:tcW w:w="3600" w:type="dxa"/>
            <w:hideMark/>
          </w:tcPr>
          <w:p w14:paraId="5FF4A37E" w14:textId="77777777" w:rsidR="00B756C6" w:rsidRPr="00B756C6" w:rsidRDefault="00B756C6" w:rsidP="00B756C6">
            <w:pPr>
              <w:spacing w:line="360" w:lineRule="auto"/>
              <w:jc w:val="center"/>
              <w:rPr>
                <w:b/>
                <w:bCs/>
                <w:lang w:val="en-GB"/>
              </w:rPr>
            </w:pPr>
            <w:r w:rsidRPr="00B756C6">
              <w:rPr>
                <w:b/>
                <w:bCs/>
                <w:lang w:val="en-GB"/>
              </w:rPr>
              <w:t>PV = CF × DF</w:t>
            </w:r>
          </w:p>
        </w:tc>
      </w:tr>
      <w:tr w:rsidR="00B756C6" w:rsidRPr="00B756C6" w14:paraId="0F022A30" w14:textId="77777777" w:rsidTr="00B756C6">
        <w:tc>
          <w:tcPr>
            <w:tcW w:w="696" w:type="dxa"/>
            <w:hideMark/>
          </w:tcPr>
          <w:p w14:paraId="3EDD7FEB" w14:textId="77777777" w:rsidR="00B756C6" w:rsidRPr="00B756C6" w:rsidRDefault="00B756C6" w:rsidP="00B756C6">
            <w:pPr>
              <w:spacing w:line="360" w:lineRule="auto"/>
              <w:jc w:val="center"/>
              <w:rPr>
                <w:lang w:val="en-GB"/>
              </w:rPr>
            </w:pPr>
            <w:r w:rsidRPr="00B756C6">
              <w:rPr>
                <w:lang w:val="en-GB"/>
              </w:rPr>
              <w:t>1</w:t>
            </w:r>
          </w:p>
        </w:tc>
        <w:tc>
          <w:tcPr>
            <w:tcW w:w="1459" w:type="dxa"/>
            <w:hideMark/>
          </w:tcPr>
          <w:p w14:paraId="528137BB" w14:textId="77777777" w:rsidR="00B756C6" w:rsidRPr="00B756C6" w:rsidRDefault="00B756C6" w:rsidP="00B756C6">
            <w:pPr>
              <w:spacing w:line="360" w:lineRule="auto"/>
              <w:jc w:val="center"/>
              <w:rPr>
                <w:lang w:val="en-GB"/>
              </w:rPr>
            </w:pPr>
            <w:r w:rsidRPr="00B756C6">
              <w:rPr>
                <w:lang w:val="en-GB"/>
              </w:rPr>
              <w:t>10</w:t>
            </w:r>
          </w:p>
        </w:tc>
        <w:tc>
          <w:tcPr>
            <w:tcW w:w="2160" w:type="dxa"/>
            <w:hideMark/>
          </w:tcPr>
          <w:p w14:paraId="4243E736" w14:textId="77777777" w:rsidR="00B756C6" w:rsidRPr="00B756C6" w:rsidRDefault="00B756C6" w:rsidP="00B756C6">
            <w:pPr>
              <w:spacing w:line="360" w:lineRule="auto"/>
              <w:jc w:val="center"/>
              <w:rPr>
                <w:lang w:val="en-GB"/>
              </w:rPr>
            </w:pPr>
            <w:r w:rsidRPr="00B756C6">
              <w:rPr>
                <w:lang w:val="en-GB"/>
              </w:rPr>
              <w:t>0.9090909091</w:t>
            </w:r>
          </w:p>
        </w:tc>
        <w:tc>
          <w:tcPr>
            <w:tcW w:w="3600" w:type="dxa"/>
            <w:hideMark/>
          </w:tcPr>
          <w:p w14:paraId="4209DA22" w14:textId="77777777" w:rsidR="00B756C6" w:rsidRPr="00B756C6" w:rsidRDefault="00B756C6" w:rsidP="00B756C6">
            <w:pPr>
              <w:spacing w:line="360" w:lineRule="auto"/>
              <w:jc w:val="center"/>
              <w:rPr>
                <w:lang w:val="en-GB"/>
              </w:rPr>
            </w:pPr>
            <w:r w:rsidRPr="00B756C6">
              <w:rPr>
                <w:lang w:val="en-GB"/>
              </w:rPr>
              <w:t>9.09091</w:t>
            </w:r>
          </w:p>
        </w:tc>
      </w:tr>
      <w:tr w:rsidR="00B756C6" w:rsidRPr="00B756C6" w14:paraId="7F2E5AF4" w14:textId="77777777" w:rsidTr="00B756C6">
        <w:tc>
          <w:tcPr>
            <w:tcW w:w="696" w:type="dxa"/>
            <w:hideMark/>
          </w:tcPr>
          <w:p w14:paraId="61193320" w14:textId="77777777" w:rsidR="00B756C6" w:rsidRPr="00B756C6" w:rsidRDefault="00B756C6" w:rsidP="00B756C6">
            <w:pPr>
              <w:spacing w:line="360" w:lineRule="auto"/>
              <w:jc w:val="center"/>
              <w:rPr>
                <w:lang w:val="en-GB"/>
              </w:rPr>
            </w:pPr>
            <w:r w:rsidRPr="00B756C6">
              <w:rPr>
                <w:lang w:val="en-GB"/>
              </w:rPr>
              <w:t>2</w:t>
            </w:r>
          </w:p>
        </w:tc>
        <w:tc>
          <w:tcPr>
            <w:tcW w:w="1459" w:type="dxa"/>
            <w:hideMark/>
          </w:tcPr>
          <w:p w14:paraId="1ECB3B9A" w14:textId="77777777" w:rsidR="00B756C6" w:rsidRPr="00B756C6" w:rsidRDefault="00B756C6" w:rsidP="00B756C6">
            <w:pPr>
              <w:spacing w:line="360" w:lineRule="auto"/>
              <w:jc w:val="center"/>
              <w:rPr>
                <w:lang w:val="en-GB"/>
              </w:rPr>
            </w:pPr>
            <w:r w:rsidRPr="00B756C6">
              <w:rPr>
                <w:lang w:val="en-GB"/>
              </w:rPr>
              <w:t>12</w:t>
            </w:r>
          </w:p>
        </w:tc>
        <w:tc>
          <w:tcPr>
            <w:tcW w:w="2160" w:type="dxa"/>
            <w:hideMark/>
          </w:tcPr>
          <w:p w14:paraId="75BA48C7" w14:textId="77777777" w:rsidR="00B756C6" w:rsidRPr="00B756C6" w:rsidRDefault="00B756C6" w:rsidP="00B756C6">
            <w:pPr>
              <w:spacing w:line="360" w:lineRule="auto"/>
              <w:jc w:val="center"/>
              <w:rPr>
                <w:lang w:val="en-GB"/>
              </w:rPr>
            </w:pPr>
            <w:r w:rsidRPr="00B756C6">
              <w:rPr>
                <w:lang w:val="en-GB"/>
              </w:rPr>
              <w:t>0.8264462810</w:t>
            </w:r>
          </w:p>
        </w:tc>
        <w:tc>
          <w:tcPr>
            <w:tcW w:w="3600" w:type="dxa"/>
            <w:hideMark/>
          </w:tcPr>
          <w:p w14:paraId="0686DF3A" w14:textId="77777777" w:rsidR="00B756C6" w:rsidRPr="00B756C6" w:rsidRDefault="00B756C6" w:rsidP="00B756C6">
            <w:pPr>
              <w:spacing w:line="360" w:lineRule="auto"/>
              <w:jc w:val="center"/>
              <w:rPr>
                <w:lang w:val="en-GB"/>
              </w:rPr>
            </w:pPr>
            <w:r w:rsidRPr="00B756C6">
              <w:rPr>
                <w:lang w:val="en-GB"/>
              </w:rPr>
              <w:t>9.91736</w:t>
            </w:r>
          </w:p>
        </w:tc>
      </w:tr>
      <w:tr w:rsidR="00B756C6" w:rsidRPr="00B756C6" w14:paraId="200159BD" w14:textId="77777777" w:rsidTr="00B756C6">
        <w:tc>
          <w:tcPr>
            <w:tcW w:w="696" w:type="dxa"/>
            <w:hideMark/>
          </w:tcPr>
          <w:p w14:paraId="30644D42" w14:textId="77777777" w:rsidR="00B756C6" w:rsidRPr="00B756C6" w:rsidRDefault="00B756C6" w:rsidP="00B756C6">
            <w:pPr>
              <w:spacing w:line="360" w:lineRule="auto"/>
              <w:jc w:val="center"/>
              <w:rPr>
                <w:lang w:val="en-GB"/>
              </w:rPr>
            </w:pPr>
            <w:r w:rsidRPr="00B756C6">
              <w:rPr>
                <w:lang w:val="en-GB"/>
              </w:rPr>
              <w:t>3</w:t>
            </w:r>
          </w:p>
        </w:tc>
        <w:tc>
          <w:tcPr>
            <w:tcW w:w="1459" w:type="dxa"/>
            <w:hideMark/>
          </w:tcPr>
          <w:p w14:paraId="12F4B851" w14:textId="77777777" w:rsidR="00B756C6" w:rsidRPr="00B756C6" w:rsidRDefault="00B756C6" w:rsidP="00B756C6">
            <w:pPr>
              <w:spacing w:line="360" w:lineRule="auto"/>
              <w:jc w:val="center"/>
              <w:rPr>
                <w:lang w:val="en-GB"/>
              </w:rPr>
            </w:pPr>
            <w:r w:rsidRPr="00B756C6">
              <w:rPr>
                <w:lang w:val="en-GB"/>
              </w:rPr>
              <w:t>14</w:t>
            </w:r>
          </w:p>
        </w:tc>
        <w:tc>
          <w:tcPr>
            <w:tcW w:w="2160" w:type="dxa"/>
            <w:hideMark/>
          </w:tcPr>
          <w:p w14:paraId="514FBF03" w14:textId="77777777" w:rsidR="00B756C6" w:rsidRPr="00B756C6" w:rsidRDefault="00B756C6" w:rsidP="00B756C6">
            <w:pPr>
              <w:spacing w:line="360" w:lineRule="auto"/>
              <w:jc w:val="center"/>
              <w:rPr>
                <w:lang w:val="en-GB"/>
              </w:rPr>
            </w:pPr>
            <w:r w:rsidRPr="00B756C6">
              <w:rPr>
                <w:lang w:val="en-GB"/>
              </w:rPr>
              <w:t>0.7513148009</w:t>
            </w:r>
          </w:p>
        </w:tc>
        <w:tc>
          <w:tcPr>
            <w:tcW w:w="3600" w:type="dxa"/>
            <w:hideMark/>
          </w:tcPr>
          <w:p w14:paraId="7B5FA9C8" w14:textId="77777777" w:rsidR="00B756C6" w:rsidRPr="00B756C6" w:rsidRDefault="00B756C6" w:rsidP="00B756C6">
            <w:pPr>
              <w:spacing w:line="360" w:lineRule="auto"/>
              <w:jc w:val="center"/>
              <w:rPr>
                <w:lang w:val="en-GB"/>
              </w:rPr>
            </w:pPr>
            <w:r w:rsidRPr="00B756C6">
              <w:rPr>
                <w:lang w:val="en-GB"/>
              </w:rPr>
              <w:t>10.51841</w:t>
            </w:r>
          </w:p>
        </w:tc>
      </w:tr>
      <w:tr w:rsidR="00B756C6" w:rsidRPr="00B756C6" w14:paraId="75A9DDC0" w14:textId="77777777" w:rsidTr="00B756C6">
        <w:tc>
          <w:tcPr>
            <w:tcW w:w="696" w:type="dxa"/>
            <w:hideMark/>
          </w:tcPr>
          <w:p w14:paraId="6EDC79B4" w14:textId="77777777" w:rsidR="00B756C6" w:rsidRPr="00B756C6" w:rsidRDefault="00B756C6" w:rsidP="00B756C6">
            <w:pPr>
              <w:spacing w:line="360" w:lineRule="auto"/>
              <w:jc w:val="center"/>
              <w:rPr>
                <w:lang w:val="en-GB"/>
              </w:rPr>
            </w:pPr>
            <w:r w:rsidRPr="00B756C6">
              <w:rPr>
                <w:lang w:val="en-GB"/>
              </w:rPr>
              <w:t>4</w:t>
            </w:r>
          </w:p>
        </w:tc>
        <w:tc>
          <w:tcPr>
            <w:tcW w:w="1459" w:type="dxa"/>
            <w:hideMark/>
          </w:tcPr>
          <w:p w14:paraId="1B35EAA0" w14:textId="77777777" w:rsidR="00B756C6" w:rsidRPr="00B756C6" w:rsidRDefault="00B756C6" w:rsidP="00B756C6">
            <w:pPr>
              <w:spacing w:line="360" w:lineRule="auto"/>
              <w:jc w:val="center"/>
              <w:rPr>
                <w:lang w:val="en-GB"/>
              </w:rPr>
            </w:pPr>
            <w:r w:rsidRPr="00B756C6">
              <w:rPr>
                <w:lang w:val="en-GB"/>
              </w:rPr>
              <w:t>10</w:t>
            </w:r>
          </w:p>
        </w:tc>
        <w:tc>
          <w:tcPr>
            <w:tcW w:w="2160" w:type="dxa"/>
            <w:hideMark/>
          </w:tcPr>
          <w:p w14:paraId="7E76B5E4" w14:textId="77777777" w:rsidR="00B756C6" w:rsidRPr="00B756C6" w:rsidRDefault="00B756C6" w:rsidP="00B756C6">
            <w:pPr>
              <w:spacing w:line="360" w:lineRule="auto"/>
              <w:jc w:val="center"/>
              <w:rPr>
                <w:lang w:val="en-GB"/>
              </w:rPr>
            </w:pPr>
            <w:r w:rsidRPr="00B756C6">
              <w:rPr>
                <w:lang w:val="en-GB"/>
              </w:rPr>
              <w:t>0.6830134554</w:t>
            </w:r>
          </w:p>
        </w:tc>
        <w:tc>
          <w:tcPr>
            <w:tcW w:w="3600" w:type="dxa"/>
            <w:hideMark/>
          </w:tcPr>
          <w:p w14:paraId="2B2CEDC1" w14:textId="77777777" w:rsidR="00B756C6" w:rsidRPr="00B756C6" w:rsidRDefault="00B756C6" w:rsidP="00B756C6">
            <w:pPr>
              <w:spacing w:line="360" w:lineRule="auto"/>
              <w:jc w:val="center"/>
              <w:rPr>
                <w:lang w:val="en-GB"/>
              </w:rPr>
            </w:pPr>
            <w:r w:rsidRPr="00B756C6">
              <w:rPr>
                <w:lang w:val="en-GB"/>
              </w:rPr>
              <w:t>6.83013</w:t>
            </w:r>
          </w:p>
        </w:tc>
      </w:tr>
      <w:tr w:rsidR="00B756C6" w:rsidRPr="00B756C6" w14:paraId="0966FECD" w14:textId="77777777" w:rsidTr="00B756C6">
        <w:tc>
          <w:tcPr>
            <w:tcW w:w="696" w:type="dxa"/>
            <w:hideMark/>
          </w:tcPr>
          <w:p w14:paraId="10AD0A63" w14:textId="77777777" w:rsidR="00B756C6" w:rsidRPr="00B756C6" w:rsidRDefault="00B756C6" w:rsidP="00B756C6">
            <w:pPr>
              <w:spacing w:line="360" w:lineRule="auto"/>
              <w:jc w:val="center"/>
              <w:rPr>
                <w:lang w:val="en-GB"/>
              </w:rPr>
            </w:pPr>
            <w:r w:rsidRPr="00B756C6">
              <w:rPr>
                <w:lang w:val="en-GB"/>
              </w:rPr>
              <w:t>5</w:t>
            </w:r>
          </w:p>
        </w:tc>
        <w:tc>
          <w:tcPr>
            <w:tcW w:w="1459" w:type="dxa"/>
            <w:hideMark/>
          </w:tcPr>
          <w:p w14:paraId="5974205A" w14:textId="77777777" w:rsidR="00B756C6" w:rsidRPr="00B756C6" w:rsidRDefault="00B756C6" w:rsidP="00B756C6">
            <w:pPr>
              <w:spacing w:line="360" w:lineRule="auto"/>
              <w:jc w:val="center"/>
              <w:rPr>
                <w:lang w:val="en-GB"/>
              </w:rPr>
            </w:pPr>
            <w:r w:rsidRPr="00B756C6">
              <w:rPr>
                <w:lang w:val="en-GB"/>
              </w:rPr>
              <w:t>8</w:t>
            </w:r>
          </w:p>
        </w:tc>
        <w:tc>
          <w:tcPr>
            <w:tcW w:w="2160" w:type="dxa"/>
            <w:hideMark/>
          </w:tcPr>
          <w:p w14:paraId="5709F2DD" w14:textId="77777777" w:rsidR="00B756C6" w:rsidRPr="00B756C6" w:rsidRDefault="00B756C6" w:rsidP="00B756C6">
            <w:pPr>
              <w:spacing w:line="360" w:lineRule="auto"/>
              <w:jc w:val="center"/>
              <w:rPr>
                <w:lang w:val="en-GB"/>
              </w:rPr>
            </w:pPr>
            <w:r w:rsidRPr="00B756C6">
              <w:rPr>
                <w:lang w:val="en-GB"/>
              </w:rPr>
              <w:t>0.6209213231</w:t>
            </w:r>
          </w:p>
        </w:tc>
        <w:tc>
          <w:tcPr>
            <w:tcW w:w="3600" w:type="dxa"/>
            <w:hideMark/>
          </w:tcPr>
          <w:p w14:paraId="33B6DDC8" w14:textId="77777777" w:rsidR="00B756C6" w:rsidRPr="00B756C6" w:rsidRDefault="00B756C6" w:rsidP="00B756C6">
            <w:pPr>
              <w:spacing w:line="360" w:lineRule="auto"/>
              <w:jc w:val="center"/>
              <w:rPr>
                <w:lang w:val="en-GB"/>
              </w:rPr>
            </w:pPr>
            <w:r w:rsidRPr="00B756C6">
              <w:rPr>
                <w:lang w:val="en-GB"/>
              </w:rPr>
              <w:t>4.96737</w:t>
            </w:r>
          </w:p>
        </w:tc>
      </w:tr>
    </w:tbl>
    <w:p w14:paraId="0A49977C" w14:textId="58862AC3" w:rsidR="00B756C6" w:rsidRDefault="00B756C6" w:rsidP="00B756C6">
      <w:pPr>
        <w:spacing w:line="360" w:lineRule="auto"/>
        <w:jc w:val="center"/>
      </w:pPr>
    </w:p>
    <w:p w14:paraId="54A4FCE1" w14:textId="73C5304D" w:rsidR="00B756C6" w:rsidRDefault="00B756C6" w:rsidP="00B756C6">
      <w:pPr>
        <w:spacing w:before="0" w:after="160" w:line="278" w:lineRule="auto"/>
        <w:jc w:val="center"/>
      </w:pPr>
      <w:r>
        <w:br w:type="page"/>
      </w:r>
      <w:r w:rsidRPr="00B756C6">
        <w:lastRenderedPageBreak/>
        <w:t>PVA​=41.32418</w:t>
      </w:r>
    </w:p>
    <w:p w14:paraId="7D9A18DF" w14:textId="66DEC892" w:rsidR="00B756C6" w:rsidRDefault="00B756C6" w:rsidP="00B756C6">
      <w:pPr>
        <w:spacing w:before="0" w:after="160" w:line="278" w:lineRule="auto"/>
        <w:jc w:val="center"/>
      </w:pPr>
      <w:r w:rsidRPr="00B756C6">
        <w:t>NPVA​=41.32418−40=+1.32418 million</w:t>
      </w:r>
    </w:p>
    <w:p w14:paraId="17CAB257" w14:textId="77777777" w:rsidR="00B756C6" w:rsidRPr="00B756C6" w:rsidRDefault="00B756C6" w:rsidP="00B756C6">
      <w:pPr>
        <w:spacing w:before="0" w:after="160" w:line="278" w:lineRule="auto"/>
        <w:rPr>
          <w:b/>
          <w:bCs/>
          <w:lang w:val="en-GB"/>
        </w:rPr>
      </w:pPr>
      <w:r w:rsidRPr="00B756C6">
        <w:rPr>
          <w:b/>
          <w:bCs/>
          <w:lang w:val="en-GB"/>
        </w:rPr>
        <w:t>Project B NPV</w:t>
      </w:r>
    </w:p>
    <w:tbl>
      <w:tblPr>
        <w:tblStyle w:val="TableGridLight"/>
        <w:tblW w:w="0" w:type="auto"/>
        <w:jc w:val="center"/>
        <w:tblLook w:val="04A0" w:firstRow="1" w:lastRow="0" w:firstColumn="1" w:lastColumn="0" w:noHBand="0" w:noVBand="1"/>
      </w:tblPr>
      <w:tblGrid>
        <w:gridCol w:w="1705"/>
        <w:gridCol w:w="1062"/>
        <w:gridCol w:w="2088"/>
        <w:gridCol w:w="1980"/>
      </w:tblGrid>
      <w:tr w:rsidR="00B756C6" w:rsidRPr="00B756C6" w14:paraId="75D6E8AF" w14:textId="77777777" w:rsidTr="00B756C6">
        <w:trPr>
          <w:jc w:val="center"/>
        </w:trPr>
        <w:tc>
          <w:tcPr>
            <w:tcW w:w="1705" w:type="dxa"/>
            <w:hideMark/>
          </w:tcPr>
          <w:p w14:paraId="3D0C93FC" w14:textId="77777777" w:rsidR="00B756C6" w:rsidRPr="00B756C6" w:rsidRDefault="00B756C6" w:rsidP="00B756C6">
            <w:pPr>
              <w:spacing w:before="0" w:after="160" w:line="278" w:lineRule="auto"/>
              <w:jc w:val="center"/>
              <w:rPr>
                <w:b/>
                <w:bCs/>
                <w:lang w:val="en-GB"/>
              </w:rPr>
            </w:pPr>
            <w:r w:rsidRPr="00B756C6">
              <w:rPr>
                <w:b/>
                <w:bCs/>
                <w:lang w:val="en-GB"/>
              </w:rPr>
              <w:t>Year</w:t>
            </w:r>
          </w:p>
        </w:tc>
        <w:tc>
          <w:tcPr>
            <w:tcW w:w="1062" w:type="dxa"/>
            <w:hideMark/>
          </w:tcPr>
          <w:p w14:paraId="2695F840" w14:textId="77777777" w:rsidR="00B756C6" w:rsidRPr="00B756C6" w:rsidRDefault="00B756C6" w:rsidP="00B756C6">
            <w:pPr>
              <w:spacing w:before="0" w:after="160" w:line="278" w:lineRule="auto"/>
              <w:jc w:val="center"/>
              <w:rPr>
                <w:b/>
                <w:bCs/>
                <w:lang w:val="en-GB"/>
              </w:rPr>
            </w:pPr>
            <w:r w:rsidRPr="00B756C6">
              <w:rPr>
                <w:b/>
                <w:bCs/>
                <w:lang w:val="en-GB"/>
              </w:rPr>
              <w:t>CF</w:t>
            </w:r>
          </w:p>
        </w:tc>
        <w:tc>
          <w:tcPr>
            <w:tcW w:w="2088" w:type="dxa"/>
            <w:hideMark/>
          </w:tcPr>
          <w:p w14:paraId="62617096" w14:textId="77777777" w:rsidR="00B756C6" w:rsidRPr="00B756C6" w:rsidRDefault="00B756C6" w:rsidP="00B756C6">
            <w:pPr>
              <w:spacing w:before="0" w:after="160" w:line="278" w:lineRule="auto"/>
              <w:jc w:val="center"/>
              <w:rPr>
                <w:b/>
                <w:bCs/>
                <w:lang w:val="en-GB"/>
              </w:rPr>
            </w:pPr>
            <w:r w:rsidRPr="00B756C6">
              <w:rPr>
                <w:b/>
                <w:bCs/>
                <w:lang w:val="en-GB"/>
              </w:rPr>
              <w:t>DF</w:t>
            </w:r>
          </w:p>
        </w:tc>
        <w:tc>
          <w:tcPr>
            <w:tcW w:w="1980" w:type="dxa"/>
            <w:hideMark/>
          </w:tcPr>
          <w:p w14:paraId="4F291351" w14:textId="77777777" w:rsidR="00B756C6" w:rsidRPr="00B756C6" w:rsidRDefault="00B756C6" w:rsidP="00B756C6">
            <w:pPr>
              <w:spacing w:before="0" w:after="160" w:line="278" w:lineRule="auto"/>
              <w:jc w:val="center"/>
              <w:rPr>
                <w:b/>
                <w:bCs/>
                <w:lang w:val="en-GB"/>
              </w:rPr>
            </w:pPr>
            <w:r w:rsidRPr="00B756C6">
              <w:rPr>
                <w:b/>
                <w:bCs/>
                <w:lang w:val="en-GB"/>
              </w:rPr>
              <w:t>PV</w:t>
            </w:r>
          </w:p>
        </w:tc>
      </w:tr>
      <w:tr w:rsidR="00B756C6" w:rsidRPr="00B756C6" w14:paraId="6204F3A4" w14:textId="77777777" w:rsidTr="00B756C6">
        <w:trPr>
          <w:jc w:val="center"/>
        </w:trPr>
        <w:tc>
          <w:tcPr>
            <w:tcW w:w="1705" w:type="dxa"/>
            <w:hideMark/>
          </w:tcPr>
          <w:p w14:paraId="50A96EBE" w14:textId="77777777" w:rsidR="00B756C6" w:rsidRPr="00B756C6" w:rsidRDefault="00B756C6" w:rsidP="00B756C6">
            <w:pPr>
              <w:spacing w:before="0" w:after="160" w:line="278" w:lineRule="auto"/>
              <w:jc w:val="center"/>
              <w:rPr>
                <w:lang w:val="en-GB"/>
              </w:rPr>
            </w:pPr>
            <w:r w:rsidRPr="00B756C6">
              <w:rPr>
                <w:lang w:val="en-GB"/>
              </w:rPr>
              <w:t>1</w:t>
            </w:r>
          </w:p>
        </w:tc>
        <w:tc>
          <w:tcPr>
            <w:tcW w:w="1062" w:type="dxa"/>
            <w:hideMark/>
          </w:tcPr>
          <w:p w14:paraId="0F0A61E4" w14:textId="77777777" w:rsidR="00B756C6" w:rsidRPr="00B756C6" w:rsidRDefault="00B756C6" w:rsidP="00B756C6">
            <w:pPr>
              <w:spacing w:before="0" w:after="160" w:line="278" w:lineRule="auto"/>
              <w:jc w:val="center"/>
              <w:rPr>
                <w:lang w:val="en-GB"/>
              </w:rPr>
            </w:pPr>
            <w:r w:rsidRPr="00B756C6">
              <w:rPr>
                <w:lang w:val="en-GB"/>
              </w:rPr>
              <w:t>6</w:t>
            </w:r>
          </w:p>
        </w:tc>
        <w:tc>
          <w:tcPr>
            <w:tcW w:w="2088" w:type="dxa"/>
            <w:hideMark/>
          </w:tcPr>
          <w:p w14:paraId="1C5A2CC4" w14:textId="77777777" w:rsidR="00B756C6" w:rsidRPr="00B756C6" w:rsidRDefault="00B756C6" w:rsidP="00B756C6">
            <w:pPr>
              <w:spacing w:before="0" w:after="160" w:line="278" w:lineRule="auto"/>
              <w:jc w:val="center"/>
              <w:rPr>
                <w:lang w:val="en-GB"/>
              </w:rPr>
            </w:pPr>
            <w:r w:rsidRPr="00B756C6">
              <w:rPr>
                <w:lang w:val="en-GB"/>
              </w:rPr>
              <w:t>0.9090909091</w:t>
            </w:r>
          </w:p>
        </w:tc>
        <w:tc>
          <w:tcPr>
            <w:tcW w:w="1980" w:type="dxa"/>
            <w:hideMark/>
          </w:tcPr>
          <w:p w14:paraId="4A7412E0" w14:textId="77777777" w:rsidR="00B756C6" w:rsidRPr="00B756C6" w:rsidRDefault="00B756C6" w:rsidP="00B756C6">
            <w:pPr>
              <w:spacing w:before="0" w:after="160" w:line="278" w:lineRule="auto"/>
              <w:jc w:val="center"/>
              <w:rPr>
                <w:lang w:val="en-GB"/>
              </w:rPr>
            </w:pPr>
            <w:r w:rsidRPr="00B756C6">
              <w:rPr>
                <w:lang w:val="en-GB"/>
              </w:rPr>
              <w:t>5.45455</w:t>
            </w:r>
          </w:p>
        </w:tc>
      </w:tr>
      <w:tr w:rsidR="00B756C6" w:rsidRPr="00B756C6" w14:paraId="7208BFC1" w14:textId="77777777" w:rsidTr="00B756C6">
        <w:trPr>
          <w:jc w:val="center"/>
        </w:trPr>
        <w:tc>
          <w:tcPr>
            <w:tcW w:w="1705" w:type="dxa"/>
            <w:hideMark/>
          </w:tcPr>
          <w:p w14:paraId="7303B35E" w14:textId="77777777" w:rsidR="00B756C6" w:rsidRPr="00B756C6" w:rsidRDefault="00B756C6" w:rsidP="00B756C6">
            <w:pPr>
              <w:spacing w:before="0" w:after="160" w:line="278" w:lineRule="auto"/>
              <w:jc w:val="center"/>
              <w:rPr>
                <w:lang w:val="en-GB"/>
              </w:rPr>
            </w:pPr>
            <w:r w:rsidRPr="00B756C6">
              <w:rPr>
                <w:lang w:val="en-GB"/>
              </w:rPr>
              <w:t>2</w:t>
            </w:r>
          </w:p>
        </w:tc>
        <w:tc>
          <w:tcPr>
            <w:tcW w:w="1062" w:type="dxa"/>
            <w:hideMark/>
          </w:tcPr>
          <w:p w14:paraId="7005005A" w14:textId="77777777" w:rsidR="00B756C6" w:rsidRPr="00B756C6" w:rsidRDefault="00B756C6" w:rsidP="00B756C6">
            <w:pPr>
              <w:spacing w:before="0" w:after="160" w:line="278" w:lineRule="auto"/>
              <w:jc w:val="center"/>
              <w:rPr>
                <w:lang w:val="en-GB"/>
              </w:rPr>
            </w:pPr>
            <w:r w:rsidRPr="00B756C6">
              <w:rPr>
                <w:lang w:val="en-GB"/>
              </w:rPr>
              <w:t>6</w:t>
            </w:r>
          </w:p>
        </w:tc>
        <w:tc>
          <w:tcPr>
            <w:tcW w:w="2088" w:type="dxa"/>
            <w:hideMark/>
          </w:tcPr>
          <w:p w14:paraId="0AEB696B" w14:textId="77777777" w:rsidR="00B756C6" w:rsidRPr="00B756C6" w:rsidRDefault="00B756C6" w:rsidP="00B756C6">
            <w:pPr>
              <w:spacing w:before="0" w:after="160" w:line="278" w:lineRule="auto"/>
              <w:jc w:val="center"/>
              <w:rPr>
                <w:lang w:val="en-GB"/>
              </w:rPr>
            </w:pPr>
            <w:r w:rsidRPr="00B756C6">
              <w:rPr>
                <w:lang w:val="en-GB"/>
              </w:rPr>
              <w:t>0.8264462810</w:t>
            </w:r>
          </w:p>
        </w:tc>
        <w:tc>
          <w:tcPr>
            <w:tcW w:w="1980" w:type="dxa"/>
            <w:hideMark/>
          </w:tcPr>
          <w:p w14:paraId="0437F6EE" w14:textId="77777777" w:rsidR="00B756C6" w:rsidRPr="00B756C6" w:rsidRDefault="00B756C6" w:rsidP="00B756C6">
            <w:pPr>
              <w:spacing w:before="0" w:after="160" w:line="278" w:lineRule="auto"/>
              <w:jc w:val="center"/>
              <w:rPr>
                <w:lang w:val="en-GB"/>
              </w:rPr>
            </w:pPr>
            <w:r w:rsidRPr="00B756C6">
              <w:rPr>
                <w:lang w:val="en-GB"/>
              </w:rPr>
              <w:t>4.95868</w:t>
            </w:r>
          </w:p>
        </w:tc>
      </w:tr>
      <w:tr w:rsidR="00B756C6" w:rsidRPr="00B756C6" w14:paraId="7641D69F" w14:textId="77777777" w:rsidTr="00B756C6">
        <w:trPr>
          <w:jc w:val="center"/>
        </w:trPr>
        <w:tc>
          <w:tcPr>
            <w:tcW w:w="1705" w:type="dxa"/>
            <w:hideMark/>
          </w:tcPr>
          <w:p w14:paraId="54B15143" w14:textId="77777777" w:rsidR="00B756C6" w:rsidRPr="00B756C6" w:rsidRDefault="00B756C6" w:rsidP="00B756C6">
            <w:pPr>
              <w:spacing w:before="0" w:after="160" w:line="278" w:lineRule="auto"/>
              <w:jc w:val="center"/>
              <w:rPr>
                <w:lang w:val="en-GB"/>
              </w:rPr>
            </w:pPr>
            <w:r w:rsidRPr="00B756C6">
              <w:rPr>
                <w:lang w:val="en-GB"/>
              </w:rPr>
              <w:t>3</w:t>
            </w:r>
          </w:p>
        </w:tc>
        <w:tc>
          <w:tcPr>
            <w:tcW w:w="1062" w:type="dxa"/>
            <w:hideMark/>
          </w:tcPr>
          <w:p w14:paraId="318764D0" w14:textId="77777777" w:rsidR="00B756C6" w:rsidRPr="00B756C6" w:rsidRDefault="00B756C6" w:rsidP="00B756C6">
            <w:pPr>
              <w:spacing w:before="0" w:after="160" w:line="278" w:lineRule="auto"/>
              <w:jc w:val="center"/>
              <w:rPr>
                <w:lang w:val="en-GB"/>
              </w:rPr>
            </w:pPr>
            <w:r w:rsidRPr="00B756C6">
              <w:rPr>
                <w:lang w:val="en-GB"/>
              </w:rPr>
              <w:t>6</w:t>
            </w:r>
          </w:p>
        </w:tc>
        <w:tc>
          <w:tcPr>
            <w:tcW w:w="2088" w:type="dxa"/>
            <w:hideMark/>
          </w:tcPr>
          <w:p w14:paraId="32334180" w14:textId="77777777" w:rsidR="00B756C6" w:rsidRPr="00B756C6" w:rsidRDefault="00B756C6" w:rsidP="00B756C6">
            <w:pPr>
              <w:spacing w:before="0" w:after="160" w:line="278" w:lineRule="auto"/>
              <w:jc w:val="center"/>
              <w:rPr>
                <w:lang w:val="en-GB"/>
              </w:rPr>
            </w:pPr>
            <w:r w:rsidRPr="00B756C6">
              <w:rPr>
                <w:lang w:val="en-GB"/>
              </w:rPr>
              <w:t>0.7513148009</w:t>
            </w:r>
          </w:p>
        </w:tc>
        <w:tc>
          <w:tcPr>
            <w:tcW w:w="1980" w:type="dxa"/>
            <w:hideMark/>
          </w:tcPr>
          <w:p w14:paraId="73649F58" w14:textId="77777777" w:rsidR="00B756C6" w:rsidRPr="00B756C6" w:rsidRDefault="00B756C6" w:rsidP="00B756C6">
            <w:pPr>
              <w:spacing w:before="0" w:after="160" w:line="278" w:lineRule="auto"/>
              <w:jc w:val="center"/>
              <w:rPr>
                <w:lang w:val="en-GB"/>
              </w:rPr>
            </w:pPr>
            <w:r w:rsidRPr="00B756C6">
              <w:rPr>
                <w:lang w:val="en-GB"/>
              </w:rPr>
              <w:t>4.50789</w:t>
            </w:r>
          </w:p>
        </w:tc>
      </w:tr>
      <w:tr w:rsidR="00B756C6" w:rsidRPr="00B756C6" w14:paraId="0B42D054" w14:textId="77777777" w:rsidTr="00B756C6">
        <w:trPr>
          <w:jc w:val="center"/>
        </w:trPr>
        <w:tc>
          <w:tcPr>
            <w:tcW w:w="1705" w:type="dxa"/>
            <w:hideMark/>
          </w:tcPr>
          <w:p w14:paraId="56D38214" w14:textId="77777777" w:rsidR="00B756C6" w:rsidRPr="00B756C6" w:rsidRDefault="00B756C6" w:rsidP="00B756C6">
            <w:pPr>
              <w:spacing w:before="0" w:after="160" w:line="278" w:lineRule="auto"/>
              <w:jc w:val="center"/>
              <w:rPr>
                <w:lang w:val="en-GB"/>
              </w:rPr>
            </w:pPr>
            <w:r w:rsidRPr="00B756C6">
              <w:rPr>
                <w:lang w:val="en-GB"/>
              </w:rPr>
              <w:t>4</w:t>
            </w:r>
          </w:p>
        </w:tc>
        <w:tc>
          <w:tcPr>
            <w:tcW w:w="1062" w:type="dxa"/>
            <w:hideMark/>
          </w:tcPr>
          <w:p w14:paraId="0B321DE6" w14:textId="77777777" w:rsidR="00B756C6" w:rsidRPr="00B756C6" w:rsidRDefault="00B756C6" w:rsidP="00B756C6">
            <w:pPr>
              <w:spacing w:before="0" w:after="160" w:line="278" w:lineRule="auto"/>
              <w:jc w:val="center"/>
              <w:rPr>
                <w:lang w:val="en-GB"/>
              </w:rPr>
            </w:pPr>
            <w:r w:rsidRPr="00B756C6">
              <w:rPr>
                <w:lang w:val="en-GB"/>
              </w:rPr>
              <w:t>6</w:t>
            </w:r>
          </w:p>
        </w:tc>
        <w:tc>
          <w:tcPr>
            <w:tcW w:w="2088" w:type="dxa"/>
            <w:hideMark/>
          </w:tcPr>
          <w:p w14:paraId="1CB1B1DC" w14:textId="77777777" w:rsidR="00B756C6" w:rsidRPr="00B756C6" w:rsidRDefault="00B756C6" w:rsidP="00B756C6">
            <w:pPr>
              <w:spacing w:before="0" w:after="160" w:line="278" w:lineRule="auto"/>
              <w:jc w:val="center"/>
              <w:rPr>
                <w:lang w:val="en-GB"/>
              </w:rPr>
            </w:pPr>
            <w:r w:rsidRPr="00B756C6">
              <w:rPr>
                <w:lang w:val="en-GB"/>
              </w:rPr>
              <w:t>0.6830134554</w:t>
            </w:r>
          </w:p>
        </w:tc>
        <w:tc>
          <w:tcPr>
            <w:tcW w:w="1980" w:type="dxa"/>
            <w:hideMark/>
          </w:tcPr>
          <w:p w14:paraId="68010C54" w14:textId="77777777" w:rsidR="00B756C6" w:rsidRPr="00B756C6" w:rsidRDefault="00B756C6" w:rsidP="00B756C6">
            <w:pPr>
              <w:spacing w:before="0" w:after="160" w:line="278" w:lineRule="auto"/>
              <w:jc w:val="center"/>
              <w:rPr>
                <w:lang w:val="en-GB"/>
              </w:rPr>
            </w:pPr>
            <w:r w:rsidRPr="00B756C6">
              <w:rPr>
                <w:lang w:val="en-GB"/>
              </w:rPr>
              <w:t>4.09808</w:t>
            </w:r>
          </w:p>
        </w:tc>
      </w:tr>
      <w:tr w:rsidR="00B756C6" w:rsidRPr="00B756C6" w14:paraId="564BD34B" w14:textId="77777777" w:rsidTr="00B756C6">
        <w:trPr>
          <w:jc w:val="center"/>
        </w:trPr>
        <w:tc>
          <w:tcPr>
            <w:tcW w:w="1705" w:type="dxa"/>
            <w:hideMark/>
          </w:tcPr>
          <w:p w14:paraId="1D3EE9E1" w14:textId="77777777" w:rsidR="00B756C6" w:rsidRPr="00B756C6" w:rsidRDefault="00B756C6" w:rsidP="00B756C6">
            <w:pPr>
              <w:spacing w:before="0" w:after="160" w:line="278" w:lineRule="auto"/>
              <w:jc w:val="center"/>
              <w:rPr>
                <w:lang w:val="en-GB"/>
              </w:rPr>
            </w:pPr>
            <w:r w:rsidRPr="00B756C6">
              <w:rPr>
                <w:lang w:val="en-GB"/>
              </w:rPr>
              <w:t>5</w:t>
            </w:r>
          </w:p>
        </w:tc>
        <w:tc>
          <w:tcPr>
            <w:tcW w:w="1062" w:type="dxa"/>
            <w:hideMark/>
          </w:tcPr>
          <w:p w14:paraId="119F1B88" w14:textId="77777777" w:rsidR="00B756C6" w:rsidRPr="00B756C6" w:rsidRDefault="00B756C6" w:rsidP="00B756C6">
            <w:pPr>
              <w:spacing w:before="0" w:after="160" w:line="278" w:lineRule="auto"/>
              <w:jc w:val="center"/>
              <w:rPr>
                <w:lang w:val="en-GB"/>
              </w:rPr>
            </w:pPr>
            <w:r w:rsidRPr="00B756C6">
              <w:rPr>
                <w:lang w:val="en-GB"/>
              </w:rPr>
              <w:t>6</w:t>
            </w:r>
          </w:p>
        </w:tc>
        <w:tc>
          <w:tcPr>
            <w:tcW w:w="2088" w:type="dxa"/>
            <w:hideMark/>
          </w:tcPr>
          <w:p w14:paraId="1FEFEC20" w14:textId="77777777" w:rsidR="00B756C6" w:rsidRPr="00B756C6" w:rsidRDefault="00B756C6" w:rsidP="00B756C6">
            <w:pPr>
              <w:spacing w:before="0" w:after="160" w:line="278" w:lineRule="auto"/>
              <w:jc w:val="center"/>
              <w:rPr>
                <w:lang w:val="en-GB"/>
              </w:rPr>
            </w:pPr>
            <w:r w:rsidRPr="00B756C6">
              <w:rPr>
                <w:lang w:val="en-GB"/>
              </w:rPr>
              <w:t>0.6209213231</w:t>
            </w:r>
          </w:p>
        </w:tc>
        <w:tc>
          <w:tcPr>
            <w:tcW w:w="1980" w:type="dxa"/>
            <w:hideMark/>
          </w:tcPr>
          <w:p w14:paraId="5242588C" w14:textId="77777777" w:rsidR="00B756C6" w:rsidRPr="00B756C6" w:rsidRDefault="00B756C6" w:rsidP="00B756C6">
            <w:pPr>
              <w:spacing w:before="0" w:after="160" w:line="278" w:lineRule="auto"/>
              <w:jc w:val="center"/>
              <w:rPr>
                <w:lang w:val="en-GB"/>
              </w:rPr>
            </w:pPr>
            <w:r w:rsidRPr="00B756C6">
              <w:rPr>
                <w:lang w:val="en-GB"/>
              </w:rPr>
              <w:t>3.72553</w:t>
            </w:r>
          </w:p>
        </w:tc>
      </w:tr>
    </w:tbl>
    <w:p w14:paraId="0A569C1C" w14:textId="2932586A" w:rsidR="00B756C6" w:rsidRDefault="00B756C6" w:rsidP="00B756C6">
      <w:pPr>
        <w:spacing w:before="0" w:after="160" w:line="278" w:lineRule="auto"/>
        <w:jc w:val="center"/>
      </w:pPr>
      <w:r w:rsidRPr="00B756C6">
        <w:t>PVB​=22.74472</w:t>
      </w:r>
    </w:p>
    <w:p w14:paraId="47220EB5" w14:textId="32690CFD" w:rsidR="00B756C6" w:rsidRDefault="00B756C6" w:rsidP="00B756C6">
      <w:pPr>
        <w:spacing w:before="0" w:after="160" w:line="278" w:lineRule="auto"/>
        <w:jc w:val="center"/>
      </w:pPr>
      <w:r w:rsidRPr="00B756C6">
        <w:t>NPVB​=22.74472−30=−7.25528 million</w:t>
      </w:r>
    </w:p>
    <w:p w14:paraId="01DF405A" w14:textId="77777777" w:rsidR="0055431E" w:rsidRPr="0055431E" w:rsidRDefault="0055431E" w:rsidP="0055431E">
      <w:pPr>
        <w:spacing w:before="0" w:after="160" w:line="278" w:lineRule="auto"/>
        <w:rPr>
          <w:b/>
          <w:bCs/>
          <w:lang w:val="en-GB"/>
        </w:rPr>
      </w:pPr>
      <w:r w:rsidRPr="0055431E">
        <w:rPr>
          <w:b/>
          <w:bCs/>
          <w:lang w:val="en-GB"/>
        </w:rPr>
        <w:t>Project C NPV</w:t>
      </w:r>
    </w:p>
    <w:tbl>
      <w:tblPr>
        <w:tblStyle w:val="TableGridLight"/>
        <w:tblW w:w="0" w:type="auto"/>
        <w:jc w:val="center"/>
        <w:tblLook w:val="04A0" w:firstRow="1" w:lastRow="0" w:firstColumn="1" w:lastColumn="0" w:noHBand="0" w:noVBand="1"/>
      </w:tblPr>
      <w:tblGrid>
        <w:gridCol w:w="1705"/>
        <w:gridCol w:w="1602"/>
        <w:gridCol w:w="2358"/>
        <w:gridCol w:w="2652"/>
      </w:tblGrid>
      <w:tr w:rsidR="0055431E" w:rsidRPr="0055431E" w14:paraId="474E3738" w14:textId="77777777" w:rsidTr="0055431E">
        <w:trPr>
          <w:jc w:val="center"/>
        </w:trPr>
        <w:tc>
          <w:tcPr>
            <w:tcW w:w="1705" w:type="dxa"/>
            <w:hideMark/>
          </w:tcPr>
          <w:p w14:paraId="3FE47E5E" w14:textId="77777777" w:rsidR="0055431E" w:rsidRPr="0055431E" w:rsidRDefault="0055431E" w:rsidP="0055431E">
            <w:pPr>
              <w:spacing w:before="0" w:after="160" w:line="278" w:lineRule="auto"/>
              <w:jc w:val="center"/>
              <w:rPr>
                <w:b/>
                <w:bCs/>
                <w:lang w:val="en-GB"/>
              </w:rPr>
            </w:pPr>
            <w:r w:rsidRPr="0055431E">
              <w:rPr>
                <w:b/>
                <w:bCs/>
                <w:lang w:val="en-GB"/>
              </w:rPr>
              <w:t>Year</w:t>
            </w:r>
          </w:p>
        </w:tc>
        <w:tc>
          <w:tcPr>
            <w:tcW w:w="1602" w:type="dxa"/>
            <w:hideMark/>
          </w:tcPr>
          <w:p w14:paraId="3BD0B816" w14:textId="77777777" w:rsidR="0055431E" w:rsidRPr="0055431E" w:rsidRDefault="0055431E" w:rsidP="0055431E">
            <w:pPr>
              <w:spacing w:before="0" w:after="160" w:line="278" w:lineRule="auto"/>
              <w:jc w:val="center"/>
              <w:rPr>
                <w:b/>
                <w:bCs/>
                <w:lang w:val="en-GB"/>
              </w:rPr>
            </w:pPr>
            <w:r w:rsidRPr="0055431E">
              <w:rPr>
                <w:b/>
                <w:bCs/>
                <w:lang w:val="en-GB"/>
              </w:rPr>
              <w:t>CF</w:t>
            </w:r>
          </w:p>
        </w:tc>
        <w:tc>
          <w:tcPr>
            <w:tcW w:w="0" w:type="auto"/>
            <w:hideMark/>
          </w:tcPr>
          <w:p w14:paraId="5132F8F6" w14:textId="77777777" w:rsidR="0055431E" w:rsidRPr="0055431E" w:rsidRDefault="0055431E" w:rsidP="0055431E">
            <w:pPr>
              <w:spacing w:before="0" w:after="160" w:line="278" w:lineRule="auto"/>
              <w:jc w:val="center"/>
              <w:rPr>
                <w:b/>
                <w:bCs/>
                <w:lang w:val="en-GB"/>
              </w:rPr>
            </w:pPr>
            <w:r w:rsidRPr="0055431E">
              <w:rPr>
                <w:b/>
                <w:bCs/>
                <w:lang w:val="en-GB"/>
              </w:rPr>
              <w:t>DF</w:t>
            </w:r>
          </w:p>
        </w:tc>
        <w:tc>
          <w:tcPr>
            <w:tcW w:w="2652" w:type="dxa"/>
            <w:hideMark/>
          </w:tcPr>
          <w:p w14:paraId="2B85CE75" w14:textId="77777777" w:rsidR="0055431E" w:rsidRPr="0055431E" w:rsidRDefault="0055431E" w:rsidP="0055431E">
            <w:pPr>
              <w:spacing w:before="0" w:after="160" w:line="278" w:lineRule="auto"/>
              <w:jc w:val="center"/>
              <w:rPr>
                <w:b/>
                <w:bCs/>
                <w:lang w:val="en-GB"/>
              </w:rPr>
            </w:pPr>
            <w:r w:rsidRPr="0055431E">
              <w:rPr>
                <w:b/>
                <w:bCs/>
                <w:lang w:val="en-GB"/>
              </w:rPr>
              <w:t>PV</w:t>
            </w:r>
          </w:p>
        </w:tc>
      </w:tr>
      <w:tr w:rsidR="0055431E" w:rsidRPr="0055431E" w14:paraId="37F8D2E1" w14:textId="77777777" w:rsidTr="0055431E">
        <w:trPr>
          <w:jc w:val="center"/>
        </w:trPr>
        <w:tc>
          <w:tcPr>
            <w:tcW w:w="1705" w:type="dxa"/>
            <w:hideMark/>
          </w:tcPr>
          <w:p w14:paraId="1EA93B95" w14:textId="77777777" w:rsidR="0055431E" w:rsidRPr="0055431E" w:rsidRDefault="0055431E" w:rsidP="0055431E">
            <w:pPr>
              <w:spacing w:before="0" w:after="160" w:line="278" w:lineRule="auto"/>
              <w:jc w:val="center"/>
              <w:rPr>
                <w:lang w:val="en-GB"/>
              </w:rPr>
            </w:pPr>
            <w:r w:rsidRPr="0055431E">
              <w:rPr>
                <w:lang w:val="en-GB"/>
              </w:rPr>
              <w:t>1</w:t>
            </w:r>
          </w:p>
        </w:tc>
        <w:tc>
          <w:tcPr>
            <w:tcW w:w="1602" w:type="dxa"/>
            <w:hideMark/>
          </w:tcPr>
          <w:p w14:paraId="5D5F8D9B" w14:textId="77777777" w:rsidR="0055431E" w:rsidRPr="0055431E" w:rsidRDefault="0055431E" w:rsidP="0055431E">
            <w:pPr>
              <w:spacing w:before="0" w:after="160" w:line="278" w:lineRule="auto"/>
              <w:jc w:val="center"/>
              <w:rPr>
                <w:lang w:val="en-GB"/>
              </w:rPr>
            </w:pPr>
            <w:r w:rsidRPr="0055431E">
              <w:rPr>
                <w:lang w:val="en-GB"/>
              </w:rPr>
              <w:t>5</w:t>
            </w:r>
          </w:p>
        </w:tc>
        <w:tc>
          <w:tcPr>
            <w:tcW w:w="0" w:type="auto"/>
            <w:hideMark/>
          </w:tcPr>
          <w:p w14:paraId="35C86247" w14:textId="77777777" w:rsidR="0055431E" w:rsidRPr="0055431E" w:rsidRDefault="0055431E" w:rsidP="0055431E">
            <w:pPr>
              <w:spacing w:before="0" w:after="160" w:line="278" w:lineRule="auto"/>
              <w:jc w:val="center"/>
              <w:rPr>
                <w:lang w:val="en-GB"/>
              </w:rPr>
            </w:pPr>
            <w:r w:rsidRPr="0055431E">
              <w:rPr>
                <w:lang w:val="en-GB"/>
              </w:rPr>
              <w:t>0.9090909091</w:t>
            </w:r>
          </w:p>
        </w:tc>
        <w:tc>
          <w:tcPr>
            <w:tcW w:w="2652" w:type="dxa"/>
            <w:hideMark/>
          </w:tcPr>
          <w:p w14:paraId="636F1801" w14:textId="77777777" w:rsidR="0055431E" w:rsidRPr="0055431E" w:rsidRDefault="0055431E" w:rsidP="0055431E">
            <w:pPr>
              <w:spacing w:before="0" w:after="160" w:line="278" w:lineRule="auto"/>
              <w:jc w:val="center"/>
              <w:rPr>
                <w:lang w:val="en-GB"/>
              </w:rPr>
            </w:pPr>
            <w:r w:rsidRPr="0055431E">
              <w:rPr>
                <w:lang w:val="en-GB"/>
              </w:rPr>
              <w:t>4.54545</w:t>
            </w:r>
          </w:p>
        </w:tc>
      </w:tr>
      <w:tr w:rsidR="0055431E" w:rsidRPr="0055431E" w14:paraId="6B71B7D6" w14:textId="77777777" w:rsidTr="0055431E">
        <w:trPr>
          <w:jc w:val="center"/>
        </w:trPr>
        <w:tc>
          <w:tcPr>
            <w:tcW w:w="1705" w:type="dxa"/>
            <w:hideMark/>
          </w:tcPr>
          <w:p w14:paraId="5FBEC685" w14:textId="77777777" w:rsidR="0055431E" w:rsidRPr="0055431E" w:rsidRDefault="0055431E" w:rsidP="0055431E">
            <w:pPr>
              <w:spacing w:before="0" w:after="160" w:line="278" w:lineRule="auto"/>
              <w:jc w:val="center"/>
              <w:rPr>
                <w:lang w:val="en-GB"/>
              </w:rPr>
            </w:pPr>
            <w:r w:rsidRPr="0055431E">
              <w:rPr>
                <w:lang w:val="en-GB"/>
              </w:rPr>
              <w:t>2</w:t>
            </w:r>
          </w:p>
        </w:tc>
        <w:tc>
          <w:tcPr>
            <w:tcW w:w="1602" w:type="dxa"/>
            <w:hideMark/>
          </w:tcPr>
          <w:p w14:paraId="34D2D2C7" w14:textId="77777777" w:rsidR="0055431E" w:rsidRPr="0055431E" w:rsidRDefault="0055431E" w:rsidP="0055431E">
            <w:pPr>
              <w:spacing w:before="0" w:after="160" w:line="278" w:lineRule="auto"/>
              <w:jc w:val="center"/>
              <w:rPr>
                <w:lang w:val="en-GB"/>
              </w:rPr>
            </w:pPr>
            <w:r w:rsidRPr="0055431E">
              <w:rPr>
                <w:lang w:val="en-GB"/>
              </w:rPr>
              <w:t>10</w:t>
            </w:r>
          </w:p>
        </w:tc>
        <w:tc>
          <w:tcPr>
            <w:tcW w:w="2358" w:type="dxa"/>
            <w:hideMark/>
          </w:tcPr>
          <w:p w14:paraId="16ECFCCE" w14:textId="77777777" w:rsidR="0055431E" w:rsidRPr="0055431E" w:rsidRDefault="0055431E" w:rsidP="0055431E">
            <w:pPr>
              <w:spacing w:before="0" w:after="160" w:line="278" w:lineRule="auto"/>
              <w:jc w:val="center"/>
              <w:rPr>
                <w:lang w:val="en-GB"/>
              </w:rPr>
            </w:pPr>
            <w:r w:rsidRPr="0055431E">
              <w:rPr>
                <w:lang w:val="en-GB"/>
              </w:rPr>
              <w:t>0.8264462810</w:t>
            </w:r>
          </w:p>
        </w:tc>
        <w:tc>
          <w:tcPr>
            <w:tcW w:w="1890" w:type="dxa"/>
            <w:hideMark/>
          </w:tcPr>
          <w:p w14:paraId="1CAB1C84" w14:textId="77777777" w:rsidR="0055431E" w:rsidRPr="0055431E" w:rsidRDefault="0055431E" w:rsidP="0055431E">
            <w:pPr>
              <w:spacing w:before="0" w:after="160" w:line="278" w:lineRule="auto"/>
              <w:jc w:val="center"/>
              <w:rPr>
                <w:lang w:val="en-GB"/>
              </w:rPr>
            </w:pPr>
            <w:r w:rsidRPr="0055431E">
              <w:rPr>
                <w:lang w:val="en-GB"/>
              </w:rPr>
              <w:t>8.26446</w:t>
            </w:r>
          </w:p>
        </w:tc>
      </w:tr>
      <w:tr w:rsidR="0055431E" w:rsidRPr="0055431E" w14:paraId="7A14618E" w14:textId="77777777" w:rsidTr="0055431E">
        <w:trPr>
          <w:jc w:val="center"/>
        </w:trPr>
        <w:tc>
          <w:tcPr>
            <w:tcW w:w="1705" w:type="dxa"/>
            <w:hideMark/>
          </w:tcPr>
          <w:p w14:paraId="04A67C50" w14:textId="77777777" w:rsidR="0055431E" w:rsidRPr="0055431E" w:rsidRDefault="0055431E" w:rsidP="0055431E">
            <w:pPr>
              <w:spacing w:before="0" w:after="160" w:line="278" w:lineRule="auto"/>
              <w:jc w:val="center"/>
              <w:rPr>
                <w:lang w:val="en-GB"/>
              </w:rPr>
            </w:pPr>
            <w:r w:rsidRPr="0055431E">
              <w:rPr>
                <w:lang w:val="en-GB"/>
              </w:rPr>
              <w:t>3</w:t>
            </w:r>
          </w:p>
        </w:tc>
        <w:tc>
          <w:tcPr>
            <w:tcW w:w="1602" w:type="dxa"/>
            <w:hideMark/>
          </w:tcPr>
          <w:p w14:paraId="01FBCE60" w14:textId="77777777" w:rsidR="0055431E" w:rsidRPr="0055431E" w:rsidRDefault="0055431E" w:rsidP="0055431E">
            <w:pPr>
              <w:spacing w:before="0" w:after="160" w:line="278" w:lineRule="auto"/>
              <w:jc w:val="center"/>
              <w:rPr>
                <w:lang w:val="en-GB"/>
              </w:rPr>
            </w:pPr>
            <w:r w:rsidRPr="0055431E">
              <w:rPr>
                <w:lang w:val="en-GB"/>
              </w:rPr>
              <w:t>20</w:t>
            </w:r>
          </w:p>
        </w:tc>
        <w:tc>
          <w:tcPr>
            <w:tcW w:w="0" w:type="auto"/>
            <w:hideMark/>
          </w:tcPr>
          <w:p w14:paraId="3428ED07" w14:textId="77777777" w:rsidR="0055431E" w:rsidRPr="0055431E" w:rsidRDefault="0055431E" w:rsidP="0055431E">
            <w:pPr>
              <w:spacing w:before="0" w:after="160" w:line="278" w:lineRule="auto"/>
              <w:jc w:val="center"/>
              <w:rPr>
                <w:lang w:val="en-GB"/>
              </w:rPr>
            </w:pPr>
            <w:r w:rsidRPr="0055431E">
              <w:rPr>
                <w:lang w:val="en-GB"/>
              </w:rPr>
              <w:t>0.7513148009</w:t>
            </w:r>
          </w:p>
        </w:tc>
        <w:tc>
          <w:tcPr>
            <w:tcW w:w="2652" w:type="dxa"/>
            <w:hideMark/>
          </w:tcPr>
          <w:p w14:paraId="2119E935" w14:textId="77777777" w:rsidR="0055431E" w:rsidRPr="0055431E" w:rsidRDefault="0055431E" w:rsidP="0055431E">
            <w:pPr>
              <w:spacing w:before="0" w:after="160" w:line="278" w:lineRule="auto"/>
              <w:jc w:val="center"/>
              <w:rPr>
                <w:lang w:val="en-GB"/>
              </w:rPr>
            </w:pPr>
            <w:r w:rsidRPr="0055431E">
              <w:rPr>
                <w:lang w:val="en-GB"/>
              </w:rPr>
              <w:t>15.02630</w:t>
            </w:r>
          </w:p>
        </w:tc>
      </w:tr>
      <w:tr w:rsidR="0055431E" w:rsidRPr="0055431E" w14:paraId="3DB11144" w14:textId="77777777" w:rsidTr="0055431E">
        <w:trPr>
          <w:jc w:val="center"/>
        </w:trPr>
        <w:tc>
          <w:tcPr>
            <w:tcW w:w="1705" w:type="dxa"/>
            <w:hideMark/>
          </w:tcPr>
          <w:p w14:paraId="7AEF737A" w14:textId="77777777" w:rsidR="0055431E" w:rsidRPr="0055431E" w:rsidRDefault="0055431E" w:rsidP="0055431E">
            <w:pPr>
              <w:spacing w:before="0" w:after="160" w:line="278" w:lineRule="auto"/>
              <w:jc w:val="center"/>
              <w:rPr>
                <w:lang w:val="en-GB"/>
              </w:rPr>
            </w:pPr>
            <w:r w:rsidRPr="0055431E">
              <w:rPr>
                <w:lang w:val="en-GB"/>
              </w:rPr>
              <w:t>4</w:t>
            </w:r>
          </w:p>
        </w:tc>
        <w:tc>
          <w:tcPr>
            <w:tcW w:w="1602" w:type="dxa"/>
            <w:hideMark/>
          </w:tcPr>
          <w:p w14:paraId="4F2E08EE" w14:textId="77777777" w:rsidR="0055431E" w:rsidRPr="0055431E" w:rsidRDefault="0055431E" w:rsidP="0055431E">
            <w:pPr>
              <w:spacing w:before="0" w:after="160" w:line="278" w:lineRule="auto"/>
              <w:jc w:val="center"/>
              <w:rPr>
                <w:lang w:val="en-GB"/>
              </w:rPr>
            </w:pPr>
            <w:r w:rsidRPr="0055431E">
              <w:rPr>
                <w:lang w:val="en-GB"/>
              </w:rPr>
              <w:t>25</w:t>
            </w:r>
          </w:p>
        </w:tc>
        <w:tc>
          <w:tcPr>
            <w:tcW w:w="0" w:type="auto"/>
            <w:hideMark/>
          </w:tcPr>
          <w:p w14:paraId="341964CF" w14:textId="77777777" w:rsidR="0055431E" w:rsidRPr="0055431E" w:rsidRDefault="0055431E" w:rsidP="0055431E">
            <w:pPr>
              <w:spacing w:before="0" w:after="160" w:line="278" w:lineRule="auto"/>
              <w:jc w:val="center"/>
              <w:rPr>
                <w:lang w:val="en-GB"/>
              </w:rPr>
            </w:pPr>
            <w:r w:rsidRPr="0055431E">
              <w:rPr>
                <w:lang w:val="en-GB"/>
              </w:rPr>
              <w:t>0.6830134554</w:t>
            </w:r>
          </w:p>
        </w:tc>
        <w:tc>
          <w:tcPr>
            <w:tcW w:w="2652" w:type="dxa"/>
            <w:hideMark/>
          </w:tcPr>
          <w:p w14:paraId="4D3D2494" w14:textId="77777777" w:rsidR="0055431E" w:rsidRPr="0055431E" w:rsidRDefault="0055431E" w:rsidP="0055431E">
            <w:pPr>
              <w:spacing w:before="0" w:after="160" w:line="278" w:lineRule="auto"/>
              <w:jc w:val="center"/>
              <w:rPr>
                <w:lang w:val="en-GB"/>
              </w:rPr>
            </w:pPr>
            <w:r w:rsidRPr="0055431E">
              <w:rPr>
                <w:lang w:val="en-GB"/>
              </w:rPr>
              <w:t>17.07534</w:t>
            </w:r>
          </w:p>
        </w:tc>
      </w:tr>
      <w:tr w:rsidR="0055431E" w:rsidRPr="0055431E" w14:paraId="21D2466A" w14:textId="77777777" w:rsidTr="0055431E">
        <w:trPr>
          <w:jc w:val="center"/>
        </w:trPr>
        <w:tc>
          <w:tcPr>
            <w:tcW w:w="1705" w:type="dxa"/>
            <w:hideMark/>
          </w:tcPr>
          <w:p w14:paraId="4CF02CD4" w14:textId="77777777" w:rsidR="0055431E" w:rsidRPr="0055431E" w:rsidRDefault="0055431E" w:rsidP="0055431E">
            <w:pPr>
              <w:spacing w:before="0" w:after="160" w:line="278" w:lineRule="auto"/>
              <w:jc w:val="center"/>
              <w:rPr>
                <w:lang w:val="en-GB"/>
              </w:rPr>
            </w:pPr>
            <w:r w:rsidRPr="0055431E">
              <w:rPr>
                <w:lang w:val="en-GB"/>
              </w:rPr>
              <w:t>5</w:t>
            </w:r>
          </w:p>
        </w:tc>
        <w:tc>
          <w:tcPr>
            <w:tcW w:w="1602" w:type="dxa"/>
            <w:hideMark/>
          </w:tcPr>
          <w:p w14:paraId="34F493AA" w14:textId="77777777" w:rsidR="0055431E" w:rsidRPr="0055431E" w:rsidRDefault="0055431E" w:rsidP="0055431E">
            <w:pPr>
              <w:spacing w:before="0" w:after="160" w:line="278" w:lineRule="auto"/>
              <w:jc w:val="center"/>
              <w:rPr>
                <w:lang w:val="en-GB"/>
              </w:rPr>
            </w:pPr>
            <w:r w:rsidRPr="0055431E">
              <w:rPr>
                <w:lang w:val="en-GB"/>
              </w:rPr>
              <w:t>15</w:t>
            </w:r>
          </w:p>
        </w:tc>
        <w:tc>
          <w:tcPr>
            <w:tcW w:w="0" w:type="auto"/>
            <w:hideMark/>
          </w:tcPr>
          <w:p w14:paraId="25D1A1A6" w14:textId="77777777" w:rsidR="0055431E" w:rsidRPr="0055431E" w:rsidRDefault="0055431E" w:rsidP="0055431E">
            <w:pPr>
              <w:spacing w:before="0" w:after="160" w:line="278" w:lineRule="auto"/>
              <w:jc w:val="center"/>
              <w:rPr>
                <w:lang w:val="en-GB"/>
              </w:rPr>
            </w:pPr>
            <w:r w:rsidRPr="0055431E">
              <w:rPr>
                <w:lang w:val="en-GB"/>
              </w:rPr>
              <w:t>0.6209213231</w:t>
            </w:r>
          </w:p>
        </w:tc>
        <w:tc>
          <w:tcPr>
            <w:tcW w:w="2652" w:type="dxa"/>
            <w:hideMark/>
          </w:tcPr>
          <w:p w14:paraId="76331C51" w14:textId="77777777" w:rsidR="0055431E" w:rsidRPr="0055431E" w:rsidRDefault="0055431E" w:rsidP="0055431E">
            <w:pPr>
              <w:spacing w:before="0" w:after="160" w:line="278" w:lineRule="auto"/>
              <w:jc w:val="center"/>
              <w:rPr>
                <w:lang w:val="en-GB"/>
              </w:rPr>
            </w:pPr>
            <w:r w:rsidRPr="0055431E">
              <w:rPr>
                <w:lang w:val="en-GB"/>
              </w:rPr>
              <w:t>9.31382</w:t>
            </w:r>
          </w:p>
        </w:tc>
      </w:tr>
    </w:tbl>
    <w:p w14:paraId="3ED22B49" w14:textId="77777777" w:rsidR="0055431E" w:rsidRDefault="0055431E" w:rsidP="0055431E">
      <w:pPr>
        <w:spacing w:before="0" w:after="160" w:line="278" w:lineRule="auto"/>
        <w:jc w:val="center"/>
      </w:pPr>
    </w:p>
    <w:p w14:paraId="6FED78C0" w14:textId="26D4FB60" w:rsidR="0055431E" w:rsidRPr="0055431E" w:rsidRDefault="0055431E" w:rsidP="0055431E">
      <w:pPr>
        <w:spacing w:line="360" w:lineRule="auto"/>
        <w:jc w:val="center"/>
        <w:rPr>
          <w:rFonts w:eastAsiaTheme="minorEastAsia"/>
        </w:rPr>
      </w:pPr>
      <w:r w:rsidRPr="0055431E">
        <w:rPr>
          <w:rFonts w:eastAsiaTheme="minorEastAsia"/>
        </w:rPr>
        <w:t>PVC​=54.22537</w:t>
      </w:r>
    </w:p>
    <w:p w14:paraId="4AFA7FF8" w14:textId="68D935AF" w:rsidR="00B756C6" w:rsidRDefault="0055431E" w:rsidP="00B756C6">
      <w:pPr>
        <w:spacing w:line="360" w:lineRule="auto"/>
        <w:rPr>
          <w:lang w:val="en-GB"/>
        </w:rPr>
      </w:pPr>
      <m:oMathPara>
        <m:oMath>
          <m:r>
            <w:rPr>
              <w:rFonts w:ascii="Cambria Math" w:hAnsi="Cambria Math"/>
            </w:rPr>
            <m:t>NP</m:t>
          </m:r>
          <m:sSub>
            <m:sSubPr>
              <m:ctrlPr>
                <w:rPr>
                  <w:rFonts w:ascii="Cambria Math" w:hAnsi="Cambria Math"/>
                </w:rPr>
              </m:ctrlPr>
            </m:sSubPr>
            <m:e>
              <m:r>
                <w:rPr>
                  <w:rFonts w:ascii="Cambria Math" w:hAnsi="Cambria Math"/>
                </w:rPr>
                <m:t>V</m:t>
              </m:r>
            </m:e>
            <m:sub>
              <m:r>
                <w:rPr>
                  <w:rFonts w:ascii="Cambria Math" w:hAnsi="Cambria Math"/>
                </w:rPr>
                <m:t>C</m:t>
              </m:r>
            </m:sub>
          </m:sSub>
          <m:r>
            <w:rPr>
              <w:rFonts w:ascii="Cambria Math" w:hAnsi="Cambria Math"/>
            </w:rPr>
            <m:t>=54.22537-50=+</m:t>
          </m:r>
          <m:r>
            <m:rPr>
              <m:sty m:val="b"/>
            </m:rPr>
            <w:rPr>
              <w:rFonts w:ascii="Cambria Math" w:hAnsi="Cambria Math"/>
            </w:rPr>
            <m:t>4.22537</m:t>
          </m:r>
          <m:r>
            <m:rPr>
              <m:nor/>
            </m:rPr>
            <m:t xml:space="preserve"> million</m:t>
          </m:r>
          <m:r>
            <m:rPr>
              <m:sty m:val="p"/>
            </m:rPr>
            <w:br/>
          </m:r>
        </m:oMath>
      </m:oMathPara>
    </w:p>
    <w:p w14:paraId="2E3F95E2" w14:textId="77777777" w:rsidR="0055431E" w:rsidRPr="0055431E" w:rsidRDefault="0055431E" w:rsidP="0055431E">
      <w:pPr>
        <w:spacing w:line="360" w:lineRule="auto"/>
        <w:rPr>
          <w:b/>
          <w:bCs/>
          <w:lang w:val="en-GB"/>
        </w:rPr>
      </w:pPr>
      <w:r w:rsidRPr="0055431E">
        <w:rPr>
          <w:b/>
          <w:bCs/>
          <w:lang w:val="en-GB"/>
        </w:rPr>
        <w:t>C6. Profitability Index (PI)</w:t>
      </w:r>
    </w:p>
    <w:p w14:paraId="5865CF6C" w14:textId="44991F24" w:rsidR="0055431E" w:rsidRPr="0055431E" w:rsidRDefault="0055431E" w:rsidP="0055431E">
      <w:pPr>
        <w:spacing w:line="360" w:lineRule="auto"/>
        <w:rPr>
          <w:lang w:val="en-GB"/>
        </w:rPr>
      </w:pPr>
      <m:oMathPara>
        <m:oMath>
          <m:r>
            <w:rPr>
              <w:rFonts w:ascii="Cambria Math" w:hAnsi="Cambria Math"/>
              <w:lang w:val="en-GB"/>
            </w:rPr>
            <m:t>PI=</m:t>
          </m:r>
          <m:f>
            <m:fPr>
              <m:ctrlPr>
                <w:rPr>
                  <w:rFonts w:ascii="Cambria Math" w:hAnsi="Cambria Math"/>
                  <w:lang w:val="en-GB"/>
                </w:rPr>
              </m:ctrlPr>
            </m:fPr>
            <m:num>
              <m:r>
                <m:rPr>
                  <m:nor/>
                </m:rPr>
                <w:rPr>
                  <w:lang w:val="en-GB"/>
                </w:rPr>
                <m:t>PV of inflows</m:t>
              </m:r>
            </m:num>
            <m:den>
              <m:r>
                <m:rPr>
                  <m:nor/>
                </m:rPr>
                <w:rPr>
                  <w:lang w:val="en-GB"/>
                </w:rPr>
                <m:t>Initial Investment</m:t>
              </m:r>
            </m:den>
          </m:f>
          <m:r>
            <m:rPr>
              <m:sty m:val="p"/>
            </m:rPr>
            <w:rPr>
              <w:lang w:val="en-GB"/>
            </w:rPr>
            <w:br/>
          </m:r>
        </m:oMath>
      </m:oMathPara>
    </w:p>
    <w:p w14:paraId="54D357A5" w14:textId="428817A8" w:rsidR="0055431E" w:rsidRPr="0055431E" w:rsidRDefault="0055431E" w:rsidP="0055431E">
      <w:pPr>
        <w:numPr>
          <w:ilvl w:val="0"/>
          <w:numId w:val="27"/>
        </w:numPr>
        <w:spacing w:line="360" w:lineRule="auto"/>
        <w:rPr>
          <w:lang w:val="en-GB"/>
        </w:rPr>
      </w:pPr>
      <m:oMath>
        <m:r>
          <w:rPr>
            <w:rFonts w:ascii="Cambria Math" w:hAnsi="Cambria Math"/>
            <w:lang w:val="en-GB"/>
          </w:rPr>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A</m:t>
            </m:r>
          </m:sub>
        </m:sSub>
        <m:r>
          <w:rPr>
            <w:rFonts w:ascii="Cambria Math" w:hAnsi="Cambria Math"/>
            <w:lang w:val="en-GB"/>
          </w:rPr>
          <m:t>=41.32418÷40=</m:t>
        </m:r>
        <m:r>
          <m:rPr>
            <m:sty m:val="b"/>
          </m:rPr>
          <w:rPr>
            <w:rFonts w:ascii="Cambria Math" w:hAnsi="Cambria Math"/>
            <w:lang w:val="en-GB"/>
          </w:rPr>
          <m:t>1.0331</m:t>
        </m:r>
      </m:oMath>
    </w:p>
    <w:p w14:paraId="4AD646FB" w14:textId="1475485E" w:rsidR="0055431E" w:rsidRPr="0055431E" w:rsidRDefault="0055431E" w:rsidP="0055431E">
      <w:pPr>
        <w:numPr>
          <w:ilvl w:val="0"/>
          <w:numId w:val="27"/>
        </w:numPr>
        <w:spacing w:line="360" w:lineRule="auto"/>
        <w:rPr>
          <w:lang w:val="en-GB"/>
        </w:rPr>
      </w:pPr>
      <m:oMath>
        <m:r>
          <w:rPr>
            <w:rFonts w:ascii="Cambria Math" w:hAnsi="Cambria Math"/>
            <w:lang w:val="en-GB"/>
          </w:rPr>
          <w:lastRenderedPageBreak/>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B</m:t>
            </m:r>
          </m:sub>
        </m:sSub>
        <m:r>
          <w:rPr>
            <w:rFonts w:ascii="Cambria Math" w:hAnsi="Cambria Math"/>
            <w:lang w:val="en-GB"/>
          </w:rPr>
          <m:t>=22.74472÷30=</m:t>
        </m:r>
        <m:r>
          <m:rPr>
            <m:sty m:val="b"/>
          </m:rPr>
          <w:rPr>
            <w:rFonts w:ascii="Cambria Math" w:hAnsi="Cambria Math"/>
            <w:lang w:val="en-GB"/>
          </w:rPr>
          <m:t>0.7582</m:t>
        </m:r>
      </m:oMath>
    </w:p>
    <w:p w14:paraId="196DF68F" w14:textId="3CCF3187" w:rsidR="0055431E" w:rsidRPr="0055431E" w:rsidRDefault="0055431E" w:rsidP="0055431E">
      <w:pPr>
        <w:numPr>
          <w:ilvl w:val="0"/>
          <w:numId w:val="27"/>
        </w:numPr>
        <w:spacing w:line="360" w:lineRule="auto"/>
        <w:rPr>
          <w:lang w:val="en-GB"/>
        </w:rPr>
      </w:pPr>
      <m:oMath>
        <m:r>
          <w:rPr>
            <w:rFonts w:ascii="Cambria Math" w:hAnsi="Cambria Math"/>
            <w:lang w:val="en-GB"/>
          </w:rPr>
          <m:t>P</m:t>
        </m:r>
        <m:sSub>
          <m:sSubPr>
            <m:ctrlPr>
              <w:rPr>
                <w:rFonts w:ascii="Cambria Math" w:hAnsi="Cambria Math"/>
                <w:lang w:val="en-GB"/>
              </w:rPr>
            </m:ctrlPr>
          </m:sSubPr>
          <m:e>
            <m:r>
              <w:rPr>
                <w:rFonts w:ascii="Cambria Math" w:hAnsi="Cambria Math"/>
                <w:lang w:val="en-GB"/>
              </w:rPr>
              <m:t>I</m:t>
            </m:r>
          </m:e>
          <m:sub>
            <m:r>
              <w:rPr>
                <w:rFonts w:ascii="Cambria Math" w:hAnsi="Cambria Math"/>
                <w:lang w:val="en-GB"/>
              </w:rPr>
              <m:t>C</m:t>
            </m:r>
          </m:sub>
        </m:sSub>
        <m:r>
          <w:rPr>
            <w:rFonts w:ascii="Cambria Math" w:hAnsi="Cambria Math"/>
            <w:lang w:val="en-GB"/>
          </w:rPr>
          <m:t>=54.22537÷50=</m:t>
        </m:r>
        <m:r>
          <m:rPr>
            <m:sty m:val="b"/>
          </m:rPr>
          <w:rPr>
            <w:rFonts w:ascii="Cambria Math" w:hAnsi="Cambria Math"/>
            <w:lang w:val="en-GB"/>
          </w:rPr>
          <m:t>1.0845</m:t>
        </m:r>
      </m:oMath>
    </w:p>
    <w:p w14:paraId="53F7B6DB" w14:textId="77777777" w:rsidR="0055431E" w:rsidRDefault="0055431E" w:rsidP="0055431E">
      <w:pPr>
        <w:pStyle w:val="Heading1"/>
      </w:pPr>
      <w:r>
        <w:rPr>
          <w:rStyle w:val="Strong"/>
          <w:b/>
          <w:bCs w:val="0"/>
        </w:rPr>
        <w:t>C7. Accounting Rate of Return (ARR)</w:t>
      </w:r>
    </w:p>
    <w:p w14:paraId="612ED8E8" w14:textId="77777777" w:rsidR="0055431E" w:rsidRDefault="0055431E" w:rsidP="0055431E">
      <m:oMathPara>
        <m:oMath>
          <m:r>
            <w:rPr>
              <w:rFonts w:ascii="Cambria Math" w:hAnsi="Cambria Math"/>
            </w:rPr>
            <m:t>ARR=(</m:t>
          </m:r>
          <m:f>
            <m:fPr>
              <m:ctrlPr>
                <w:rPr>
                  <w:rFonts w:ascii="Cambria Math" w:hAnsi="Cambria Math"/>
                </w:rPr>
              </m:ctrlPr>
            </m:fPr>
            <m:num>
              <m:r>
                <m:rPr>
                  <m:nor/>
                </m:rPr>
                <m:t>Average Profit</m:t>
              </m:r>
            </m:num>
            <m:den>
              <m:r>
                <m:rPr>
                  <m:nor/>
                </m:rPr>
                <m:t>Initial Investment</m:t>
              </m:r>
            </m:den>
          </m:f>
          <m:r>
            <w:rPr>
              <w:rFonts w:ascii="Cambria Math" w:hAnsi="Cambria Math"/>
            </w:rPr>
            <m:t>)×100</m:t>
          </m:r>
          <m:r>
            <m:rPr>
              <m:sty m:val="p"/>
            </m:rPr>
            <w:rPr>
              <w:rFonts w:ascii="Cambria Math" w:hAnsi="Cambria Math"/>
            </w:rPr>
            <w:br/>
          </m:r>
        </m:oMath>
      </m:oMathPara>
    </w:p>
    <w:p w14:paraId="5D4424F4" w14:textId="77777777" w:rsidR="0055431E" w:rsidRDefault="0055431E" w:rsidP="0055431E">
      <w:pPr>
        <w:pStyle w:val="NormalWeb"/>
        <w:spacing w:line="360" w:lineRule="auto"/>
      </w:pPr>
      <w:r>
        <w:rPr>
          <w:rStyle w:val="Strong"/>
        </w:rPr>
        <w:t>Project A</w:t>
      </w:r>
      <w:r>
        <w:br/>
        <w:t>Depreciation = 40 ÷ 5 = 8</w:t>
      </w:r>
      <w:r>
        <w:br/>
      </w:r>
      <w:proofErr w:type="spellStart"/>
      <w:r>
        <w:t>Avg</w:t>
      </w:r>
      <w:proofErr w:type="spellEnd"/>
      <w:r>
        <w:t xml:space="preserve"> inflow = (10+12+14+10+8)/5 = 10.8</w:t>
      </w:r>
      <w:r>
        <w:br/>
      </w:r>
      <w:proofErr w:type="spellStart"/>
      <w:r>
        <w:t>Avg</w:t>
      </w:r>
      <w:proofErr w:type="spellEnd"/>
      <w:r>
        <w:t xml:space="preserve"> profit = 10.8 − 8 = 2.8</w:t>
      </w:r>
      <w:r>
        <w:br/>
        <w:t xml:space="preserve">ARR = 2.8 ÷ 40 × 100 = </w:t>
      </w:r>
      <w:r>
        <w:rPr>
          <w:rStyle w:val="Strong"/>
        </w:rPr>
        <w:t>7.0%</w:t>
      </w:r>
    </w:p>
    <w:p w14:paraId="1A4A9B54" w14:textId="77777777" w:rsidR="0055431E" w:rsidRDefault="0055431E" w:rsidP="0055431E">
      <w:pPr>
        <w:pStyle w:val="NormalWeb"/>
        <w:spacing w:line="360" w:lineRule="auto"/>
      </w:pPr>
      <w:r>
        <w:rPr>
          <w:rStyle w:val="Strong"/>
        </w:rPr>
        <w:t>Project B</w:t>
      </w:r>
      <w:r>
        <w:br/>
        <w:t>Depreciation = 30 ÷ 5 = 6</w:t>
      </w:r>
      <w:r>
        <w:br/>
      </w:r>
      <w:proofErr w:type="spellStart"/>
      <w:r>
        <w:t>Avg</w:t>
      </w:r>
      <w:proofErr w:type="spellEnd"/>
      <w:r>
        <w:t xml:space="preserve"> inflow = 6</w:t>
      </w:r>
      <w:r>
        <w:br/>
      </w:r>
      <w:proofErr w:type="spellStart"/>
      <w:r>
        <w:t>Avg</w:t>
      </w:r>
      <w:proofErr w:type="spellEnd"/>
      <w:r>
        <w:t xml:space="preserve"> profit = 6 − 6 = 0</w:t>
      </w:r>
      <w:r>
        <w:br/>
        <w:t xml:space="preserve">ARR = 0 ÷ 30 = </w:t>
      </w:r>
      <w:r>
        <w:rPr>
          <w:rStyle w:val="Strong"/>
        </w:rPr>
        <w:t>0.0%</w:t>
      </w:r>
    </w:p>
    <w:p w14:paraId="3B35B491" w14:textId="77777777" w:rsidR="0055431E" w:rsidRDefault="0055431E" w:rsidP="0055431E">
      <w:pPr>
        <w:pStyle w:val="NormalWeb"/>
        <w:spacing w:line="360" w:lineRule="auto"/>
      </w:pPr>
      <w:r>
        <w:rPr>
          <w:rStyle w:val="Strong"/>
        </w:rPr>
        <w:t>Project C</w:t>
      </w:r>
      <w:r>
        <w:br/>
        <w:t>Depreciation = 50 ÷ 5 = 10</w:t>
      </w:r>
      <w:r>
        <w:br/>
      </w:r>
      <w:proofErr w:type="spellStart"/>
      <w:r>
        <w:t>Avg</w:t>
      </w:r>
      <w:proofErr w:type="spellEnd"/>
      <w:r>
        <w:t xml:space="preserve"> inflow = 15</w:t>
      </w:r>
      <w:r>
        <w:br/>
      </w:r>
      <w:proofErr w:type="spellStart"/>
      <w:r>
        <w:t>Avg</w:t>
      </w:r>
      <w:proofErr w:type="spellEnd"/>
      <w:r>
        <w:t xml:space="preserve"> profit = 15 − 10 = 5</w:t>
      </w:r>
      <w:r>
        <w:br/>
        <w:t xml:space="preserve">ARR = 5 ÷ 50 × 100 = </w:t>
      </w:r>
      <w:r>
        <w:rPr>
          <w:rStyle w:val="Strong"/>
        </w:rPr>
        <w:t>10.0%</w:t>
      </w:r>
    </w:p>
    <w:p w14:paraId="1E16D0F4" w14:textId="77777777" w:rsidR="0055431E" w:rsidRPr="0055431E" w:rsidRDefault="0055431E" w:rsidP="0055431E">
      <w:pPr>
        <w:rPr>
          <w:b/>
          <w:bCs/>
          <w:lang w:val="en-GB"/>
        </w:rPr>
      </w:pPr>
      <w:r w:rsidRPr="0055431E">
        <w:rPr>
          <w:b/>
          <w:bCs/>
          <w:lang w:val="en-GB"/>
        </w:rPr>
        <w:t>C8. Internal Rate of Return (IRR) Workings (Interpolation)</w:t>
      </w:r>
    </w:p>
    <w:p w14:paraId="6C5AED5D" w14:textId="77777777" w:rsidR="0055431E" w:rsidRPr="0055431E" w:rsidRDefault="0055431E" w:rsidP="0055431E">
      <w:pPr>
        <w:rPr>
          <w:b/>
          <w:bCs/>
          <w:lang w:val="en-GB"/>
        </w:rPr>
      </w:pPr>
      <w:r w:rsidRPr="0055431E">
        <w:rPr>
          <w:b/>
          <w:bCs/>
          <w:lang w:val="en-GB"/>
        </w:rPr>
        <w:t>Formula</w:t>
      </w:r>
    </w:p>
    <w:p w14:paraId="5B7721EA" w14:textId="77777777" w:rsidR="0055431E" w:rsidRPr="0055431E" w:rsidRDefault="0055431E" w:rsidP="0055431E">
      <w:pPr>
        <w:rPr>
          <w:b/>
          <w:bCs/>
        </w:rPr>
      </w:pPr>
      <m:oMathPara>
        <m:oMath>
          <m:r>
            <w:rPr>
              <w:rFonts w:ascii="Cambria Math" w:hAnsi="Cambria Math"/>
              <w:lang w:val="en-GB"/>
            </w:rPr>
            <m:t>IRR≈</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1</m:t>
              </m:r>
            </m:sub>
          </m:sSub>
          <m:r>
            <w:rPr>
              <w:rFonts w:ascii="Cambria Math" w:hAnsi="Cambria Math"/>
              <w:lang w:val="en-GB"/>
            </w:rPr>
            <m:t>+(</m:t>
          </m:r>
          <m:f>
            <m:fPr>
              <m:ctrlPr>
                <w:rPr>
                  <w:rFonts w:ascii="Cambria Math" w:hAnsi="Cambria Math"/>
                  <w:lang w:val="en-GB"/>
                </w:rPr>
              </m:ctrlPr>
            </m:fPr>
            <m:num>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r1</m:t>
                  </m:r>
                </m:sub>
              </m:sSub>
            </m:num>
            <m:den>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r1</m:t>
                  </m:r>
                </m:sub>
              </m:sSub>
              <m:r>
                <w:rPr>
                  <w:rFonts w:ascii="Cambria Math" w:hAnsi="Cambria Math"/>
                  <w:lang w:val="en-GB"/>
                </w:rPr>
                <m:t>-NP</m:t>
              </m:r>
              <m:sSub>
                <m:sSubPr>
                  <m:ctrlPr>
                    <w:rPr>
                      <w:rFonts w:ascii="Cambria Math" w:hAnsi="Cambria Math"/>
                      <w:lang w:val="en-GB"/>
                    </w:rPr>
                  </m:ctrlPr>
                </m:sSubPr>
                <m:e>
                  <m:r>
                    <w:rPr>
                      <w:rFonts w:ascii="Cambria Math" w:hAnsi="Cambria Math"/>
                      <w:lang w:val="en-GB"/>
                    </w:rPr>
                    <m:t>V</m:t>
                  </m:r>
                </m:e>
                <m:sub>
                  <m:r>
                    <w:rPr>
                      <w:rFonts w:ascii="Cambria Math" w:hAnsi="Cambria Math"/>
                      <w:lang w:val="en-GB"/>
                    </w:rPr>
                    <m:t>r2</m:t>
                  </m:r>
                </m:sub>
              </m:sSub>
            </m:den>
          </m:f>
          <m:r>
            <w:rPr>
              <w:rFonts w:ascii="Cambria Math" w:hAnsi="Cambria Math"/>
              <w:lang w:val="en-GB"/>
            </w:rPr>
            <m:t>)(</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2</m:t>
              </m:r>
            </m:sub>
          </m:sSub>
          <m:r>
            <w:rPr>
              <w:rFonts w:ascii="Cambria Math" w:hAnsi="Cambria Math"/>
              <w:lang w:val="en-GB"/>
            </w:rPr>
            <m:t>-</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1</m:t>
              </m:r>
            </m:sub>
          </m:sSub>
          <m:r>
            <w:rPr>
              <w:rFonts w:ascii="Cambria Math" w:hAnsi="Cambria Math"/>
              <w:lang w:val="en-GB"/>
            </w:rPr>
            <m:t>)</m:t>
          </m:r>
          <m:r>
            <m:rPr>
              <m:sty m:val="p"/>
            </m:rPr>
            <w:rPr>
              <w:lang w:val="en-GB"/>
            </w:rPr>
            <w:br/>
          </m:r>
        </m:oMath>
      </m:oMathPara>
      <w:r w:rsidRPr="0055431E">
        <w:rPr>
          <w:b/>
          <w:bCs/>
        </w:rPr>
        <w:t xml:space="preserve">Project </w:t>
      </w:r>
      <w:proofErr w:type="gramStart"/>
      <w:r w:rsidRPr="0055431E">
        <w:rPr>
          <w:b/>
          <w:bCs/>
        </w:rPr>
        <w:t>A</w:t>
      </w:r>
      <w:proofErr w:type="gramEnd"/>
      <w:r w:rsidRPr="0055431E">
        <w:rPr>
          <w:b/>
          <w:bCs/>
        </w:rPr>
        <w:t xml:space="preserve"> IRR</w:t>
      </w:r>
    </w:p>
    <w:p w14:paraId="045CF484" w14:textId="77777777" w:rsidR="0055431E" w:rsidRPr="0055431E" w:rsidRDefault="0055431E" w:rsidP="0055431E">
      <w:pPr>
        <w:numPr>
          <w:ilvl w:val="0"/>
          <w:numId w:val="28"/>
        </w:numPr>
        <w:rPr>
          <w:lang w:val="en-GB"/>
        </w:rPr>
      </w:pPr>
      <w:r w:rsidRPr="0055431E">
        <w:rPr>
          <w:lang w:val="en-GB"/>
        </w:rPr>
        <w:t>NPV @10% = +1.32418</w:t>
      </w:r>
    </w:p>
    <w:p w14:paraId="7D1D0BA5" w14:textId="77777777" w:rsidR="0055431E" w:rsidRPr="0055431E" w:rsidRDefault="0055431E" w:rsidP="0055431E">
      <w:pPr>
        <w:numPr>
          <w:ilvl w:val="0"/>
          <w:numId w:val="28"/>
        </w:numPr>
        <w:rPr>
          <w:lang w:val="en-GB"/>
        </w:rPr>
      </w:pPr>
      <w:r w:rsidRPr="0055431E">
        <w:rPr>
          <w:lang w:val="en-GB"/>
        </w:rPr>
        <w:t>NPV @15% = −3.32975</w:t>
      </w:r>
    </w:p>
    <w:p w14:paraId="5E54B2C6" w14:textId="7028B0AF" w:rsidR="0055431E" w:rsidRPr="0055431E" w:rsidRDefault="0055431E" w:rsidP="0055431E">
      <w:pPr>
        <w:rPr>
          <w:lang w:val="en-GB"/>
        </w:rPr>
      </w:pPr>
      <m:oMathPara>
        <m:oMath>
          <m:r>
            <w:rPr>
              <w:rFonts w:ascii="Cambria Math" w:hAnsi="Cambria Math"/>
              <w:lang w:val="en-GB"/>
            </w:rPr>
            <w:lastRenderedPageBreak/>
            <m:t>IRR=10+(</m:t>
          </m:r>
          <m:f>
            <m:fPr>
              <m:ctrlPr>
                <w:rPr>
                  <w:rFonts w:ascii="Cambria Math" w:hAnsi="Cambria Math"/>
                  <w:lang w:val="en-GB"/>
                </w:rPr>
              </m:ctrlPr>
            </m:fPr>
            <m:num>
              <m:r>
                <w:rPr>
                  <w:rFonts w:ascii="Cambria Math" w:hAnsi="Cambria Math"/>
                  <w:lang w:val="en-GB"/>
                </w:rPr>
                <m:t>1.32418</m:t>
              </m:r>
            </m:num>
            <m:den>
              <m:r>
                <w:rPr>
                  <w:rFonts w:ascii="Cambria Math" w:hAnsi="Cambria Math"/>
                  <w:lang w:val="en-GB"/>
                </w:rPr>
                <m:t>1.32418-(-3.32975)</m:t>
              </m:r>
            </m:den>
          </m:f>
          <m:r>
            <w:rPr>
              <w:rFonts w:ascii="Cambria Math" w:hAnsi="Cambria Math"/>
              <w:lang w:val="en-GB"/>
            </w:rPr>
            <m:t>)(5)</m:t>
          </m:r>
          <m:r>
            <m:rPr>
              <m:sty m:val="p"/>
            </m:rPr>
            <w:rPr>
              <w:lang w:val="en-GB"/>
            </w:rPr>
            <w:br/>
          </m:r>
        </m:oMath>
      </m:oMathPara>
    </w:p>
    <w:p w14:paraId="725B3D41" w14:textId="77777777" w:rsidR="0055431E" w:rsidRPr="0055431E" w:rsidRDefault="0055431E" w:rsidP="0055431E">
      <w:pPr>
        <w:spacing w:line="360" w:lineRule="auto"/>
        <w:jc w:val="left"/>
        <w:rPr>
          <w:lang w:val="en-GB"/>
        </w:rPr>
      </w:pPr>
      <w:r w:rsidRPr="0055431E">
        <w:rPr>
          <w:lang w:val="en-GB"/>
        </w:rPr>
        <w:t>Denominator = 4.65393</w:t>
      </w:r>
      <w:r w:rsidRPr="0055431E">
        <w:rPr>
          <w:lang w:val="en-GB"/>
        </w:rPr>
        <w:br/>
        <w:t>Fraction = 1.32418 ÷ 4.65393 = 0.2845</w:t>
      </w:r>
      <w:r w:rsidRPr="0055431E">
        <w:rPr>
          <w:lang w:val="en-GB"/>
        </w:rPr>
        <w:br/>
        <w:t>Multiply = 0.2845 × 5 = 1.4225</w:t>
      </w:r>
    </w:p>
    <w:p w14:paraId="20F04B04" w14:textId="77777777" w:rsidR="00273893" w:rsidRPr="00273893" w:rsidRDefault="0073072E" w:rsidP="00273893">
      <w:pPr>
        <w:rPr>
          <w:b/>
          <w:bCs/>
        </w:rPr>
      </w:pPr>
      <m:oMathPara>
        <m:oMath>
          <m:borderBox>
            <m:borderBoxPr>
              <m:ctrlPr>
                <w:rPr>
                  <w:rFonts w:ascii="Cambria Math" w:hAnsi="Cambria Math"/>
                  <w:lang w:val="en-GB"/>
                </w:rPr>
              </m:ctrlPr>
            </m:borderBoxPr>
            <m:e>
              <m:r>
                <w:rPr>
                  <w:rFonts w:ascii="Cambria Math" w:hAnsi="Cambria Math"/>
                  <w:lang w:val="en-GB"/>
                </w:rPr>
                <m:t>IR</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A</m:t>
                  </m:r>
                </m:sub>
              </m:sSub>
              <m:r>
                <w:rPr>
                  <w:rFonts w:ascii="Cambria Math" w:hAnsi="Cambria Math"/>
                  <w:lang w:val="en-GB"/>
                </w:rPr>
                <m:t>=11.42</m:t>
              </m:r>
              <m:r>
                <m:rPr>
                  <m:sty m:val="p"/>
                </m:rPr>
                <w:rPr>
                  <w:rFonts w:ascii="Cambria Math" w:hAnsi="Cambria Math"/>
                  <w:lang w:val="en-GB"/>
                </w:rPr>
                <m:t>%</m:t>
              </m:r>
            </m:e>
          </m:borderBox>
          <m:r>
            <m:rPr>
              <m:sty m:val="p"/>
            </m:rPr>
            <w:rPr>
              <w:lang w:val="en-GB"/>
            </w:rPr>
            <w:br/>
          </m:r>
        </m:oMath>
      </m:oMathPara>
      <w:r w:rsidR="00273893" w:rsidRPr="00273893">
        <w:rPr>
          <w:b/>
          <w:bCs/>
        </w:rPr>
        <w:t>Project B IRR</w:t>
      </w:r>
    </w:p>
    <w:p w14:paraId="3D7AA135" w14:textId="77777777" w:rsidR="00273893" w:rsidRPr="00273893" w:rsidRDefault="00273893" w:rsidP="00273893">
      <w:pPr>
        <w:rPr>
          <w:lang w:val="en-GB"/>
        </w:rPr>
      </w:pPr>
      <w:r w:rsidRPr="00273893">
        <w:rPr>
          <w:lang w:val="en-GB"/>
        </w:rPr>
        <w:t>At 0% discount rate: PV inflows = 6+6+6+6+6 = 30 → NPV = 0</w:t>
      </w:r>
    </w:p>
    <w:p w14:paraId="50A59BDA" w14:textId="77777777" w:rsidR="00273893" w:rsidRPr="00273893" w:rsidRDefault="0073072E" w:rsidP="00273893">
      <w:pPr>
        <w:rPr>
          <w:b/>
          <w:bCs/>
        </w:rPr>
      </w:pPr>
      <m:oMathPara>
        <m:oMath>
          <m:borderBox>
            <m:borderBoxPr>
              <m:ctrlPr>
                <w:rPr>
                  <w:rFonts w:ascii="Cambria Math" w:hAnsi="Cambria Math"/>
                  <w:lang w:val="en-GB"/>
                </w:rPr>
              </m:ctrlPr>
            </m:borderBoxPr>
            <m:e>
              <m:r>
                <w:rPr>
                  <w:rFonts w:ascii="Cambria Math" w:hAnsi="Cambria Math"/>
                  <w:lang w:val="en-GB"/>
                </w:rPr>
                <m:t>IR</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B</m:t>
                  </m:r>
                </m:sub>
              </m:sSub>
              <m:r>
                <w:rPr>
                  <w:rFonts w:ascii="Cambria Math" w:hAnsi="Cambria Math"/>
                  <w:lang w:val="en-GB"/>
                </w:rPr>
                <m:t>=0</m:t>
              </m:r>
              <m:r>
                <m:rPr>
                  <m:sty m:val="p"/>
                </m:rPr>
                <w:rPr>
                  <w:rFonts w:ascii="Cambria Math" w:hAnsi="Cambria Math"/>
                  <w:lang w:val="en-GB"/>
                </w:rPr>
                <m:t>%</m:t>
              </m:r>
            </m:e>
          </m:borderBox>
          <m:r>
            <m:rPr>
              <m:sty m:val="p"/>
            </m:rPr>
            <w:rPr>
              <w:lang w:val="en-GB"/>
            </w:rPr>
            <w:br/>
          </m:r>
        </m:oMath>
      </m:oMathPara>
      <w:r w:rsidR="00273893" w:rsidRPr="00273893">
        <w:rPr>
          <w:b/>
          <w:bCs/>
        </w:rPr>
        <w:t>Project C IRR</w:t>
      </w:r>
    </w:p>
    <w:p w14:paraId="7C58CEDC" w14:textId="77777777" w:rsidR="00273893" w:rsidRPr="00273893" w:rsidRDefault="00273893" w:rsidP="00273893">
      <w:pPr>
        <w:numPr>
          <w:ilvl w:val="0"/>
          <w:numId w:val="29"/>
        </w:numPr>
        <w:rPr>
          <w:lang w:val="en-GB"/>
        </w:rPr>
      </w:pPr>
      <w:r w:rsidRPr="00273893">
        <w:rPr>
          <w:lang w:val="en-GB"/>
        </w:rPr>
        <w:t>NPV @10% = +4.22537</w:t>
      </w:r>
    </w:p>
    <w:p w14:paraId="7604D7DD" w14:textId="77777777" w:rsidR="00273893" w:rsidRPr="00273893" w:rsidRDefault="00273893" w:rsidP="00273893">
      <w:pPr>
        <w:numPr>
          <w:ilvl w:val="0"/>
          <w:numId w:val="29"/>
        </w:numPr>
        <w:rPr>
          <w:lang w:val="en-GB"/>
        </w:rPr>
      </w:pPr>
      <w:r w:rsidRPr="00273893">
        <w:rPr>
          <w:lang w:val="en-GB"/>
        </w:rPr>
        <w:t>NPV @20% = −9.23032</w:t>
      </w:r>
    </w:p>
    <w:p w14:paraId="32DA228F" w14:textId="6F9D28F3" w:rsidR="00273893" w:rsidRPr="00273893" w:rsidRDefault="00273893" w:rsidP="00273893">
      <w:pPr>
        <w:rPr>
          <w:lang w:val="en-GB"/>
        </w:rPr>
      </w:pPr>
      <m:oMathPara>
        <m:oMath>
          <m:r>
            <w:rPr>
              <w:rFonts w:ascii="Cambria Math" w:hAnsi="Cambria Math"/>
              <w:lang w:val="en-GB"/>
            </w:rPr>
            <m:t>IRR=10+(</m:t>
          </m:r>
          <m:f>
            <m:fPr>
              <m:ctrlPr>
                <w:rPr>
                  <w:rFonts w:ascii="Cambria Math" w:hAnsi="Cambria Math"/>
                  <w:lang w:val="en-GB"/>
                </w:rPr>
              </m:ctrlPr>
            </m:fPr>
            <m:num>
              <m:r>
                <w:rPr>
                  <w:rFonts w:ascii="Cambria Math" w:hAnsi="Cambria Math"/>
                  <w:lang w:val="en-GB"/>
                </w:rPr>
                <m:t>4.22537</m:t>
              </m:r>
            </m:num>
            <m:den>
              <m:r>
                <w:rPr>
                  <w:rFonts w:ascii="Cambria Math" w:hAnsi="Cambria Math"/>
                  <w:lang w:val="en-GB"/>
                </w:rPr>
                <m:t>4.22537-(-9.23032)</m:t>
              </m:r>
            </m:den>
          </m:f>
          <m:r>
            <w:rPr>
              <w:rFonts w:ascii="Cambria Math" w:hAnsi="Cambria Math"/>
              <w:lang w:val="en-GB"/>
            </w:rPr>
            <m:t>)(10)</m:t>
          </m:r>
          <m:r>
            <m:rPr>
              <m:sty m:val="p"/>
            </m:rPr>
            <w:rPr>
              <w:lang w:val="en-GB"/>
            </w:rPr>
            <w:br/>
          </m:r>
        </m:oMath>
      </m:oMathPara>
    </w:p>
    <w:p w14:paraId="756CA9BA" w14:textId="77777777" w:rsidR="00273893" w:rsidRPr="00273893" w:rsidRDefault="00273893" w:rsidP="00273893">
      <w:pPr>
        <w:jc w:val="left"/>
        <w:rPr>
          <w:lang w:val="en-GB"/>
        </w:rPr>
      </w:pPr>
      <w:r w:rsidRPr="00273893">
        <w:rPr>
          <w:lang w:val="en-GB"/>
        </w:rPr>
        <w:t>Denominator = 13.45569</w:t>
      </w:r>
      <w:r w:rsidRPr="00273893">
        <w:rPr>
          <w:lang w:val="en-GB"/>
        </w:rPr>
        <w:br/>
        <w:t>Fraction = 4.22537 ÷ 13.45569 = 0.3141</w:t>
      </w:r>
      <w:r w:rsidRPr="00273893">
        <w:rPr>
          <w:lang w:val="en-GB"/>
        </w:rPr>
        <w:br/>
        <w:t>Multiply = 0.3141 × 10 = 3.141</w:t>
      </w:r>
    </w:p>
    <w:p w14:paraId="109E07CE" w14:textId="77777777" w:rsidR="00273893" w:rsidRPr="00273893" w:rsidRDefault="0073072E" w:rsidP="00273893">
      <w:pPr>
        <w:rPr>
          <w:b/>
          <w:bCs/>
        </w:rPr>
      </w:pPr>
      <m:oMathPara>
        <m:oMath>
          <m:borderBox>
            <m:borderBoxPr>
              <m:ctrlPr>
                <w:rPr>
                  <w:rFonts w:ascii="Cambria Math" w:hAnsi="Cambria Math"/>
                  <w:lang w:val="en-GB"/>
                </w:rPr>
              </m:ctrlPr>
            </m:borderBoxPr>
            <m:e>
              <m:r>
                <w:rPr>
                  <w:rFonts w:ascii="Cambria Math" w:hAnsi="Cambria Math"/>
                  <w:lang w:val="en-GB"/>
                </w:rPr>
                <m:t>IR</m:t>
              </m:r>
              <m:sSub>
                <m:sSubPr>
                  <m:ctrlPr>
                    <w:rPr>
                      <w:rFonts w:ascii="Cambria Math" w:hAnsi="Cambria Math"/>
                      <w:lang w:val="en-GB"/>
                    </w:rPr>
                  </m:ctrlPr>
                </m:sSubPr>
                <m:e>
                  <m:r>
                    <w:rPr>
                      <w:rFonts w:ascii="Cambria Math" w:hAnsi="Cambria Math"/>
                      <w:lang w:val="en-GB"/>
                    </w:rPr>
                    <m:t>R</m:t>
                  </m:r>
                </m:e>
                <m:sub>
                  <m:r>
                    <w:rPr>
                      <w:rFonts w:ascii="Cambria Math" w:hAnsi="Cambria Math"/>
                      <w:lang w:val="en-GB"/>
                    </w:rPr>
                    <m:t>C</m:t>
                  </m:r>
                </m:sub>
              </m:sSub>
              <m:r>
                <w:rPr>
                  <w:rFonts w:ascii="Cambria Math" w:hAnsi="Cambria Math"/>
                  <w:lang w:val="en-GB"/>
                </w:rPr>
                <m:t>=13.14</m:t>
              </m:r>
              <m:r>
                <m:rPr>
                  <m:sty m:val="p"/>
                </m:rPr>
                <w:rPr>
                  <w:rFonts w:ascii="Cambria Math" w:hAnsi="Cambria Math"/>
                  <w:lang w:val="en-GB"/>
                </w:rPr>
                <m:t>%</m:t>
              </m:r>
            </m:e>
          </m:borderBox>
          <m:r>
            <m:rPr>
              <m:sty m:val="p"/>
            </m:rPr>
            <w:rPr>
              <w:lang w:val="en-GB"/>
            </w:rPr>
            <w:br/>
          </m:r>
        </m:oMath>
      </m:oMathPara>
      <w:r w:rsidR="00273893" w:rsidRPr="00273893">
        <w:rPr>
          <w:b/>
          <w:bCs/>
        </w:rPr>
        <w:t>C9. Summary Table</w:t>
      </w:r>
    </w:p>
    <w:tbl>
      <w:tblPr>
        <w:tblStyle w:val="TableGridLight"/>
        <w:tblW w:w="0" w:type="auto"/>
        <w:tblLook w:val="04A0" w:firstRow="1" w:lastRow="0" w:firstColumn="1" w:lastColumn="0" w:noHBand="0" w:noVBand="1"/>
      </w:tblPr>
      <w:tblGrid>
        <w:gridCol w:w="958"/>
        <w:gridCol w:w="1245"/>
        <w:gridCol w:w="636"/>
        <w:gridCol w:w="1636"/>
        <w:gridCol w:w="1196"/>
        <w:gridCol w:w="1116"/>
      </w:tblGrid>
      <w:tr w:rsidR="00273893" w:rsidRPr="00273893" w14:paraId="543CCF05" w14:textId="77777777" w:rsidTr="00273893">
        <w:tc>
          <w:tcPr>
            <w:tcW w:w="0" w:type="auto"/>
            <w:hideMark/>
          </w:tcPr>
          <w:p w14:paraId="199E12C0" w14:textId="77777777" w:rsidR="00273893" w:rsidRPr="00273893" w:rsidRDefault="00273893" w:rsidP="00273893">
            <w:pPr>
              <w:rPr>
                <w:b/>
                <w:bCs/>
                <w:lang w:val="en-GB"/>
              </w:rPr>
            </w:pPr>
            <w:r w:rsidRPr="00273893">
              <w:rPr>
                <w:b/>
                <w:bCs/>
                <w:lang w:val="en-GB"/>
              </w:rPr>
              <w:t>Project</w:t>
            </w:r>
          </w:p>
        </w:tc>
        <w:tc>
          <w:tcPr>
            <w:tcW w:w="0" w:type="auto"/>
            <w:hideMark/>
          </w:tcPr>
          <w:p w14:paraId="604209F8" w14:textId="77777777" w:rsidR="00273893" w:rsidRPr="00273893" w:rsidRDefault="00273893" w:rsidP="00273893">
            <w:pPr>
              <w:rPr>
                <w:b/>
                <w:bCs/>
                <w:lang w:val="en-GB"/>
              </w:rPr>
            </w:pPr>
            <w:r w:rsidRPr="00273893">
              <w:rPr>
                <w:b/>
                <w:bCs/>
                <w:lang w:val="en-GB"/>
              </w:rPr>
              <w:t>NPV (£m)</w:t>
            </w:r>
          </w:p>
        </w:tc>
        <w:tc>
          <w:tcPr>
            <w:tcW w:w="0" w:type="auto"/>
            <w:hideMark/>
          </w:tcPr>
          <w:p w14:paraId="60854E1A" w14:textId="77777777" w:rsidR="00273893" w:rsidRPr="00273893" w:rsidRDefault="00273893" w:rsidP="00273893">
            <w:pPr>
              <w:rPr>
                <w:b/>
                <w:bCs/>
                <w:lang w:val="en-GB"/>
              </w:rPr>
            </w:pPr>
            <w:r w:rsidRPr="00273893">
              <w:rPr>
                <w:b/>
                <w:bCs/>
                <w:lang w:val="en-GB"/>
              </w:rPr>
              <w:t>PI</w:t>
            </w:r>
          </w:p>
        </w:tc>
        <w:tc>
          <w:tcPr>
            <w:tcW w:w="0" w:type="auto"/>
            <w:hideMark/>
          </w:tcPr>
          <w:p w14:paraId="75122192" w14:textId="77777777" w:rsidR="00273893" w:rsidRPr="00273893" w:rsidRDefault="00273893" w:rsidP="00273893">
            <w:pPr>
              <w:rPr>
                <w:b/>
                <w:bCs/>
                <w:lang w:val="en-GB"/>
              </w:rPr>
            </w:pPr>
            <w:r w:rsidRPr="00273893">
              <w:rPr>
                <w:b/>
                <w:bCs/>
                <w:lang w:val="en-GB"/>
              </w:rPr>
              <w:t>Payback (yrs)</w:t>
            </w:r>
          </w:p>
        </w:tc>
        <w:tc>
          <w:tcPr>
            <w:tcW w:w="0" w:type="auto"/>
            <w:hideMark/>
          </w:tcPr>
          <w:p w14:paraId="539ECDFB" w14:textId="77777777" w:rsidR="00273893" w:rsidRPr="00273893" w:rsidRDefault="00273893" w:rsidP="00273893">
            <w:pPr>
              <w:rPr>
                <w:b/>
                <w:bCs/>
                <w:lang w:val="en-GB"/>
              </w:rPr>
            </w:pPr>
            <w:r w:rsidRPr="00273893">
              <w:rPr>
                <w:b/>
                <w:bCs/>
                <w:lang w:val="en-GB"/>
              </w:rPr>
              <w:t>ARR (%)</w:t>
            </w:r>
          </w:p>
        </w:tc>
        <w:tc>
          <w:tcPr>
            <w:tcW w:w="0" w:type="auto"/>
            <w:hideMark/>
          </w:tcPr>
          <w:p w14:paraId="0E50FE6A" w14:textId="77777777" w:rsidR="00273893" w:rsidRPr="00273893" w:rsidRDefault="00273893" w:rsidP="00273893">
            <w:pPr>
              <w:rPr>
                <w:b/>
                <w:bCs/>
                <w:lang w:val="en-GB"/>
              </w:rPr>
            </w:pPr>
            <w:r w:rsidRPr="00273893">
              <w:rPr>
                <w:b/>
                <w:bCs/>
                <w:lang w:val="en-GB"/>
              </w:rPr>
              <w:t>IRR (%)</w:t>
            </w:r>
          </w:p>
        </w:tc>
      </w:tr>
      <w:tr w:rsidR="00273893" w:rsidRPr="00273893" w14:paraId="1CCBDB7A" w14:textId="77777777" w:rsidTr="00273893">
        <w:tc>
          <w:tcPr>
            <w:tcW w:w="0" w:type="auto"/>
            <w:hideMark/>
          </w:tcPr>
          <w:p w14:paraId="3BDEDA98" w14:textId="77777777" w:rsidR="00273893" w:rsidRPr="00273893" w:rsidRDefault="00273893" w:rsidP="00273893">
            <w:pPr>
              <w:rPr>
                <w:lang w:val="en-GB"/>
              </w:rPr>
            </w:pPr>
            <w:r w:rsidRPr="00273893">
              <w:rPr>
                <w:lang w:val="en-GB"/>
              </w:rPr>
              <w:t>A</w:t>
            </w:r>
          </w:p>
        </w:tc>
        <w:tc>
          <w:tcPr>
            <w:tcW w:w="0" w:type="auto"/>
            <w:hideMark/>
          </w:tcPr>
          <w:p w14:paraId="6F74C2A5" w14:textId="77777777" w:rsidR="00273893" w:rsidRPr="00273893" w:rsidRDefault="00273893" w:rsidP="00273893">
            <w:pPr>
              <w:rPr>
                <w:lang w:val="en-GB"/>
              </w:rPr>
            </w:pPr>
            <w:r w:rsidRPr="00273893">
              <w:rPr>
                <w:lang w:val="en-GB"/>
              </w:rPr>
              <w:t>+1.324</w:t>
            </w:r>
          </w:p>
        </w:tc>
        <w:tc>
          <w:tcPr>
            <w:tcW w:w="0" w:type="auto"/>
            <w:hideMark/>
          </w:tcPr>
          <w:p w14:paraId="6D5C3471" w14:textId="77777777" w:rsidR="00273893" w:rsidRPr="00273893" w:rsidRDefault="00273893" w:rsidP="00273893">
            <w:pPr>
              <w:rPr>
                <w:lang w:val="en-GB"/>
              </w:rPr>
            </w:pPr>
            <w:r w:rsidRPr="00273893">
              <w:rPr>
                <w:lang w:val="en-GB"/>
              </w:rPr>
              <w:t>1.03</w:t>
            </w:r>
          </w:p>
        </w:tc>
        <w:tc>
          <w:tcPr>
            <w:tcW w:w="0" w:type="auto"/>
            <w:hideMark/>
          </w:tcPr>
          <w:p w14:paraId="0554C0AD" w14:textId="77777777" w:rsidR="00273893" w:rsidRPr="00273893" w:rsidRDefault="00273893" w:rsidP="00273893">
            <w:pPr>
              <w:rPr>
                <w:lang w:val="en-GB"/>
              </w:rPr>
            </w:pPr>
            <w:r w:rsidRPr="00273893">
              <w:rPr>
                <w:lang w:val="en-GB"/>
              </w:rPr>
              <w:t>3.40</w:t>
            </w:r>
          </w:p>
        </w:tc>
        <w:tc>
          <w:tcPr>
            <w:tcW w:w="0" w:type="auto"/>
            <w:hideMark/>
          </w:tcPr>
          <w:p w14:paraId="1F70566F" w14:textId="77777777" w:rsidR="00273893" w:rsidRPr="00273893" w:rsidRDefault="00273893" w:rsidP="00273893">
            <w:pPr>
              <w:rPr>
                <w:lang w:val="en-GB"/>
              </w:rPr>
            </w:pPr>
            <w:r w:rsidRPr="00273893">
              <w:rPr>
                <w:lang w:val="en-GB"/>
              </w:rPr>
              <w:t>7.0</w:t>
            </w:r>
          </w:p>
        </w:tc>
        <w:tc>
          <w:tcPr>
            <w:tcW w:w="0" w:type="auto"/>
            <w:hideMark/>
          </w:tcPr>
          <w:p w14:paraId="33B0B2E5" w14:textId="77777777" w:rsidR="00273893" w:rsidRPr="00273893" w:rsidRDefault="00273893" w:rsidP="00273893">
            <w:pPr>
              <w:rPr>
                <w:lang w:val="en-GB"/>
              </w:rPr>
            </w:pPr>
            <w:r w:rsidRPr="00273893">
              <w:rPr>
                <w:lang w:val="en-GB"/>
              </w:rPr>
              <w:t>11.42</w:t>
            </w:r>
          </w:p>
        </w:tc>
      </w:tr>
      <w:tr w:rsidR="00273893" w:rsidRPr="00273893" w14:paraId="20AA3674" w14:textId="77777777" w:rsidTr="00273893">
        <w:tc>
          <w:tcPr>
            <w:tcW w:w="0" w:type="auto"/>
            <w:hideMark/>
          </w:tcPr>
          <w:p w14:paraId="53AF9A75" w14:textId="77777777" w:rsidR="00273893" w:rsidRPr="00273893" w:rsidRDefault="00273893" w:rsidP="00273893">
            <w:pPr>
              <w:rPr>
                <w:lang w:val="en-GB"/>
              </w:rPr>
            </w:pPr>
            <w:r w:rsidRPr="00273893">
              <w:rPr>
                <w:lang w:val="en-GB"/>
              </w:rPr>
              <w:t>B</w:t>
            </w:r>
          </w:p>
        </w:tc>
        <w:tc>
          <w:tcPr>
            <w:tcW w:w="0" w:type="auto"/>
            <w:hideMark/>
          </w:tcPr>
          <w:p w14:paraId="12C54AC1" w14:textId="77777777" w:rsidR="00273893" w:rsidRPr="00273893" w:rsidRDefault="00273893" w:rsidP="00273893">
            <w:pPr>
              <w:rPr>
                <w:lang w:val="en-GB"/>
              </w:rPr>
            </w:pPr>
            <w:r w:rsidRPr="00273893">
              <w:rPr>
                <w:lang w:val="en-GB"/>
              </w:rPr>
              <w:t>−7.255</w:t>
            </w:r>
          </w:p>
        </w:tc>
        <w:tc>
          <w:tcPr>
            <w:tcW w:w="0" w:type="auto"/>
            <w:hideMark/>
          </w:tcPr>
          <w:p w14:paraId="35D19632" w14:textId="77777777" w:rsidR="00273893" w:rsidRPr="00273893" w:rsidRDefault="00273893" w:rsidP="00273893">
            <w:pPr>
              <w:rPr>
                <w:lang w:val="en-GB"/>
              </w:rPr>
            </w:pPr>
            <w:r w:rsidRPr="00273893">
              <w:rPr>
                <w:lang w:val="en-GB"/>
              </w:rPr>
              <w:t>0.76</w:t>
            </w:r>
          </w:p>
        </w:tc>
        <w:tc>
          <w:tcPr>
            <w:tcW w:w="0" w:type="auto"/>
            <w:hideMark/>
          </w:tcPr>
          <w:p w14:paraId="447BCBF6" w14:textId="77777777" w:rsidR="00273893" w:rsidRPr="00273893" w:rsidRDefault="00273893" w:rsidP="00273893">
            <w:pPr>
              <w:rPr>
                <w:lang w:val="en-GB"/>
              </w:rPr>
            </w:pPr>
            <w:r w:rsidRPr="00273893">
              <w:rPr>
                <w:lang w:val="en-GB"/>
              </w:rPr>
              <w:t>5.00</w:t>
            </w:r>
          </w:p>
        </w:tc>
        <w:tc>
          <w:tcPr>
            <w:tcW w:w="0" w:type="auto"/>
            <w:hideMark/>
          </w:tcPr>
          <w:p w14:paraId="5C4C875D" w14:textId="77777777" w:rsidR="00273893" w:rsidRPr="00273893" w:rsidRDefault="00273893" w:rsidP="00273893">
            <w:pPr>
              <w:rPr>
                <w:lang w:val="en-GB"/>
              </w:rPr>
            </w:pPr>
            <w:r w:rsidRPr="00273893">
              <w:rPr>
                <w:lang w:val="en-GB"/>
              </w:rPr>
              <w:t>0.0</w:t>
            </w:r>
          </w:p>
        </w:tc>
        <w:tc>
          <w:tcPr>
            <w:tcW w:w="0" w:type="auto"/>
            <w:hideMark/>
          </w:tcPr>
          <w:p w14:paraId="7EF1E34E" w14:textId="77777777" w:rsidR="00273893" w:rsidRPr="00273893" w:rsidRDefault="00273893" w:rsidP="00273893">
            <w:pPr>
              <w:rPr>
                <w:lang w:val="en-GB"/>
              </w:rPr>
            </w:pPr>
            <w:r w:rsidRPr="00273893">
              <w:rPr>
                <w:lang w:val="en-GB"/>
              </w:rPr>
              <w:t>0.00</w:t>
            </w:r>
          </w:p>
        </w:tc>
      </w:tr>
      <w:tr w:rsidR="00273893" w:rsidRPr="00273893" w14:paraId="3871EDBC" w14:textId="77777777" w:rsidTr="00273893">
        <w:tc>
          <w:tcPr>
            <w:tcW w:w="0" w:type="auto"/>
            <w:hideMark/>
          </w:tcPr>
          <w:p w14:paraId="3CF7B138" w14:textId="77777777" w:rsidR="00273893" w:rsidRPr="00273893" w:rsidRDefault="00273893" w:rsidP="00273893">
            <w:pPr>
              <w:rPr>
                <w:lang w:val="en-GB"/>
              </w:rPr>
            </w:pPr>
            <w:r w:rsidRPr="00273893">
              <w:rPr>
                <w:lang w:val="en-GB"/>
              </w:rPr>
              <w:t>C</w:t>
            </w:r>
          </w:p>
        </w:tc>
        <w:tc>
          <w:tcPr>
            <w:tcW w:w="0" w:type="auto"/>
            <w:hideMark/>
          </w:tcPr>
          <w:p w14:paraId="05568A36" w14:textId="77777777" w:rsidR="00273893" w:rsidRPr="00273893" w:rsidRDefault="00273893" w:rsidP="00273893">
            <w:pPr>
              <w:rPr>
                <w:lang w:val="en-GB"/>
              </w:rPr>
            </w:pPr>
            <w:r w:rsidRPr="00273893">
              <w:rPr>
                <w:lang w:val="en-GB"/>
              </w:rPr>
              <w:t>+4.225</w:t>
            </w:r>
          </w:p>
        </w:tc>
        <w:tc>
          <w:tcPr>
            <w:tcW w:w="0" w:type="auto"/>
            <w:hideMark/>
          </w:tcPr>
          <w:p w14:paraId="6400FD6D" w14:textId="77777777" w:rsidR="00273893" w:rsidRPr="00273893" w:rsidRDefault="00273893" w:rsidP="00273893">
            <w:pPr>
              <w:rPr>
                <w:lang w:val="en-GB"/>
              </w:rPr>
            </w:pPr>
            <w:r w:rsidRPr="00273893">
              <w:rPr>
                <w:lang w:val="en-GB"/>
              </w:rPr>
              <w:t>1.08</w:t>
            </w:r>
          </w:p>
        </w:tc>
        <w:tc>
          <w:tcPr>
            <w:tcW w:w="0" w:type="auto"/>
            <w:hideMark/>
          </w:tcPr>
          <w:p w14:paraId="15072733" w14:textId="77777777" w:rsidR="00273893" w:rsidRPr="00273893" w:rsidRDefault="00273893" w:rsidP="00273893">
            <w:pPr>
              <w:rPr>
                <w:lang w:val="en-GB"/>
              </w:rPr>
            </w:pPr>
            <w:r w:rsidRPr="00273893">
              <w:rPr>
                <w:lang w:val="en-GB"/>
              </w:rPr>
              <w:t>3.60</w:t>
            </w:r>
          </w:p>
        </w:tc>
        <w:tc>
          <w:tcPr>
            <w:tcW w:w="0" w:type="auto"/>
            <w:hideMark/>
          </w:tcPr>
          <w:p w14:paraId="4E7798E2" w14:textId="77777777" w:rsidR="00273893" w:rsidRPr="00273893" w:rsidRDefault="00273893" w:rsidP="00273893">
            <w:pPr>
              <w:rPr>
                <w:lang w:val="en-GB"/>
              </w:rPr>
            </w:pPr>
            <w:r w:rsidRPr="00273893">
              <w:rPr>
                <w:lang w:val="en-GB"/>
              </w:rPr>
              <w:t>10.0</w:t>
            </w:r>
          </w:p>
        </w:tc>
        <w:tc>
          <w:tcPr>
            <w:tcW w:w="0" w:type="auto"/>
            <w:hideMark/>
          </w:tcPr>
          <w:p w14:paraId="5D30E945" w14:textId="77777777" w:rsidR="00273893" w:rsidRPr="00273893" w:rsidRDefault="00273893" w:rsidP="00273893">
            <w:pPr>
              <w:rPr>
                <w:lang w:val="en-GB"/>
              </w:rPr>
            </w:pPr>
            <w:r w:rsidRPr="00273893">
              <w:rPr>
                <w:lang w:val="en-GB"/>
              </w:rPr>
              <w:t>13.14</w:t>
            </w:r>
          </w:p>
        </w:tc>
      </w:tr>
    </w:tbl>
    <w:p w14:paraId="5E41EA4C" w14:textId="05BA0DD5" w:rsidR="001D55FF" w:rsidRPr="002574BC" w:rsidRDefault="001D55FF" w:rsidP="00273893">
      <w:pPr>
        <w:rPr>
          <w:lang w:val="en-GB"/>
        </w:rPr>
      </w:pPr>
    </w:p>
    <w:sectPr w:rsidR="001D55FF" w:rsidRPr="002574BC" w:rsidSect="00661CA6">
      <w:footerReference w:type="default" r:id="rId48"/>
      <w:pgSz w:w="11909" w:h="16834" w:code="9"/>
      <w:pgMar w:top="1411" w:right="1066" w:bottom="1411" w:left="1642" w:header="734" w:footer="850" w:gutter="0"/>
      <w:pgBorders w:offsetFrom="page">
        <w:top w:val="single" w:sz="18" w:space="24" w:color="auto"/>
        <w:left w:val="single" w:sz="18" w:space="24" w:color="auto"/>
        <w:bottom w:val="single" w:sz="18" w:space="24" w:color="auto"/>
        <w:right w:val="single" w:sz="18"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0A5E9" w14:textId="77777777" w:rsidR="00B04CD8" w:rsidRDefault="00B04CD8" w:rsidP="00661CA6">
      <w:pPr>
        <w:spacing w:before="0" w:after="0"/>
      </w:pPr>
      <w:r>
        <w:separator/>
      </w:r>
    </w:p>
  </w:endnote>
  <w:endnote w:type="continuationSeparator" w:id="0">
    <w:p w14:paraId="3F8798EC" w14:textId="77777777" w:rsidR="00B04CD8" w:rsidRDefault="00B04CD8" w:rsidP="00661CA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066896"/>
      <w:docPartObj>
        <w:docPartGallery w:val="Page Numbers (Bottom of Page)"/>
        <w:docPartUnique/>
      </w:docPartObj>
    </w:sdtPr>
    <w:sdtEndPr>
      <w:rPr>
        <w:noProof/>
      </w:rPr>
    </w:sdtEndPr>
    <w:sdtContent>
      <w:p w14:paraId="2ECF2A42" w14:textId="57B44E4D" w:rsidR="00661CA6" w:rsidRDefault="00661CA6" w:rsidP="00661CA6">
        <w:pPr>
          <w:pStyle w:val="Footer"/>
        </w:pPr>
        <w:r>
          <w:fldChar w:fldCharType="begin"/>
        </w:r>
        <w:r>
          <w:instrText xml:space="preserve"> PAGE   \* MERGEFORMAT </w:instrText>
        </w:r>
        <w:r>
          <w:fldChar w:fldCharType="separate"/>
        </w:r>
        <w:r>
          <w:rPr>
            <w:noProof/>
          </w:rPr>
          <w:t>2</w:t>
        </w:r>
        <w:r>
          <w:rPr>
            <w:noProof/>
          </w:rPr>
          <w:fldChar w:fldCharType="end"/>
        </w:r>
      </w:p>
    </w:sdtContent>
  </w:sdt>
  <w:p w14:paraId="72A9918C" w14:textId="77777777" w:rsidR="00661CA6" w:rsidRDefault="00661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C543C" w14:textId="77777777" w:rsidR="00B04CD8" w:rsidRDefault="00B04CD8" w:rsidP="00661CA6">
      <w:pPr>
        <w:spacing w:before="0" w:after="0"/>
      </w:pPr>
      <w:r>
        <w:separator/>
      </w:r>
    </w:p>
  </w:footnote>
  <w:footnote w:type="continuationSeparator" w:id="0">
    <w:p w14:paraId="47D65E7F" w14:textId="77777777" w:rsidR="00B04CD8" w:rsidRDefault="00B04CD8" w:rsidP="00661CA6">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9578B"/>
    <w:multiLevelType w:val="hybridMultilevel"/>
    <w:tmpl w:val="7514F5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9241A"/>
    <w:multiLevelType w:val="multilevel"/>
    <w:tmpl w:val="3FDA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C069A"/>
    <w:multiLevelType w:val="multilevel"/>
    <w:tmpl w:val="C5E0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72012"/>
    <w:multiLevelType w:val="multilevel"/>
    <w:tmpl w:val="00C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418BD"/>
    <w:multiLevelType w:val="multilevel"/>
    <w:tmpl w:val="8C7AA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6657B"/>
    <w:multiLevelType w:val="hybridMultilevel"/>
    <w:tmpl w:val="3136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F1638"/>
    <w:multiLevelType w:val="hybridMultilevel"/>
    <w:tmpl w:val="5106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87D2A"/>
    <w:multiLevelType w:val="hybridMultilevel"/>
    <w:tmpl w:val="08CE3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5C59DF"/>
    <w:multiLevelType w:val="multilevel"/>
    <w:tmpl w:val="375E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253D53"/>
    <w:multiLevelType w:val="multilevel"/>
    <w:tmpl w:val="A4EA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9C188B"/>
    <w:multiLevelType w:val="multilevel"/>
    <w:tmpl w:val="60E2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664263"/>
    <w:multiLevelType w:val="multilevel"/>
    <w:tmpl w:val="2BA8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976CAA"/>
    <w:multiLevelType w:val="hybridMultilevel"/>
    <w:tmpl w:val="120A63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90301B"/>
    <w:multiLevelType w:val="hybridMultilevel"/>
    <w:tmpl w:val="386E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37472"/>
    <w:multiLevelType w:val="hybridMultilevel"/>
    <w:tmpl w:val="FC6E8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35346"/>
    <w:multiLevelType w:val="hybridMultilevel"/>
    <w:tmpl w:val="E834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8D53ED"/>
    <w:multiLevelType w:val="hybridMultilevel"/>
    <w:tmpl w:val="EBCC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094CB0"/>
    <w:multiLevelType w:val="hybridMultilevel"/>
    <w:tmpl w:val="8160E7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A0F3EA5"/>
    <w:multiLevelType w:val="hybridMultilevel"/>
    <w:tmpl w:val="240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7C2969"/>
    <w:multiLevelType w:val="hybridMultilevel"/>
    <w:tmpl w:val="B4084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4380504"/>
    <w:multiLevelType w:val="hybridMultilevel"/>
    <w:tmpl w:val="6B7A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975DE"/>
    <w:multiLevelType w:val="multilevel"/>
    <w:tmpl w:val="1A8C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342C34"/>
    <w:multiLevelType w:val="hybridMultilevel"/>
    <w:tmpl w:val="F9B681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E271CE1"/>
    <w:multiLevelType w:val="multilevel"/>
    <w:tmpl w:val="28A6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806CFE"/>
    <w:multiLevelType w:val="multilevel"/>
    <w:tmpl w:val="23FA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D26F62"/>
    <w:multiLevelType w:val="multilevel"/>
    <w:tmpl w:val="8374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46E47"/>
    <w:multiLevelType w:val="multilevel"/>
    <w:tmpl w:val="DF3E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332A1B"/>
    <w:multiLevelType w:val="hybridMultilevel"/>
    <w:tmpl w:val="5CC2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514D64"/>
    <w:multiLevelType w:val="multilevel"/>
    <w:tmpl w:val="ABD22FE0"/>
    <w:lvl w:ilvl="0">
      <w:start w:val="1"/>
      <w:numFmt w:val="decimal"/>
      <w:lvlText w:val="%1."/>
      <w:lvlJc w:val="left"/>
      <w:pPr>
        <w:ind w:left="720" w:hanging="360"/>
      </w:pPr>
      <w:rPr>
        <w:rFonts w:hint="default"/>
      </w:rPr>
    </w:lvl>
    <w:lvl w:ilvl="1">
      <w:start w:val="8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033527536">
    <w:abstractNumId w:val="28"/>
  </w:num>
  <w:num w:numId="2" w16cid:durableId="223180428">
    <w:abstractNumId w:val="7"/>
  </w:num>
  <w:num w:numId="3" w16cid:durableId="1606694923">
    <w:abstractNumId w:val="13"/>
  </w:num>
  <w:num w:numId="4" w16cid:durableId="122309924">
    <w:abstractNumId w:val="5"/>
  </w:num>
  <w:num w:numId="5" w16cid:durableId="418142072">
    <w:abstractNumId w:val="10"/>
  </w:num>
  <w:num w:numId="6" w16cid:durableId="1006975764">
    <w:abstractNumId w:val="26"/>
  </w:num>
  <w:num w:numId="7" w16cid:durableId="1359354130">
    <w:abstractNumId w:val="22"/>
  </w:num>
  <w:num w:numId="8" w16cid:durableId="19862148">
    <w:abstractNumId w:val="4"/>
  </w:num>
  <w:num w:numId="9" w16cid:durableId="1325164028">
    <w:abstractNumId w:val="12"/>
  </w:num>
  <w:num w:numId="10" w16cid:durableId="482814818">
    <w:abstractNumId w:val="27"/>
  </w:num>
  <w:num w:numId="11" w16cid:durableId="1792047716">
    <w:abstractNumId w:val="6"/>
  </w:num>
  <w:num w:numId="12" w16cid:durableId="907687994">
    <w:abstractNumId w:val="15"/>
  </w:num>
  <w:num w:numId="13" w16cid:durableId="655839635">
    <w:abstractNumId w:val="14"/>
  </w:num>
  <w:num w:numId="14" w16cid:durableId="1832284536">
    <w:abstractNumId w:val="16"/>
  </w:num>
  <w:num w:numId="15" w16cid:durableId="1488935126">
    <w:abstractNumId w:val="18"/>
  </w:num>
  <w:num w:numId="16" w16cid:durableId="1098132975">
    <w:abstractNumId w:val="8"/>
  </w:num>
  <w:num w:numId="17" w16cid:durableId="2139645370">
    <w:abstractNumId w:val="24"/>
  </w:num>
  <w:num w:numId="18" w16cid:durableId="2080128239">
    <w:abstractNumId w:val="17"/>
  </w:num>
  <w:num w:numId="19" w16cid:durableId="952787269">
    <w:abstractNumId w:val="20"/>
  </w:num>
  <w:num w:numId="20" w16cid:durableId="1019357967">
    <w:abstractNumId w:val="3"/>
  </w:num>
  <w:num w:numId="21" w16cid:durableId="1113863879">
    <w:abstractNumId w:val="2"/>
  </w:num>
  <w:num w:numId="22" w16cid:durableId="1758747753">
    <w:abstractNumId w:val="11"/>
  </w:num>
  <w:num w:numId="23" w16cid:durableId="791703034">
    <w:abstractNumId w:val="9"/>
  </w:num>
  <w:num w:numId="24" w16cid:durableId="1271283207">
    <w:abstractNumId w:val="19"/>
  </w:num>
  <w:num w:numId="25" w16cid:durableId="798299326">
    <w:abstractNumId w:val="1"/>
  </w:num>
  <w:num w:numId="26" w16cid:durableId="322901106">
    <w:abstractNumId w:val="0"/>
  </w:num>
  <w:num w:numId="27" w16cid:durableId="1742944372">
    <w:abstractNumId w:val="21"/>
  </w:num>
  <w:num w:numId="28" w16cid:durableId="750202238">
    <w:abstractNumId w:val="23"/>
  </w:num>
  <w:num w:numId="29" w16cid:durableId="63649327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C5"/>
    <w:rsid w:val="000046C2"/>
    <w:rsid w:val="00016049"/>
    <w:rsid w:val="00035F6F"/>
    <w:rsid w:val="00040BE6"/>
    <w:rsid w:val="00052B6E"/>
    <w:rsid w:val="000559D0"/>
    <w:rsid w:val="00082CBC"/>
    <w:rsid w:val="000E1A66"/>
    <w:rsid w:val="00106D5C"/>
    <w:rsid w:val="001B09B3"/>
    <w:rsid w:val="001B1F3A"/>
    <w:rsid w:val="001D55FF"/>
    <w:rsid w:val="00214EAE"/>
    <w:rsid w:val="0023020F"/>
    <w:rsid w:val="002574BC"/>
    <w:rsid w:val="00273893"/>
    <w:rsid w:val="002C40D6"/>
    <w:rsid w:val="00304991"/>
    <w:rsid w:val="003875EE"/>
    <w:rsid w:val="003B1939"/>
    <w:rsid w:val="003B7FC5"/>
    <w:rsid w:val="004642E8"/>
    <w:rsid w:val="004D2C18"/>
    <w:rsid w:val="004D4241"/>
    <w:rsid w:val="004D62EB"/>
    <w:rsid w:val="0052711E"/>
    <w:rsid w:val="0055431E"/>
    <w:rsid w:val="00557061"/>
    <w:rsid w:val="00604CB3"/>
    <w:rsid w:val="00661CA6"/>
    <w:rsid w:val="00685952"/>
    <w:rsid w:val="006E6B15"/>
    <w:rsid w:val="006F492F"/>
    <w:rsid w:val="007D2891"/>
    <w:rsid w:val="007F1D06"/>
    <w:rsid w:val="00855A70"/>
    <w:rsid w:val="008640FE"/>
    <w:rsid w:val="008C1252"/>
    <w:rsid w:val="008D1293"/>
    <w:rsid w:val="008F7EBB"/>
    <w:rsid w:val="00901686"/>
    <w:rsid w:val="00904A06"/>
    <w:rsid w:val="009211FB"/>
    <w:rsid w:val="0094703E"/>
    <w:rsid w:val="00962367"/>
    <w:rsid w:val="00980735"/>
    <w:rsid w:val="009864E0"/>
    <w:rsid w:val="009B7EF8"/>
    <w:rsid w:val="00A0450A"/>
    <w:rsid w:val="00A45307"/>
    <w:rsid w:val="00A961F5"/>
    <w:rsid w:val="00AB6154"/>
    <w:rsid w:val="00AC412C"/>
    <w:rsid w:val="00B04CD8"/>
    <w:rsid w:val="00B522F3"/>
    <w:rsid w:val="00B60B6C"/>
    <w:rsid w:val="00B61E82"/>
    <w:rsid w:val="00B756C6"/>
    <w:rsid w:val="00BA08FE"/>
    <w:rsid w:val="00C778BA"/>
    <w:rsid w:val="00CE61DB"/>
    <w:rsid w:val="00D048F5"/>
    <w:rsid w:val="00D549E2"/>
    <w:rsid w:val="00DB47DF"/>
    <w:rsid w:val="00E1583B"/>
    <w:rsid w:val="00E75DC0"/>
    <w:rsid w:val="00E87C09"/>
    <w:rsid w:val="00E96001"/>
    <w:rsid w:val="00EC1D14"/>
    <w:rsid w:val="00F1373D"/>
    <w:rsid w:val="00F17120"/>
    <w:rsid w:val="00F55B51"/>
    <w:rsid w:val="00F922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1E73020"/>
  <w15:chartTrackingRefBased/>
  <w15:docId w15:val="{79BD1ED1-AC3C-4F8A-9FD5-E309612E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F5"/>
    <w:pPr>
      <w:spacing w:before="120" w:after="280" w:line="240" w:lineRule="auto"/>
      <w:jc w:val="both"/>
    </w:pPr>
    <w:rPr>
      <w:rFonts w:ascii="Times New Roman" w:hAnsi="Times New Roman"/>
      <w:lang w:val="en-IN"/>
    </w:rPr>
  </w:style>
  <w:style w:type="paragraph" w:styleId="Heading1">
    <w:name w:val="heading 1"/>
    <w:basedOn w:val="Normal"/>
    <w:next w:val="Normal"/>
    <w:link w:val="Heading1Char"/>
    <w:autoRedefine/>
    <w:uiPriority w:val="9"/>
    <w:qFormat/>
    <w:rsid w:val="00661CA6"/>
    <w:pPr>
      <w:keepNext/>
      <w:keepLines/>
      <w:spacing w:before="360" w:after="80" w:line="360" w:lineRule="auto"/>
      <w:jc w:val="left"/>
      <w:outlineLvl w:val="0"/>
    </w:pPr>
    <w:rPr>
      <w:rFonts w:eastAsiaTheme="majorEastAsia" w:cstheme="majorBidi"/>
      <w:b/>
      <w:color w:val="000000" w:themeColor="text1"/>
      <w:sz w:val="28"/>
      <w:szCs w:val="40"/>
      <w:lang w:val="en-GB"/>
    </w:rPr>
  </w:style>
  <w:style w:type="paragraph" w:styleId="Heading2">
    <w:name w:val="heading 2"/>
    <w:basedOn w:val="Normal"/>
    <w:next w:val="Normal"/>
    <w:link w:val="Heading2Char"/>
    <w:autoRedefine/>
    <w:uiPriority w:val="9"/>
    <w:unhideWhenUsed/>
    <w:qFormat/>
    <w:rsid w:val="00B522F3"/>
    <w:pPr>
      <w:keepNext/>
      <w:keepLines/>
      <w:spacing w:before="160" w:after="80" w:line="360" w:lineRule="auto"/>
      <w:jc w:val="left"/>
      <w:outlineLvl w:val="1"/>
    </w:pPr>
    <w:rPr>
      <w:rFonts w:eastAsiaTheme="majorEastAsia" w:cs="Times New Roman"/>
      <w:b/>
      <w:bCs/>
      <w:sz w:val="26"/>
      <w:szCs w:val="26"/>
      <w:lang w:val="en-GB"/>
    </w:rPr>
  </w:style>
  <w:style w:type="paragraph" w:styleId="Heading3">
    <w:name w:val="heading 3"/>
    <w:basedOn w:val="Normal"/>
    <w:next w:val="Normal"/>
    <w:link w:val="Heading3Char"/>
    <w:autoRedefine/>
    <w:uiPriority w:val="9"/>
    <w:unhideWhenUsed/>
    <w:qFormat/>
    <w:rsid w:val="00F17120"/>
    <w:pPr>
      <w:keepNext/>
      <w:keepLines/>
      <w:spacing w:before="160" w:after="80" w:line="278" w:lineRule="auto"/>
      <w:jc w:val="left"/>
      <w:outlineLvl w:val="2"/>
    </w:pPr>
    <w:rPr>
      <w:rFonts w:eastAsiaTheme="majorEastAsia" w:cstheme="majorBidi"/>
      <w:color w:val="0F4761" w:themeColor="accent1" w:themeShade="BF"/>
      <w:szCs w:val="28"/>
      <w:lang w:val="en-GB"/>
    </w:rPr>
  </w:style>
  <w:style w:type="paragraph" w:styleId="Heading4">
    <w:name w:val="heading 4"/>
    <w:basedOn w:val="Normal"/>
    <w:next w:val="Normal"/>
    <w:link w:val="Heading4Char"/>
    <w:uiPriority w:val="9"/>
    <w:semiHidden/>
    <w:unhideWhenUsed/>
    <w:qFormat/>
    <w:rsid w:val="003B7FC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B7FC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7F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7F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7FC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7FC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CA6"/>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B522F3"/>
    <w:rPr>
      <w:rFonts w:ascii="Times New Roman" w:eastAsiaTheme="majorEastAsia" w:hAnsi="Times New Roman" w:cs="Times New Roman"/>
      <w:b/>
      <w:bCs/>
      <w:sz w:val="26"/>
      <w:szCs w:val="26"/>
    </w:rPr>
  </w:style>
  <w:style w:type="character" w:styleId="Strong">
    <w:name w:val="Strong"/>
    <w:basedOn w:val="DefaultParagraphFont"/>
    <w:uiPriority w:val="22"/>
    <w:qFormat/>
    <w:rsid w:val="004D4241"/>
    <w:rPr>
      <w:rFonts w:ascii="Times New Roman" w:hAnsi="Times New Roman"/>
      <w:b/>
      <w:bCs/>
      <w:sz w:val="26"/>
    </w:rPr>
  </w:style>
  <w:style w:type="character" w:customStyle="1" w:styleId="Heading3Char">
    <w:name w:val="Heading 3 Char"/>
    <w:basedOn w:val="DefaultParagraphFont"/>
    <w:link w:val="Heading3"/>
    <w:uiPriority w:val="9"/>
    <w:rsid w:val="00F17120"/>
    <w:rPr>
      <w:rFonts w:ascii="Times New Roman" w:eastAsiaTheme="majorEastAsia" w:hAnsi="Times New Roman" w:cstheme="majorBidi"/>
      <w:color w:val="0F4761" w:themeColor="accent1" w:themeShade="BF"/>
      <w:szCs w:val="28"/>
    </w:rPr>
  </w:style>
  <w:style w:type="character" w:customStyle="1" w:styleId="Heading4Char">
    <w:name w:val="Heading 4 Char"/>
    <w:basedOn w:val="DefaultParagraphFont"/>
    <w:link w:val="Heading4"/>
    <w:uiPriority w:val="9"/>
    <w:semiHidden/>
    <w:rsid w:val="003B7FC5"/>
    <w:rPr>
      <w:rFonts w:eastAsiaTheme="majorEastAsia" w:cstheme="majorBidi"/>
      <w:i/>
      <w:iCs/>
      <w:color w:val="0F4761" w:themeColor="accent1" w:themeShade="BF"/>
      <w:lang w:val="en-IN"/>
    </w:rPr>
  </w:style>
  <w:style w:type="character" w:customStyle="1" w:styleId="Heading5Char">
    <w:name w:val="Heading 5 Char"/>
    <w:basedOn w:val="DefaultParagraphFont"/>
    <w:link w:val="Heading5"/>
    <w:uiPriority w:val="9"/>
    <w:semiHidden/>
    <w:rsid w:val="003B7FC5"/>
    <w:rPr>
      <w:rFonts w:eastAsiaTheme="majorEastAsia" w:cstheme="majorBidi"/>
      <w:color w:val="0F4761" w:themeColor="accent1" w:themeShade="BF"/>
      <w:lang w:val="en-IN"/>
    </w:rPr>
  </w:style>
  <w:style w:type="character" w:customStyle="1" w:styleId="Heading6Char">
    <w:name w:val="Heading 6 Char"/>
    <w:basedOn w:val="DefaultParagraphFont"/>
    <w:link w:val="Heading6"/>
    <w:uiPriority w:val="9"/>
    <w:semiHidden/>
    <w:rsid w:val="003B7FC5"/>
    <w:rPr>
      <w:rFonts w:eastAsiaTheme="majorEastAsia" w:cstheme="majorBidi"/>
      <w:i/>
      <w:iCs/>
      <w:color w:val="595959" w:themeColor="text1" w:themeTint="A6"/>
      <w:lang w:val="en-IN"/>
    </w:rPr>
  </w:style>
  <w:style w:type="character" w:customStyle="1" w:styleId="Heading7Char">
    <w:name w:val="Heading 7 Char"/>
    <w:basedOn w:val="DefaultParagraphFont"/>
    <w:link w:val="Heading7"/>
    <w:uiPriority w:val="9"/>
    <w:semiHidden/>
    <w:rsid w:val="003B7FC5"/>
    <w:rPr>
      <w:rFonts w:eastAsiaTheme="majorEastAsia" w:cstheme="majorBidi"/>
      <w:color w:val="595959" w:themeColor="text1" w:themeTint="A6"/>
      <w:lang w:val="en-IN"/>
    </w:rPr>
  </w:style>
  <w:style w:type="character" w:customStyle="1" w:styleId="Heading8Char">
    <w:name w:val="Heading 8 Char"/>
    <w:basedOn w:val="DefaultParagraphFont"/>
    <w:link w:val="Heading8"/>
    <w:uiPriority w:val="9"/>
    <w:semiHidden/>
    <w:rsid w:val="003B7FC5"/>
    <w:rPr>
      <w:rFonts w:eastAsiaTheme="majorEastAsia" w:cstheme="majorBidi"/>
      <w:i/>
      <w:iCs/>
      <w:color w:val="272727" w:themeColor="text1" w:themeTint="D8"/>
      <w:lang w:val="en-IN"/>
    </w:rPr>
  </w:style>
  <w:style w:type="character" w:customStyle="1" w:styleId="Heading9Char">
    <w:name w:val="Heading 9 Char"/>
    <w:basedOn w:val="DefaultParagraphFont"/>
    <w:link w:val="Heading9"/>
    <w:uiPriority w:val="9"/>
    <w:semiHidden/>
    <w:rsid w:val="003B7FC5"/>
    <w:rPr>
      <w:rFonts w:eastAsiaTheme="majorEastAsia" w:cstheme="majorBidi"/>
      <w:color w:val="272727" w:themeColor="text1" w:themeTint="D8"/>
      <w:lang w:val="en-IN"/>
    </w:rPr>
  </w:style>
  <w:style w:type="paragraph" w:styleId="Title">
    <w:name w:val="Title"/>
    <w:basedOn w:val="Normal"/>
    <w:next w:val="Normal"/>
    <w:link w:val="TitleChar"/>
    <w:uiPriority w:val="10"/>
    <w:qFormat/>
    <w:rsid w:val="003B7FC5"/>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FC5"/>
    <w:rPr>
      <w:rFonts w:asciiTheme="majorHAnsi" w:eastAsiaTheme="majorEastAsia" w:hAnsiTheme="majorHAnsi" w:cstheme="majorBidi"/>
      <w:spacing w:val="-10"/>
      <w:kern w:val="28"/>
      <w:sz w:val="56"/>
      <w:szCs w:val="56"/>
      <w:lang w:val="en-IN"/>
    </w:rPr>
  </w:style>
  <w:style w:type="paragraph" w:styleId="Subtitle">
    <w:name w:val="Subtitle"/>
    <w:basedOn w:val="Normal"/>
    <w:next w:val="Normal"/>
    <w:link w:val="SubtitleChar"/>
    <w:uiPriority w:val="11"/>
    <w:qFormat/>
    <w:rsid w:val="003B7FC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FC5"/>
    <w:rPr>
      <w:rFonts w:eastAsiaTheme="majorEastAsia" w:cstheme="majorBidi"/>
      <w:color w:val="595959" w:themeColor="text1" w:themeTint="A6"/>
      <w:spacing w:val="15"/>
      <w:sz w:val="28"/>
      <w:szCs w:val="28"/>
      <w:lang w:val="en-IN"/>
    </w:rPr>
  </w:style>
  <w:style w:type="paragraph" w:styleId="Quote">
    <w:name w:val="Quote"/>
    <w:basedOn w:val="Normal"/>
    <w:next w:val="Normal"/>
    <w:link w:val="QuoteChar"/>
    <w:uiPriority w:val="29"/>
    <w:qFormat/>
    <w:rsid w:val="003B7FC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7FC5"/>
    <w:rPr>
      <w:rFonts w:ascii="Times New Roman" w:hAnsi="Times New Roman"/>
      <w:i/>
      <w:iCs/>
      <w:color w:val="404040" w:themeColor="text1" w:themeTint="BF"/>
      <w:lang w:val="en-IN"/>
    </w:rPr>
  </w:style>
  <w:style w:type="paragraph" w:styleId="ListParagraph">
    <w:name w:val="List Paragraph"/>
    <w:basedOn w:val="Normal"/>
    <w:uiPriority w:val="34"/>
    <w:qFormat/>
    <w:rsid w:val="003B7FC5"/>
    <w:pPr>
      <w:ind w:left="720"/>
      <w:contextualSpacing/>
    </w:pPr>
  </w:style>
  <w:style w:type="character" w:styleId="IntenseEmphasis">
    <w:name w:val="Intense Emphasis"/>
    <w:basedOn w:val="DefaultParagraphFont"/>
    <w:uiPriority w:val="21"/>
    <w:qFormat/>
    <w:rsid w:val="003B7FC5"/>
    <w:rPr>
      <w:i/>
      <w:iCs/>
      <w:color w:val="0F4761" w:themeColor="accent1" w:themeShade="BF"/>
    </w:rPr>
  </w:style>
  <w:style w:type="paragraph" w:styleId="IntenseQuote">
    <w:name w:val="Intense Quote"/>
    <w:basedOn w:val="Normal"/>
    <w:next w:val="Normal"/>
    <w:link w:val="IntenseQuoteChar"/>
    <w:uiPriority w:val="30"/>
    <w:qFormat/>
    <w:rsid w:val="003B7F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FC5"/>
    <w:rPr>
      <w:rFonts w:ascii="Times New Roman" w:hAnsi="Times New Roman"/>
      <w:i/>
      <w:iCs/>
      <w:color w:val="0F4761" w:themeColor="accent1" w:themeShade="BF"/>
      <w:lang w:val="en-IN"/>
    </w:rPr>
  </w:style>
  <w:style w:type="character" w:styleId="IntenseReference">
    <w:name w:val="Intense Reference"/>
    <w:basedOn w:val="DefaultParagraphFont"/>
    <w:uiPriority w:val="32"/>
    <w:qFormat/>
    <w:rsid w:val="003B7FC5"/>
    <w:rPr>
      <w:b/>
      <w:bCs/>
      <w:smallCaps/>
      <w:color w:val="0F4761" w:themeColor="accent1" w:themeShade="BF"/>
      <w:spacing w:val="5"/>
    </w:rPr>
  </w:style>
  <w:style w:type="paragraph" w:styleId="Header">
    <w:name w:val="header"/>
    <w:basedOn w:val="Normal"/>
    <w:link w:val="HeaderChar"/>
    <w:uiPriority w:val="99"/>
    <w:unhideWhenUsed/>
    <w:rsid w:val="00661CA6"/>
    <w:pPr>
      <w:tabs>
        <w:tab w:val="center" w:pos="4513"/>
        <w:tab w:val="right" w:pos="9026"/>
      </w:tabs>
      <w:spacing w:before="0" w:after="0"/>
    </w:pPr>
  </w:style>
  <w:style w:type="character" w:customStyle="1" w:styleId="HeaderChar">
    <w:name w:val="Header Char"/>
    <w:basedOn w:val="DefaultParagraphFont"/>
    <w:link w:val="Header"/>
    <w:uiPriority w:val="99"/>
    <w:rsid w:val="00661CA6"/>
    <w:rPr>
      <w:rFonts w:ascii="Times New Roman" w:hAnsi="Times New Roman"/>
      <w:lang w:val="en-IN"/>
    </w:rPr>
  </w:style>
  <w:style w:type="paragraph" w:styleId="Footer">
    <w:name w:val="footer"/>
    <w:basedOn w:val="Normal"/>
    <w:link w:val="FooterChar"/>
    <w:uiPriority w:val="99"/>
    <w:unhideWhenUsed/>
    <w:rsid w:val="00661CA6"/>
    <w:pPr>
      <w:tabs>
        <w:tab w:val="center" w:pos="4513"/>
        <w:tab w:val="right" w:pos="9026"/>
      </w:tabs>
      <w:spacing w:before="0" w:after="0"/>
    </w:pPr>
  </w:style>
  <w:style w:type="character" w:customStyle="1" w:styleId="FooterChar">
    <w:name w:val="Footer Char"/>
    <w:basedOn w:val="DefaultParagraphFont"/>
    <w:link w:val="Footer"/>
    <w:uiPriority w:val="99"/>
    <w:rsid w:val="00661CA6"/>
    <w:rPr>
      <w:rFonts w:ascii="Times New Roman" w:hAnsi="Times New Roman"/>
      <w:lang w:val="en-IN"/>
    </w:rPr>
  </w:style>
  <w:style w:type="table" w:styleId="PlainTable1">
    <w:name w:val="Plain Table 1"/>
    <w:basedOn w:val="TableNormal"/>
    <w:uiPriority w:val="41"/>
    <w:rsid w:val="00C778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2574BC"/>
    <w:pPr>
      <w:spacing w:after="0" w:line="240" w:lineRule="auto"/>
      <w:jc w:val="both"/>
    </w:pPr>
    <w:rPr>
      <w:rFonts w:ascii="Times New Roman" w:hAnsi="Times New Roman"/>
      <w:lang w:val="en-IN"/>
    </w:rPr>
  </w:style>
  <w:style w:type="table" w:styleId="PlainTable2">
    <w:name w:val="Plain Table 2"/>
    <w:basedOn w:val="TableNormal"/>
    <w:uiPriority w:val="42"/>
    <w:rsid w:val="001D55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7F1D06"/>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1D06"/>
    <w:pPr>
      <w:spacing w:after="100"/>
    </w:pPr>
  </w:style>
  <w:style w:type="paragraph" w:styleId="TOC2">
    <w:name w:val="toc 2"/>
    <w:basedOn w:val="Normal"/>
    <w:next w:val="Normal"/>
    <w:autoRedefine/>
    <w:uiPriority w:val="39"/>
    <w:unhideWhenUsed/>
    <w:rsid w:val="007F1D06"/>
    <w:pPr>
      <w:spacing w:after="100"/>
      <w:ind w:left="240"/>
    </w:pPr>
  </w:style>
  <w:style w:type="character" w:styleId="Hyperlink">
    <w:name w:val="Hyperlink"/>
    <w:basedOn w:val="DefaultParagraphFont"/>
    <w:uiPriority w:val="99"/>
    <w:unhideWhenUsed/>
    <w:rsid w:val="007F1D06"/>
    <w:rPr>
      <w:color w:val="467886" w:themeColor="hyperlink"/>
      <w:u w:val="single"/>
    </w:rPr>
  </w:style>
  <w:style w:type="character" w:styleId="UnresolvedMention">
    <w:name w:val="Unresolved Mention"/>
    <w:basedOn w:val="DefaultParagraphFont"/>
    <w:uiPriority w:val="99"/>
    <w:semiHidden/>
    <w:unhideWhenUsed/>
    <w:rsid w:val="00F55B51"/>
    <w:rPr>
      <w:color w:val="605E5C"/>
      <w:shd w:val="clear" w:color="auto" w:fill="E1DFDD"/>
    </w:rPr>
  </w:style>
  <w:style w:type="table" w:styleId="TableGridLight">
    <w:name w:val="Grid Table Light"/>
    <w:basedOn w:val="TableNormal"/>
    <w:uiPriority w:val="40"/>
    <w:rsid w:val="00B756C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55431E"/>
    <w:pPr>
      <w:spacing w:before="100" w:beforeAutospacing="1" w:after="100" w:afterAutospacing="1"/>
      <w:jc w:val="left"/>
    </w:pPr>
    <w:rPr>
      <w:rFonts w:eastAsia="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007/ijarbss/v12-i11/15276" TargetMode="External"/><Relationship Id="rId18" Type="http://schemas.openxmlformats.org/officeDocument/2006/relationships/hyperlink" Target="https://doi.org/10.1111/jofi.12954" TargetMode="External"/><Relationship Id="rId26" Type="http://schemas.openxmlformats.org/officeDocument/2006/relationships/hyperlink" Target="https://doi.org/10.2307/41165876" TargetMode="External"/><Relationship Id="rId39" Type="http://schemas.openxmlformats.org/officeDocument/2006/relationships/hyperlink" Target="https://search.proquest.com/openview/72cf5f6321600a124ea4ccc410789973/1?pq-origsite=gscholar&amp;cbl=18750&amp;diss=y" TargetMode="External"/><Relationship Id="rId21" Type="http://schemas.openxmlformats.org/officeDocument/2006/relationships/hyperlink" Target="https://papers.ssrn.com/sol3/papers.cfm?abstract_id=3557655" TargetMode="External"/><Relationship Id="rId34" Type="http://schemas.openxmlformats.org/officeDocument/2006/relationships/hyperlink" Target="https://doi.org/10.3390/jrfm13030047" TargetMode="External"/><Relationship Id="rId42" Type="http://schemas.openxmlformats.org/officeDocument/2006/relationships/hyperlink" Target="https://doi.org/10.55208/2v06mg79" TargetMode="External"/><Relationship Id="rId47" Type="http://schemas.openxmlformats.org/officeDocument/2006/relationships/hyperlink" Target="https://doi.org/10.1155/2021/7267667"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77/000765039903800303" TargetMode="External"/><Relationship Id="rId29" Type="http://schemas.openxmlformats.org/officeDocument/2006/relationships/hyperlink" Target="https://doi.org/10.3390/risks10030063" TargetMode="External"/><Relationship Id="rId11" Type="http://schemas.openxmlformats.org/officeDocument/2006/relationships/hyperlink" Target="https://doi.org/10.59413/eafj/v4.i2.3" TargetMode="External"/><Relationship Id="rId24" Type="http://schemas.openxmlformats.org/officeDocument/2006/relationships/hyperlink" Target="https://www.jstor.org/stable/1818789" TargetMode="External"/><Relationship Id="rId32" Type="http://schemas.openxmlformats.org/officeDocument/2006/relationships/hyperlink" Target="https://doi.org/10.4324/9781003179566" TargetMode="External"/><Relationship Id="rId37" Type="http://schemas.openxmlformats.org/officeDocument/2006/relationships/hyperlink" Target="https://doi.org/10.1186/s43093-021-00079-4" TargetMode="External"/><Relationship Id="rId40" Type="http://schemas.openxmlformats.org/officeDocument/2006/relationships/hyperlink" Target="https://www.researchgate.net/publication/267160977_Tests_of_the_Pecking_Order_Theory_and_the_Static_Tradeoff_Theory_of_Optimal_Capital_Structure" TargetMode="External"/><Relationship Id="rId45" Type="http://schemas.openxmlformats.org/officeDocument/2006/relationships/hyperlink" Target="https://doi.org/10.2307/2326801" TargetMode="External"/><Relationship Id="rId5" Type="http://schemas.openxmlformats.org/officeDocument/2006/relationships/webSettings" Target="webSettings.xml"/><Relationship Id="rId15" Type="http://schemas.openxmlformats.org/officeDocument/2006/relationships/hyperlink" Target="https://doi.org/10.18096/tmp.2023.02.05" TargetMode="External"/><Relationship Id="rId23" Type="http://schemas.openxmlformats.org/officeDocument/2006/relationships/hyperlink" Target="https://doi.org/10.3390/su14084833" TargetMode="External"/><Relationship Id="rId28" Type="http://schemas.openxmlformats.org/officeDocument/2006/relationships/hyperlink" Target="https://doi.org/10.1016/j.apmrv.2023.01.002" TargetMode="External"/><Relationship Id="rId36" Type="http://schemas.openxmlformats.org/officeDocument/2006/relationships/hyperlink" Target="https://doi.org/10.1038/s41893-022-00983-9"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16/s0378-4266(97)00048-4" TargetMode="External"/><Relationship Id="rId31" Type="http://schemas.openxmlformats.org/officeDocument/2006/relationships/hyperlink" Target="https://doi.org/10.2307/1880728" TargetMode="External"/><Relationship Id="rId44" Type="http://schemas.openxmlformats.org/officeDocument/2006/relationships/hyperlink" Target="https://doi.org/10.1016/j.pacfin.2021.1015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48/sjef.2020.v04i01.005" TargetMode="External"/><Relationship Id="rId22" Type="http://schemas.openxmlformats.org/officeDocument/2006/relationships/hyperlink" Target="https://doi.org/10.1111/poms.13597" TargetMode="External"/><Relationship Id="rId27" Type="http://schemas.openxmlformats.org/officeDocument/2006/relationships/hyperlink" Target="https://doi.org/10.1108/ajeb-03-2022-0033" TargetMode="External"/><Relationship Id="rId30" Type="http://schemas.openxmlformats.org/officeDocument/2006/relationships/hyperlink" Target="https://www.ajrsp.com/en/Archive/issue-57/2/" TargetMode="External"/><Relationship Id="rId35" Type="http://schemas.openxmlformats.org/officeDocument/2006/relationships/hyperlink" Target="https://doi.org/10.1111/j.1540-6261.1994.tb00086.x" TargetMode="External"/><Relationship Id="rId43" Type="http://schemas.openxmlformats.org/officeDocument/2006/relationships/hyperlink" Target="https://doi.org/10.1016/j.strueco.2025.06.004"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08/ijmf-08-2019-0294" TargetMode="External"/><Relationship Id="rId17" Type="http://schemas.openxmlformats.org/officeDocument/2006/relationships/hyperlink" Target="https://doi.org/10.54691/bcpbm.v30i.2517" TargetMode="External"/><Relationship Id="rId25" Type="http://schemas.openxmlformats.org/officeDocument/2006/relationships/hyperlink" Target="https://doi.org/10.4102/sajems.v27i1.5054" TargetMode="External"/><Relationship Id="rId33" Type="http://schemas.openxmlformats.org/officeDocument/2006/relationships/hyperlink" Target="https://doi.org/10.5539/ibr.v13n2p13" TargetMode="External"/><Relationship Id="rId38" Type="http://schemas.openxmlformats.org/officeDocument/2006/relationships/hyperlink" Target="https://doi.org/10.1007/s40812-023-00268-y" TargetMode="External"/><Relationship Id="rId46" Type="http://schemas.openxmlformats.org/officeDocument/2006/relationships/hyperlink" Target="https://doi.org/10.1016/j.bir.2020.11.002" TargetMode="External"/><Relationship Id="rId20" Type="http://schemas.openxmlformats.org/officeDocument/2006/relationships/hyperlink" Target="https://doi.org/10.2308/jmar-18-079" TargetMode="External"/><Relationship Id="rId41" Type="http://schemas.openxmlformats.org/officeDocument/2006/relationships/hyperlink" Target="https://doi.org/10.1016/j.sca.2023.100026"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0074-CEC6-4D9C-859A-B34BE6EA2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8082</Words>
  <Characters>46073</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JAISWAL</dc:creator>
  <cp:keywords/>
  <dc:description/>
  <cp:lastModifiedBy>Aniket Rajvansh</cp:lastModifiedBy>
  <cp:revision>2</cp:revision>
  <dcterms:created xsi:type="dcterms:W3CDTF">2025-11-21T23:05:00Z</dcterms:created>
  <dcterms:modified xsi:type="dcterms:W3CDTF">2025-11-21T23:05:00Z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08686fb8-83ce-4db1-98f6-6b9b654ac62e</vt:lpwstr>
  </property>
</Properties>
</file>