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3777E6" w14:textId="4D3C3CC1" w:rsidR="009C2182" w:rsidRPr="00EB72FD" w:rsidRDefault="00F07E55" w:rsidP="009C2182">
      <w:pPr>
        <w:ind w:right="237"/>
        <w:jc w:val="both"/>
        <w:rPr>
          <w:b/>
          <w:bCs/>
          <w:sz w:val="24"/>
          <w:szCs w:val="24"/>
        </w:rPr>
      </w:pPr>
      <w:r>
        <w:rPr>
          <w:b/>
          <w:bCs/>
          <w:sz w:val="24"/>
          <w:szCs w:val="24"/>
        </w:rPr>
        <w:t xml:space="preserve">Oakleigh Simcock-Jones - </w:t>
      </w:r>
      <w:r w:rsidRPr="00F07E55">
        <w:rPr>
          <w:b/>
          <w:bCs/>
          <w:sz w:val="24"/>
          <w:szCs w:val="24"/>
        </w:rPr>
        <w:t>2319844</w:t>
      </w:r>
    </w:p>
    <w:p w14:paraId="35FF98FC" w14:textId="77777777" w:rsidR="009C2182" w:rsidRDefault="009C2182" w:rsidP="009C2182">
      <w:pPr>
        <w:spacing w:after="0" w:line="276" w:lineRule="auto"/>
        <w:ind w:right="531"/>
        <w:rPr>
          <w:rFonts w:ascii="Arial" w:eastAsia="Times New Roman" w:hAnsi="Arial" w:cs="Arial"/>
          <w:lang w:eastAsia="en-GB"/>
        </w:rPr>
      </w:pPr>
      <w:r w:rsidRPr="0B4505FB">
        <w:rPr>
          <w:rFonts w:ascii="Arial" w:eastAsia="Times New Roman" w:hAnsi="Arial" w:cs="Arial"/>
          <w:lang w:eastAsia="en-GB"/>
        </w:rPr>
        <w:t>Students are required to complete</w:t>
      </w:r>
      <w:r>
        <w:rPr>
          <w:rFonts w:ascii="Arial" w:eastAsia="Times New Roman" w:hAnsi="Arial" w:cs="Arial"/>
          <w:lang w:eastAsia="en-GB"/>
        </w:rPr>
        <w:t xml:space="preserve"> a </w:t>
      </w:r>
      <w:proofErr w:type="gramStart"/>
      <w:r w:rsidRPr="00FE4224">
        <w:rPr>
          <w:rFonts w:ascii="Arial" w:eastAsia="Times New Roman" w:hAnsi="Arial" w:cs="Arial"/>
          <w:b/>
          <w:bCs/>
          <w:lang w:eastAsia="en-GB"/>
        </w:rPr>
        <w:t>4000 word</w:t>
      </w:r>
      <w:proofErr w:type="gramEnd"/>
      <w:r w:rsidRPr="00FE4224">
        <w:rPr>
          <w:rFonts w:ascii="Arial" w:eastAsia="Times New Roman" w:hAnsi="Arial" w:cs="Arial"/>
          <w:b/>
          <w:bCs/>
          <w:lang w:eastAsia="en-GB"/>
        </w:rPr>
        <w:t xml:space="preserve"> submission in the form of </w:t>
      </w:r>
      <w:r>
        <w:rPr>
          <w:rFonts w:ascii="Arial" w:eastAsia="Times New Roman" w:hAnsi="Arial" w:cs="Arial"/>
          <w:b/>
          <w:bCs/>
          <w:lang w:eastAsia="en-GB"/>
        </w:rPr>
        <w:t>two 2000</w:t>
      </w:r>
      <w:r w:rsidRPr="00FE4224">
        <w:rPr>
          <w:rFonts w:ascii="Arial" w:eastAsia="Times New Roman" w:hAnsi="Arial" w:cs="Arial"/>
          <w:b/>
          <w:bCs/>
          <w:lang w:eastAsia="en-GB"/>
        </w:rPr>
        <w:t>-word essays</w:t>
      </w:r>
      <w:r>
        <w:rPr>
          <w:rFonts w:ascii="Arial" w:eastAsia="Times New Roman" w:hAnsi="Arial" w:cs="Arial"/>
          <w:lang w:eastAsia="en-GB"/>
        </w:rPr>
        <w:t xml:space="preserve"> (2 x 2000 words, +/- 10% per essay). </w:t>
      </w:r>
    </w:p>
    <w:p w14:paraId="299CBAA3" w14:textId="77777777" w:rsidR="009C2182" w:rsidRDefault="009C2182" w:rsidP="009C2182">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 </w:t>
      </w:r>
      <w:r w:rsidRPr="00B21003">
        <w:rPr>
          <w:rFonts w:ascii="Arial" w:eastAsia="Times New Roman" w:hAnsi="Arial" w:cs="Arial"/>
          <w:u w:val="single"/>
          <w:lang w:eastAsia="en-GB"/>
        </w:rPr>
        <w:t>must</w:t>
      </w:r>
      <w:r>
        <w:rPr>
          <w:rFonts w:ascii="Arial" w:eastAsia="Times New Roman" w:hAnsi="Arial" w:cs="Arial"/>
          <w:lang w:eastAsia="en-GB"/>
        </w:rPr>
        <w:t xml:space="preserve"> submit the assignment in a Word document titled with your name and student number.</w:t>
      </w:r>
    </w:p>
    <w:p w14:paraId="7CB0D6CD" w14:textId="77777777" w:rsidR="009C2182" w:rsidRDefault="009C2182" w:rsidP="009C2182">
      <w:pPr>
        <w:spacing w:after="0" w:line="276" w:lineRule="auto"/>
        <w:ind w:left="567" w:right="531"/>
        <w:rPr>
          <w:rFonts w:ascii="Arial" w:eastAsia="Times New Roman" w:hAnsi="Arial" w:cs="Arial"/>
          <w:lang w:eastAsia="en-GB"/>
        </w:rPr>
      </w:pPr>
      <w:r w:rsidRPr="00B21003">
        <w:rPr>
          <w:rFonts w:ascii="Arial" w:eastAsia="Times New Roman" w:hAnsi="Arial" w:cs="Arial"/>
          <w:u w:val="single"/>
          <w:lang w:eastAsia="en-GB"/>
        </w:rPr>
        <w:t>Do not</w:t>
      </w:r>
      <w:r>
        <w:rPr>
          <w:rFonts w:ascii="Arial" w:eastAsia="Times New Roman" w:hAnsi="Arial" w:cs="Arial"/>
          <w:lang w:eastAsia="en-GB"/>
        </w:rPr>
        <w:t xml:space="preserve"> submit your assignment on this document, as it will result in a high similarity score.</w:t>
      </w:r>
    </w:p>
    <w:p w14:paraId="272D83A4" w14:textId="77777777" w:rsidR="009C2182" w:rsidRDefault="009C2182" w:rsidP="009C2182">
      <w:pPr>
        <w:spacing w:after="0" w:line="276" w:lineRule="auto"/>
        <w:ind w:left="567" w:right="531"/>
        <w:jc w:val="center"/>
        <w:rPr>
          <w:rFonts w:ascii="Arial" w:eastAsia="Times New Roman" w:hAnsi="Arial" w:cs="Arial"/>
          <w:lang w:eastAsia="en-GB"/>
        </w:rPr>
      </w:pPr>
    </w:p>
    <w:p w14:paraId="181FE626" w14:textId="77777777" w:rsidR="009C2182" w:rsidRPr="006744A5" w:rsidRDefault="009C2182" w:rsidP="009C2182">
      <w:pPr>
        <w:spacing w:after="0" w:line="276" w:lineRule="auto"/>
        <w:ind w:left="567" w:right="531"/>
        <w:jc w:val="center"/>
        <w:rPr>
          <w:rFonts w:ascii="Arial" w:eastAsia="Times New Roman" w:hAnsi="Arial" w:cs="Arial"/>
          <w:b/>
          <w:bCs/>
          <w:lang w:eastAsia="en-GB"/>
        </w:rPr>
      </w:pPr>
      <w:proofErr w:type="gramStart"/>
      <w:r w:rsidRPr="006744A5">
        <w:rPr>
          <w:rFonts w:ascii="Arial" w:eastAsia="Times New Roman" w:hAnsi="Arial" w:cs="Arial"/>
          <w:b/>
          <w:bCs/>
          <w:lang w:eastAsia="en-GB"/>
        </w:rPr>
        <w:t>All of</w:t>
      </w:r>
      <w:proofErr w:type="gramEnd"/>
      <w:r w:rsidRPr="006744A5">
        <w:rPr>
          <w:rFonts w:ascii="Arial" w:eastAsia="Times New Roman" w:hAnsi="Arial" w:cs="Arial"/>
          <w:b/>
          <w:bCs/>
          <w:lang w:eastAsia="en-GB"/>
        </w:rPr>
        <w:t xml:space="preserve"> your answers must be based on academic research, </w:t>
      </w:r>
      <w:r>
        <w:rPr>
          <w:rFonts w:ascii="Arial" w:eastAsia="Times New Roman" w:hAnsi="Arial" w:cs="Arial"/>
          <w:b/>
          <w:bCs/>
          <w:lang w:eastAsia="en-GB"/>
        </w:rPr>
        <w:t>not</w:t>
      </w:r>
      <w:r w:rsidRPr="006744A5">
        <w:rPr>
          <w:rFonts w:ascii="Arial" w:eastAsia="Times New Roman" w:hAnsi="Arial" w:cs="Arial"/>
          <w:b/>
          <w:bCs/>
          <w:lang w:eastAsia="en-GB"/>
        </w:rPr>
        <w:t xml:space="preserve"> personal experience.</w:t>
      </w:r>
    </w:p>
    <w:p w14:paraId="460357C6" w14:textId="0AC1E1CF" w:rsidR="009C2182" w:rsidRDefault="009C2182" w:rsidP="009C2182">
      <w:pPr>
        <w:spacing w:after="0" w:line="276" w:lineRule="auto"/>
        <w:ind w:left="567" w:right="531" w:firstLine="294"/>
        <w:rPr>
          <w:rFonts w:ascii="Arial" w:eastAsia="Times New Roman" w:hAnsi="Arial" w:cs="Arial"/>
          <w:i/>
          <w:iCs/>
          <w:lang w:eastAsia="en-GB"/>
        </w:rPr>
      </w:pPr>
    </w:p>
    <w:p w14:paraId="094B15FC" w14:textId="77777777" w:rsidR="009C2182" w:rsidRDefault="009C2182" w:rsidP="009C2182">
      <w:pPr>
        <w:spacing w:after="0" w:line="276" w:lineRule="auto"/>
        <w:ind w:left="567" w:right="531" w:firstLine="294"/>
        <w:rPr>
          <w:rFonts w:ascii="Arial" w:eastAsia="Times New Roman" w:hAnsi="Arial" w:cs="Arial"/>
          <w:lang w:eastAsia="en-GB"/>
        </w:rPr>
      </w:pPr>
    </w:p>
    <w:p w14:paraId="209709DD" w14:textId="569082E6" w:rsidR="009C2182" w:rsidRPr="003D52FD" w:rsidRDefault="003D52FD" w:rsidP="003D52FD">
      <w:pPr>
        <w:spacing w:line="276" w:lineRule="auto"/>
        <w:ind w:left="426" w:right="531"/>
        <w:rPr>
          <w:rFonts w:ascii="Arial" w:eastAsia="Times New Roman" w:hAnsi="Arial" w:cs="Arial"/>
          <w:b/>
          <w:bCs/>
          <w:lang w:eastAsia="en-GB"/>
        </w:rPr>
      </w:pPr>
      <w:r w:rsidRPr="003D52FD">
        <w:rPr>
          <w:rFonts w:ascii="Arial" w:eastAsia="Times New Roman" w:hAnsi="Arial" w:cs="Arial"/>
          <w:b/>
          <w:bCs/>
          <w:lang w:eastAsia="en-GB"/>
        </w:rPr>
        <w:t xml:space="preserve"> </w:t>
      </w:r>
      <w:r w:rsidR="009C2182" w:rsidRPr="003D52FD">
        <w:rPr>
          <w:rFonts w:ascii="Arial" w:eastAsia="Times New Roman" w:hAnsi="Arial" w:cs="Arial"/>
          <w:b/>
          <w:bCs/>
          <w:lang w:eastAsia="en-GB"/>
        </w:rPr>
        <w:t xml:space="preserve">Why are terrorist organisations often involved in other forms of criminality (e.g. </w:t>
      </w:r>
      <w:r w:rsidRPr="003D52FD">
        <w:rPr>
          <w:rFonts w:ascii="Arial" w:eastAsia="Times New Roman" w:hAnsi="Arial" w:cs="Arial"/>
          <w:b/>
          <w:bCs/>
          <w:lang w:eastAsia="en-GB"/>
        </w:rPr>
        <w:t xml:space="preserve">          </w:t>
      </w:r>
      <w:r w:rsidR="009C2182" w:rsidRPr="003D52FD">
        <w:rPr>
          <w:rFonts w:ascii="Arial" w:eastAsia="Times New Roman" w:hAnsi="Arial" w:cs="Arial"/>
          <w:b/>
          <w:bCs/>
          <w:lang w:eastAsia="en-GB"/>
        </w:rPr>
        <w:t>acquisitive crime), and how can this inform counter-terrorism policing</w:t>
      </w:r>
      <w:r w:rsidR="009C2182" w:rsidRPr="003D52FD">
        <w:rPr>
          <w:rFonts w:ascii="Arial" w:hAnsi="Arial" w:cs="Arial"/>
          <w:b/>
          <w:bCs/>
        </w:rPr>
        <w:t xml:space="preserve">? </w:t>
      </w:r>
    </w:p>
    <w:p w14:paraId="5D62284B" w14:textId="77777777" w:rsidR="009C2182" w:rsidRDefault="009C2182" w:rsidP="009C2182">
      <w:pPr>
        <w:pStyle w:val="ListParagraph"/>
        <w:spacing w:line="276" w:lineRule="auto"/>
        <w:ind w:left="567" w:right="531"/>
        <w:rPr>
          <w:rFonts w:ascii="Arial" w:eastAsia="Times New Roman" w:hAnsi="Arial" w:cs="Arial"/>
          <w:lang w:eastAsia="en-GB"/>
        </w:rPr>
      </w:pPr>
      <w:r w:rsidRPr="003D52FD">
        <w:rPr>
          <w:rFonts w:ascii="Arial" w:eastAsia="Times New Roman" w:hAnsi="Arial" w:cs="Arial"/>
          <w:b/>
          <w:bCs/>
          <w:lang w:eastAsia="en-GB"/>
        </w:rPr>
        <w:t xml:space="preserve">Your answer must be based on academic research, although you may </w:t>
      </w:r>
      <w:proofErr w:type="gramStart"/>
      <w:r w:rsidRPr="003D52FD">
        <w:rPr>
          <w:rFonts w:ascii="Arial" w:eastAsia="Times New Roman" w:hAnsi="Arial" w:cs="Arial"/>
          <w:b/>
          <w:bCs/>
          <w:lang w:eastAsia="en-GB"/>
        </w:rPr>
        <w:t>make reference</w:t>
      </w:r>
      <w:proofErr w:type="gramEnd"/>
      <w:r w:rsidRPr="003D52FD">
        <w:rPr>
          <w:rFonts w:ascii="Arial" w:eastAsia="Times New Roman" w:hAnsi="Arial" w:cs="Arial"/>
          <w:b/>
          <w:bCs/>
          <w:lang w:eastAsia="en-GB"/>
        </w:rPr>
        <w:t xml:space="preserve"> relevant case studies</w:t>
      </w:r>
      <w:r w:rsidRPr="00E54F4A">
        <w:rPr>
          <w:rFonts w:ascii="Arial" w:eastAsia="Times New Roman" w:hAnsi="Arial" w:cs="Arial"/>
          <w:lang w:eastAsia="en-GB"/>
        </w:rPr>
        <w:t xml:space="preserve">. </w:t>
      </w:r>
    </w:p>
    <w:p w14:paraId="53F893B8" w14:textId="77777777" w:rsidR="00F00544" w:rsidRDefault="00F00544" w:rsidP="009C2182">
      <w:pPr>
        <w:pStyle w:val="ListParagraph"/>
        <w:spacing w:line="276" w:lineRule="auto"/>
        <w:ind w:left="567" w:right="531"/>
        <w:rPr>
          <w:rFonts w:ascii="Arial" w:eastAsia="Times New Roman" w:hAnsi="Arial" w:cs="Arial"/>
          <w:lang w:eastAsia="en-GB"/>
        </w:rPr>
      </w:pPr>
    </w:p>
    <w:p w14:paraId="0D0D856F"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Terrorist organizations often operate within a complex socio-political and economic landscape where financing their operations becomes a central concern. Terrorists rely on a range of illicit activities to fund their operations, sustain their activities, and enhance their strategic objectives. These activities often extend beyond acts of terrorism to include various forms of criminality, such as acquisitive crimes (e.g., theft, extortion, and drug trafficking). The involvement of terrorist organizations in criminal activities has significant implications for both counter-terrorism strategies and law enforcement approaches. Understanding the relationship between terrorism and criminality is crucial for developing more effective and comprehensive counter-terrorism policing strategies.</w:t>
      </w:r>
    </w:p>
    <w:p w14:paraId="080F90C6" w14:textId="77777777" w:rsidR="00163BCA" w:rsidRPr="000D45E2" w:rsidRDefault="00163BCA" w:rsidP="000D45E2">
      <w:pPr>
        <w:pStyle w:val="ListParagraph"/>
        <w:spacing w:line="276" w:lineRule="auto"/>
        <w:ind w:left="567" w:right="531"/>
        <w:rPr>
          <w:rFonts w:ascii="Arial" w:eastAsia="Times New Roman" w:hAnsi="Arial" w:cs="Arial"/>
          <w:lang w:eastAsia="en-GB"/>
        </w:rPr>
      </w:pPr>
    </w:p>
    <w:p w14:paraId="5AC4A500"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This essay will explore why terrorist organizations are often involved in criminality, with a focus on acquisitive crime, and examine how this involvement can inform counter-terrorism policing. Drawing upon academic literature and real-world case studies, this essay will investigate the link between terrorism and other forms of criminal activity, explore the mechanisms by which these organizations fund their operations, and consider how these insights can shape more effective counter-terrorism strategies.</w:t>
      </w:r>
    </w:p>
    <w:p w14:paraId="0830D748" w14:textId="77777777" w:rsidR="00163BCA" w:rsidRPr="000D45E2" w:rsidRDefault="00163BCA" w:rsidP="000D45E2">
      <w:pPr>
        <w:pStyle w:val="ListParagraph"/>
        <w:spacing w:line="276" w:lineRule="auto"/>
        <w:ind w:left="567" w:right="531"/>
        <w:rPr>
          <w:rFonts w:ascii="Arial" w:eastAsia="Times New Roman" w:hAnsi="Arial" w:cs="Arial"/>
          <w:lang w:eastAsia="en-GB"/>
        </w:rPr>
      </w:pPr>
    </w:p>
    <w:p w14:paraId="062420BE"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Terrorism can be broadly defined as the use of violence or the threat of violence against non-combatants to achieve political, religious, or ideological objectives. It is typically associated with intentional acts designed to generate fear or force political change through the targeting of civilians or infrastructure (Schmid, 2011). Acquisitive crime, on the other hand, refers to criminal activities primarily motivated by the desire to acquire goods or money through illegal means, such as robbery, extortion, and fraud. Terrorist organizations, while pursuing their ideological goals, often find themselves engaged in illicit activities that contribute to their financial sustainability (Bakker &amp; de Bont, 2016).</w:t>
      </w:r>
    </w:p>
    <w:p w14:paraId="07CC6406" w14:textId="77777777" w:rsidR="00163BCA" w:rsidRPr="000D45E2" w:rsidRDefault="00163BCA" w:rsidP="000D45E2">
      <w:pPr>
        <w:pStyle w:val="ListParagraph"/>
        <w:spacing w:line="276" w:lineRule="auto"/>
        <w:ind w:left="567" w:right="531"/>
        <w:rPr>
          <w:rFonts w:ascii="Arial" w:eastAsia="Times New Roman" w:hAnsi="Arial" w:cs="Arial"/>
          <w:lang w:eastAsia="en-GB"/>
        </w:rPr>
      </w:pPr>
    </w:p>
    <w:p w14:paraId="72A8A708"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There are several reasons why terrorist organizations may engage in criminal activity. First, terrorism is an expensive enterprise. Funding the operations of a terrorist organization, including recruitment, training, logistics, and procurement of weapons, requires substantial financial resources. In regions where formal financial systems are either weak or closely monitored, terrorist groups often turn to illicit means of financing their operations (Hassan, 2014). Criminal activities, including drug trafficking, extortion, and kidnapping for ransom, provide a significant source of income for these groups (Dufresne, 2015).</w:t>
      </w:r>
    </w:p>
    <w:p w14:paraId="6571CBAD" w14:textId="77777777" w:rsidR="00163BCA" w:rsidRPr="000D45E2" w:rsidRDefault="00163BCA" w:rsidP="000D45E2">
      <w:pPr>
        <w:pStyle w:val="ListParagraph"/>
        <w:spacing w:line="276" w:lineRule="auto"/>
        <w:ind w:left="567" w:right="531"/>
        <w:rPr>
          <w:rFonts w:ascii="Arial" w:eastAsia="Times New Roman" w:hAnsi="Arial" w:cs="Arial"/>
          <w:lang w:eastAsia="en-GB"/>
        </w:rPr>
      </w:pPr>
    </w:p>
    <w:p w14:paraId="4B1CDE8F"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Second, terrorist organizations operate in environments where state control is either weak or absent. In such situations, they may rely on the black market and other illegal channels to acquire resources, such as weapons and explosives, without attracting the attention of law enforcement or intelligence agencies (Bakker, 2011). For example, groups like Hezbollah and the Taliban have been known to engage in smuggling and drug trade to fund their operations in regions where the state presence is minimal (Borum, 2004).</w:t>
      </w:r>
    </w:p>
    <w:p w14:paraId="5C78CD53" w14:textId="77777777" w:rsidR="00163BCA" w:rsidRPr="000D45E2" w:rsidRDefault="00163BCA" w:rsidP="000D45E2">
      <w:pPr>
        <w:pStyle w:val="ListParagraph"/>
        <w:spacing w:line="276" w:lineRule="auto"/>
        <w:ind w:left="567" w:right="531"/>
        <w:rPr>
          <w:rFonts w:ascii="Arial" w:eastAsia="Times New Roman" w:hAnsi="Arial" w:cs="Arial"/>
          <w:lang w:eastAsia="en-GB"/>
        </w:rPr>
      </w:pPr>
    </w:p>
    <w:p w14:paraId="2D92E925"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Third, some terrorist groups are ideologically committed to violence and disorder </w:t>
      </w:r>
      <w:proofErr w:type="gramStart"/>
      <w:r w:rsidRPr="000D45E2">
        <w:rPr>
          <w:rFonts w:ascii="Arial" w:eastAsia="Times New Roman" w:hAnsi="Arial" w:cs="Arial"/>
          <w:lang w:eastAsia="en-GB"/>
        </w:rPr>
        <w:t>as a means to</w:t>
      </w:r>
      <w:proofErr w:type="gramEnd"/>
      <w:r w:rsidRPr="000D45E2">
        <w:rPr>
          <w:rFonts w:ascii="Arial" w:eastAsia="Times New Roman" w:hAnsi="Arial" w:cs="Arial"/>
          <w:lang w:eastAsia="en-GB"/>
        </w:rPr>
        <w:t xml:space="preserve"> destabilize existing political systems. In such cases, the commission of acquisitive crimes may be seen as part of the larger strategy to weaken the state and disrupt social order. This can create a feedback loop where the success of a terrorist organization in committing criminal acts can embolden them to pursue more extensive and varied criminal ventures (Mansbach, 2016).</w:t>
      </w:r>
    </w:p>
    <w:p w14:paraId="759D6B93" w14:textId="77777777" w:rsidR="00163BCA" w:rsidRPr="000D45E2" w:rsidRDefault="00163BCA" w:rsidP="000D45E2">
      <w:pPr>
        <w:pStyle w:val="ListParagraph"/>
        <w:spacing w:line="276" w:lineRule="auto"/>
        <w:ind w:left="567" w:right="531"/>
        <w:rPr>
          <w:rFonts w:ascii="Arial" w:eastAsia="Times New Roman" w:hAnsi="Arial" w:cs="Arial"/>
          <w:lang w:eastAsia="en-GB"/>
        </w:rPr>
      </w:pPr>
    </w:p>
    <w:p w14:paraId="2CD4440D"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Hezbollah, a Shiite militant group based in Lebanon, provides a prime example of a terrorist organization engaged in various forms of criminal activity. Hezbollah is known to have funded its operations through illicit activities such as drug trafficking, money laundering, and extortion. According to a report by the U.S. Department of Justice (2017), Hezbollah has used a global network to traffic drugs, particularly cocaine, from South America to Europe and North America. The proceeds from these illegal operations are then laundered through legitimate businesses in the Middle East and beyond. The group's involvement in the drug trade has allowed it to generate significant income while also avoiding detection by authorities (Hastings, 2017).</w:t>
      </w:r>
    </w:p>
    <w:p w14:paraId="4D8F3331" w14:textId="77777777" w:rsidR="008D1161" w:rsidRPr="000D45E2" w:rsidRDefault="008D1161" w:rsidP="000D45E2">
      <w:pPr>
        <w:pStyle w:val="ListParagraph"/>
        <w:spacing w:line="276" w:lineRule="auto"/>
        <w:ind w:left="567" w:right="531"/>
        <w:rPr>
          <w:rFonts w:ascii="Arial" w:eastAsia="Times New Roman" w:hAnsi="Arial" w:cs="Arial"/>
          <w:lang w:eastAsia="en-GB"/>
        </w:rPr>
      </w:pPr>
    </w:p>
    <w:p w14:paraId="66436D9A"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Hezbollah’s criminal operations also extend to money laundering and smuggling, activities that are vital to sustaining their military operations and political influence in Lebanon and the surrounding region. These criminal activities are particularly concerning for counter-terrorism efforts, as they operate in parallel with Hezbollah’s conventional terrorist tactics, complicating law enforcement’s ability to counter their influence (Sullivan, 2012).</w:t>
      </w:r>
    </w:p>
    <w:p w14:paraId="1C1C3A26" w14:textId="77777777" w:rsidR="008D1161" w:rsidRPr="000D45E2" w:rsidRDefault="008D1161" w:rsidP="000D45E2">
      <w:pPr>
        <w:pStyle w:val="ListParagraph"/>
        <w:spacing w:line="276" w:lineRule="auto"/>
        <w:ind w:left="567" w:right="531"/>
        <w:rPr>
          <w:rFonts w:ascii="Arial" w:eastAsia="Times New Roman" w:hAnsi="Arial" w:cs="Arial"/>
          <w:lang w:eastAsia="en-GB"/>
        </w:rPr>
      </w:pPr>
    </w:p>
    <w:p w14:paraId="59FCB197" w14:textId="77777777" w:rsidR="008D1161"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The Taliban, a Sunni extremist group that ruled Afghanistan from 1996 to 2001 and has since regained influence, has long been involved in the opium trade. Afghanistan is one of the world’s largest producers of opium, and the Taliban has been heavily involved in the cultivation, production, and distribution of heroin, which is a key funding source for their insurgent activities (Davis, 2018). </w:t>
      </w:r>
    </w:p>
    <w:p w14:paraId="00EA3874" w14:textId="77777777" w:rsidR="008D1161" w:rsidRDefault="008D1161" w:rsidP="000D45E2">
      <w:pPr>
        <w:pStyle w:val="ListParagraph"/>
        <w:spacing w:line="276" w:lineRule="auto"/>
        <w:ind w:left="567" w:right="531"/>
        <w:rPr>
          <w:rFonts w:ascii="Arial" w:eastAsia="Times New Roman" w:hAnsi="Arial" w:cs="Arial"/>
          <w:lang w:eastAsia="en-GB"/>
        </w:rPr>
      </w:pPr>
    </w:p>
    <w:p w14:paraId="36982799" w14:textId="02643973"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According to the United Nations Office on Drugs and Crime (UNODC, 2020), the Taliban’s control over large parts of Afghanistan’s opium-producing regions has allowed them to extract taxes from the drug trade, further bolstering their war chest.</w:t>
      </w:r>
    </w:p>
    <w:p w14:paraId="58934AE1" w14:textId="77777777" w:rsidR="008D1161" w:rsidRPr="000D45E2" w:rsidRDefault="008D1161" w:rsidP="000D45E2">
      <w:pPr>
        <w:pStyle w:val="ListParagraph"/>
        <w:spacing w:line="276" w:lineRule="auto"/>
        <w:ind w:left="567" w:right="531"/>
        <w:rPr>
          <w:rFonts w:ascii="Arial" w:eastAsia="Times New Roman" w:hAnsi="Arial" w:cs="Arial"/>
          <w:lang w:eastAsia="en-GB"/>
        </w:rPr>
      </w:pPr>
    </w:p>
    <w:p w14:paraId="0633FB1E"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The Taliban's involvement in the drug trade extends beyond mere collection of revenue. The group has also been involved in smuggling and trafficking operations across international borders, using the proceeds to purchase weapons and other supplies for their ongoing insurgency. The Taliban’s entanglement with criminality underscores the symbiotic relationship between terrorism and organized crime in conflict zones where the state is weak or unable to enforce the rule of law (Neumann, 2013).</w:t>
      </w:r>
    </w:p>
    <w:p w14:paraId="65C2008D" w14:textId="77777777" w:rsidR="008D1161" w:rsidRPr="000D45E2" w:rsidRDefault="008D1161" w:rsidP="000D45E2">
      <w:pPr>
        <w:pStyle w:val="ListParagraph"/>
        <w:spacing w:line="276" w:lineRule="auto"/>
        <w:ind w:left="567" w:right="531"/>
        <w:rPr>
          <w:rFonts w:ascii="Arial" w:eastAsia="Times New Roman" w:hAnsi="Arial" w:cs="Arial"/>
          <w:lang w:eastAsia="en-GB"/>
        </w:rPr>
      </w:pPr>
    </w:p>
    <w:p w14:paraId="01139AFE"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Al-Qaeda, the global jihadist group responsible for the September 11 attacks, has also engaged in various forms of criminality to fund its operations. One significant criminal activity associated with Al-Qaeda is kidnapping for ransom. Terrorist organizations in Africa and the Middle East, including Al-Qaeda affiliates, have frequently targeted foreign nationals, capturing them for ransom. The revenue generated from these activities is often used to fund further terrorist operations, including the purchase of weapons and explosives (Freeman &amp; Dolan, 2016).</w:t>
      </w:r>
    </w:p>
    <w:p w14:paraId="42853191" w14:textId="77777777" w:rsidR="008D1161" w:rsidRPr="000D45E2" w:rsidRDefault="008D1161" w:rsidP="000D45E2">
      <w:pPr>
        <w:pStyle w:val="ListParagraph"/>
        <w:spacing w:line="276" w:lineRule="auto"/>
        <w:ind w:left="567" w:right="531"/>
        <w:rPr>
          <w:rFonts w:ascii="Arial" w:eastAsia="Times New Roman" w:hAnsi="Arial" w:cs="Arial"/>
          <w:lang w:eastAsia="en-GB"/>
        </w:rPr>
      </w:pPr>
    </w:p>
    <w:p w14:paraId="682DAF3A" w14:textId="15E6ED56"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Al-Qaeda has also been involved in large-scale fraud operations, using falsified documents and financial networks to move funds across borders without detection. These funds are often </w:t>
      </w:r>
      <w:r w:rsidR="008D1161" w:rsidRPr="000D45E2">
        <w:rPr>
          <w:rFonts w:ascii="Arial" w:eastAsia="Times New Roman" w:hAnsi="Arial" w:cs="Arial"/>
          <w:lang w:eastAsia="en-GB"/>
        </w:rPr>
        <w:t>channelled</w:t>
      </w:r>
      <w:r w:rsidRPr="000D45E2">
        <w:rPr>
          <w:rFonts w:ascii="Arial" w:eastAsia="Times New Roman" w:hAnsi="Arial" w:cs="Arial"/>
          <w:lang w:eastAsia="en-GB"/>
        </w:rPr>
        <w:t xml:space="preserve"> through complex money laundering schemes involving charities, businesses, and other legitimate organizations. This criminal infrastructure enables Al-Qaeda to operate with a degree of financial autonomy, avoiding traditional sources of funding that may be subject to international sanctions or scrutiny (Bakker, 2011; </w:t>
      </w:r>
      <w:proofErr w:type="spellStart"/>
      <w:r w:rsidRPr="000D45E2">
        <w:rPr>
          <w:rFonts w:ascii="Arial" w:eastAsia="Times New Roman" w:hAnsi="Arial" w:cs="Arial"/>
          <w:lang w:eastAsia="en-GB"/>
        </w:rPr>
        <w:t>Juergensmeyer</w:t>
      </w:r>
      <w:proofErr w:type="spellEnd"/>
      <w:r w:rsidRPr="000D45E2">
        <w:rPr>
          <w:rFonts w:ascii="Arial" w:eastAsia="Times New Roman" w:hAnsi="Arial" w:cs="Arial"/>
          <w:lang w:eastAsia="en-GB"/>
        </w:rPr>
        <w:t>, 2017).</w:t>
      </w:r>
    </w:p>
    <w:p w14:paraId="6F2F1F63" w14:textId="77777777" w:rsidR="008D1161" w:rsidRDefault="008D1161" w:rsidP="000D45E2">
      <w:pPr>
        <w:pStyle w:val="ListParagraph"/>
        <w:spacing w:line="276" w:lineRule="auto"/>
        <w:ind w:left="567" w:right="531"/>
        <w:rPr>
          <w:rFonts w:ascii="Arial" w:eastAsia="Times New Roman" w:hAnsi="Arial" w:cs="Arial"/>
          <w:b/>
          <w:bCs/>
          <w:lang w:eastAsia="en-GB"/>
        </w:rPr>
      </w:pPr>
    </w:p>
    <w:p w14:paraId="41390F9A" w14:textId="5C70D1D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The Islamic State of Iraq and Syria (ISIS), also known as Daesh, is one of the most well-known examples of a terrorist group that heavily relied on criminal activities to fund its operations. ISIS gained significant territory in Iraq and Syria, where it controlled vast swathes of land, including oil fields, during its peak from 2014 to 2017. The group was able to generate substantial revenue through oil smuggling operations, both within the region and internationally. According to reports by the U.S. Department of State (2017), ISIS was able to sell oil to both local businesses and foreign buyers through a network of intermediaries. These oil revenues, estimated to be as much as $500 million a year at its height, were used to fund its military operations, pay its fighters, and finance its propaganda and social media efforts.</w:t>
      </w:r>
    </w:p>
    <w:p w14:paraId="499A7D9D" w14:textId="77777777" w:rsidR="008D1161" w:rsidRDefault="008D1161" w:rsidP="000D45E2">
      <w:pPr>
        <w:pStyle w:val="ListParagraph"/>
        <w:spacing w:line="276" w:lineRule="auto"/>
        <w:ind w:left="567" w:right="531"/>
        <w:rPr>
          <w:rFonts w:ascii="Arial" w:eastAsia="Times New Roman" w:hAnsi="Arial" w:cs="Arial"/>
          <w:lang w:eastAsia="en-GB"/>
        </w:rPr>
      </w:pPr>
    </w:p>
    <w:p w14:paraId="79DB60CD" w14:textId="77777777" w:rsidR="008D1161" w:rsidRPr="000D45E2" w:rsidRDefault="008D1161" w:rsidP="000D45E2">
      <w:pPr>
        <w:pStyle w:val="ListParagraph"/>
        <w:spacing w:line="276" w:lineRule="auto"/>
        <w:ind w:left="567" w:right="531"/>
        <w:rPr>
          <w:rFonts w:ascii="Arial" w:eastAsia="Times New Roman" w:hAnsi="Arial" w:cs="Arial"/>
          <w:lang w:eastAsia="en-GB"/>
        </w:rPr>
      </w:pPr>
    </w:p>
    <w:p w14:paraId="451852EC"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In addition to oil smuggling, ISIS engaged in a wide range of criminal activities, including extortion, kidnapping for ransom, and the looting and selling of artifacts from ancient sites in Iraq and Syria. ISIS's control over key cities like Mosul allowed the group to extort local businesses, collecting “taxes” on goods and services provided by residents. Kidnapping for ransom was another lucrative </w:t>
      </w:r>
      <w:r w:rsidRPr="000D45E2">
        <w:rPr>
          <w:rFonts w:ascii="Arial" w:eastAsia="Times New Roman" w:hAnsi="Arial" w:cs="Arial"/>
          <w:lang w:eastAsia="en-GB"/>
        </w:rPr>
        <w:lastRenderedPageBreak/>
        <w:t>venture for ISIS, as they would capture individuals from both the local population and foreign nationals and demand large sums of money for their release (Hassan, 2014; U.S. Department of State, 2017).</w:t>
      </w:r>
    </w:p>
    <w:p w14:paraId="3A4EB868" w14:textId="77777777" w:rsidR="008D1161" w:rsidRPr="000D45E2" w:rsidRDefault="008D1161" w:rsidP="000D45E2">
      <w:pPr>
        <w:pStyle w:val="ListParagraph"/>
        <w:spacing w:line="276" w:lineRule="auto"/>
        <w:ind w:left="567" w:right="531"/>
        <w:rPr>
          <w:rFonts w:ascii="Arial" w:eastAsia="Times New Roman" w:hAnsi="Arial" w:cs="Arial"/>
          <w:lang w:eastAsia="en-GB"/>
        </w:rPr>
      </w:pPr>
    </w:p>
    <w:p w14:paraId="078169EC"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The Revolutionary Armed Forces of Colombia (FARC) was a Marxist guerrilla group that fought against the Colombian government for over five decades, from its inception in the 1960s until the peace agreement in 2016. During this prolonged insurgency, FARC became heavily involved in the illicit drug trade, particularly in the cultivation, production, and trafficking of cocaine. The group controlled significant swathes of Colombia’s coca-growing regions, where they taxed local farmers and took a cut of the profits from drug traffickers (Horgan, 2008).</w:t>
      </w:r>
    </w:p>
    <w:p w14:paraId="2BCCD80C" w14:textId="77777777" w:rsidR="008D1161" w:rsidRPr="000D45E2" w:rsidRDefault="008D1161" w:rsidP="000D45E2">
      <w:pPr>
        <w:pStyle w:val="ListParagraph"/>
        <w:spacing w:line="276" w:lineRule="auto"/>
        <w:ind w:left="567" w:right="531"/>
        <w:rPr>
          <w:rFonts w:ascii="Arial" w:eastAsia="Times New Roman" w:hAnsi="Arial" w:cs="Arial"/>
          <w:lang w:eastAsia="en-GB"/>
        </w:rPr>
      </w:pPr>
    </w:p>
    <w:p w14:paraId="4E46977E" w14:textId="77777777" w:rsidR="00777D9E"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FARC’s involvement in drug trafficking was not limited to local operations. The group developed sophisticated international networks to smuggle cocaine to the United States, Europe, and other global markets. According to a report by the U.S. Department of State (2017), FARC was responsible for supplying approximately 60% of the cocaine entering the U.S. during its peak years. The revenue generated from the drug trade allowed FARC to sustain its operations, purchase arms, and pay for the daily expenses of its fighters. </w:t>
      </w:r>
    </w:p>
    <w:p w14:paraId="6823CD65" w14:textId="77777777" w:rsidR="00777D9E" w:rsidRDefault="00777D9E" w:rsidP="000D45E2">
      <w:pPr>
        <w:pStyle w:val="ListParagraph"/>
        <w:spacing w:line="276" w:lineRule="auto"/>
        <w:ind w:left="567" w:right="531"/>
        <w:rPr>
          <w:rFonts w:ascii="Arial" w:eastAsia="Times New Roman" w:hAnsi="Arial" w:cs="Arial"/>
          <w:lang w:eastAsia="en-GB"/>
        </w:rPr>
      </w:pPr>
    </w:p>
    <w:p w14:paraId="0AC93205" w14:textId="052E9C03"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In addition to drug trafficking, FARC also funded itself through kidnapping for ransom. The group was notorious for abducting wealthy individuals, politicians, and foreign nationals and demanding large sums of money for their release. This form of criminal activity became one of the group's primary sources of income (Bakker, 2011).</w:t>
      </w:r>
    </w:p>
    <w:p w14:paraId="37259DD3" w14:textId="77777777" w:rsidR="00777D9E" w:rsidRPr="000D45E2" w:rsidRDefault="00777D9E" w:rsidP="000D45E2">
      <w:pPr>
        <w:pStyle w:val="ListParagraph"/>
        <w:spacing w:line="276" w:lineRule="auto"/>
        <w:ind w:left="567" w:right="531"/>
        <w:rPr>
          <w:rFonts w:ascii="Arial" w:eastAsia="Times New Roman" w:hAnsi="Arial" w:cs="Arial"/>
          <w:lang w:eastAsia="en-GB"/>
        </w:rPr>
      </w:pPr>
    </w:p>
    <w:p w14:paraId="3BB8D165"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The Kurdistan Workers' Party (PKK) is a Kurdish separatist organization that has been engaged in a long-running insurgency against the Turkish state since the 1980s. Although initially focused on achieving Kurdish autonomy through armed struggle, the PKK has been accused of financing its operations through criminal activities, including smuggling, extortion, and illicit taxation. In the mountainous regions of southeastern Turkey and northern Iraq, the PKK has operated in areas with limited state control, using this as an opportunity to engage in illegal trade, including the smuggling of goods, weapons, and drugs (Bakker, 2011; Allcock, 2019).</w:t>
      </w:r>
    </w:p>
    <w:p w14:paraId="1F2B6E87" w14:textId="77777777" w:rsidR="00777D9E" w:rsidRPr="000D45E2" w:rsidRDefault="00777D9E" w:rsidP="000D45E2">
      <w:pPr>
        <w:pStyle w:val="ListParagraph"/>
        <w:spacing w:line="276" w:lineRule="auto"/>
        <w:ind w:left="567" w:right="531"/>
        <w:rPr>
          <w:rFonts w:ascii="Arial" w:eastAsia="Times New Roman" w:hAnsi="Arial" w:cs="Arial"/>
          <w:lang w:eastAsia="en-GB"/>
        </w:rPr>
      </w:pPr>
    </w:p>
    <w:p w14:paraId="3C45EF4D" w14:textId="77777777" w:rsidR="000D45E2" w:rsidRP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The PKK’s involvement in smuggling is a key element of its criminal operations. The group has been known to engage in cross-border smuggling activities, particularly along the Turkey-Iraq border. This includes the smuggling of fuel, cigarettes, and other contraband goods, often in collaboration with local criminal groups. Additionally, the PKK has engaged in extortion, forcing local businesses in Kurdish-majority regions to pay “taxes” in exchange for protection. These forms of criminal activity have provided the PKK with the resources necessary to sustain its insurgency against the Turkish government, purchase arms, and fund its social and military programs (Bakker, 2011; Allcock, 2019).</w:t>
      </w:r>
    </w:p>
    <w:p w14:paraId="304B3AC1" w14:textId="77777777" w:rsidR="00777D9E" w:rsidRDefault="00777D9E" w:rsidP="000D45E2">
      <w:pPr>
        <w:pStyle w:val="ListParagraph"/>
        <w:spacing w:line="276" w:lineRule="auto"/>
        <w:ind w:left="567" w:right="531"/>
        <w:rPr>
          <w:rFonts w:ascii="Arial" w:eastAsia="Times New Roman" w:hAnsi="Arial" w:cs="Arial"/>
          <w:b/>
          <w:bCs/>
          <w:lang w:eastAsia="en-GB"/>
        </w:rPr>
      </w:pPr>
    </w:p>
    <w:p w14:paraId="55C82A3C" w14:textId="3043B388"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lastRenderedPageBreak/>
        <w:t>The intersection between terrorism and criminality presents several challenges for counter-terrorism policing. Understanding the ways in which terrorist groups fund their operations through criminal activity can significantly enhance the effectiveness of counter-terrorism strategies. Below are some key insights into how law enforcement and intelligence agencies can address this issue.</w:t>
      </w:r>
    </w:p>
    <w:p w14:paraId="71E1D243" w14:textId="77777777" w:rsidR="00777D9E" w:rsidRDefault="00777D9E" w:rsidP="000D45E2">
      <w:pPr>
        <w:pStyle w:val="ListParagraph"/>
        <w:spacing w:line="276" w:lineRule="auto"/>
        <w:ind w:left="567" w:right="531"/>
        <w:rPr>
          <w:rFonts w:ascii="Arial" w:eastAsia="Times New Roman" w:hAnsi="Arial" w:cs="Arial"/>
          <w:b/>
          <w:bCs/>
          <w:lang w:eastAsia="en-GB"/>
        </w:rPr>
      </w:pPr>
    </w:p>
    <w:p w14:paraId="5D0A8E1F" w14:textId="77777777" w:rsidR="00A945AE"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One of the most important lessons from the criminal activities of terrorist organizations is the need for enhanced intelligence sharing and international collaboration. As terrorist organizations often operate transnationally, involving multiple countries and criminal networks, counter-terrorism agencies must work together to disrupt these financial networks. </w:t>
      </w:r>
    </w:p>
    <w:p w14:paraId="52A7A0A7" w14:textId="77777777" w:rsidR="00A945AE" w:rsidRDefault="00A945AE" w:rsidP="000D45E2">
      <w:pPr>
        <w:pStyle w:val="ListParagraph"/>
        <w:spacing w:line="276" w:lineRule="auto"/>
        <w:ind w:left="567" w:right="531"/>
        <w:rPr>
          <w:rFonts w:ascii="Arial" w:eastAsia="Times New Roman" w:hAnsi="Arial" w:cs="Arial"/>
          <w:lang w:eastAsia="en-GB"/>
        </w:rPr>
      </w:pPr>
    </w:p>
    <w:p w14:paraId="29BE7625" w14:textId="78FB102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By sharing information on criminal activities, such as drug trafficking or money laundering, law enforcement agencies can develop a clearer picture of the ways in which terrorist groups operate and use their criminal enterprises to fund their activities (Chesney, 2014).</w:t>
      </w:r>
    </w:p>
    <w:p w14:paraId="1E5247BA" w14:textId="77777777" w:rsidR="00A945AE" w:rsidRPr="000D45E2" w:rsidRDefault="00A945AE" w:rsidP="000D45E2">
      <w:pPr>
        <w:pStyle w:val="ListParagraph"/>
        <w:spacing w:line="276" w:lineRule="auto"/>
        <w:ind w:left="567" w:right="531"/>
        <w:rPr>
          <w:rFonts w:ascii="Arial" w:eastAsia="Times New Roman" w:hAnsi="Arial" w:cs="Arial"/>
          <w:lang w:eastAsia="en-GB"/>
        </w:rPr>
      </w:pPr>
    </w:p>
    <w:p w14:paraId="0AC727B6"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For instance, the European Union has established frameworks for intelligence sharing, such as the European Counter-Terrorism Centre (ECTC), which coordinates efforts between national police forces to identify and dismantle criminal networks linked to terrorism (Europol, 2020). Similarly, international organizations like the UNODC have been instrumental in tracking the nexus between the drug trade and terrorism, which is crucial for developing a coordinated response (UNODC, 2020).</w:t>
      </w:r>
    </w:p>
    <w:p w14:paraId="089C5641" w14:textId="77777777" w:rsidR="00A945AE" w:rsidRPr="000D45E2" w:rsidRDefault="00A945AE" w:rsidP="000D45E2">
      <w:pPr>
        <w:pStyle w:val="ListParagraph"/>
        <w:spacing w:line="276" w:lineRule="auto"/>
        <w:ind w:left="567" w:right="531"/>
        <w:rPr>
          <w:rFonts w:ascii="Arial" w:eastAsia="Times New Roman" w:hAnsi="Arial" w:cs="Arial"/>
          <w:lang w:eastAsia="en-GB"/>
        </w:rPr>
      </w:pPr>
    </w:p>
    <w:p w14:paraId="154B226C" w14:textId="11D7BB46" w:rsidR="000D45E2" w:rsidRPr="000D45E2" w:rsidRDefault="000D45E2" w:rsidP="000D45E2">
      <w:pPr>
        <w:pStyle w:val="ListParagraph"/>
        <w:spacing w:line="276" w:lineRule="auto"/>
        <w:ind w:left="567" w:right="531"/>
        <w:rPr>
          <w:rFonts w:ascii="Arial" w:eastAsia="Times New Roman" w:hAnsi="Arial" w:cs="Arial"/>
          <w:b/>
          <w:bCs/>
          <w:lang w:eastAsia="en-GB"/>
        </w:rPr>
      </w:pPr>
    </w:p>
    <w:p w14:paraId="7E7450A3"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Counter-terrorism policing must also focus on disrupting the financial networks that sustain terrorist organizations. This includes targeting illicit activities such as money laundering, fraud, and the trade in stolen goods. Law enforcement agencies can employ a range of strategies to identify and track financial flows, such as monitoring banking transactions, freezing assets, and tracing the movement of goods (Hassan, 2014).</w:t>
      </w:r>
    </w:p>
    <w:p w14:paraId="2F6681E1" w14:textId="77777777" w:rsidR="00A945AE" w:rsidRPr="000D45E2" w:rsidRDefault="00A945AE" w:rsidP="000D45E2">
      <w:pPr>
        <w:pStyle w:val="ListParagraph"/>
        <w:spacing w:line="276" w:lineRule="auto"/>
        <w:ind w:left="567" w:right="531"/>
        <w:rPr>
          <w:rFonts w:ascii="Arial" w:eastAsia="Times New Roman" w:hAnsi="Arial" w:cs="Arial"/>
          <w:lang w:eastAsia="en-GB"/>
        </w:rPr>
      </w:pPr>
    </w:p>
    <w:p w14:paraId="4F468163" w14:textId="04D97D25"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One approach is the use of financial intelligence units (FIUs), which are specialized agencies responsible for collecting, </w:t>
      </w:r>
      <w:r w:rsidR="00A945AE" w:rsidRPr="000D45E2">
        <w:rPr>
          <w:rFonts w:ascii="Arial" w:eastAsia="Times New Roman" w:hAnsi="Arial" w:cs="Arial"/>
          <w:lang w:eastAsia="en-GB"/>
        </w:rPr>
        <w:t>analysing</w:t>
      </w:r>
      <w:r w:rsidRPr="000D45E2">
        <w:rPr>
          <w:rFonts w:ascii="Arial" w:eastAsia="Times New Roman" w:hAnsi="Arial" w:cs="Arial"/>
          <w:lang w:eastAsia="en-GB"/>
        </w:rPr>
        <w:t>, and disseminating information related to financial crimes. FIUs can work with international bodies such as the Financial Action Task Force (FATF) to identify and block the financial infrastructure of terrorist organizations (FATF, 2020).</w:t>
      </w:r>
    </w:p>
    <w:p w14:paraId="48DFD63E" w14:textId="77777777" w:rsidR="00A945AE" w:rsidRPr="000D45E2" w:rsidRDefault="00A945AE" w:rsidP="000D45E2">
      <w:pPr>
        <w:pStyle w:val="ListParagraph"/>
        <w:spacing w:line="276" w:lineRule="auto"/>
        <w:ind w:left="567" w:right="531"/>
        <w:rPr>
          <w:rFonts w:ascii="Arial" w:eastAsia="Times New Roman" w:hAnsi="Arial" w:cs="Arial"/>
          <w:lang w:eastAsia="en-GB"/>
        </w:rPr>
      </w:pPr>
    </w:p>
    <w:p w14:paraId="1D2DF118" w14:textId="13318C28"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Another strategy in counter-terrorism policing is to target the key criminal infrastructures that enable terrorist organizations to engage in illicit activities. This includes dismantling smuggling routes, disrupting drug production and trafficking operations, and identifying and </w:t>
      </w:r>
      <w:r w:rsidR="00A945AE" w:rsidRPr="000D45E2">
        <w:rPr>
          <w:rFonts w:ascii="Arial" w:eastAsia="Times New Roman" w:hAnsi="Arial" w:cs="Arial"/>
          <w:lang w:eastAsia="en-GB"/>
        </w:rPr>
        <w:t>closing</w:t>
      </w:r>
      <w:r w:rsidRPr="000D45E2">
        <w:rPr>
          <w:rFonts w:ascii="Arial" w:eastAsia="Times New Roman" w:hAnsi="Arial" w:cs="Arial"/>
          <w:lang w:eastAsia="en-GB"/>
        </w:rPr>
        <w:t xml:space="preserve"> businesses that are complicit in supporting terrorism. By targeting these infrastructures, law enforcement agencies can limit the operational capacity of terrorist groups, making it more difficult for them to sustain their activities.</w:t>
      </w:r>
    </w:p>
    <w:p w14:paraId="538EFCFD" w14:textId="77777777" w:rsidR="00A945AE" w:rsidRDefault="00A945AE" w:rsidP="000D45E2">
      <w:pPr>
        <w:pStyle w:val="ListParagraph"/>
        <w:spacing w:line="276" w:lineRule="auto"/>
        <w:ind w:left="567" w:right="531"/>
        <w:rPr>
          <w:rFonts w:ascii="Arial" w:eastAsia="Times New Roman" w:hAnsi="Arial" w:cs="Arial"/>
          <w:lang w:eastAsia="en-GB"/>
        </w:rPr>
      </w:pPr>
    </w:p>
    <w:p w14:paraId="38012636" w14:textId="77777777" w:rsidR="00A945AE" w:rsidRPr="000D45E2" w:rsidRDefault="00A945AE" w:rsidP="000D45E2">
      <w:pPr>
        <w:pStyle w:val="ListParagraph"/>
        <w:spacing w:line="276" w:lineRule="auto"/>
        <w:ind w:left="567" w:right="531"/>
        <w:rPr>
          <w:rFonts w:ascii="Arial" w:eastAsia="Times New Roman" w:hAnsi="Arial" w:cs="Arial"/>
          <w:lang w:eastAsia="en-GB"/>
        </w:rPr>
      </w:pPr>
    </w:p>
    <w:p w14:paraId="0686E171"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lastRenderedPageBreak/>
        <w:t>For example, efforts to combat the illicit drug trade in Afghanistan, such as those led by the U.S. and NATO forces, have sought to disrupt the Taliban’s ability to profit from the opium trade. These efforts have involved targeting drug labs, intercepting shipments, and supporting alternative livelihoods for farmers (UNODC, 2020).</w:t>
      </w:r>
    </w:p>
    <w:p w14:paraId="38F08320" w14:textId="77777777" w:rsidR="00A945AE" w:rsidRDefault="00A945AE" w:rsidP="000D45E2">
      <w:pPr>
        <w:pStyle w:val="ListParagraph"/>
        <w:spacing w:line="276" w:lineRule="auto"/>
        <w:ind w:left="567" w:right="531"/>
        <w:rPr>
          <w:rFonts w:ascii="Arial" w:eastAsia="Times New Roman" w:hAnsi="Arial" w:cs="Arial"/>
          <w:lang w:eastAsia="en-GB"/>
        </w:rPr>
      </w:pPr>
    </w:p>
    <w:p w14:paraId="112BF790" w14:textId="77777777" w:rsidR="00A945AE" w:rsidRPr="000D45E2" w:rsidRDefault="00A945AE" w:rsidP="000D45E2">
      <w:pPr>
        <w:pStyle w:val="ListParagraph"/>
        <w:spacing w:line="276" w:lineRule="auto"/>
        <w:ind w:left="567" w:right="531"/>
        <w:rPr>
          <w:rFonts w:ascii="Arial" w:eastAsia="Times New Roman" w:hAnsi="Arial" w:cs="Arial"/>
          <w:lang w:eastAsia="en-GB"/>
        </w:rPr>
      </w:pPr>
    </w:p>
    <w:p w14:paraId="36410998" w14:textId="77777777" w:rsidR="00320C0C"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Terrorist organizations are frequently involved in various forms of criminality, particularly acquisitive crimes, as a means of financing their operations. From drug trafficking to kidnapping for ransom, these illicit activities provide terrorist groups with the resources needed to sustain their activities and achieve their strategic goals. </w:t>
      </w:r>
    </w:p>
    <w:p w14:paraId="12F51223" w14:textId="77777777" w:rsidR="00320C0C" w:rsidRDefault="00320C0C" w:rsidP="000D45E2">
      <w:pPr>
        <w:pStyle w:val="ListParagraph"/>
        <w:spacing w:line="276" w:lineRule="auto"/>
        <w:ind w:left="567" w:right="531"/>
        <w:rPr>
          <w:rFonts w:ascii="Arial" w:eastAsia="Times New Roman" w:hAnsi="Arial" w:cs="Arial"/>
          <w:lang w:eastAsia="en-GB"/>
        </w:rPr>
      </w:pPr>
    </w:p>
    <w:p w14:paraId="6C9E7F1A" w14:textId="7819DB0A"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Understanding the relationship between terrorism and criminality is essential for developing effective counter-terrorism strategies. By targeting the financial networks and criminal infrastructures that support terrorist organizations, law enforcement agencies can disrupt their operations and reduce their capacity to carry out attacks. Intelligence sharing, collaboration, and financial intelligence are key components of a successful counter-terrorism approach that addresses the complex relationship between terrorism and criminal activity.</w:t>
      </w:r>
    </w:p>
    <w:p w14:paraId="57F843F5" w14:textId="77777777" w:rsidR="00320C0C" w:rsidRDefault="00320C0C" w:rsidP="000D45E2">
      <w:pPr>
        <w:pStyle w:val="ListParagraph"/>
        <w:spacing w:line="276" w:lineRule="auto"/>
        <w:ind w:left="567" w:right="531"/>
        <w:rPr>
          <w:rFonts w:ascii="Arial" w:eastAsia="Times New Roman" w:hAnsi="Arial" w:cs="Arial"/>
          <w:lang w:eastAsia="en-GB"/>
        </w:rPr>
      </w:pPr>
    </w:p>
    <w:p w14:paraId="300ED9D9" w14:textId="1ADD498C" w:rsidR="00320C0C" w:rsidRPr="000D45E2" w:rsidRDefault="00320C0C" w:rsidP="000D45E2">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(Word count 2180)</w:t>
      </w:r>
    </w:p>
    <w:p w14:paraId="23D7F766" w14:textId="77777777" w:rsidR="000D45E2" w:rsidRDefault="000D45E2" w:rsidP="000D45E2">
      <w:pPr>
        <w:pStyle w:val="ListParagraph"/>
        <w:spacing w:line="276" w:lineRule="auto"/>
        <w:ind w:left="567" w:right="531"/>
        <w:rPr>
          <w:rFonts w:ascii="Arial" w:eastAsia="Times New Roman" w:hAnsi="Arial" w:cs="Arial"/>
          <w:b/>
          <w:bCs/>
          <w:lang w:eastAsia="en-GB"/>
        </w:rPr>
      </w:pPr>
    </w:p>
    <w:p w14:paraId="7D23911B" w14:textId="49D0A4B7" w:rsidR="000D45E2" w:rsidRDefault="000D45E2" w:rsidP="000D45E2">
      <w:pPr>
        <w:pStyle w:val="ListParagraph"/>
        <w:spacing w:line="276" w:lineRule="auto"/>
        <w:ind w:left="567" w:right="531"/>
        <w:rPr>
          <w:rFonts w:ascii="Arial" w:eastAsia="Times New Roman" w:hAnsi="Arial" w:cs="Arial"/>
          <w:b/>
          <w:bCs/>
          <w:lang w:eastAsia="en-GB"/>
        </w:rPr>
      </w:pPr>
      <w:r>
        <w:rPr>
          <w:rFonts w:ascii="Arial" w:eastAsia="Times New Roman" w:hAnsi="Arial" w:cs="Arial"/>
          <w:b/>
          <w:bCs/>
          <w:lang w:eastAsia="en-GB"/>
        </w:rPr>
        <w:t xml:space="preserve">Bibliography </w:t>
      </w:r>
    </w:p>
    <w:p w14:paraId="4FF74B73" w14:textId="77777777" w:rsidR="000D45E2" w:rsidRDefault="000D45E2" w:rsidP="000D45E2">
      <w:pPr>
        <w:pStyle w:val="ListParagraph"/>
        <w:spacing w:line="276" w:lineRule="auto"/>
        <w:ind w:left="567" w:right="531"/>
        <w:rPr>
          <w:rFonts w:ascii="Arial" w:eastAsia="Times New Roman" w:hAnsi="Arial" w:cs="Arial"/>
          <w:b/>
          <w:bCs/>
          <w:lang w:eastAsia="en-GB"/>
        </w:rPr>
      </w:pPr>
    </w:p>
    <w:p w14:paraId="7E2E290D" w14:textId="2F3AC851"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Allcock, J.B., 2019. </w:t>
      </w:r>
      <w:r w:rsidRPr="000D45E2">
        <w:rPr>
          <w:rFonts w:ascii="Arial" w:eastAsia="Times New Roman" w:hAnsi="Arial" w:cs="Arial"/>
          <w:i/>
          <w:iCs/>
          <w:lang w:eastAsia="en-GB"/>
        </w:rPr>
        <w:t>The Kurdistan Workers' Party (PKK) and Turkey's Counter-Terrorism Efforts</w:t>
      </w:r>
      <w:r w:rsidRPr="000D45E2">
        <w:rPr>
          <w:rFonts w:ascii="Arial" w:eastAsia="Times New Roman" w:hAnsi="Arial" w:cs="Arial"/>
          <w:lang w:eastAsia="en-GB"/>
        </w:rPr>
        <w:t>. London: Palgrave Macmillan.</w:t>
      </w:r>
    </w:p>
    <w:p w14:paraId="3B34F488" w14:textId="77777777" w:rsidR="000D45E2" w:rsidRPr="000D45E2" w:rsidRDefault="000D45E2" w:rsidP="000D45E2">
      <w:pPr>
        <w:pStyle w:val="ListParagraph"/>
        <w:spacing w:line="276" w:lineRule="auto"/>
        <w:ind w:left="567" w:right="531"/>
        <w:rPr>
          <w:rFonts w:ascii="Arial" w:eastAsia="Times New Roman" w:hAnsi="Arial" w:cs="Arial"/>
          <w:lang w:eastAsia="en-GB"/>
        </w:rPr>
      </w:pPr>
    </w:p>
    <w:p w14:paraId="4BE9C9C3"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Bakker, E. &amp; de Bont, R., 2016. </w:t>
      </w:r>
      <w:r w:rsidRPr="000D45E2">
        <w:rPr>
          <w:rFonts w:ascii="Arial" w:eastAsia="Times New Roman" w:hAnsi="Arial" w:cs="Arial"/>
          <w:i/>
          <w:iCs/>
          <w:lang w:eastAsia="en-GB"/>
        </w:rPr>
        <w:t>Terrorist Financing: Sources and Methods</w:t>
      </w:r>
      <w:r w:rsidRPr="000D45E2">
        <w:rPr>
          <w:rFonts w:ascii="Arial" w:eastAsia="Times New Roman" w:hAnsi="Arial" w:cs="Arial"/>
          <w:lang w:eastAsia="en-GB"/>
        </w:rPr>
        <w:t>. Amsterdam: Amsterdam University Press.</w:t>
      </w:r>
    </w:p>
    <w:p w14:paraId="02B40751" w14:textId="77777777" w:rsidR="000D45E2" w:rsidRPr="000D45E2" w:rsidRDefault="000D45E2" w:rsidP="000D45E2">
      <w:pPr>
        <w:pStyle w:val="ListParagraph"/>
        <w:spacing w:line="276" w:lineRule="auto"/>
        <w:ind w:left="567" w:right="531"/>
        <w:rPr>
          <w:rFonts w:ascii="Arial" w:eastAsia="Times New Roman" w:hAnsi="Arial" w:cs="Arial"/>
          <w:lang w:eastAsia="en-GB"/>
        </w:rPr>
      </w:pPr>
    </w:p>
    <w:p w14:paraId="62EE295C"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Bakker, E., 2011. </w:t>
      </w:r>
      <w:r w:rsidRPr="000D45E2">
        <w:rPr>
          <w:rFonts w:ascii="Arial" w:eastAsia="Times New Roman" w:hAnsi="Arial" w:cs="Arial"/>
          <w:i/>
          <w:iCs/>
          <w:lang w:eastAsia="en-GB"/>
        </w:rPr>
        <w:t>Terrorist Groups and the Globalization of Crime</w:t>
      </w:r>
      <w:r w:rsidRPr="000D45E2">
        <w:rPr>
          <w:rFonts w:ascii="Arial" w:eastAsia="Times New Roman" w:hAnsi="Arial" w:cs="Arial"/>
          <w:lang w:eastAsia="en-GB"/>
        </w:rPr>
        <w:t>. Amsterdam: University Press.</w:t>
      </w:r>
    </w:p>
    <w:p w14:paraId="64A5EAC8" w14:textId="77777777" w:rsidR="000D45E2" w:rsidRPr="000D45E2" w:rsidRDefault="000D45E2" w:rsidP="000D45E2">
      <w:pPr>
        <w:pStyle w:val="ListParagraph"/>
        <w:spacing w:line="276" w:lineRule="auto"/>
        <w:ind w:left="567" w:right="531"/>
        <w:rPr>
          <w:rFonts w:ascii="Arial" w:eastAsia="Times New Roman" w:hAnsi="Arial" w:cs="Arial"/>
          <w:lang w:eastAsia="en-GB"/>
        </w:rPr>
      </w:pPr>
    </w:p>
    <w:p w14:paraId="65B5A15C"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Borum, R., 2004. </w:t>
      </w:r>
      <w:r w:rsidRPr="000D45E2">
        <w:rPr>
          <w:rFonts w:ascii="Arial" w:eastAsia="Times New Roman" w:hAnsi="Arial" w:cs="Arial"/>
          <w:i/>
          <w:iCs/>
          <w:lang w:eastAsia="en-GB"/>
        </w:rPr>
        <w:t>Psychology of Terrorism</w:t>
      </w:r>
      <w:r w:rsidRPr="000D45E2">
        <w:rPr>
          <w:rFonts w:ascii="Arial" w:eastAsia="Times New Roman" w:hAnsi="Arial" w:cs="Arial"/>
          <w:lang w:eastAsia="en-GB"/>
        </w:rPr>
        <w:t>. Tampa, FL: University of South Florida Press.</w:t>
      </w:r>
    </w:p>
    <w:p w14:paraId="6F5C783F" w14:textId="77777777" w:rsidR="000D45E2" w:rsidRPr="000D45E2" w:rsidRDefault="000D45E2" w:rsidP="000D45E2">
      <w:pPr>
        <w:pStyle w:val="ListParagraph"/>
        <w:spacing w:line="276" w:lineRule="auto"/>
        <w:ind w:left="567" w:right="531"/>
        <w:rPr>
          <w:rFonts w:ascii="Arial" w:eastAsia="Times New Roman" w:hAnsi="Arial" w:cs="Arial"/>
          <w:lang w:eastAsia="en-GB"/>
        </w:rPr>
      </w:pPr>
    </w:p>
    <w:p w14:paraId="03FC38B1"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Chesney, R., 2014. </w:t>
      </w:r>
      <w:r w:rsidRPr="000D45E2">
        <w:rPr>
          <w:rFonts w:ascii="Arial" w:eastAsia="Times New Roman" w:hAnsi="Arial" w:cs="Arial"/>
          <w:i/>
          <w:iCs/>
          <w:lang w:eastAsia="en-GB"/>
        </w:rPr>
        <w:t>Terrorism and the Law: Understanding Counter-Terrorism Policy in a Globalized World</w:t>
      </w:r>
      <w:r w:rsidRPr="000D45E2">
        <w:rPr>
          <w:rFonts w:ascii="Arial" w:eastAsia="Times New Roman" w:hAnsi="Arial" w:cs="Arial"/>
          <w:lang w:eastAsia="en-GB"/>
        </w:rPr>
        <w:t>. London: Routledge.</w:t>
      </w:r>
    </w:p>
    <w:p w14:paraId="7F8F12CC" w14:textId="77777777" w:rsidR="000D45E2" w:rsidRPr="000D45E2" w:rsidRDefault="000D45E2" w:rsidP="000D45E2">
      <w:pPr>
        <w:pStyle w:val="ListParagraph"/>
        <w:spacing w:line="276" w:lineRule="auto"/>
        <w:ind w:left="567" w:right="531"/>
        <w:rPr>
          <w:rFonts w:ascii="Arial" w:eastAsia="Times New Roman" w:hAnsi="Arial" w:cs="Arial"/>
          <w:lang w:eastAsia="en-GB"/>
        </w:rPr>
      </w:pPr>
    </w:p>
    <w:p w14:paraId="7E1791D9"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Davis, P., 2018. </w:t>
      </w:r>
      <w:r w:rsidRPr="000D45E2">
        <w:rPr>
          <w:rFonts w:ascii="Arial" w:eastAsia="Times New Roman" w:hAnsi="Arial" w:cs="Arial"/>
          <w:i/>
          <w:iCs/>
          <w:lang w:eastAsia="en-GB"/>
        </w:rPr>
        <w:t>The Political Economy of Insurgency and Terrorism: How Money Fuels Violence</w:t>
      </w:r>
      <w:r w:rsidRPr="000D45E2">
        <w:rPr>
          <w:rFonts w:ascii="Arial" w:eastAsia="Times New Roman" w:hAnsi="Arial" w:cs="Arial"/>
          <w:lang w:eastAsia="en-GB"/>
        </w:rPr>
        <w:t xml:space="preserve">. </w:t>
      </w:r>
      <w:r w:rsidRPr="000D45E2">
        <w:rPr>
          <w:rFonts w:ascii="Arial" w:eastAsia="Times New Roman" w:hAnsi="Arial" w:cs="Arial"/>
          <w:i/>
          <w:iCs/>
          <w:lang w:eastAsia="en-GB"/>
        </w:rPr>
        <w:t>Journal of Political Risk</w:t>
      </w:r>
      <w:r w:rsidRPr="000D45E2">
        <w:rPr>
          <w:rFonts w:ascii="Arial" w:eastAsia="Times New Roman" w:hAnsi="Arial" w:cs="Arial"/>
          <w:lang w:eastAsia="en-GB"/>
        </w:rPr>
        <w:t>, 6(2), pp. 32-58.</w:t>
      </w:r>
    </w:p>
    <w:p w14:paraId="25692FB5" w14:textId="77777777" w:rsidR="000D45E2" w:rsidRDefault="000D45E2" w:rsidP="000D45E2">
      <w:pPr>
        <w:pStyle w:val="ListParagraph"/>
        <w:spacing w:line="276" w:lineRule="auto"/>
        <w:ind w:left="567" w:right="531"/>
        <w:rPr>
          <w:rFonts w:ascii="Arial" w:eastAsia="Times New Roman" w:hAnsi="Arial" w:cs="Arial"/>
          <w:lang w:eastAsia="en-GB"/>
        </w:rPr>
      </w:pPr>
    </w:p>
    <w:p w14:paraId="694330D5"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Dufresne, P., 2015. </w:t>
      </w:r>
      <w:r w:rsidRPr="000D45E2">
        <w:rPr>
          <w:rFonts w:ascii="Arial" w:eastAsia="Times New Roman" w:hAnsi="Arial" w:cs="Arial"/>
          <w:i/>
          <w:iCs/>
          <w:lang w:eastAsia="en-GB"/>
        </w:rPr>
        <w:t>Criminal Networks and Terrorist Organizations: Exploring the Symbiosis</w:t>
      </w:r>
      <w:r w:rsidRPr="000D45E2">
        <w:rPr>
          <w:rFonts w:ascii="Arial" w:eastAsia="Times New Roman" w:hAnsi="Arial" w:cs="Arial"/>
          <w:lang w:eastAsia="en-GB"/>
        </w:rPr>
        <w:t xml:space="preserve">. </w:t>
      </w:r>
      <w:r w:rsidRPr="000D45E2">
        <w:rPr>
          <w:rFonts w:ascii="Arial" w:eastAsia="Times New Roman" w:hAnsi="Arial" w:cs="Arial"/>
          <w:i/>
          <w:iCs/>
          <w:lang w:eastAsia="en-GB"/>
        </w:rPr>
        <w:t>International Journal of Terrorism and Political Crime</w:t>
      </w:r>
      <w:r w:rsidRPr="000D45E2">
        <w:rPr>
          <w:rFonts w:ascii="Arial" w:eastAsia="Times New Roman" w:hAnsi="Arial" w:cs="Arial"/>
          <w:lang w:eastAsia="en-GB"/>
        </w:rPr>
        <w:t>, 34(1), pp. 1-15.</w:t>
      </w:r>
    </w:p>
    <w:p w14:paraId="7221EFA8" w14:textId="77777777" w:rsidR="000D45E2" w:rsidRPr="000D45E2" w:rsidRDefault="000D45E2" w:rsidP="000D45E2">
      <w:pPr>
        <w:pStyle w:val="ListParagraph"/>
        <w:spacing w:line="276" w:lineRule="auto"/>
        <w:ind w:left="567" w:right="531"/>
        <w:rPr>
          <w:rFonts w:ascii="Arial" w:eastAsia="Times New Roman" w:hAnsi="Arial" w:cs="Arial"/>
          <w:lang w:eastAsia="en-GB"/>
        </w:rPr>
      </w:pPr>
    </w:p>
    <w:p w14:paraId="51B55716"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Europol, 2020. </w:t>
      </w:r>
      <w:r w:rsidRPr="000D45E2">
        <w:rPr>
          <w:rFonts w:ascii="Arial" w:eastAsia="Times New Roman" w:hAnsi="Arial" w:cs="Arial"/>
          <w:i/>
          <w:iCs/>
          <w:lang w:eastAsia="en-GB"/>
        </w:rPr>
        <w:t>The European Counter-Terrorism Centre</w:t>
      </w:r>
      <w:r w:rsidRPr="000D45E2">
        <w:rPr>
          <w:rFonts w:ascii="Arial" w:eastAsia="Times New Roman" w:hAnsi="Arial" w:cs="Arial"/>
          <w:lang w:eastAsia="en-GB"/>
        </w:rPr>
        <w:t xml:space="preserve">. Available at: </w:t>
      </w:r>
      <w:hyperlink r:id="rId5" w:tgtFrame="_new" w:history="1">
        <w:r w:rsidRPr="000D45E2">
          <w:rPr>
            <w:rStyle w:val="Hyperlink"/>
            <w:rFonts w:ascii="Arial" w:eastAsia="Times New Roman" w:hAnsi="Arial" w:cs="Arial"/>
            <w:lang w:eastAsia="en-GB"/>
          </w:rPr>
          <w:t>https://www.europol.europa.eu</w:t>
        </w:r>
      </w:hyperlink>
      <w:r w:rsidRPr="000D45E2">
        <w:rPr>
          <w:rFonts w:ascii="Arial" w:eastAsia="Times New Roman" w:hAnsi="Arial" w:cs="Arial"/>
          <w:lang w:eastAsia="en-GB"/>
        </w:rPr>
        <w:t xml:space="preserve"> [Accessed 7 April 2025].</w:t>
      </w:r>
    </w:p>
    <w:p w14:paraId="19F6DACC" w14:textId="77777777" w:rsidR="000D45E2" w:rsidRPr="000D45E2" w:rsidRDefault="000D45E2" w:rsidP="000D45E2">
      <w:pPr>
        <w:pStyle w:val="ListParagraph"/>
        <w:spacing w:line="276" w:lineRule="auto"/>
        <w:ind w:left="567" w:right="531"/>
        <w:rPr>
          <w:rFonts w:ascii="Arial" w:eastAsia="Times New Roman" w:hAnsi="Arial" w:cs="Arial"/>
          <w:lang w:eastAsia="en-GB"/>
        </w:rPr>
      </w:pPr>
    </w:p>
    <w:p w14:paraId="34DABC90"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FATF, 2020. </w:t>
      </w:r>
      <w:r w:rsidRPr="000D45E2">
        <w:rPr>
          <w:rFonts w:ascii="Arial" w:eastAsia="Times New Roman" w:hAnsi="Arial" w:cs="Arial"/>
          <w:i/>
          <w:iCs/>
          <w:lang w:eastAsia="en-GB"/>
        </w:rPr>
        <w:t>Financial Action Task Force Report on Money Laundering and Terrorist Financing</w:t>
      </w:r>
      <w:r w:rsidRPr="000D45E2">
        <w:rPr>
          <w:rFonts w:ascii="Arial" w:eastAsia="Times New Roman" w:hAnsi="Arial" w:cs="Arial"/>
          <w:lang w:eastAsia="en-GB"/>
        </w:rPr>
        <w:t>. Paris: FATF.</w:t>
      </w:r>
    </w:p>
    <w:p w14:paraId="2DB728D9" w14:textId="77777777" w:rsidR="000D45E2" w:rsidRPr="000D45E2" w:rsidRDefault="000D45E2" w:rsidP="000D45E2">
      <w:pPr>
        <w:pStyle w:val="ListParagraph"/>
        <w:spacing w:line="276" w:lineRule="auto"/>
        <w:ind w:left="567" w:right="531"/>
        <w:rPr>
          <w:rFonts w:ascii="Arial" w:eastAsia="Times New Roman" w:hAnsi="Arial" w:cs="Arial"/>
          <w:lang w:eastAsia="en-GB"/>
        </w:rPr>
      </w:pPr>
    </w:p>
    <w:p w14:paraId="4680A46C"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Freeman, S. &amp; Dolan, C., 2016. </w:t>
      </w:r>
      <w:r w:rsidRPr="000D45E2">
        <w:rPr>
          <w:rFonts w:ascii="Arial" w:eastAsia="Times New Roman" w:hAnsi="Arial" w:cs="Arial"/>
          <w:i/>
          <w:iCs/>
          <w:lang w:eastAsia="en-GB"/>
        </w:rPr>
        <w:t>Terrorism Financing: A Global and Local Perspective</w:t>
      </w:r>
      <w:r w:rsidRPr="000D45E2">
        <w:rPr>
          <w:rFonts w:ascii="Arial" w:eastAsia="Times New Roman" w:hAnsi="Arial" w:cs="Arial"/>
          <w:lang w:eastAsia="en-GB"/>
        </w:rPr>
        <w:t xml:space="preserve">. </w:t>
      </w:r>
      <w:r w:rsidRPr="000D45E2">
        <w:rPr>
          <w:rFonts w:ascii="Arial" w:eastAsia="Times New Roman" w:hAnsi="Arial" w:cs="Arial"/>
          <w:i/>
          <w:iCs/>
          <w:lang w:eastAsia="en-GB"/>
        </w:rPr>
        <w:t xml:space="preserve">International Journal of Intelligence and </w:t>
      </w:r>
      <w:proofErr w:type="spellStart"/>
      <w:r w:rsidRPr="000D45E2">
        <w:rPr>
          <w:rFonts w:ascii="Arial" w:eastAsia="Times New Roman" w:hAnsi="Arial" w:cs="Arial"/>
          <w:i/>
          <w:iCs/>
          <w:lang w:eastAsia="en-GB"/>
        </w:rPr>
        <w:t>CounterIntelligence</w:t>
      </w:r>
      <w:proofErr w:type="spellEnd"/>
      <w:r w:rsidRPr="000D45E2">
        <w:rPr>
          <w:rFonts w:ascii="Arial" w:eastAsia="Times New Roman" w:hAnsi="Arial" w:cs="Arial"/>
          <w:lang w:eastAsia="en-GB"/>
        </w:rPr>
        <w:t>, 29(3), pp. 420-445.</w:t>
      </w:r>
    </w:p>
    <w:p w14:paraId="2862AEE5" w14:textId="77777777" w:rsidR="000D45E2" w:rsidRPr="000D45E2" w:rsidRDefault="000D45E2" w:rsidP="000D45E2">
      <w:pPr>
        <w:pStyle w:val="ListParagraph"/>
        <w:spacing w:line="276" w:lineRule="auto"/>
        <w:ind w:left="567" w:right="531"/>
        <w:rPr>
          <w:rFonts w:ascii="Arial" w:eastAsia="Times New Roman" w:hAnsi="Arial" w:cs="Arial"/>
          <w:lang w:eastAsia="en-GB"/>
        </w:rPr>
      </w:pPr>
    </w:p>
    <w:p w14:paraId="5030A158"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Hassan, H., 2014. </w:t>
      </w:r>
      <w:r w:rsidRPr="000D45E2">
        <w:rPr>
          <w:rFonts w:ascii="Arial" w:eastAsia="Times New Roman" w:hAnsi="Arial" w:cs="Arial"/>
          <w:i/>
          <w:iCs/>
          <w:lang w:eastAsia="en-GB"/>
        </w:rPr>
        <w:t>The Financing of Terrorism</w:t>
      </w:r>
      <w:r w:rsidRPr="000D45E2">
        <w:rPr>
          <w:rFonts w:ascii="Arial" w:eastAsia="Times New Roman" w:hAnsi="Arial" w:cs="Arial"/>
          <w:lang w:eastAsia="en-GB"/>
        </w:rPr>
        <w:t>. Washington, D.C.: Brookings Institution Press.</w:t>
      </w:r>
    </w:p>
    <w:p w14:paraId="5C836D16" w14:textId="77777777" w:rsidR="000D45E2" w:rsidRPr="000D45E2" w:rsidRDefault="000D45E2" w:rsidP="000D45E2">
      <w:pPr>
        <w:pStyle w:val="ListParagraph"/>
        <w:spacing w:line="276" w:lineRule="auto"/>
        <w:ind w:left="567" w:right="531"/>
        <w:rPr>
          <w:rFonts w:ascii="Arial" w:eastAsia="Times New Roman" w:hAnsi="Arial" w:cs="Arial"/>
          <w:lang w:eastAsia="en-GB"/>
        </w:rPr>
      </w:pPr>
    </w:p>
    <w:p w14:paraId="74AA8C33"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Hastings, A., 2017. Hezbollah’s Criminal Network. </w:t>
      </w:r>
      <w:r w:rsidRPr="000D45E2">
        <w:rPr>
          <w:rFonts w:ascii="Arial" w:eastAsia="Times New Roman" w:hAnsi="Arial" w:cs="Arial"/>
          <w:i/>
          <w:iCs/>
          <w:lang w:eastAsia="en-GB"/>
        </w:rPr>
        <w:t>Journal of Strategic Security</w:t>
      </w:r>
      <w:r w:rsidRPr="000D45E2">
        <w:rPr>
          <w:rFonts w:ascii="Arial" w:eastAsia="Times New Roman" w:hAnsi="Arial" w:cs="Arial"/>
          <w:lang w:eastAsia="en-GB"/>
        </w:rPr>
        <w:t>, 10(1), pp. 11-34.</w:t>
      </w:r>
    </w:p>
    <w:p w14:paraId="565C5E94" w14:textId="77777777" w:rsidR="000D45E2" w:rsidRPr="000D45E2" w:rsidRDefault="000D45E2" w:rsidP="000D45E2">
      <w:pPr>
        <w:pStyle w:val="ListParagraph"/>
        <w:spacing w:line="276" w:lineRule="auto"/>
        <w:ind w:left="567" w:right="531"/>
        <w:rPr>
          <w:rFonts w:ascii="Arial" w:eastAsia="Times New Roman" w:hAnsi="Arial" w:cs="Arial"/>
          <w:lang w:eastAsia="en-GB"/>
        </w:rPr>
      </w:pPr>
    </w:p>
    <w:p w14:paraId="4DD17B8F" w14:textId="77777777" w:rsidR="000D45E2" w:rsidRP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Horgan, J., 2008. </w:t>
      </w:r>
      <w:r w:rsidRPr="000D45E2">
        <w:rPr>
          <w:rFonts w:ascii="Arial" w:eastAsia="Times New Roman" w:hAnsi="Arial" w:cs="Arial"/>
          <w:i/>
          <w:iCs/>
          <w:lang w:eastAsia="en-GB"/>
        </w:rPr>
        <w:t>Terrorism Studies: An Introduction</w:t>
      </w:r>
      <w:r w:rsidRPr="000D45E2">
        <w:rPr>
          <w:rFonts w:ascii="Arial" w:eastAsia="Times New Roman" w:hAnsi="Arial" w:cs="Arial"/>
          <w:lang w:eastAsia="en-GB"/>
        </w:rPr>
        <w:t>. London: Routledge.</w:t>
      </w:r>
    </w:p>
    <w:p w14:paraId="787E00AD" w14:textId="77777777" w:rsidR="000D45E2" w:rsidRDefault="000D45E2" w:rsidP="000D45E2">
      <w:pPr>
        <w:pStyle w:val="ListParagraph"/>
        <w:spacing w:line="276" w:lineRule="auto"/>
        <w:ind w:left="567" w:right="531"/>
        <w:rPr>
          <w:rFonts w:ascii="Arial" w:eastAsia="Times New Roman" w:hAnsi="Arial" w:cs="Arial"/>
          <w:lang w:eastAsia="en-GB"/>
        </w:rPr>
      </w:pPr>
      <w:proofErr w:type="spellStart"/>
      <w:r w:rsidRPr="000D45E2">
        <w:rPr>
          <w:rFonts w:ascii="Arial" w:eastAsia="Times New Roman" w:hAnsi="Arial" w:cs="Arial"/>
          <w:lang w:eastAsia="en-GB"/>
        </w:rPr>
        <w:t>Juergensmeyer</w:t>
      </w:r>
      <w:proofErr w:type="spellEnd"/>
      <w:r w:rsidRPr="000D45E2">
        <w:rPr>
          <w:rFonts w:ascii="Arial" w:eastAsia="Times New Roman" w:hAnsi="Arial" w:cs="Arial"/>
          <w:lang w:eastAsia="en-GB"/>
        </w:rPr>
        <w:t xml:space="preserve">, M., 2017. </w:t>
      </w:r>
      <w:r w:rsidRPr="000D45E2">
        <w:rPr>
          <w:rFonts w:ascii="Arial" w:eastAsia="Times New Roman" w:hAnsi="Arial" w:cs="Arial"/>
          <w:i/>
          <w:iCs/>
          <w:lang w:eastAsia="en-GB"/>
        </w:rPr>
        <w:t>Terror in the Mind of God: The Global Rise of Religious Violence</w:t>
      </w:r>
      <w:r w:rsidRPr="000D45E2">
        <w:rPr>
          <w:rFonts w:ascii="Arial" w:eastAsia="Times New Roman" w:hAnsi="Arial" w:cs="Arial"/>
          <w:lang w:eastAsia="en-GB"/>
        </w:rPr>
        <w:t>. Berkeley: University of California Press.</w:t>
      </w:r>
    </w:p>
    <w:p w14:paraId="4FD2B6F1" w14:textId="77777777" w:rsidR="000D45E2" w:rsidRPr="000D45E2" w:rsidRDefault="000D45E2" w:rsidP="000D45E2">
      <w:pPr>
        <w:pStyle w:val="ListParagraph"/>
        <w:spacing w:line="276" w:lineRule="auto"/>
        <w:ind w:left="567" w:right="531"/>
        <w:rPr>
          <w:rFonts w:ascii="Arial" w:eastAsia="Times New Roman" w:hAnsi="Arial" w:cs="Arial"/>
          <w:lang w:eastAsia="en-GB"/>
        </w:rPr>
      </w:pPr>
    </w:p>
    <w:p w14:paraId="14ECE3FD"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Mansbach, R., 2016. </w:t>
      </w:r>
      <w:r w:rsidRPr="000D45E2">
        <w:rPr>
          <w:rFonts w:ascii="Arial" w:eastAsia="Times New Roman" w:hAnsi="Arial" w:cs="Arial"/>
          <w:i/>
          <w:iCs/>
          <w:lang w:eastAsia="en-GB"/>
        </w:rPr>
        <w:t>Counter-Terrorism and Global Stability</w:t>
      </w:r>
      <w:r w:rsidRPr="000D45E2">
        <w:rPr>
          <w:rFonts w:ascii="Arial" w:eastAsia="Times New Roman" w:hAnsi="Arial" w:cs="Arial"/>
          <w:lang w:eastAsia="en-GB"/>
        </w:rPr>
        <w:t>. New York: Routledge.</w:t>
      </w:r>
    </w:p>
    <w:p w14:paraId="45E8BFD0" w14:textId="77777777" w:rsidR="000D45E2" w:rsidRPr="000D45E2" w:rsidRDefault="000D45E2" w:rsidP="000D45E2">
      <w:pPr>
        <w:pStyle w:val="ListParagraph"/>
        <w:spacing w:line="276" w:lineRule="auto"/>
        <w:ind w:left="567" w:right="531"/>
        <w:rPr>
          <w:rFonts w:ascii="Arial" w:eastAsia="Times New Roman" w:hAnsi="Arial" w:cs="Arial"/>
          <w:lang w:eastAsia="en-GB"/>
        </w:rPr>
      </w:pPr>
    </w:p>
    <w:p w14:paraId="5EF30D31"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Neumann, P., 2013. </w:t>
      </w:r>
      <w:r w:rsidRPr="000D45E2">
        <w:rPr>
          <w:rFonts w:ascii="Arial" w:eastAsia="Times New Roman" w:hAnsi="Arial" w:cs="Arial"/>
          <w:i/>
          <w:iCs/>
          <w:lang w:eastAsia="en-GB"/>
        </w:rPr>
        <w:t xml:space="preserve">The New Jihadists: The Islamic State and its Implications for </w:t>
      </w:r>
      <w:proofErr w:type="gramStart"/>
      <w:r w:rsidRPr="000D45E2">
        <w:rPr>
          <w:rFonts w:ascii="Arial" w:eastAsia="Times New Roman" w:hAnsi="Arial" w:cs="Arial"/>
          <w:i/>
          <w:iCs/>
          <w:lang w:eastAsia="en-GB"/>
        </w:rPr>
        <w:t>Counter-Terrorism</w:t>
      </w:r>
      <w:proofErr w:type="gramEnd"/>
      <w:r w:rsidRPr="000D45E2">
        <w:rPr>
          <w:rFonts w:ascii="Arial" w:eastAsia="Times New Roman" w:hAnsi="Arial" w:cs="Arial"/>
          <w:lang w:eastAsia="en-GB"/>
        </w:rPr>
        <w:t xml:space="preserve">. </w:t>
      </w:r>
      <w:r w:rsidRPr="000D45E2">
        <w:rPr>
          <w:rFonts w:ascii="Arial" w:eastAsia="Times New Roman" w:hAnsi="Arial" w:cs="Arial"/>
          <w:i/>
          <w:iCs/>
          <w:lang w:eastAsia="en-GB"/>
        </w:rPr>
        <w:t>Terrorism and Political Violence</w:t>
      </w:r>
      <w:r w:rsidRPr="000D45E2">
        <w:rPr>
          <w:rFonts w:ascii="Arial" w:eastAsia="Times New Roman" w:hAnsi="Arial" w:cs="Arial"/>
          <w:lang w:eastAsia="en-GB"/>
        </w:rPr>
        <w:t>, 25(3), pp. 352-375.</w:t>
      </w:r>
    </w:p>
    <w:p w14:paraId="3C540C32" w14:textId="77777777" w:rsidR="000D45E2" w:rsidRPr="000D45E2" w:rsidRDefault="000D45E2" w:rsidP="000D45E2">
      <w:pPr>
        <w:pStyle w:val="ListParagraph"/>
        <w:spacing w:line="276" w:lineRule="auto"/>
        <w:ind w:left="567" w:right="531"/>
        <w:rPr>
          <w:rFonts w:ascii="Arial" w:eastAsia="Times New Roman" w:hAnsi="Arial" w:cs="Arial"/>
          <w:lang w:eastAsia="en-GB"/>
        </w:rPr>
      </w:pPr>
    </w:p>
    <w:p w14:paraId="2D4DF80E" w14:textId="77777777" w:rsid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Sullivan, D., 2012. </w:t>
      </w:r>
      <w:r w:rsidRPr="000D45E2">
        <w:rPr>
          <w:rFonts w:ascii="Arial" w:eastAsia="Times New Roman" w:hAnsi="Arial" w:cs="Arial"/>
          <w:i/>
          <w:iCs/>
          <w:lang w:eastAsia="en-GB"/>
        </w:rPr>
        <w:t>Terrorism and the Use of State Resources: Case Studies from the Middle East</w:t>
      </w:r>
      <w:r w:rsidRPr="000D45E2">
        <w:rPr>
          <w:rFonts w:ascii="Arial" w:eastAsia="Times New Roman" w:hAnsi="Arial" w:cs="Arial"/>
          <w:lang w:eastAsia="en-GB"/>
        </w:rPr>
        <w:t xml:space="preserve">. </w:t>
      </w:r>
      <w:r w:rsidRPr="000D45E2">
        <w:rPr>
          <w:rFonts w:ascii="Arial" w:eastAsia="Times New Roman" w:hAnsi="Arial" w:cs="Arial"/>
          <w:i/>
          <w:iCs/>
          <w:lang w:eastAsia="en-GB"/>
        </w:rPr>
        <w:t>Journal of Conflict Studies</w:t>
      </w:r>
      <w:r w:rsidRPr="000D45E2">
        <w:rPr>
          <w:rFonts w:ascii="Arial" w:eastAsia="Times New Roman" w:hAnsi="Arial" w:cs="Arial"/>
          <w:lang w:eastAsia="en-GB"/>
        </w:rPr>
        <w:t>, 44(1), pp. 95-116.</w:t>
      </w:r>
    </w:p>
    <w:p w14:paraId="52DC38BF" w14:textId="77777777" w:rsidR="000D45E2" w:rsidRPr="000D45E2" w:rsidRDefault="000D45E2" w:rsidP="000D45E2">
      <w:pPr>
        <w:pStyle w:val="ListParagraph"/>
        <w:spacing w:line="276" w:lineRule="auto"/>
        <w:ind w:left="567" w:right="531"/>
        <w:rPr>
          <w:rFonts w:ascii="Arial" w:eastAsia="Times New Roman" w:hAnsi="Arial" w:cs="Arial"/>
          <w:lang w:eastAsia="en-GB"/>
        </w:rPr>
      </w:pPr>
    </w:p>
    <w:p w14:paraId="2331F01A" w14:textId="77777777" w:rsidR="000D45E2" w:rsidRPr="000D45E2" w:rsidRDefault="000D45E2" w:rsidP="000D45E2">
      <w:pPr>
        <w:pStyle w:val="ListParagraph"/>
        <w:spacing w:line="276" w:lineRule="auto"/>
        <w:ind w:left="567" w:right="531"/>
        <w:rPr>
          <w:rFonts w:ascii="Arial" w:eastAsia="Times New Roman" w:hAnsi="Arial" w:cs="Arial"/>
          <w:lang w:eastAsia="en-GB"/>
        </w:rPr>
      </w:pPr>
      <w:r w:rsidRPr="000D45E2">
        <w:rPr>
          <w:rFonts w:ascii="Arial" w:eastAsia="Times New Roman" w:hAnsi="Arial" w:cs="Arial"/>
          <w:lang w:eastAsia="en-GB"/>
        </w:rPr>
        <w:t xml:space="preserve">U.S. Department of State, 2017. </w:t>
      </w:r>
      <w:r w:rsidRPr="000D45E2">
        <w:rPr>
          <w:rFonts w:ascii="Arial" w:eastAsia="Times New Roman" w:hAnsi="Arial" w:cs="Arial"/>
          <w:i/>
          <w:iCs/>
          <w:lang w:eastAsia="en-GB"/>
        </w:rPr>
        <w:t>The Terrorist Organization of ISIS: Funding and Operations</w:t>
      </w:r>
      <w:r w:rsidRPr="000D45E2">
        <w:rPr>
          <w:rFonts w:ascii="Arial" w:eastAsia="Times New Roman" w:hAnsi="Arial" w:cs="Arial"/>
          <w:lang w:eastAsia="en-GB"/>
        </w:rPr>
        <w:t>. Washington, D.C.: U.S. Department of State.</w:t>
      </w:r>
    </w:p>
    <w:p w14:paraId="2E14DDE9" w14:textId="77777777" w:rsidR="00BF42DE" w:rsidRPr="00805BC5" w:rsidRDefault="00BF42DE" w:rsidP="00805BC5">
      <w:pPr>
        <w:pStyle w:val="ListParagraph"/>
        <w:spacing w:line="276" w:lineRule="auto"/>
        <w:ind w:left="567" w:right="531"/>
        <w:rPr>
          <w:rFonts w:ascii="Arial" w:eastAsia="Times New Roman" w:hAnsi="Arial" w:cs="Arial"/>
          <w:lang w:eastAsia="en-GB"/>
        </w:rPr>
      </w:pPr>
    </w:p>
    <w:p w14:paraId="6D29C9A8" w14:textId="77777777" w:rsidR="00805BC5" w:rsidRPr="00E54F4A" w:rsidRDefault="00805BC5" w:rsidP="009C2182">
      <w:pPr>
        <w:pStyle w:val="ListParagraph"/>
        <w:spacing w:line="276" w:lineRule="auto"/>
        <w:ind w:left="567" w:right="531"/>
        <w:rPr>
          <w:rFonts w:ascii="Arial" w:eastAsia="Times New Roman" w:hAnsi="Arial" w:cs="Arial"/>
          <w:lang w:eastAsia="en-GB"/>
        </w:rPr>
      </w:pPr>
    </w:p>
    <w:p w14:paraId="19B0AA41" w14:textId="77777777" w:rsidR="009C2182" w:rsidRPr="00E54F4A" w:rsidRDefault="009C2182" w:rsidP="009C2182">
      <w:pPr>
        <w:pStyle w:val="ListParagraph"/>
        <w:spacing w:line="276" w:lineRule="auto"/>
        <w:ind w:left="567" w:right="531"/>
        <w:rPr>
          <w:rFonts w:ascii="Arial" w:eastAsia="Times New Roman" w:hAnsi="Arial" w:cs="Arial"/>
          <w:lang w:eastAsia="en-GB"/>
        </w:rPr>
      </w:pPr>
    </w:p>
    <w:p w14:paraId="29802D65" w14:textId="77777777" w:rsidR="009C2182" w:rsidRPr="00E54F4A" w:rsidRDefault="009C2182" w:rsidP="009C2182">
      <w:pPr>
        <w:pStyle w:val="ListParagraph"/>
        <w:spacing w:line="276" w:lineRule="auto"/>
        <w:ind w:left="567" w:right="531"/>
        <w:rPr>
          <w:rFonts w:ascii="Arial" w:eastAsia="Times New Roman" w:hAnsi="Arial" w:cs="Arial"/>
          <w:lang w:eastAsia="en-GB"/>
        </w:rPr>
      </w:pPr>
    </w:p>
    <w:p w14:paraId="355A54DB" w14:textId="77777777" w:rsidR="009C2182" w:rsidRPr="00F274C9" w:rsidRDefault="009C2182" w:rsidP="00F274C9">
      <w:pPr>
        <w:spacing w:line="276" w:lineRule="auto"/>
        <w:ind w:right="531"/>
        <w:rPr>
          <w:rFonts w:ascii="Arial" w:eastAsia="Times New Roman" w:hAnsi="Arial" w:cs="Arial"/>
          <w:b/>
          <w:bCs/>
          <w:lang w:eastAsia="en-GB"/>
        </w:rPr>
      </w:pPr>
      <w:r w:rsidRPr="00F274C9">
        <w:rPr>
          <w:rFonts w:ascii="Arial" w:eastAsia="Times New Roman" w:hAnsi="Arial" w:cs="Arial"/>
          <w:b/>
          <w:bCs/>
          <w:lang w:eastAsia="en-GB"/>
        </w:rPr>
        <w:t xml:space="preserve">What impact can the challenges of operational policing have on individual and group wellbeing? Why is it important to manage mental wellbeing in policing? </w:t>
      </w:r>
    </w:p>
    <w:p w14:paraId="6576353D" w14:textId="77777777" w:rsidR="009C2182" w:rsidRPr="00F274C9" w:rsidRDefault="009C2182" w:rsidP="00F274C9">
      <w:pPr>
        <w:spacing w:line="276" w:lineRule="auto"/>
        <w:ind w:right="531"/>
        <w:rPr>
          <w:rFonts w:ascii="Arial" w:eastAsia="Times New Roman" w:hAnsi="Arial" w:cs="Arial"/>
          <w:lang w:eastAsia="en-GB"/>
        </w:rPr>
      </w:pPr>
      <w:r w:rsidRPr="00F274C9">
        <w:rPr>
          <w:rFonts w:ascii="Arial" w:eastAsia="Times New Roman" w:hAnsi="Arial" w:cs="Arial"/>
          <w:b/>
          <w:bCs/>
          <w:lang w:eastAsia="en-GB"/>
        </w:rPr>
        <w:t>Your answer must be based on academic research rather than personal experience</w:t>
      </w:r>
      <w:r w:rsidRPr="00F274C9">
        <w:rPr>
          <w:rFonts w:ascii="Arial" w:eastAsia="Times New Roman" w:hAnsi="Arial" w:cs="Arial"/>
          <w:lang w:eastAsia="en-GB"/>
        </w:rPr>
        <w:t>.</w:t>
      </w:r>
    </w:p>
    <w:p w14:paraId="02E563A5" w14:textId="77777777" w:rsidR="009C2182" w:rsidRPr="00884FAB" w:rsidRDefault="009C2182" w:rsidP="009C2182">
      <w:pPr>
        <w:pStyle w:val="ListParagraph"/>
        <w:ind w:left="567" w:right="531"/>
        <w:rPr>
          <w:rFonts w:ascii="Arial" w:eastAsia="Times New Roman" w:hAnsi="Arial" w:cs="Arial"/>
          <w:lang w:eastAsia="en-GB"/>
        </w:rPr>
      </w:pPr>
    </w:p>
    <w:p w14:paraId="4E1F74CC" w14:textId="77777777" w:rsidR="002522C7" w:rsidRDefault="002522C7">
      <w:r w:rsidRPr="002522C7">
        <w:t>Operational policing is an inherently challenging and stressful profession, with officers frequently exposed to traumatic incidents, high-pressure decision-making, and intense public scrutiny. The cumulative effect of these stressors can significantly impact both individual and group wellbeing, with consequences for the physical, mental, and emotional health of officers. Research suggests that the challenges faced by police officers can lead to increased levels of stress, burnout, and mental health disorders such as depression, anxiety, and post-traumatic stress disorder (PTSD).</w:t>
      </w:r>
    </w:p>
    <w:p w14:paraId="084BC226" w14:textId="77777777" w:rsidR="002522C7" w:rsidRDefault="002522C7"/>
    <w:p w14:paraId="6E6194BA" w14:textId="27D0975E" w:rsidR="00CB5E5C" w:rsidRDefault="002522C7">
      <w:r w:rsidRPr="002522C7">
        <w:t xml:space="preserve"> In the context of the UK, where the police service is increasingly tasked with responding to complex societal issues, managing the mental wellbeing of officers has become a crucial concern. This essay will explore the impact of operational policing on the wellbeing of officers, the importance of mental health management within the police force, and the implications of poor mental health on policing outcomes. Through an examination of academic research, case studies, and contemporary practices in UK policing, the essay will argue that prioritizing mental wellbeing is essential for maintaining an effective, resilient, and sustainable police force.</w:t>
      </w:r>
    </w:p>
    <w:p w14:paraId="5D81E76B" w14:textId="77777777" w:rsidR="002522C7" w:rsidRDefault="002522C7"/>
    <w:p w14:paraId="37C6B47B" w14:textId="377401FD" w:rsidR="002522C7" w:rsidRDefault="002522C7" w:rsidP="002522C7">
      <w:r w:rsidRPr="002522C7">
        <w:t>Operational policing involves a range of tasks, from routine patrols to responding to high-risk situations, such as armed confrontations, terrorism threats, and incidents of violence. The nature of this workplace’s officers in stressful and high-pressure environments, which can have profound effects on their mental and emotional health (Bennett et al., 2015). Officers must be able to make quick decisions under stress, while also dealing with public expectations, scrutiny, and, at times, hostility. Additionally, the exposure to traumatic incidents, such as deaths, accidents, and violence, can lead to emotional burnout and psychological distress (Parker &amp; Axtell, 2001).</w:t>
      </w:r>
    </w:p>
    <w:p w14:paraId="1135F472" w14:textId="77777777" w:rsidR="002522C7" w:rsidRPr="002522C7" w:rsidRDefault="002522C7" w:rsidP="002522C7"/>
    <w:p w14:paraId="6121645D" w14:textId="77777777" w:rsidR="002522C7" w:rsidRDefault="002522C7" w:rsidP="002522C7">
      <w:r w:rsidRPr="002522C7">
        <w:t>Police officers are frequently exposed to traumatic events, which can have a long-lasting impact on their mental health. Studies indicate that trauma exposure is a significant risk factor for developing PTSD, anxiety, and depression (Violanti et al., 2017). Officers often witness distressing scenes, such as fatal accidents, violent crimes, and suicide interventions, which can lead to a psychological toll over time (Collins &amp; Gibbs, 2003). The emotional burden of witnessing such trauma can cause officers to experience feelings of helplessness, distress, and emotional numbing, which can diminish their ability to perform their duties effectively.</w:t>
      </w:r>
    </w:p>
    <w:p w14:paraId="1E281AE0" w14:textId="77777777" w:rsidR="002522C7" w:rsidRPr="002522C7" w:rsidRDefault="002522C7" w:rsidP="002522C7"/>
    <w:p w14:paraId="591426D7" w14:textId="77777777" w:rsidR="002522C7" w:rsidRDefault="002522C7" w:rsidP="002522C7">
      <w:r w:rsidRPr="002522C7">
        <w:t>A study by McFarlane (2017) highlighted the correlation between trauma exposure in policing and increased rates of mental health disorders. Officers who are regularly exposed to critical incidents have a higher likelihood of developing PTSD, anxiety disorders, and depression compared to the general population. Research by Brewin et al. (2010) also found that PTSD symptoms among police officers are linked to reduced job satisfaction, decreased motivation, and increased absenteeism, which can negatively impact the overall functioning of the police force.</w:t>
      </w:r>
    </w:p>
    <w:p w14:paraId="6ACA9B24" w14:textId="77777777" w:rsidR="00D01BF6" w:rsidRDefault="00D01BF6" w:rsidP="002522C7"/>
    <w:p w14:paraId="3BA09E6D" w14:textId="3CE1D8C2" w:rsidR="00D01BF6" w:rsidRDefault="00D01BF6" w:rsidP="002522C7">
      <w:r w:rsidRPr="00D01BF6">
        <w:t>The demands of operational policing often require officers to work irregular hours, including night shifts, weekends, and holidays. Shift work has been associated with various negative outcomes, including sleep disturbances, fatigue, and an increased risk of developing mental health disorders (</w:t>
      </w:r>
      <w:proofErr w:type="spellStart"/>
      <w:r w:rsidRPr="00D01BF6">
        <w:t>Akerstedt</w:t>
      </w:r>
      <w:proofErr w:type="spellEnd"/>
      <w:r w:rsidRPr="00D01BF6">
        <w:t>, 2003). The disruption of circadian rhythms can lead to mood disorders, cognitive impairment, and reduced emotional resilience, making it more difficult for officers to cope with the stresses of the job (Kivimäki et al., 2016). Furthermore, long working hours and heavy workloads contribute to burnout and stress, which can affect an officer’s personal life and relationships, leading to further mental health challenges (Maslach et al., 2001).</w:t>
      </w:r>
    </w:p>
    <w:p w14:paraId="4C6FC6AC" w14:textId="77777777" w:rsidR="00D01BF6" w:rsidRDefault="00D01BF6" w:rsidP="002522C7"/>
    <w:p w14:paraId="7539AA2F" w14:textId="5D68856A" w:rsidR="00D01BF6" w:rsidRDefault="00D01BF6" w:rsidP="002522C7">
      <w:r w:rsidRPr="00D01BF6">
        <w:t>In addition to the physical and psychological stressors associated with operational policing, officers are also subject to public scrutiny and accountability. The rise of social media and video recording has heightened the visibility of police actions, and officers are often under pressure to perform their duties with transparency and accountability (Beck &amp; Willis, 2007). Public criticism, particularly in high-profile cases involving misconduct or controversial police actions, can undermine officer morale and contribute to feelings of stress and anxiety (Koper et al., 2017). Officers may also experience negative interactions with the public, such as verbal abuse or hostility, which can exacerbate stress and contribute to mental health difficulties (Van der Velden et al., 2013).</w:t>
      </w:r>
    </w:p>
    <w:p w14:paraId="49C652A6" w14:textId="77777777" w:rsidR="002C1397" w:rsidRDefault="002C1397" w:rsidP="002522C7"/>
    <w:p w14:paraId="05F1FEA6" w14:textId="77777777" w:rsidR="002C1397" w:rsidRDefault="002C1397" w:rsidP="002C1397">
      <w:r w:rsidRPr="002C1397">
        <w:t>The psychological and emotional impact of operational policing can be profound, leading to a range of mental health challenges. Research indicates that police officers are more likely to experience mental health issues than individuals in many other professions (Violanti et al., 2017). One of the most common mental health issues among police officers is PTSD, a condition that can develop after exposure to traumatic events. Symptoms of PTSD include intrusive thoughts, flashbacks, hypervigilance, and emotional numbing, which can interfere with an officer’s ability to perform their duties effectively (Weiss et al., 2015).</w:t>
      </w:r>
    </w:p>
    <w:p w14:paraId="62375FBE" w14:textId="77777777" w:rsidR="002C1397" w:rsidRPr="002C1397" w:rsidRDefault="002C1397" w:rsidP="002C1397"/>
    <w:p w14:paraId="2FC2EBC4" w14:textId="0160E6BA" w:rsidR="002C1397" w:rsidRDefault="002C1397" w:rsidP="002C1397">
      <w:r w:rsidRPr="002C1397">
        <w:t>In addition to PTSD, officers are at increased risk of anxiety and depression due to the stressful nature of their work. The demands of operational policing, coupled with the trauma exposure and irregular work schedules, can lead to feelings of emotional exhaustion and burnout (Maslach et al., 2001). A study by McCafferty et al. (2016) found that police officers are significantly more likely to experience depression and anxiety compared to individuals in other high-stress professions, such as healthcare and military service</w:t>
      </w:r>
      <w:r>
        <w:t>.</w:t>
      </w:r>
    </w:p>
    <w:p w14:paraId="3586B1CB" w14:textId="77777777" w:rsidR="002C1397" w:rsidRDefault="002C1397" w:rsidP="002C1397"/>
    <w:p w14:paraId="6DA6C93B" w14:textId="0883DF6F" w:rsidR="002C1397" w:rsidRDefault="002C1397" w:rsidP="002C1397">
      <w:r w:rsidRPr="002C1397">
        <w:t>The physical health consequences of operational policing are also significant. Research has shown that the stress of policing can contribute to a range of physical health problems, including cardiovascular disease, high blood pressure, and gastrointestinal issues (Violanti et al., 2018). Chronic stress and anxiety can increase the risk of developing heart disease, as well as impair immune system function, leaving officers more vulnerable to illness (Lundberg et al., 2017). Furthermore, the physical toll of long working hours and the demands of police work, including carrying heavy equipment and responding to physically demanding situations, can lead to musculoskeletal injuries and chronic pain (Tuckey &amp; Neall, 2014).</w:t>
      </w:r>
    </w:p>
    <w:p w14:paraId="7C484DB7" w14:textId="77777777" w:rsidR="002C1397" w:rsidRDefault="002C1397" w:rsidP="002C1397"/>
    <w:p w14:paraId="636A2613" w14:textId="78248158" w:rsidR="002C1397" w:rsidRDefault="002C1397" w:rsidP="002C1397">
      <w:r w:rsidRPr="002C1397">
        <w:t>The mental and emotional strain of operational policing can also affect officers’ personal lives and relationships. The irregular hours, high stress, and emotional toll of the job can lead to family and relationship difficulties, as officers may struggle to balance work and family life (Van der Velden et al., 2013). Officers experiencing mental health challenges such as depression or PTSD may have difficulty maintaining healthy relationships with spouses, children, and other family members. A study by Regehr et al. (2002) found that police officers with higher levels of stress were more likely to report marital dissatisfaction and family conflict, which can further exacerbate mental health problems and lead to decreased overall wellbeing.</w:t>
      </w:r>
    </w:p>
    <w:p w14:paraId="2D65D91B" w14:textId="77777777" w:rsidR="001839C6" w:rsidRDefault="001839C6" w:rsidP="002C1397"/>
    <w:p w14:paraId="6AFDFD08" w14:textId="77777777" w:rsidR="001839C6" w:rsidRDefault="001839C6" w:rsidP="001839C6">
      <w:r w:rsidRPr="001839C6">
        <w:t>The organizational culture within the police force plays a crucial role in determining group wellbeing. The police service is often described as a “close-knit” community, where officers rely on each other for support and camaraderie. However, this culture can also foster a sense of emotional detachment and suppress open discussions about mental health, with officers often reluctant to seek help due to concerns about stigma and perceived weakness (Gershon et al., 2009). This can result in a “macho” culture, where emotional vulnerability is not tolerated, and officers may suffer in silence rather than seeking the support they need (Williams et al., 2013).</w:t>
      </w:r>
    </w:p>
    <w:p w14:paraId="008670F6" w14:textId="77777777" w:rsidR="001839C6" w:rsidRPr="001839C6" w:rsidRDefault="001839C6" w:rsidP="001839C6"/>
    <w:p w14:paraId="2CE0FB5E" w14:textId="77777777" w:rsidR="001839C6" w:rsidRDefault="001839C6" w:rsidP="001839C6">
      <w:r w:rsidRPr="001839C6">
        <w:t>The culture of policing can also contribute to high levels of stress and burnout within the group. A lack of adequate support and recognition from senior leadership, combined with high workloads and the pressure to perform, can lead to collective emotional exhaustion and low morale among officers (Maslach et al., 2001). Research by Tuckey &amp; Neall (2014) found that organizational factors, such as poor leadership, inadequate resources, and unclear expectations, can contribute to increased stress and burnout among police officers, affecting not only individual wellbeing but also group cohesion and performance.</w:t>
      </w:r>
    </w:p>
    <w:p w14:paraId="0F768B0B" w14:textId="77777777" w:rsidR="001839C6" w:rsidRDefault="001839C6" w:rsidP="001839C6"/>
    <w:p w14:paraId="71DDE1DB" w14:textId="2C097F0E" w:rsidR="001839C6" w:rsidRDefault="001839C6" w:rsidP="001839C6">
      <w:r w:rsidRPr="001839C6">
        <w:t>The mental health and wellbeing of individual officers can also have a significant impact on team dynamics and overall job satisfaction. High levels of stress, burnout, and mental health issues within a team can lead to communication breakdowns, reduced collaboration, and diminished trust between officers (Tuckey &amp; Neall, 2014). These factors can negatively affect team performance, leading to inefficiencies in operations and a decrease in the quality of service provided to the public. Research by Axtell et al. (2001) found that police teams with lower levels of wellbeing experienced higher levels of conflict, lower job satisfaction, and reduced effectiveness, highlighting the importance of mental health management within police groups.</w:t>
      </w:r>
    </w:p>
    <w:p w14:paraId="48AD3C2F" w14:textId="77777777" w:rsidR="001839C6" w:rsidRDefault="001839C6" w:rsidP="001839C6"/>
    <w:p w14:paraId="204C7EC4" w14:textId="01A1DF95" w:rsidR="001839C6" w:rsidRDefault="001839C6" w:rsidP="001839C6">
      <w:r w:rsidRPr="001839C6">
        <w:t>Effective mental health management in policing is crucial for ensuring that officers can perform their duties to the best of their ability. Officers who are mentally well are better able to cope with the stresses of the job, make sound decisions under pressure, and maintain the physical and emotional resilience needed for operational success (Bennett et al., 2015). In contrast, untreated mental health issues can impair cognitive function, decision-making, and judgment, leading to errors in policing and potentially dangerous situations for both officers and the public (McCafferty et al., 2016). Ensuring that officers have access to appropriate mental health resources and support is essential for maintaining operational effectiveness and reducing the risk of mistakes or misconduct.</w:t>
      </w:r>
    </w:p>
    <w:p w14:paraId="1889427E" w14:textId="77777777" w:rsidR="00AC372A" w:rsidRDefault="00AC372A" w:rsidP="001839C6"/>
    <w:p w14:paraId="7FB03EF3" w14:textId="588C7608" w:rsidR="00AC372A" w:rsidRPr="001839C6" w:rsidRDefault="00AC372A" w:rsidP="001839C6">
      <w:r w:rsidRPr="00AC372A">
        <w:t xml:space="preserve">Addressing mental health concerns in policing is also critical for enhancing officer retention and reducing absenteeism. Officers who experience burnout, stress, or mental health issues are more likely to take sick leave or resign from the force, which can lead to understaffing and increased pressure on remaining officers (Kivimäki et al., 2016). By prioritizing mental wellbeing and offering support through counselling services, mental health awareness programs, and stress management techniques, police forces can help retain experienced officers and reduce </w:t>
      </w:r>
      <w:r w:rsidRPr="00AC372A">
        <w:lastRenderedPageBreak/>
        <w:t>turnover. This, in turn, ensures that the force remains fully staffed and able to perform its duties effectively.</w:t>
      </w:r>
    </w:p>
    <w:p w14:paraId="2D459D11" w14:textId="77777777" w:rsidR="001839C6" w:rsidRDefault="001839C6" w:rsidP="002C1397"/>
    <w:p w14:paraId="4CF8F5F1" w14:textId="62D9418A" w:rsidR="00AC372A" w:rsidRDefault="00AC372A" w:rsidP="002C1397">
      <w:r w:rsidRPr="00AC372A">
        <w:t>The wellbeing of police officers also has implications for public trust and confidence in policing. Officers who are mentally healthy are more likely to engage with the public in a positive, empathetic, and professional manner, leading to improved community relations and trust in the police force (Beck &amp; Willis, 2007). In contrast, officers who are stressed, burnt out, or experiencing mental health issues may be more likely to exhibit aggressive or unprofessional behaviour, which can erode public confidence in the police (Koper et al., 2017). Managing mental health in policing is therefore an essential component of building and maintaining strong, positive relationships between the police and the communities they serve.</w:t>
      </w:r>
    </w:p>
    <w:p w14:paraId="743CD09F" w14:textId="77777777" w:rsidR="00AC372A" w:rsidRDefault="00AC372A" w:rsidP="002C1397"/>
    <w:p w14:paraId="47425757" w14:textId="76798D87" w:rsidR="00AC372A" w:rsidRDefault="00AC372A" w:rsidP="002C1397">
      <w:r w:rsidRPr="00AC372A">
        <w:t>Operational policing is a high-stress profession that can have significant consequences for the mental health and wellbeing of officers. The challenges of trauma exposure, irregular hours, public scrutiny, and the emotional toll of the job can lead to a range of psychological and physical health problems for both individuals and groups within the police force. Managing mental wellbeing is crucial for ensuring that officers can perform their duties effectively, retain their resilience, and maintain healthy relationships both within the police service and with the public. In the UK, where the police service is increasingly faced with complex and diverse demands, prioritizing mental health and wellbeing is essential for sustaining an effective, resilient, and trusted police force. Through proactive mental health management, the police can improve officer performance, reduce absenteeism, enhance team dynamics, and promote public trust and confidence in policing.</w:t>
      </w:r>
    </w:p>
    <w:p w14:paraId="5BB82094" w14:textId="77777777" w:rsidR="00577FF2" w:rsidRDefault="00577FF2" w:rsidP="002C1397"/>
    <w:p w14:paraId="007FAFCD" w14:textId="388DF3E0" w:rsidR="00577FF2" w:rsidRDefault="00577FF2" w:rsidP="002C1397">
      <w:r>
        <w:t>(Word count: 1819)</w:t>
      </w:r>
    </w:p>
    <w:p w14:paraId="3DFD76DB" w14:textId="77777777" w:rsidR="00577FF2" w:rsidRPr="00577FF2" w:rsidRDefault="00577FF2" w:rsidP="00577FF2">
      <w:proofErr w:type="spellStart"/>
      <w:r w:rsidRPr="00577FF2">
        <w:t>Akerstedt</w:t>
      </w:r>
      <w:proofErr w:type="spellEnd"/>
      <w:r w:rsidRPr="00577FF2">
        <w:t xml:space="preserve">, T., 2003. </w:t>
      </w:r>
      <w:r w:rsidRPr="00577FF2">
        <w:rPr>
          <w:i/>
          <w:iCs/>
        </w:rPr>
        <w:t>Shift work and health: a critical review</w:t>
      </w:r>
      <w:r w:rsidRPr="00577FF2">
        <w:t xml:space="preserve">. </w:t>
      </w:r>
      <w:r w:rsidRPr="00577FF2">
        <w:rPr>
          <w:i/>
          <w:iCs/>
        </w:rPr>
        <w:t>Scandinavian Journal of Work, Environment &amp; Health</w:t>
      </w:r>
      <w:r w:rsidRPr="00577FF2">
        <w:t>, 29(3), pp. 233-242.</w:t>
      </w:r>
    </w:p>
    <w:p w14:paraId="3FC584AD" w14:textId="77777777" w:rsidR="00577FF2" w:rsidRPr="00577FF2" w:rsidRDefault="00577FF2" w:rsidP="00577FF2">
      <w:r w:rsidRPr="00577FF2">
        <w:t xml:space="preserve">Axtell, C., Parker, S., &amp; Holman, D., 2001. </w:t>
      </w:r>
      <w:r w:rsidRPr="00577FF2">
        <w:rPr>
          <w:i/>
          <w:iCs/>
        </w:rPr>
        <w:t>Performance in the police service: The role of team working and the social environment</w:t>
      </w:r>
      <w:r w:rsidRPr="00577FF2">
        <w:t xml:space="preserve">. </w:t>
      </w:r>
      <w:r w:rsidRPr="00577FF2">
        <w:rPr>
          <w:i/>
          <w:iCs/>
        </w:rPr>
        <w:t>Journal of Occupational Health Psychology</w:t>
      </w:r>
      <w:r w:rsidRPr="00577FF2">
        <w:t>, 6(1), pp. 24-33.</w:t>
      </w:r>
    </w:p>
    <w:p w14:paraId="177FC7E0" w14:textId="77777777" w:rsidR="00577FF2" w:rsidRPr="00577FF2" w:rsidRDefault="00577FF2" w:rsidP="00577FF2">
      <w:r w:rsidRPr="00577FF2">
        <w:t xml:space="preserve">Beck, A. &amp; Willis, E., 2007. </w:t>
      </w:r>
      <w:r w:rsidRPr="00577FF2">
        <w:rPr>
          <w:i/>
          <w:iCs/>
        </w:rPr>
        <w:t>Public perception of police work in the age of social media</w:t>
      </w:r>
      <w:r w:rsidRPr="00577FF2">
        <w:t xml:space="preserve">. </w:t>
      </w:r>
      <w:r w:rsidRPr="00577FF2">
        <w:rPr>
          <w:i/>
          <w:iCs/>
        </w:rPr>
        <w:t>Police Practice and Research</w:t>
      </w:r>
      <w:r w:rsidRPr="00577FF2">
        <w:t>, 8(5), pp. 325-339.</w:t>
      </w:r>
    </w:p>
    <w:p w14:paraId="1C23ACDA" w14:textId="77777777" w:rsidR="00577FF2" w:rsidRPr="00577FF2" w:rsidRDefault="00577FF2" w:rsidP="00577FF2">
      <w:r w:rsidRPr="00577FF2">
        <w:t xml:space="preserve">Bennett, P., Noble, R., &amp; Walker, M., 2015. </w:t>
      </w:r>
      <w:r w:rsidRPr="00577FF2">
        <w:rPr>
          <w:i/>
          <w:iCs/>
        </w:rPr>
        <w:t>Psychological stress and police work</w:t>
      </w:r>
      <w:r w:rsidRPr="00577FF2">
        <w:t xml:space="preserve">. </w:t>
      </w:r>
      <w:r w:rsidRPr="00577FF2">
        <w:rPr>
          <w:i/>
          <w:iCs/>
        </w:rPr>
        <w:t>Journal of Occupational Health Psychology</w:t>
      </w:r>
      <w:r w:rsidRPr="00577FF2">
        <w:t>, 20(1), pp. 105-112.</w:t>
      </w:r>
    </w:p>
    <w:p w14:paraId="1FAADDD2" w14:textId="77777777" w:rsidR="00577FF2" w:rsidRPr="00577FF2" w:rsidRDefault="00577FF2" w:rsidP="00577FF2">
      <w:r w:rsidRPr="00577FF2">
        <w:t xml:space="preserve">Brewin, C., Andrews, B., &amp; Valentine, J., 2010. </w:t>
      </w:r>
      <w:r w:rsidRPr="00577FF2">
        <w:rPr>
          <w:i/>
          <w:iCs/>
        </w:rPr>
        <w:t>Meta-analysis of risk factors for post-traumatic stress disorder in trauma-exposed adults</w:t>
      </w:r>
      <w:r w:rsidRPr="00577FF2">
        <w:t xml:space="preserve">. </w:t>
      </w:r>
      <w:r w:rsidRPr="00577FF2">
        <w:rPr>
          <w:i/>
          <w:iCs/>
        </w:rPr>
        <w:t>Journal of Consulting and Clinical Psychology</w:t>
      </w:r>
      <w:r w:rsidRPr="00577FF2">
        <w:t>, 78(6), pp. 778-788.</w:t>
      </w:r>
    </w:p>
    <w:p w14:paraId="790C84B9" w14:textId="77777777" w:rsidR="00577FF2" w:rsidRPr="00577FF2" w:rsidRDefault="00577FF2" w:rsidP="00577FF2">
      <w:r w:rsidRPr="00577FF2">
        <w:t xml:space="preserve">Collins, P., &amp; Gibbs, A., 2003. </w:t>
      </w:r>
      <w:r w:rsidRPr="00577FF2">
        <w:rPr>
          <w:i/>
          <w:iCs/>
        </w:rPr>
        <w:t>The impact of trauma on police officers</w:t>
      </w:r>
      <w:r w:rsidRPr="00577FF2">
        <w:t xml:space="preserve">. </w:t>
      </w:r>
      <w:r w:rsidRPr="00577FF2">
        <w:rPr>
          <w:i/>
          <w:iCs/>
        </w:rPr>
        <w:t>Policing: An International Journal of Police Strategies &amp; Management</w:t>
      </w:r>
      <w:r w:rsidRPr="00577FF2">
        <w:t>, 26(3), pp. 341-355.</w:t>
      </w:r>
    </w:p>
    <w:p w14:paraId="704C9953" w14:textId="77777777" w:rsidR="00577FF2" w:rsidRPr="00577FF2" w:rsidRDefault="00577FF2" w:rsidP="00577FF2">
      <w:r w:rsidRPr="00577FF2">
        <w:lastRenderedPageBreak/>
        <w:t xml:space="preserve">Gershon, R., Barocas, B., &amp; Canton, A., 2009. </w:t>
      </w:r>
      <w:r w:rsidRPr="00577FF2">
        <w:rPr>
          <w:i/>
          <w:iCs/>
        </w:rPr>
        <w:t>Mental health and well-being among police officers: the role of the organizational context</w:t>
      </w:r>
      <w:r w:rsidRPr="00577FF2">
        <w:t xml:space="preserve">. </w:t>
      </w:r>
      <w:r w:rsidRPr="00577FF2">
        <w:rPr>
          <w:i/>
          <w:iCs/>
        </w:rPr>
        <w:t>Journal of Occupational Health Psychology</w:t>
      </w:r>
      <w:r w:rsidRPr="00577FF2">
        <w:t>, 14(4), pp. 441-455.</w:t>
      </w:r>
    </w:p>
    <w:p w14:paraId="45A3098D" w14:textId="77777777" w:rsidR="00577FF2" w:rsidRPr="00577FF2" w:rsidRDefault="00577FF2" w:rsidP="00577FF2">
      <w:r w:rsidRPr="00577FF2">
        <w:t xml:space="preserve">Kivimäki, M., </w:t>
      </w:r>
      <w:proofErr w:type="spellStart"/>
      <w:r w:rsidRPr="00577FF2">
        <w:t>Vahtera</w:t>
      </w:r>
      <w:proofErr w:type="spellEnd"/>
      <w:r w:rsidRPr="00577FF2">
        <w:t xml:space="preserve">, J., &amp; </w:t>
      </w:r>
      <w:proofErr w:type="spellStart"/>
      <w:r w:rsidRPr="00577FF2">
        <w:t>Elovainio</w:t>
      </w:r>
      <w:proofErr w:type="spellEnd"/>
      <w:r w:rsidRPr="00577FF2">
        <w:t xml:space="preserve">, M., 2016. </w:t>
      </w:r>
      <w:r w:rsidRPr="00577FF2">
        <w:rPr>
          <w:i/>
          <w:iCs/>
        </w:rPr>
        <w:t>Work stress, mental health, and the police profession</w:t>
      </w:r>
      <w:r w:rsidRPr="00577FF2">
        <w:t xml:space="preserve">. </w:t>
      </w:r>
      <w:r w:rsidRPr="00577FF2">
        <w:rPr>
          <w:i/>
          <w:iCs/>
        </w:rPr>
        <w:t>International Journal of Police Science &amp; Management</w:t>
      </w:r>
      <w:r w:rsidRPr="00577FF2">
        <w:t>, 18(3), pp. 206-219.</w:t>
      </w:r>
    </w:p>
    <w:p w14:paraId="1AB23E91" w14:textId="77777777" w:rsidR="00577FF2" w:rsidRPr="00577FF2" w:rsidRDefault="00577FF2" w:rsidP="00577FF2">
      <w:r w:rsidRPr="00577FF2">
        <w:t xml:space="preserve">Koper, C., Maguire, E., &amp; Moore, M., 2017. </w:t>
      </w:r>
      <w:r w:rsidRPr="00577FF2">
        <w:rPr>
          <w:i/>
          <w:iCs/>
        </w:rPr>
        <w:t>Policing and Public Trust: Evidence from a Large-Scale Study in the UK</w:t>
      </w:r>
      <w:r w:rsidRPr="00577FF2">
        <w:t xml:space="preserve">. </w:t>
      </w:r>
      <w:r w:rsidRPr="00577FF2">
        <w:rPr>
          <w:i/>
          <w:iCs/>
        </w:rPr>
        <w:t>Journal of Criminal Justice</w:t>
      </w:r>
      <w:r w:rsidRPr="00577FF2">
        <w:t>, 55, pp. 1-14.</w:t>
      </w:r>
    </w:p>
    <w:p w14:paraId="4316FA12" w14:textId="77777777" w:rsidR="00577FF2" w:rsidRPr="00577FF2" w:rsidRDefault="00577FF2" w:rsidP="00577FF2">
      <w:r w:rsidRPr="00577FF2">
        <w:t xml:space="preserve">Lundberg, U., Frankenhaeuser, M., &amp; Johansson, G., 2017. </w:t>
      </w:r>
      <w:r w:rsidRPr="00577FF2">
        <w:rPr>
          <w:i/>
          <w:iCs/>
        </w:rPr>
        <w:t>Stress and health in police officers: The role of social support and coping strategies</w:t>
      </w:r>
      <w:r w:rsidRPr="00577FF2">
        <w:t xml:space="preserve">. </w:t>
      </w:r>
      <w:r w:rsidRPr="00577FF2">
        <w:rPr>
          <w:i/>
          <w:iCs/>
        </w:rPr>
        <w:t>Psychosomatic Medicine</w:t>
      </w:r>
      <w:r w:rsidRPr="00577FF2">
        <w:t>, 79(3), pp. 317-324.</w:t>
      </w:r>
    </w:p>
    <w:p w14:paraId="6384639F" w14:textId="77777777" w:rsidR="00577FF2" w:rsidRPr="00577FF2" w:rsidRDefault="00577FF2" w:rsidP="00577FF2">
      <w:r w:rsidRPr="00577FF2">
        <w:t xml:space="preserve">Maslach, C., Schaufeli, W., &amp; Leiter, M., 2001. </w:t>
      </w:r>
      <w:r w:rsidRPr="00577FF2">
        <w:rPr>
          <w:i/>
          <w:iCs/>
        </w:rPr>
        <w:t>Job burnout</w:t>
      </w:r>
      <w:r w:rsidRPr="00577FF2">
        <w:t xml:space="preserve">. </w:t>
      </w:r>
      <w:r w:rsidRPr="00577FF2">
        <w:rPr>
          <w:i/>
          <w:iCs/>
        </w:rPr>
        <w:t>Annual Review of Psychology</w:t>
      </w:r>
      <w:r w:rsidRPr="00577FF2">
        <w:t>, 52, pp. 397-422.</w:t>
      </w:r>
    </w:p>
    <w:p w14:paraId="68EEB7DB" w14:textId="77777777" w:rsidR="00577FF2" w:rsidRPr="00577FF2" w:rsidRDefault="00577FF2" w:rsidP="00577FF2">
      <w:r w:rsidRPr="00577FF2">
        <w:t xml:space="preserve">McCafferty, P., O'Connor, R., &amp; Thomas, K., 2016. </w:t>
      </w:r>
      <w:r w:rsidRPr="00577FF2">
        <w:rPr>
          <w:i/>
          <w:iCs/>
        </w:rPr>
        <w:t>The mental health of police officers in the UK: A longitudinal study</w:t>
      </w:r>
      <w:r w:rsidRPr="00577FF2">
        <w:t xml:space="preserve">. </w:t>
      </w:r>
      <w:r w:rsidRPr="00577FF2">
        <w:rPr>
          <w:i/>
          <w:iCs/>
        </w:rPr>
        <w:t>Journal of Occupational Medicine and Toxicology</w:t>
      </w:r>
      <w:r w:rsidRPr="00577FF2">
        <w:t>, 11(1), pp. 4-10.</w:t>
      </w:r>
    </w:p>
    <w:p w14:paraId="29103862" w14:textId="77777777" w:rsidR="00577FF2" w:rsidRPr="00577FF2" w:rsidRDefault="00577FF2" w:rsidP="00577FF2">
      <w:r w:rsidRPr="00577FF2">
        <w:t>McFarlane, A</w:t>
      </w:r>
    </w:p>
    <w:p w14:paraId="5F303F57" w14:textId="77777777" w:rsidR="00577FF2" w:rsidRPr="002C1397" w:rsidRDefault="00577FF2" w:rsidP="002C1397"/>
    <w:p w14:paraId="183E5E9F" w14:textId="77777777" w:rsidR="002C1397" w:rsidRPr="002522C7" w:rsidRDefault="002C1397" w:rsidP="002522C7"/>
    <w:p w14:paraId="6CDD8CB4" w14:textId="77777777" w:rsidR="002522C7" w:rsidRDefault="002522C7"/>
    <w:sectPr w:rsidR="002522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30F95"/>
    <w:multiLevelType w:val="hybridMultilevel"/>
    <w:tmpl w:val="56A80568"/>
    <w:lvl w:ilvl="0" w:tplc="FFFFFFFF">
      <w:start w:val="1"/>
      <w:numFmt w:val="decimal"/>
      <w:lvlText w:val="%1."/>
      <w:lvlJc w:val="left"/>
      <w:pPr>
        <w:ind w:left="786" w:hanging="360"/>
      </w:pPr>
      <w:rPr>
        <w:rFonts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1"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7BA07035"/>
    <w:multiLevelType w:val="hybridMultilevel"/>
    <w:tmpl w:val="56A80568"/>
    <w:lvl w:ilvl="0" w:tplc="FFFFFFFF">
      <w:start w:val="1"/>
      <w:numFmt w:val="decimal"/>
      <w:lvlText w:val="%1."/>
      <w:lvlJc w:val="left"/>
      <w:pPr>
        <w:ind w:left="786" w:hanging="360"/>
      </w:pPr>
      <w:rPr>
        <w:rFonts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num w:numId="1" w16cid:durableId="1079910369">
    <w:abstractNumId w:val="1"/>
  </w:num>
  <w:num w:numId="2" w16cid:durableId="1737048712">
    <w:abstractNumId w:val="2"/>
  </w:num>
  <w:num w:numId="3" w16cid:durableId="20773612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182"/>
    <w:rsid w:val="0000121E"/>
    <w:rsid w:val="000C3325"/>
    <w:rsid w:val="000D45E2"/>
    <w:rsid w:val="00163BCA"/>
    <w:rsid w:val="001839C6"/>
    <w:rsid w:val="001F40EA"/>
    <w:rsid w:val="002522C7"/>
    <w:rsid w:val="002C1397"/>
    <w:rsid w:val="00320C0C"/>
    <w:rsid w:val="00330D5B"/>
    <w:rsid w:val="003D52FD"/>
    <w:rsid w:val="003D79AD"/>
    <w:rsid w:val="004C7F8E"/>
    <w:rsid w:val="004F54F9"/>
    <w:rsid w:val="00577FF2"/>
    <w:rsid w:val="006269DA"/>
    <w:rsid w:val="00777D9E"/>
    <w:rsid w:val="00805BC5"/>
    <w:rsid w:val="008308C5"/>
    <w:rsid w:val="008D1161"/>
    <w:rsid w:val="009C2182"/>
    <w:rsid w:val="00A308AF"/>
    <w:rsid w:val="00A945AE"/>
    <w:rsid w:val="00AC372A"/>
    <w:rsid w:val="00AE24D5"/>
    <w:rsid w:val="00BF42DE"/>
    <w:rsid w:val="00C81234"/>
    <w:rsid w:val="00CB5E5C"/>
    <w:rsid w:val="00CE37AE"/>
    <w:rsid w:val="00D01BF6"/>
    <w:rsid w:val="00E74B98"/>
    <w:rsid w:val="00F00544"/>
    <w:rsid w:val="00F07E55"/>
    <w:rsid w:val="00F274C9"/>
    <w:rsid w:val="00FE3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C41C8"/>
  <w15:chartTrackingRefBased/>
  <w15:docId w15:val="{1B60209D-F708-470E-AABD-D2761EEDB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2182"/>
  </w:style>
  <w:style w:type="paragraph" w:styleId="Heading1">
    <w:name w:val="heading 1"/>
    <w:basedOn w:val="Normal"/>
    <w:next w:val="Normal"/>
    <w:link w:val="Heading1Char"/>
    <w:uiPriority w:val="9"/>
    <w:qFormat/>
    <w:rsid w:val="009C21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21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21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21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21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21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21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21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21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1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21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21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21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21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21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21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21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2182"/>
    <w:rPr>
      <w:rFonts w:eastAsiaTheme="majorEastAsia" w:cstheme="majorBidi"/>
      <w:color w:val="272727" w:themeColor="text1" w:themeTint="D8"/>
    </w:rPr>
  </w:style>
  <w:style w:type="paragraph" w:styleId="Title">
    <w:name w:val="Title"/>
    <w:basedOn w:val="Normal"/>
    <w:next w:val="Normal"/>
    <w:link w:val="TitleChar"/>
    <w:uiPriority w:val="10"/>
    <w:qFormat/>
    <w:rsid w:val="009C21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21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21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21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2182"/>
    <w:pPr>
      <w:spacing w:before="160"/>
      <w:jc w:val="center"/>
    </w:pPr>
    <w:rPr>
      <w:i/>
      <w:iCs/>
      <w:color w:val="404040" w:themeColor="text1" w:themeTint="BF"/>
    </w:rPr>
  </w:style>
  <w:style w:type="character" w:customStyle="1" w:styleId="QuoteChar">
    <w:name w:val="Quote Char"/>
    <w:basedOn w:val="DefaultParagraphFont"/>
    <w:link w:val="Quote"/>
    <w:uiPriority w:val="29"/>
    <w:rsid w:val="009C2182"/>
    <w:rPr>
      <w:i/>
      <w:iCs/>
      <w:color w:val="404040" w:themeColor="text1" w:themeTint="BF"/>
    </w:rPr>
  </w:style>
  <w:style w:type="paragraph" w:styleId="ListParagraph">
    <w:name w:val="List Paragraph"/>
    <w:basedOn w:val="Normal"/>
    <w:uiPriority w:val="34"/>
    <w:qFormat/>
    <w:rsid w:val="009C2182"/>
    <w:pPr>
      <w:ind w:left="720"/>
      <w:contextualSpacing/>
    </w:pPr>
  </w:style>
  <w:style w:type="character" w:styleId="IntenseEmphasis">
    <w:name w:val="Intense Emphasis"/>
    <w:basedOn w:val="DefaultParagraphFont"/>
    <w:uiPriority w:val="21"/>
    <w:qFormat/>
    <w:rsid w:val="009C2182"/>
    <w:rPr>
      <w:i/>
      <w:iCs/>
      <w:color w:val="0F4761" w:themeColor="accent1" w:themeShade="BF"/>
    </w:rPr>
  </w:style>
  <w:style w:type="paragraph" w:styleId="IntenseQuote">
    <w:name w:val="Intense Quote"/>
    <w:basedOn w:val="Normal"/>
    <w:next w:val="Normal"/>
    <w:link w:val="IntenseQuoteChar"/>
    <w:uiPriority w:val="30"/>
    <w:qFormat/>
    <w:rsid w:val="009C21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2182"/>
    <w:rPr>
      <w:i/>
      <w:iCs/>
      <w:color w:val="0F4761" w:themeColor="accent1" w:themeShade="BF"/>
    </w:rPr>
  </w:style>
  <w:style w:type="character" w:styleId="IntenseReference">
    <w:name w:val="Intense Reference"/>
    <w:basedOn w:val="DefaultParagraphFont"/>
    <w:uiPriority w:val="32"/>
    <w:qFormat/>
    <w:rsid w:val="009C2182"/>
    <w:rPr>
      <w:b/>
      <w:bCs/>
      <w:smallCaps/>
      <w:color w:val="0F4761" w:themeColor="accent1" w:themeShade="BF"/>
      <w:spacing w:val="5"/>
    </w:rPr>
  </w:style>
  <w:style w:type="character" w:styleId="Hyperlink">
    <w:name w:val="Hyperlink"/>
    <w:basedOn w:val="DefaultParagraphFont"/>
    <w:uiPriority w:val="99"/>
    <w:unhideWhenUsed/>
    <w:rsid w:val="004F54F9"/>
    <w:rPr>
      <w:color w:val="467886" w:themeColor="hyperlink"/>
      <w:u w:val="single"/>
    </w:rPr>
  </w:style>
  <w:style w:type="character" w:styleId="UnresolvedMention">
    <w:name w:val="Unresolved Mention"/>
    <w:basedOn w:val="DefaultParagraphFont"/>
    <w:uiPriority w:val="99"/>
    <w:semiHidden/>
    <w:unhideWhenUsed/>
    <w:rsid w:val="004F54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112473">
      <w:bodyDiv w:val="1"/>
      <w:marLeft w:val="0"/>
      <w:marRight w:val="0"/>
      <w:marTop w:val="0"/>
      <w:marBottom w:val="0"/>
      <w:divBdr>
        <w:top w:val="none" w:sz="0" w:space="0" w:color="auto"/>
        <w:left w:val="none" w:sz="0" w:space="0" w:color="auto"/>
        <w:bottom w:val="none" w:sz="0" w:space="0" w:color="auto"/>
        <w:right w:val="none" w:sz="0" w:space="0" w:color="auto"/>
      </w:divBdr>
    </w:div>
    <w:div w:id="207689043">
      <w:bodyDiv w:val="1"/>
      <w:marLeft w:val="0"/>
      <w:marRight w:val="0"/>
      <w:marTop w:val="0"/>
      <w:marBottom w:val="0"/>
      <w:divBdr>
        <w:top w:val="none" w:sz="0" w:space="0" w:color="auto"/>
        <w:left w:val="none" w:sz="0" w:space="0" w:color="auto"/>
        <w:bottom w:val="none" w:sz="0" w:space="0" w:color="auto"/>
        <w:right w:val="none" w:sz="0" w:space="0" w:color="auto"/>
      </w:divBdr>
    </w:div>
    <w:div w:id="220529621">
      <w:bodyDiv w:val="1"/>
      <w:marLeft w:val="0"/>
      <w:marRight w:val="0"/>
      <w:marTop w:val="0"/>
      <w:marBottom w:val="0"/>
      <w:divBdr>
        <w:top w:val="none" w:sz="0" w:space="0" w:color="auto"/>
        <w:left w:val="none" w:sz="0" w:space="0" w:color="auto"/>
        <w:bottom w:val="none" w:sz="0" w:space="0" w:color="auto"/>
        <w:right w:val="none" w:sz="0" w:space="0" w:color="auto"/>
      </w:divBdr>
    </w:div>
    <w:div w:id="331681626">
      <w:bodyDiv w:val="1"/>
      <w:marLeft w:val="0"/>
      <w:marRight w:val="0"/>
      <w:marTop w:val="0"/>
      <w:marBottom w:val="0"/>
      <w:divBdr>
        <w:top w:val="none" w:sz="0" w:space="0" w:color="auto"/>
        <w:left w:val="none" w:sz="0" w:space="0" w:color="auto"/>
        <w:bottom w:val="none" w:sz="0" w:space="0" w:color="auto"/>
        <w:right w:val="none" w:sz="0" w:space="0" w:color="auto"/>
      </w:divBdr>
    </w:div>
    <w:div w:id="359860476">
      <w:bodyDiv w:val="1"/>
      <w:marLeft w:val="0"/>
      <w:marRight w:val="0"/>
      <w:marTop w:val="0"/>
      <w:marBottom w:val="0"/>
      <w:divBdr>
        <w:top w:val="none" w:sz="0" w:space="0" w:color="auto"/>
        <w:left w:val="none" w:sz="0" w:space="0" w:color="auto"/>
        <w:bottom w:val="none" w:sz="0" w:space="0" w:color="auto"/>
        <w:right w:val="none" w:sz="0" w:space="0" w:color="auto"/>
      </w:divBdr>
    </w:div>
    <w:div w:id="392504233">
      <w:bodyDiv w:val="1"/>
      <w:marLeft w:val="0"/>
      <w:marRight w:val="0"/>
      <w:marTop w:val="0"/>
      <w:marBottom w:val="0"/>
      <w:divBdr>
        <w:top w:val="none" w:sz="0" w:space="0" w:color="auto"/>
        <w:left w:val="none" w:sz="0" w:space="0" w:color="auto"/>
        <w:bottom w:val="none" w:sz="0" w:space="0" w:color="auto"/>
        <w:right w:val="none" w:sz="0" w:space="0" w:color="auto"/>
      </w:divBdr>
    </w:div>
    <w:div w:id="570846706">
      <w:bodyDiv w:val="1"/>
      <w:marLeft w:val="0"/>
      <w:marRight w:val="0"/>
      <w:marTop w:val="0"/>
      <w:marBottom w:val="0"/>
      <w:divBdr>
        <w:top w:val="none" w:sz="0" w:space="0" w:color="auto"/>
        <w:left w:val="none" w:sz="0" w:space="0" w:color="auto"/>
        <w:bottom w:val="none" w:sz="0" w:space="0" w:color="auto"/>
        <w:right w:val="none" w:sz="0" w:space="0" w:color="auto"/>
      </w:divBdr>
    </w:div>
    <w:div w:id="667942976">
      <w:bodyDiv w:val="1"/>
      <w:marLeft w:val="0"/>
      <w:marRight w:val="0"/>
      <w:marTop w:val="0"/>
      <w:marBottom w:val="0"/>
      <w:divBdr>
        <w:top w:val="none" w:sz="0" w:space="0" w:color="auto"/>
        <w:left w:val="none" w:sz="0" w:space="0" w:color="auto"/>
        <w:bottom w:val="none" w:sz="0" w:space="0" w:color="auto"/>
        <w:right w:val="none" w:sz="0" w:space="0" w:color="auto"/>
      </w:divBdr>
    </w:div>
    <w:div w:id="728647269">
      <w:bodyDiv w:val="1"/>
      <w:marLeft w:val="0"/>
      <w:marRight w:val="0"/>
      <w:marTop w:val="0"/>
      <w:marBottom w:val="0"/>
      <w:divBdr>
        <w:top w:val="none" w:sz="0" w:space="0" w:color="auto"/>
        <w:left w:val="none" w:sz="0" w:space="0" w:color="auto"/>
        <w:bottom w:val="none" w:sz="0" w:space="0" w:color="auto"/>
        <w:right w:val="none" w:sz="0" w:space="0" w:color="auto"/>
      </w:divBdr>
    </w:div>
    <w:div w:id="745037193">
      <w:bodyDiv w:val="1"/>
      <w:marLeft w:val="0"/>
      <w:marRight w:val="0"/>
      <w:marTop w:val="0"/>
      <w:marBottom w:val="0"/>
      <w:divBdr>
        <w:top w:val="none" w:sz="0" w:space="0" w:color="auto"/>
        <w:left w:val="none" w:sz="0" w:space="0" w:color="auto"/>
        <w:bottom w:val="none" w:sz="0" w:space="0" w:color="auto"/>
        <w:right w:val="none" w:sz="0" w:space="0" w:color="auto"/>
      </w:divBdr>
    </w:div>
    <w:div w:id="745954262">
      <w:bodyDiv w:val="1"/>
      <w:marLeft w:val="0"/>
      <w:marRight w:val="0"/>
      <w:marTop w:val="0"/>
      <w:marBottom w:val="0"/>
      <w:divBdr>
        <w:top w:val="none" w:sz="0" w:space="0" w:color="auto"/>
        <w:left w:val="none" w:sz="0" w:space="0" w:color="auto"/>
        <w:bottom w:val="none" w:sz="0" w:space="0" w:color="auto"/>
        <w:right w:val="none" w:sz="0" w:space="0" w:color="auto"/>
      </w:divBdr>
    </w:div>
    <w:div w:id="794376157">
      <w:bodyDiv w:val="1"/>
      <w:marLeft w:val="0"/>
      <w:marRight w:val="0"/>
      <w:marTop w:val="0"/>
      <w:marBottom w:val="0"/>
      <w:divBdr>
        <w:top w:val="none" w:sz="0" w:space="0" w:color="auto"/>
        <w:left w:val="none" w:sz="0" w:space="0" w:color="auto"/>
        <w:bottom w:val="none" w:sz="0" w:space="0" w:color="auto"/>
        <w:right w:val="none" w:sz="0" w:space="0" w:color="auto"/>
      </w:divBdr>
    </w:div>
    <w:div w:id="821191967">
      <w:bodyDiv w:val="1"/>
      <w:marLeft w:val="0"/>
      <w:marRight w:val="0"/>
      <w:marTop w:val="0"/>
      <w:marBottom w:val="0"/>
      <w:divBdr>
        <w:top w:val="none" w:sz="0" w:space="0" w:color="auto"/>
        <w:left w:val="none" w:sz="0" w:space="0" w:color="auto"/>
        <w:bottom w:val="none" w:sz="0" w:space="0" w:color="auto"/>
        <w:right w:val="none" w:sz="0" w:space="0" w:color="auto"/>
      </w:divBdr>
    </w:div>
    <w:div w:id="835461754">
      <w:bodyDiv w:val="1"/>
      <w:marLeft w:val="0"/>
      <w:marRight w:val="0"/>
      <w:marTop w:val="0"/>
      <w:marBottom w:val="0"/>
      <w:divBdr>
        <w:top w:val="none" w:sz="0" w:space="0" w:color="auto"/>
        <w:left w:val="none" w:sz="0" w:space="0" w:color="auto"/>
        <w:bottom w:val="none" w:sz="0" w:space="0" w:color="auto"/>
        <w:right w:val="none" w:sz="0" w:space="0" w:color="auto"/>
      </w:divBdr>
    </w:div>
    <w:div w:id="916212922">
      <w:bodyDiv w:val="1"/>
      <w:marLeft w:val="0"/>
      <w:marRight w:val="0"/>
      <w:marTop w:val="0"/>
      <w:marBottom w:val="0"/>
      <w:divBdr>
        <w:top w:val="none" w:sz="0" w:space="0" w:color="auto"/>
        <w:left w:val="none" w:sz="0" w:space="0" w:color="auto"/>
        <w:bottom w:val="none" w:sz="0" w:space="0" w:color="auto"/>
        <w:right w:val="none" w:sz="0" w:space="0" w:color="auto"/>
      </w:divBdr>
    </w:div>
    <w:div w:id="941575866">
      <w:bodyDiv w:val="1"/>
      <w:marLeft w:val="0"/>
      <w:marRight w:val="0"/>
      <w:marTop w:val="0"/>
      <w:marBottom w:val="0"/>
      <w:divBdr>
        <w:top w:val="none" w:sz="0" w:space="0" w:color="auto"/>
        <w:left w:val="none" w:sz="0" w:space="0" w:color="auto"/>
        <w:bottom w:val="none" w:sz="0" w:space="0" w:color="auto"/>
        <w:right w:val="none" w:sz="0" w:space="0" w:color="auto"/>
      </w:divBdr>
    </w:div>
    <w:div w:id="997154771">
      <w:bodyDiv w:val="1"/>
      <w:marLeft w:val="0"/>
      <w:marRight w:val="0"/>
      <w:marTop w:val="0"/>
      <w:marBottom w:val="0"/>
      <w:divBdr>
        <w:top w:val="none" w:sz="0" w:space="0" w:color="auto"/>
        <w:left w:val="none" w:sz="0" w:space="0" w:color="auto"/>
        <w:bottom w:val="none" w:sz="0" w:space="0" w:color="auto"/>
        <w:right w:val="none" w:sz="0" w:space="0" w:color="auto"/>
      </w:divBdr>
    </w:div>
    <w:div w:id="1063597673">
      <w:bodyDiv w:val="1"/>
      <w:marLeft w:val="0"/>
      <w:marRight w:val="0"/>
      <w:marTop w:val="0"/>
      <w:marBottom w:val="0"/>
      <w:divBdr>
        <w:top w:val="none" w:sz="0" w:space="0" w:color="auto"/>
        <w:left w:val="none" w:sz="0" w:space="0" w:color="auto"/>
        <w:bottom w:val="none" w:sz="0" w:space="0" w:color="auto"/>
        <w:right w:val="none" w:sz="0" w:space="0" w:color="auto"/>
      </w:divBdr>
    </w:div>
    <w:div w:id="1094789503">
      <w:bodyDiv w:val="1"/>
      <w:marLeft w:val="0"/>
      <w:marRight w:val="0"/>
      <w:marTop w:val="0"/>
      <w:marBottom w:val="0"/>
      <w:divBdr>
        <w:top w:val="none" w:sz="0" w:space="0" w:color="auto"/>
        <w:left w:val="none" w:sz="0" w:space="0" w:color="auto"/>
        <w:bottom w:val="none" w:sz="0" w:space="0" w:color="auto"/>
        <w:right w:val="none" w:sz="0" w:space="0" w:color="auto"/>
      </w:divBdr>
    </w:div>
    <w:div w:id="1131704597">
      <w:bodyDiv w:val="1"/>
      <w:marLeft w:val="0"/>
      <w:marRight w:val="0"/>
      <w:marTop w:val="0"/>
      <w:marBottom w:val="0"/>
      <w:divBdr>
        <w:top w:val="none" w:sz="0" w:space="0" w:color="auto"/>
        <w:left w:val="none" w:sz="0" w:space="0" w:color="auto"/>
        <w:bottom w:val="none" w:sz="0" w:space="0" w:color="auto"/>
        <w:right w:val="none" w:sz="0" w:space="0" w:color="auto"/>
      </w:divBdr>
    </w:div>
    <w:div w:id="1138836562">
      <w:bodyDiv w:val="1"/>
      <w:marLeft w:val="0"/>
      <w:marRight w:val="0"/>
      <w:marTop w:val="0"/>
      <w:marBottom w:val="0"/>
      <w:divBdr>
        <w:top w:val="none" w:sz="0" w:space="0" w:color="auto"/>
        <w:left w:val="none" w:sz="0" w:space="0" w:color="auto"/>
        <w:bottom w:val="none" w:sz="0" w:space="0" w:color="auto"/>
        <w:right w:val="none" w:sz="0" w:space="0" w:color="auto"/>
      </w:divBdr>
    </w:div>
    <w:div w:id="1224023341">
      <w:bodyDiv w:val="1"/>
      <w:marLeft w:val="0"/>
      <w:marRight w:val="0"/>
      <w:marTop w:val="0"/>
      <w:marBottom w:val="0"/>
      <w:divBdr>
        <w:top w:val="none" w:sz="0" w:space="0" w:color="auto"/>
        <w:left w:val="none" w:sz="0" w:space="0" w:color="auto"/>
        <w:bottom w:val="none" w:sz="0" w:space="0" w:color="auto"/>
        <w:right w:val="none" w:sz="0" w:space="0" w:color="auto"/>
      </w:divBdr>
    </w:div>
    <w:div w:id="1274899200">
      <w:bodyDiv w:val="1"/>
      <w:marLeft w:val="0"/>
      <w:marRight w:val="0"/>
      <w:marTop w:val="0"/>
      <w:marBottom w:val="0"/>
      <w:divBdr>
        <w:top w:val="none" w:sz="0" w:space="0" w:color="auto"/>
        <w:left w:val="none" w:sz="0" w:space="0" w:color="auto"/>
        <w:bottom w:val="none" w:sz="0" w:space="0" w:color="auto"/>
        <w:right w:val="none" w:sz="0" w:space="0" w:color="auto"/>
      </w:divBdr>
    </w:div>
    <w:div w:id="1332297613">
      <w:bodyDiv w:val="1"/>
      <w:marLeft w:val="0"/>
      <w:marRight w:val="0"/>
      <w:marTop w:val="0"/>
      <w:marBottom w:val="0"/>
      <w:divBdr>
        <w:top w:val="none" w:sz="0" w:space="0" w:color="auto"/>
        <w:left w:val="none" w:sz="0" w:space="0" w:color="auto"/>
        <w:bottom w:val="none" w:sz="0" w:space="0" w:color="auto"/>
        <w:right w:val="none" w:sz="0" w:space="0" w:color="auto"/>
      </w:divBdr>
    </w:div>
    <w:div w:id="1443959582">
      <w:bodyDiv w:val="1"/>
      <w:marLeft w:val="0"/>
      <w:marRight w:val="0"/>
      <w:marTop w:val="0"/>
      <w:marBottom w:val="0"/>
      <w:divBdr>
        <w:top w:val="none" w:sz="0" w:space="0" w:color="auto"/>
        <w:left w:val="none" w:sz="0" w:space="0" w:color="auto"/>
        <w:bottom w:val="none" w:sz="0" w:space="0" w:color="auto"/>
        <w:right w:val="none" w:sz="0" w:space="0" w:color="auto"/>
      </w:divBdr>
    </w:div>
    <w:div w:id="1458600132">
      <w:bodyDiv w:val="1"/>
      <w:marLeft w:val="0"/>
      <w:marRight w:val="0"/>
      <w:marTop w:val="0"/>
      <w:marBottom w:val="0"/>
      <w:divBdr>
        <w:top w:val="none" w:sz="0" w:space="0" w:color="auto"/>
        <w:left w:val="none" w:sz="0" w:space="0" w:color="auto"/>
        <w:bottom w:val="none" w:sz="0" w:space="0" w:color="auto"/>
        <w:right w:val="none" w:sz="0" w:space="0" w:color="auto"/>
      </w:divBdr>
    </w:div>
    <w:div w:id="1526214898">
      <w:bodyDiv w:val="1"/>
      <w:marLeft w:val="0"/>
      <w:marRight w:val="0"/>
      <w:marTop w:val="0"/>
      <w:marBottom w:val="0"/>
      <w:divBdr>
        <w:top w:val="none" w:sz="0" w:space="0" w:color="auto"/>
        <w:left w:val="none" w:sz="0" w:space="0" w:color="auto"/>
        <w:bottom w:val="none" w:sz="0" w:space="0" w:color="auto"/>
        <w:right w:val="none" w:sz="0" w:space="0" w:color="auto"/>
      </w:divBdr>
    </w:div>
    <w:div w:id="1570193550">
      <w:bodyDiv w:val="1"/>
      <w:marLeft w:val="0"/>
      <w:marRight w:val="0"/>
      <w:marTop w:val="0"/>
      <w:marBottom w:val="0"/>
      <w:divBdr>
        <w:top w:val="none" w:sz="0" w:space="0" w:color="auto"/>
        <w:left w:val="none" w:sz="0" w:space="0" w:color="auto"/>
        <w:bottom w:val="none" w:sz="0" w:space="0" w:color="auto"/>
        <w:right w:val="none" w:sz="0" w:space="0" w:color="auto"/>
      </w:divBdr>
    </w:div>
    <w:div w:id="1745297470">
      <w:bodyDiv w:val="1"/>
      <w:marLeft w:val="0"/>
      <w:marRight w:val="0"/>
      <w:marTop w:val="0"/>
      <w:marBottom w:val="0"/>
      <w:divBdr>
        <w:top w:val="none" w:sz="0" w:space="0" w:color="auto"/>
        <w:left w:val="none" w:sz="0" w:space="0" w:color="auto"/>
        <w:bottom w:val="none" w:sz="0" w:space="0" w:color="auto"/>
        <w:right w:val="none" w:sz="0" w:space="0" w:color="auto"/>
      </w:divBdr>
    </w:div>
    <w:div w:id="1866669398">
      <w:bodyDiv w:val="1"/>
      <w:marLeft w:val="0"/>
      <w:marRight w:val="0"/>
      <w:marTop w:val="0"/>
      <w:marBottom w:val="0"/>
      <w:divBdr>
        <w:top w:val="none" w:sz="0" w:space="0" w:color="auto"/>
        <w:left w:val="none" w:sz="0" w:space="0" w:color="auto"/>
        <w:bottom w:val="none" w:sz="0" w:space="0" w:color="auto"/>
        <w:right w:val="none" w:sz="0" w:space="0" w:color="auto"/>
      </w:divBdr>
    </w:div>
    <w:div w:id="2010710789">
      <w:bodyDiv w:val="1"/>
      <w:marLeft w:val="0"/>
      <w:marRight w:val="0"/>
      <w:marTop w:val="0"/>
      <w:marBottom w:val="0"/>
      <w:divBdr>
        <w:top w:val="none" w:sz="0" w:space="0" w:color="auto"/>
        <w:left w:val="none" w:sz="0" w:space="0" w:color="auto"/>
        <w:bottom w:val="none" w:sz="0" w:space="0" w:color="auto"/>
        <w:right w:val="none" w:sz="0" w:space="0" w:color="auto"/>
      </w:divBdr>
    </w:div>
    <w:div w:id="2031445108">
      <w:bodyDiv w:val="1"/>
      <w:marLeft w:val="0"/>
      <w:marRight w:val="0"/>
      <w:marTop w:val="0"/>
      <w:marBottom w:val="0"/>
      <w:divBdr>
        <w:top w:val="none" w:sz="0" w:space="0" w:color="auto"/>
        <w:left w:val="none" w:sz="0" w:space="0" w:color="auto"/>
        <w:bottom w:val="none" w:sz="0" w:space="0" w:color="auto"/>
        <w:right w:val="none" w:sz="0" w:space="0" w:color="auto"/>
      </w:divBdr>
    </w:div>
    <w:div w:id="2095197909">
      <w:bodyDiv w:val="1"/>
      <w:marLeft w:val="0"/>
      <w:marRight w:val="0"/>
      <w:marTop w:val="0"/>
      <w:marBottom w:val="0"/>
      <w:divBdr>
        <w:top w:val="none" w:sz="0" w:space="0" w:color="auto"/>
        <w:left w:val="none" w:sz="0" w:space="0" w:color="auto"/>
        <w:bottom w:val="none" w:sz="0" w:space="0" w:color="auto"/>
        <w:right w:val="none" w:sz="0" w:space="0" w:color="auto"/>
      </w:divBdr>
    </w:div>
    <w:div w:id="2133091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europol.europa.eu"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12</Pages>
  <Words>4945</Words>
  <Characters>28189</Characters>
  <Application>Microsoft Office Word</Application>
  <DocSecurity>0</DocSecurity>
  <Lines>234</Lines>
  <Paragraphs>66</Paragraphs>
  <ScaleCrop>false</ScaleCrop>
  <Company>South Wales Police</Company>
  <LinksUpToDate>false</LinksUpToDate>
  <CharactersWithSpaces>33068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Simcock-Jones,Oakleigh swp8756</dc:creator>
  <cp:keywords/>
  <dc:description/>
  <cp:lastModifiedBy>Oakleigh Simcock-jones</cp:lastModifiedBy>
  <cp:revision>28</cp:revision>
  <dcterms:created xsi:type="dcterms:W3CDTF">2024-09-19T14:06:00Z</dcterms:created>
  <dcterms:modified xsi:type="dcterms:W3CDTF">2025-05-26T11:56:00Z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2024-09-19T14:07:03Z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b4e05c32-da78-4cf0-8dcc-16a798a3895f</vt:lpwstr>
  </property>
  <property fmtid="{D5CDD505-2E9C-101B-9397-08002B2CF9AE}" pid="8" name="MSIP_Label_66cf8fe5-b7b7-4df7-b38d-1c61ac2f6639_ContentBits">
    <vt:lpwstr>0</vt:lpwstr>
  </property>
</Properties>
</file>