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header1.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Arial Regular" w:hAnsi="Arial Regular" w:cs="Arial Regular"/>
          <w:sz w:val="24"/>
          <w:szCs w:val="24"/>
          <w:highlight w:val="none"/>
        </w:rPr>
      </w:pPr>
    </w:p>
    <w:p>
      <w:pPr>
        <w:keepNext w:val="0"/>
        <w:keepLines w:val="0"/>
        <w:pageBreakBefore w:val="0"/>
        <w:widowControl/>
        <w:kinsoku/>
        <w:wordWrap/>
        <w:overflowPunct/>
        <w:topLinePunct w:val="0"/>
        <w:autoSpaceDE/>
        <w:autoSpaceDN/>
        <w:bidi w:val="0"/>
        <w:adjustRightInd/>
        <w:snapToGrid/>
        <w:spacing w:line="360" w:lineRule="auto"/>
        <w:jc w:val="center"/>
        <w:textAlignment w:val="auto"/>
        <w:rPr>
          <w:rFonts w:hint="default" w:ascii="Arial Regular" w:hAnsi="Arial Regular" w:cs="Arial Regular"/>
          <w:sz w:val="24"/>
          <w:szCs w:val="24"/>
          <w:highlight w:val="none"/>
        </w:rPr>
      </w:pPr>
    </w:p>
    <w:p>
      <w:pPr>
        <w:keepNext w:val="0"/>
        <w:keepLines w:val="0"/>
        <w:pageBreakBefore w:val="0"/>
        <w:widowControl/>
        <w:kinsoku/>
        <w:wordWrap/>
        <w:overflowPunct/>
        <w:topLinePunct w:val="0"/>
        <w:autoSpaceDE/>
        <w:autoSpaceDN/>
        <w:bidi w:val="0"/>
        <w:adjustRightInd/>
        <w:snapToGrid/>
        <w:spacing w:line="360" w:lineRule="auto"/>
        <w:jc w:val="center"/>
        <w:textAlignment w:val="auto"/>
        <w:rPr>
          <w:rFonts w:hint="default" w:ascii="Arial Regular" w:hAnsi="Arial Regular" w:cs="Arial Regular"/>
          <w:sz w:val="24"/>
          <w:szCs w:val="24"/>
          <w:highlight w:val="none"/>
        </w:rPr>
      </w:pPr>
      <w:r>
        <w:rPr>
          <w:rFonts w:hint="default" w:ascii="Arial Bold" w:hAnsi="Arial Bold" w:cs="Arial Bold"/>
          <w:b/>
          <w:bCs/>
          <w:sz w:val="24"/>
          <w:szCs w:val="24"/>
          <w:highlight w:val="none"/>
        </w:rPr>
        <w:t>Analysis of Tesco's</w:t>
      </w:r>
      <w:r>
        <w:rPr>
          <w:rFonts w:hint="eastAsia" w:ascii="Arial Bold" w:hAnsi="Arial Bold" w:eastAsia="宋体" w:cs="Arial Bold"/>
          <w:b/>
          <w:bCs/>
          <w:sz w:val="24"/>
          <w:szCs w:val="24"/>
          <w:highlight w:val="none"/>
          <w:lang w:val="en-US" w:eastAsia="zh-CN"/>
        </w:rPr>
        <w:t xml:space="preserve"> </w:t>
      </w:r>
      <w:bookmarkStart w:id="0" w:name="_GoBack"/>
      <w:r>
        <w:rPr>
          <w:rFonts w:hint="eastAsia" w:ascii="Arial Bold" w:hAnsi="Arial Bold" w:eastAsia="宋体" w:cs="Arial Bold"/>
          <w:b/>
          <w:bCs/>
          <w:sz w:val="24"/>
          <w:szCs w:val="24"/>
          <w:highlight w:val="none"/>
          <w:lang w:val="en-US" w:eastAsia="zh-CN"/>
        </w:rPr>
        <w:t>strategic</w:t>
      </w:r>
      <w:r>
        <w:rPr>
          <w:rFonts w:hint="default" w:ascii="Arial Bold" w:hAnsi="Arial Bold" w:cs="Arial Bold"/>
          <w:b/>
          <w:bCs/>
          <w:sz w:val="24"/>
          <w:szCs w:val="24"/>
          <w:highlight w:val="none"/>
        </w:rPr>
        <w:t xml:space="preserve"> marketing  </w:t>
      </w:r>
    </w:p>
    <w:bookmarkEnd w:id="0"/>
    <w:p>
      <w:pPr>
        <w:keepNext w:val="0"/>
        <w:keepLines w:val="0"/>
        <w:pageBreakBefore w:val="0"/>
        <w:widowControl/>
        <w:kinsoku/>
        <w:wordWrap/>
        <w:overflowPunct/>
        <w:topLinePunct w:val="0"/>
        <w:autoSpaceDE/>
        <w:autoSpaceDN/>
        <w:bidi w:val="0"/>
        <w:adjustRightInd/>
        <w:snapToGrid/>
        <w:spacing w:line="360" w:lineRule="auto"/>
        <w:jc w:val="center"/>
        <w:textAlignment w:val="auto"/>
        <w:rPr>
          <w:rFonts w:hint="default" w:ascii="Arial Regular" w:hAnsi="Arial Regular" w:cs="Arial Regular"/>
          <w:sz w:val="24"/>
          <w:szCs w:val="24"/>
          <w:highlight w:val="none"/>
          <w:lang w:val="en-US"/>
        </w:rPr>
      </w:pPr>
      <w:r>
        <w:rPr>
          <w:rFonts w:hint="default" w:ascii="Arial Regular" w:hAnsi="Arial Regular" w:cs="Arial Regular"/>
          <w:sz w:val="24"/>
          <w:szCs w:val="24"/>
          <w:highlight w:val="none"/>
        </w:rPr>
        <w:t>Module Code</w:t>
      </w:r>
      <w:r>
        <w:rPr>
          <w:rFonts w:hint="default" w:ascii="Arial Regular" w:hAnsi="Arial Regular" w:cs="Arial Regular"/>
          <w:sz w:val="24"/>
          <w:szCs w:val="24"/>
          <w:highlight w:val="none"/>
          <w:lang w:val="en-US"/>
        </w:rPr>
        <w:t>:BMBM6016</w:t>
      </w:r>
    </w:p>
    <w:p>
      <w:pPr>
        <w:keepNext w:val="0"/>
        <w:keepLines w:val="0"/>
        <w:pageBreakBefore w:val="0"/>
        <w:widowControl/>
        <w:kinsoku/>
        <w:wordWrap/>
        <w:overflowPunct/>
        <w:topLinePunct w:val="0"/>
        <w:autoSpaceDE/>
        <w:autoSpaceDN/>
        <w:bidi w:val="0"/>
        <w:adjustRightInd/>
        <w:snapToGrid/>
        <w:spacing w:line="360" w:lineRule="auto"/>
        <w:jc w:val="center"/>
        <w:textAlignment w:val="auto"/>
        <w:rPr>
          <w:rFonts w:hint="default" w:ascii="Arial Regular" w:hAnsi="Arial Regular" w:cs="Arial Regular"/>
          <w:sz w:val="24"/>
          <w:szCs w:val="24"/>
          <w:highlight w:val="none"/>
        </w:rPr>
      </w:pPr>
    </w:p>
    <w:p>
      <w:pPr>
        <w:keepNext w:val="0"/>
        <w:keepLines w:val="0"/>
        <w:pageBreakBefore w:val="0"/>
        <w:widowControl/>
        <w:kinsoku/>
        <w:wordWrap/>
        <w:overflowPunct/>
        <w:topLinePunct w:val="0"/>
        <w:autoSpaceDE/>
        <w:autoSpaceDN/>
        <w:bidi w:val="0"/>
        <w:adjustRightInd/>
        <w:snapToGrid/>
        <w:spacing w:line="360" w:lineRule="auto"/>
        <w:jc w:val="center"/>
        <w:textAlignment w:val="auto"/>
        <w:rPr>
          <w:rFonts w:hint="default" w:ascii="Arial Regular" w:hAnsi="Arial Regular" w:cs="Arial Regular"/>
          <w:sz w:val="24"/>
          <w:szCs w:val="24"/>
          <w:highlight w:val="none"/>
          <w:lang w:val="en-US"/>
        </w:rPr>
      </w:pPr>
      <w:r>
        <w:rPr>
          <w:rFonts w:hint="default" w:ascii="Arial Regular" w:hAnsi="Arial Regular" w:cs="Arial Regular"/>
          <w:sz w:val="24"/>
          <w:szCs w:val="24"/>
          <w:highlight w:val="none"/>
        </w:rPr>
        <w:t>Name and Student ID</w:t>
      </w:r>
      <w:r>
        <w:rPr>
          <w:rFonts w:hint="default" w:ascii="Arial Regular" w:hAnsi="Arial Regular" w:cs="Arial Regular"/>
          <w:sz w:val="24"/>
          <w:szCs w:val="24"/>
          <w:highlight w:val="none"/>
          <w:lang w:val="en-US"/>
        </w:rPr>
        <w:t>:Yichen Wang 2300489</w:t>
      </w:r>
    </w:p>
    <w:p>
      <w:pPr>
        <w:keepNext w:val="0"/>
        <w:keepLines w:val="0"/>
        <w:pageBreakBefore w:val="0"/>
        <w:widowControl/>
        <w:kinsoku/>
        <w:wordWrap/>
        <w:overflowPunct/>
        <w:topLinePunct w:val="0"/>
        <w:autoSpaceDE/>
        <w:autoSpaceDN/>
        <w:bidi w:val="0"/>
        <w:adjustRightInd/>
        <w:snapToGrid/>
        <w:spacing w:line="360" w:lineRule="auto"/>
        <w:jc w:val="center"/>
        <w:textAlignment w:val="auto"/>
        <w:rPr>
          <w:rFonts w:hint="default" w:ascii="Arial Regular" w:hAnsi="Arial Regular" w:cs="Arial Regular"/>
          <w:sz w:val="24"/>
          <w:szCs w:val="24"/>
          <w:highlight w:val="none"/>
        </w:rPr>
      </w:pPr>
    </w:p>
    <w:p>
      <w:pPr>
        <w:keepNext w:val="0"/>
        <w:keepLines w:val="0"/>
        <w:pageBreakBefore w:val="0"/>
        <w:widowControl/>
        <w:kinsoku/>
        <w:wordWrap/>
        <w:overflowPunct/>
        <w:topLinePunct w:val="0"/>
        <w:autoSpaceDE/>
        <w:autoSpaceDN/>
        <w:bidi w:val="0"/>
        <w:adjustRightInd/>
        <w:snapToGrid/>
        <w:spacing w:line="360" w:lineRule="auto"/>
        <w:jc w:val="center"/>
        <w:textAlignment w:val="auto"/>
        <w:rPr>
          <w:rFonts w:hint="default" w:ascii="Arial Regular" w:hAnsi="Arial Regular" w:cs="Arial Regular"/>
          <w:sz w:val="24"/>
          <w:szCs w:val="24"/>
          <w:highlight w:val="none"/>
          <w:lang w:val="en-US"/>
        </w:rPr>
      </w:pPr>
      <w:r>
        <w:rPr>
          <w:rFonts w:hint="default" w:ascii="Arial Regular" w:hAnsi="Arial Regular" w:cs="Arial Regular"/>
          <w:sz w:val="24"/>
          <w:szCs w:val="24"/>
          <w:highlight w:val="none"/>
        </w:rPr>
        <w:t>Lecturer name</w:t>
      </w:r>
      <w:r>
        <w:rPr>
          <w:rFonts w:hint="default" w:ascii="Arial Regular" w:hAnsi="Arial Regular" w:cs="Arial Regular"/>
          <w:sz w:val="24"/>
          <w:szCs w:val="24"/>
          <w:highlight w:val="none"/>
          <w:lang w:val="en-US"/>
        </w:rPr>
        <w:t>:Gwyneth Jones</w:t>
      </w:r>
    </w:p>
    <w:p>
      <w:pPr>
        <w:keepNext w:val="0"/>
        <w:keepLines w:val="0"/>
        <w:pageBreakBefore w:val="0"/>
        <w:widowControl/>
        <w:kinsoku/>
        <w:wordWrap/>
        <w:overflowPunct/>
        <w:topLinePunct w:val="0"/>
        <w:autoSpaceDE/>
        <w:autoSpaceDN/>
        <w:bidi w:val="0"/>
        <w:adjustRightInd/>
        <w:snapToGrid/>
        <w:spacing w:line="360" w:lineRule="auto"/>
        <w:jc w:val="center"/>
        <w:textAlignment w:val="auto"/>
        <w:rPr>
          <w:rFonts w:hint="default" w:ascii="Arial Regular" w:hAnsi="Arial Regular" w:cs="Arial Regular"/>
          <w:sz w:val="24"/>
          <w:szCs w:val="24"/>
          <w:highlight w:val="none"/>
        </w:rPr>
      </w:pPr>
    </w:p>
    <w:p>
      <w:pPr>
        <w:keepNext w:val="0"/>
        <w:keepLines w:val="0"/>
        <w:pageBreakBefore w:val="0"/>
        <w:widowControl/>
        <w:kinsoku/>
        <w:wordWrap/>
        <w:overflowPunct/>
        <w:topLinePunct w:val="0"/>
        <w:autoSpaceDE/>
        <w:autoSpaceDN/>
        <w:bidi w:val="0"/>
        <w:adjustRightInd/>
        <w:snapToGrid/>
        <w:spacing w:line="360" w:lineRule="auto"/>
        <w:jc w:val="center"/>
        <w:textAlignment w:val="auto"/>
        <w:rPr>
          <w:rFonts w:hint="default" w:ascii="Arial Regular" w:hAnsi="Arial Regular" w:cs="Arial Regular"/>
          <w:sz w:val="24"/>
          <w:szCs w:val="24"/>
          <w:highlight w:val="none"/>
        </w:rPr>
      </w:pPr>
    </w:p>
    <w:p>
      <w:pPr>
        <w:keepNext w:val="0"/>
        <w:keepLines w:val="0"/>
        <w:pageBreakBefore w:val="0"/>
        <w:widowControl/>
        <w:kinsoku/>
        <w:wordWrap/>
        <w:overflowPunct/>
        <w:topLinePunct w:val="0"/>
        <w:autoSpaceDE/>
        <w:autoSpaceDN/>
        <w:bidi w:val="0"/>
        <w:adjustRightInd/>
        <w:snapToGrid/>
        <w:spacing w:line="360" w:lineRule="auto"/>
        <w:jc w:val="center"/>
        <w:textAlignment w:val="auto"/>
        <w:rPr>
          <w:rFonts w:hint="default" w:ascii="Arial Regular" w:hAnsi="Arial Regular" w:cs="Arial Regular"/>
          <w:b/>
          <w:bCs/>
          <w:sz w:val="24"/>
          <w:szCs w:val="24"/>
          <w:highlight w:val="none"/>
          <w:u w:val="single"/>
        </w:rPr>
      </w:pPr>
      <w:r>
        <w:rPr>
          <w:rFonts w:hint="default" w:ascii="Arial Regular" w:hAnsi="Arial Regular" w:cs="Arial Regular"/>
          <w:b/>
          <w:bCs/>
          <w:sz w:val="24"/>
          <w:szCs w:val="24"/>
          <w:highlight w:val="none"/>
          <w:u w:val="single"/>
        </w:rPr>
        <w:br w:type="page"/>
      </w:r>
    </w:p>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Arial Regular" w:hAnsi="Arial Regular" w:cs="Arial Regular"/>
          <w:sz w:val="24"/>
          <w:szCs w:val="24"/>
          <w:highlight w:val="none"/>
        </w:rPr>
      </w:pPr>
      <w:r>
        <w:rPr>
          <w:rFonts w:hint="default" w:ascii="Arial Regular" w:hAnsi="Arial Regular" w:cs="Arial Regular"/>
          <w:b/>
          <w:bCs/>
          <w:sz w:val="24"/>
          <w:szCs w:val="24"/>
          <w:highlight w:val="none"/>
          <w:u w:val="single"/>
        </w:rPr>
        <w:t>Executive Summary</w:t>
      </w:r>
      <w:r>
        <w:rPr>
          <w:rFonts w:hint="default" w:ascii="Arial Regular" w:hAnsi="Arial Regular" w:cs="Arial Regular"/>
          <w:sz w:val="24"/>
          <w:szCs w:val="24"/>
          <w:highlight w:val="none"/>
        </w:rPr>
        <w:t xml:space="preserve"> </w:t>
      </w:r>
    </w:p>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Arial Regular" w:hAnsi="Arial Regular" w:cs="Arial Regular"/>
          <w:sz w:val="24"/>
          <w:szCs w:val="24"/>
          <w:highlight w:val="none"/>
          <w:lang w:val="en-US" w:eastAsia="zh-Hans"/>
        </w:rPr>
      </w:pPr>
      <w:r>
        <w:rPr>
          <w:rFonts w:hint="eastAsia" w:ascii="Arial Regular" w:hAnsi="Arial Regular" w:cs="Arial Regular"/>
          <w:sz w:val="24"/>
          <w:szCs w:val="24"/>
          <w:highlight w:val="none"/>
          <w:lang w:val="en-US" w:eastAsia="zh-Hans"/>
        </w:rPr>
        <w:t>This study uses PESTEL and other models and related theories to analyze Tesco's strengths and weaknesses, internal and external environment, etc. In the face of the changes in the global economic situation and the UK economic situation, Tesco needs to take corresponding measures to meet the challenges, actively use artificial intelligence, strengthen supply chain management, optimize product portfolio, improve customer experience, and reduce costs. At the same time, Tesco also needs to flexibly adjust business strategies and strategies, pay close attention to market dynamics and consumer demand, in order to maintain competitive advantages and achieve sustainable development.</w:t>
      </w:r>
    </w:p>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Arial Regular" w:hAnsi="Arial Regular" w:cs="Arial Regular"/>
          <w:sz w:val="24"/>
          <w:szCs w:val="24"/>
          <w:highlight w:val="none"/>
        </w:rPr>
      </w:pPr>
    </w:p>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Arial Regular" w:hAnsi="Arial Regular" w:cs="Arial Regular"/>
          <w:b/>
          <w:bCs/>
          <w:sz w:val="24"/>
          <w:szCs w:val="24"/>
          <w:highlight w:val="none"/>
          <w:u w:val="single"/>
        </w:rPr>
      </w:pPr>
      <w:r>
        <w:rPr>
          <w:rFonts w:hint="default" w:ascii="Arial Regular" w:hAnsi="Arial Regular" w:cs="Arial Regular"/>
          <w:b/>
          <w:bCs/>
          <w:sz w:val="24"/>
          <w:szCs w:val="24"/>
          <w:highlight w:val="none"/>
          <w:u w:val="single"/>
        </w:rPr>
        <w:t>Introduction</w:t>
      </w:r>
    </w:p>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Arial Regular" w:hAnsi="Arial Regular" w:cs="Arial Regular"/>
          <w:sz w:val="24"/>
          <w:szCs w:val="24"/>
          <w:highlight w:val="none"/>
        </w:rPr>
      </w:pPr>
      <w:r>
        <w:rPr>
          <w:rFonts w:hint="default" w:ascii="Arial Regular" w:hAnsi="Arial Regular" w:cs="Arial Regular"/>
          <w:sz w:val="24"/>
          <w:szCs w:val="24"/>
          <w:highlight w:val="none"/>
        </w:rPr>
        <w:t xml:space="preserve">The global economy still maintains low growth, due to geopolitical conflicts continue to interfere with the global industrial chain and supply chain, resulting in global trade obstruction, and the impact of trade frictions on the global economy is still continuing. It is widely expected that the global economic growth rate will remain at around 3% in 2024 (Thornes, 2022). Transport delays in the global supply chain, shortage of raw materials, Tesco's inventory management and insufficient supply of goods, global trade tensions led to trade restrictions and tariff increases, Tesco's cost of imported goods and sales prices increased, currency exchange rate fluctuations led to cost fluctuations of imported goods, Tesco's profit margin and competitiveness decreased (Digal et al., 2015). </w:t>
      </w:r>
    </w:p>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Arial Regular" w:hAnsi="Arial Regular" w:cs="Arial Regular"/>
          <w:sz w:val="24"/>
          <w:szCs w:val="24"/>
          <w:highlight w:val="none"/>
        </w:rPr>
      </w:pPr>
    </w:p>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Arial Regular" w:hAnsi="Arial Regular" w:cs="Arial Regular"/>
          <w:sz w:val="24"/>
          <w:szCs w:val="24"/>
          <w:highlight w:val="none"/>
        </w:rPr>
      </w:pPr>
      <w:r>
        <w:rPr>
          <w:rFonts w:hint="default" w:ascii="Arial Regular" w:hAnsi="Arial Regular" w:cs="Arial Regular"/>
          <w:sz w:val="24"/>
          <w:szCs w:val="24"/>
          <w:highlight w:val="none"/>
        </w:rPr>
        <w:t>In addition, the global coronavirus epidemic has also had a negative impact on the British economy, British consumers' purchasing behavior has changed, the supply chain has been disrupted, and Tesco's business has been negatively affected (Johns, 2017). The inflationary pressure led to the decline of consumers' purchasing power, which lowered Tesco's sales and profit margin. The labor market pressure led to the rise of labor costs, and Tesco's profitability and cost control level significantly decreased (Wood, 2017). The political and economic uncertainty brought about by Brexit has affected UK economic growth and consumer confidence levels, and Tesco's sales performance has been poor.</w:t>
      </w:r>
    </w:p>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Arial Regular" w:hAnsi="Arial Regular" w:cs="Arial Regular"/>
          <w:sz w:val="24"/>
          <w:szCs w:val="24"/>
          <w:highlight w:val="none"/>
        </w:rPr>
      </w:pPr>
    </w:p>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Arial Regular" w:hAnsi="Arial Regular" w:cs="Arial Regular"/>
          <w:sz w:val="24"/>
          <w:szCs w:val="24"/>
          <w:highlight w:val="none"/>
        </w:rPr>
      </w:pPr>
      <w:r>
        <w:rPr>
          <w:rFonts w:hint="default" w:ascii="Arial Regular" w:hAnsi="Arial Regular" w:cs="Arial Regular"/>
          <w:sz w:val="24"/>
          <w:szCs w:val="24"/>
          <w:highlight w:val="none"/>
        </w:rPr>
        <w:t xml:space="preserve">Tesco is one of the largest supermarket chains in the UK, with thousands of stores offering a wide range of food and everyday items, and is also expanding globally, including in Asian and European markets (Tesco, 2024). Due to its size and diverse businesses, Tesco is resilient to changes in global economic conditions, but it still needs to pay close attention and respond flexibly to uncertainties. The global economic situation is stimulated by international trade, financial market volatility and geopolitical tensions, which can easily affect global economic growth, inflation rates and consumer confidence levels (Jhaveri and  Anantharaman, 2016). </w:t>
      </w:r>
    </w:p>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Arial Regular" w:hAnsi="Arial Regular" w:cs="Arial Regular"/>
          <w:sz w:val="24"/>
          <w:szCs w:val="24"/>
          <w:highlight w:val="none"/>
        </w:rPr>
      </w:pPr>
    </w:p>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Arial Regular" w:hAnsi="Arial Regular" w:cs="Arial Regular"/>
          <w:sz w:val="24"/>
          <w:szCs w:val="24"/>
          <w:highlight w:val="none"/>
        </w:rPr>
      </w:pPr>
      <w:r>
        <w:rPr>
          <w:rFonts w:hint="default" w:ascii="Arial Regular" w:hAnsi="Arial Regular" w:cs="Arial Regular"/>
          <w:sz w:val="24"/>
          <w:szCs w:val="24"/>
          <w:highlight w:val="none"/>
        </w:rPr>
        <w:t>For the food retail industry in the UK, changes in the global economy lead to exchange rate fluctuations, raw material price fluctuations and changes in global supply chains, which in turn affect the cost of imported goods and selling prices (Jobber and Ellis-Chadwick, 2016). Especially for Tesco, the British supermarket chain, the tension in the global supply chain will lead to the unstable supply of products, and the global economic situation will also lead to changes in the purchasing power and consumption habits of British consumers, which will lead to the decline of Tesco's specific sales performance, and the uncertainty of the global economic situation will cause a burden on the operation. Currency fluctuations raise the cost of international food purchases (Hasdell et al., 2020).</w:t>
      </w:r>
    </w:p>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Arial Regular" w:hAnsi="Arial Regular" w:cs="Arial Regular"/>
          <w:sz w:val="24"/>
          <w:szCs w:val="24"/>
          <w:highlight w:val="none"/>
        </w:rPr>
      </w:pPr>
    </w:p>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Arial Regular" w:hAnsi="Arial Regular" w:cs="Arial Regular"/>
          <w:b/>
          <w:bCs/>
          <w:sz w:val="24"/>
          <w:szCs w:val="24"/>
          <w:highlight w:val="none"/>
          <w:u w:val="single"/>
        </w:rPr>
      </w:pPr>
      <w:r>
        <w:rPr>
          <w:rFonts w:hint="default" w:ascii="Arial Regular" w:hAnsi="Arial Regular" w:cs="Arial Regular"/>
          <w:b/>
          <w:bCs/>
          <w:sz w:val="24"/>
          <w:szCs w:val="24"/>
          <w:highlight w:val="none"/>
          <w:u w:val="single"/>
        </w:rPr>
        <w:t>Main Findings</w:t>
      </w:r>
    </w:p>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Arial Regular" w:hAnsi="Arial Regular" w:cs="Arial Regular"/>
          <w:sz w:val="24"/>
          <w:szCs w:val="24"/>
          <w:highlight w:val="none"/>
        </w:rPr>
      </w:pPr>
      <w:r>
        <w:rPr>
          <w:rFonts w:hint="default" w:ascii="Arial Regular" w:hAnsi="Arial Regular" w:cs="Arial Regular"/>
          <w:sz w:val="24"/>
          <w:szCs w:val="24"/>
          <w:highlight w:val="none"/>
        </w:rPr>
        <w:t>PESTEL model analysis</w:t>
      </w:r>
    </w:p>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Arial Regular" w:hAnsi="Arial Regular" w:cs="Arial Regular"/>
          <w:sz w:val="24"/>
          <w:szCs w:val="24"/>
          <w:highlight w:val="none"/>
        </w:rPr>
      </w:pPr>
      <w:r>
        <w:rPr>
          <w:rFonts w:hint="default" w:ascii="Arial Regular" w:hAnsi="Arial Regular" w:cs="Arial Regular"/>
          <w:sz w:val="24"/>
          <w:szCs w:val="24"/>
          <w:highlight w:val="none"/>
        </w:rPr>
        <w:t xml:space="preserve">Economic factors include inflation rate, unemployment rate and exchange rate fluctuations. The overall situation of the British economy will be directly related to Tesco's sales and profitability (Shivakumar, 2014). Currency depreciation will increase the cost of imported goods and reduce Tesco's actual profits. Tesco, as a retailer, is also influenced by environmentalist consumers, who are more likely to buy environmentally friendly products and support environmental initiatives in the UK. Therefore, Tesco needs to consider initiatives such as reducing packaging waste and promoting sustainable products (Wilson, 2019). At the same time, the influence of political factors on Tesco is mainly reflected in government policies and legislation. The trade policy and tax policy of the British government will affect the cost of imported goods and sales price of Tesco, and the supervision and regulations of the British government on the retail industry will also stimulate Tesco's business model and marketing strategy (Hollis, 2019). </w:t>
      </w:r>
    </w:p>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Arial Regular" w:hAnsi="Arial Regular" w:cs="Arial Regular"/>
          <w:sz w:val="24"/>
          <w:szCs w:val="24"/>
          <w:highlight w:val="none"/>
        </w:rPr>
      </w:pPr>
    </w:p>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Arial Regular" w:hAnsi="Arial Regular" w:cs="Arial Regular"/>
          <w:sz w:val="24"/>
          <w:szCs w:val="24"/>
          <w:highlight w:val="none"/>
        </w:rPr>
      </w:pPr>
      <w:r>
        <w:rPr>
          <w:rFonts w:hint="default" w:ascii="Arial Regular" w:hAnsi="Arial Regular" w:cs="Arial Regular"/>
          <w:sz w:val="24"/>
          <w:szCs w:val="24"/>
          <w:highlight w:val="none"/>
        </w:rPr>
        <w:t>In addition, the impact of technological factors on Tesco is mainly reflected in digital technologies such as modern artificial intelligence and e-commerce (Kaoru and Tashiro, 2015). With the popularity of online shopping and the development of modern mobile payment, Tesco needs to constantly update and improve its online sales platform and mobile applications to improve customer experience in the UK and the world and maintain competitive advantages. Social factors include demographic structure, consumption habits and health awareness (Aaker, 2015). With the increasing demand of modern British consumers for healthy food and sustainable products, Tesco needs to timely adjust its product portfolio and marketing strategy to meet the new consumer demand and maintain a close connection with contemporary consumers (Udell, 2015). Finally, Tesco needs to comply with the specific and strict labor regulations and competition regulations of the retail industry in the UK to ensure the legal compliance of its business. Any legal changes will have a direct impact on Tesco's business, and the increase of minimum wage standards will directly increase its labor costs (Kim and Mauborgne, 2004).</w:t>
      </w:r>
    </w:p>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Arial Regular" w:hAnsi="Arial Regular" w:cs="Arial Regular"/>
          <w:sz w:val="24"/>
          <w:szCs w:val="24"/>
          <w:highlight w:val="none"/>
        </w:rPr>
      </w:pPr>
    </w:p>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Arial Regular" w:hAnsi="Arial Regular" w:cs="Arial Regular"/>
          <w:sz w:val="24"/>
          <w:szCs w:val="24"/>
          <w:highlight w:val="none"/>
        </w:rPr>
      </w:pPr>
      <w:r>
        <w:rPr>
          <w:rFonts w:hint="default" w:ascii="Arial Regular" w:hAnsi="Arial Regular" w:cs="Arial Regular"/>
          <w:sz w:val="24"/>
          <w:szCs w:val="24"/>
          <w:highlight w:val="none"/>
        </w:rPr>
        <w:t>McKinsey 7S framework model analysis</w:t>
      </w:r>
    </w:p>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Arial Regular" w:hAnsi="Arial Regular" w:cs="Arial Regular"/>
          <w:sz w:val="24"/>
          <w:szCs w:val="24"/>
          <w:highlight w:val="none"/>
        </w:rPr>
      </w:pPr>
      <w:r>
        <w:rPr>
          <w:rFonts w:hint="default" w:ascii="Arial Regular" w:hAnsi="Arial Regular" w:cs="Arial Regular"/>
          <w:sz w:val="24"/>
          <w:szCs w:val="24"/>
          <w:highlight w:val="none"/>
        </w:rPr>
        <w:t>McKinsey's 7S framework model is used to analyze seven key elements within an enterprise: Strategy, Structure, Systems, Skills, Staff, Style, and Shared Values.</w:t>
      </w:r>
    </w:p>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Arial Regular" w:hAnsi="Arial Regular" w:cs="Arial Regular"/>
          <w:sz w:val="24"/>
          <w:szCs w:val="24"/>
          <w:highlight w:val="none"/>
        </w:rPr>
      </w:pPr>
      <w:r>
        <w:rPr>
          <w:rFonts w:hint="default" w:ascii="Arial Regular" w:hAnsi="Arial Regular" w:cs="Arial Regular"/>
          <w:sz w:val="24"/>
          <w:szCs w:val="24"/>
          <w:highlight w:val="none"/>
        </w:rPr>
        <w:t>Tesco's organizational structure is hierarchical, consisting of headquarters, regional branches and stores. Each level has clear responsibilities and scope of authority and responsibility to ensure efficient decision execution (Chung, 2019). Tesco's marketing strategy is to provide diversified products and services to meet a wide range of consumer needs, and to maintain a competitive edge through continuous innovation and marketing (David, 2007). Tesco is committed to expanding its sustainability product line, enhancing its digital marketing and online sales capabilities, and expanding its business in international markets (Vriens and Brazell, 2013). At the same time, Tesco has a modern and advanced information technology system to support supply chain management, inventory management, sales data analysis and operation. Tesco uses POS system to track sales data, and carries out inventory management and replenishment according to demand (Taghian, 2010).</w:t>
      </w:r>
    </w:p>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Arial Regular" w:hAnsi="Arial Regular" w:cs="Arial Regular"/>
          <w:sz w:val="24"/>
          <w:szCs w:val="24"/>
          <w:highlight w:val="none"/>
        </w:rPr>
      </w:pPr>
    </w:p>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Arial Regular" w:hAnsi="Arial Regular" w:cs="Arial Regular"/>
          <w:sz w:val="24"/>
          <w:szCs w:val="24"/>
          <w:highlight w:val="none"/>
        </w:rPr>
      </w:pPr>
      <w:r>
        <w:rPr>
          <w:rFonts w:hint="default" w:ascii="Arial Regular" w:hAnsi="Arial Regular" w:cs="Arial Regular"/>
          <w:sz w:val="24"/>
          <w:szCs w:val="24"/>
          <w:highlight w:val="none"/>
        </w:rPr>
        <w:t>In addition, Tesco has a large number of excellent employees from different nationalities, with rich retail and customer service experience, as well as good product knowledge and sales skills, playing an important role in supermarket operation, sales service, product procurement and other aspects, to provide all customers in the UK with quality shopping experience. Tesco attaches great importance to staff training and development to continuously improve their skills and professional level (Gisela et al., 2015). Tesco's management style focuses on efficiency and innovation, encourages employees to propose new ideas and solutions, and pursues excellent performance and customer satisfaction. It maintains open and transparent communication between management and employees to promote team cooperation and the realization of common goals (Ngouapegne and  Chinomona, 2019). Tesco's shared values include customer first, teamwork, innovation and social responsibility, and are committed to meeting customer needs, promoting employee development, promoting social progress, and complying with UK business ethics and laws and regulations.</w:t>
      </w:r>
    </w:p>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Arial Regular" w:hAnsi="Arial Regular" w:cs="Arial Regular"/>
          <w:sz w:val="24"/>
          <w:szCs w:val="24"/>
          <w:highlight w:val="none"/>
        </w:rPr>
      </w:pPr>
    </w:p>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Arial Regular" w:hAnsi="Arial Regular" w:cs="Arial Regular"/>
          <w:b w:val="0"/>
          <w:bCs w:val="0"/>
          <w:sz w:val="24"/>
          <w:szCs w:val="24"/>
          <w:highlight w:val="none"/>
          <w:u w:val="none"/>
        </w:rPr>
      </w:pPr>
      <w:r>
        <w:rPr>
          <w:rFonts w:hint="default" w:ascii="Arial Regular" w:hAnsi="Arial Regular" w:cs="Arial Regular"/>
          <w:b w:val="0"/>
          <w:bCs w:val="0"/>
          <w:sz w:val="24"/>
          <w:szCs w:val="24"/>
          <w:highlight w:val="none"/>
          <w:u w:val="none"/>
        </w:rPr>
        <w:t>Porter's Five forces model analysis</w:t>
      </w:r>
    </w:p>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Arial Regular" w:hAnsi="Arial Regular" w:cs="Arial Regular"/>
          <w:b w:val="0"/>
          <w:bCs w:val="0"/>
          <w:sz w:val="24"/>
          <w:szCs w:val="24"/>
          <w:highlight w:val="none"/>
          <w:u w:val="none"/>
        </w:rPr>
      </w:pPr>
      <w:r>
        <w:rPr>
          <w:rFonts w:hint="default" w:ascii="Arial Regular" w:hAnsi="Arial Regular" w:cs="Arial Regular"/>
          <w:b w:val="0"/>
          <w:bCs w:val="0"/>
          <w:sz w:val="24"/>
          <w:szCs w:val="24"/>
          <w:highlight w:val="none"/>
          <w:u w:val="none"/>
        </w:rPr>
        <w:t>Porter's Five Forces model is used to analyze the competitive environment of the industry in which a company operates, including competitors, potential competitors, substitutes, suppliers, and buyers (</w:t>
      </w:r>
      <w:r>
        <w:rPr>
          <w:rFonts w:hint="default" w:ascii="Arial Regular" w:hAnsi="Arial Regular" w:cs="Arial Regular"/>
          <w:sz w:val="24"/>
          <w:szCs w:val="24"/>
          <w:highlight w:val="none"/>
        </w:rPr>
        <w:t>Castellari et al., 2018)</w:t>
      </w:r>
      <w:r>
        <w:rPr>
          <w:rFonts w:hint="default" w:ascii="Arial Regular" w:hAnsi="Arial Regular" w:cs="Arial Regular"/>
          <w:b w:val="0"/>
          <w:bCs w:val="0"/>
          <w:sz w:val="24"/>
          <w:szCs w:val="24"/>
          <w:highlight w:val="none"/>
          <w:u w:val="none"/>
        </w:rPr>
        <w:t>. First of all, Tesco faces fierce competition in the British retail industry. Its main competitors include Sainsbury's, Asda, Morrisons and other well-known local supermarket chains in the UK, as well as online retailers such as the well-known Amazon (</w:t>
      </w:r>
      <w:r>
        <w:rPr>
          <w:rFonts w:hint="default" w:ascii="Arial Regular" w:hAnsi="Arial Regular" w:cs="Arial Regular"/>
          <w:sz w:val="24"/>
          <w:szCs w:val="24"/>
          <w:highlight w:val="none"/>
        </w:rPr>
        <w:t>Cortesi et al., 2022)</w:t>
      </w:r>
      <w:r>
        <w:rPr>
          <w:rFonts w:hint="default" w:ascii="Arial Regular" w:hAnsi="Arial Regular" w:cs="Arial Regular"/>
          <w:b w:val="0"/>
          <w:bCs w:val="0"/>
          <w:sz w:val="24"/>
          <w:szCs w:val="24"/>
          <w:highlight w:val="none"/>
          <w:u w:val="none"/>
        </w:rPr>
        <w:t>. Competitors compete for the market share of British retail food through price reduction, promotion activities and product innovation. It has become an increasingly serious competitive pressure on Tesco (</w:t>
      </w:r>
      <w:r>
        <w:rPr>
          <w:rFonts w:hint="default" w:ascii="Arial Regular" w:hAnsi="Arial Regular" w:cs="Arial Regular"/>
          <w:sz w:val="24"/>
          <w:szCs w:val="24"/>
          <w:highlight w:val="none"/>
        </w:rPr>
        <w:t>Raiter, 2019)</w:t>
      </w:r>
      <w:r>
        <w:rPr>
          <w:rFonts w:hint="default" w:ascii="Arial Regular" w:hAnsi="Arial Regular" w:cs="Arial Regular"/>
          <w:b w:val="0"/>
          <w:bCs w:val="0"/>
          <w:sz w:val="24"/>
          <w:szCs w:val="24"/>
          <w:highlight w:val="none"/>
          <w:u w:val="none"/>
        </w:rPr>
        <w:t>.</w:t>
      </w:r>
    </w:p>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Arial Regular" w:hAnsi="Arial Regular" w:cs="Arial Regular"/>
          <w:b w:val="0"/>
          <w:bCs w:val="0"/>
          <w:sz w:val="24"/>
          <w:szCs w:val="24"/>
          <w:highlight w:val="none"/>
          <w:u w:val="none"/>
        </w:rPr>
      </w:pPr>
    </w:p>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Arial Regular" w:hAnsi="Arial Regular" w:cs="Arial Regular"/>
          <w:b w:val="0"/>
          <w:bCs w:val="0"/>
          <w:sz w:val="24"/>
          <w:szCs w:val="24"/>
          <w:highlight w:val="none"/>
          <w:u w:val="none"/>
        </w:rPr>
      </w:pPr>
      <w:r>
        <w:rPr>
          <w:rFonts w:hint="default" w:ascii="Arial Regular" w:hAnsi="Arial Regular" w:cs="Arial Regular"/>
          <w:b w:val="0"/>
          <w:bCs w:val="0"/>
          <w:sz w:val="24"/>
          <w:szCs w:val="24"/>
          <w:highlight w:val="none"/>
          <w:u w:val="none"/>
        </w:rPr>
        <w:t>Moreover, the bargaining power of British buyers has a great impact on Tesco. British consumers often have multiple choices when buying goods, and choose the most suitable products by comparing price, quality and service. Tesco needs to continuously improve product quality and service level, and attract consumers through preferential prices (</w:t>
      </w:r>
      <w:r>
        <w:rPr>
          <w:rFonts w:hint="default" w:ascii="Arial Regular" w:hAnsi="Arial Regular" w:cs="Arial Regular"/>
          <w:sz w:val="24"/>
          <w:szCs w:val="24"/>
          <w:highlight w:val="none"/>
        </w:rPr>
        <w:t>Berry, 2023)</w:t>
      </w:r>
      <w:r>
        <w:rPr>
          <w:rFonts w:hint="default" w:ascii="Arial Regular" w:hAnsi="Arial Regular" w:cs="Arial Regular"/>
          <w:b w:val="0"/>
          <w:bCs w:val="0"/>
          <w:sz w:val="24"/>
          <w:szCs w:val="24"/>
          <w:highlight w:val="none"/>
          <w:u w:val="none"/>
        </w:rPr>
        <w:t>. Fluctuations in raw material prices also affect Tesco's profit margin, and Tesco is faced with the bargaining power from suppliers. While Tesco has the economies of scale and purchasing power to put pressure on suppliers, a large number of suppliers also have bargaining power, especially those with well-known brands and large market shares.</w:t>
      </w:r>
    </w:p>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Arial Regular" w:hAnsi="Arial Regular" w:cs="Arial Regular"/>
          <w:b w:val="0"/>
          <w:bCs w:val="0"/>
          <w:sz w:val="24"/>
          <w:szCs w:val="24"/>
          <w:highlight w:val="none"/>
          <w:u w:val="none"/>
        </w:rPr>
      </w:pPr>
    </w:p>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Arial Regular" w:hAnsi="Arial Regular" w:cs="Arial Regular"/>
          <w:b w:val="0"/>
          <w:bCs w:val="0"/>
          <w:sz w:val="24"/>
          <w:szCs w:val="24"/>
          <w:highlight w:val="none"/>
          <w:u w:val="none"/>
        </w:rPr>
      </w:pPr>
      <w:r>
        <w:rPr>
          <w:rFonts w:hint="default" w:ascii="Arial Regular" w:hAnsi="Arial Regular" w:cs="Arial Regular"/>
          <w:b w:val="0"/>
          <w:bCs w:val="0"/>
          <w:sz w:val="24"/>
          <w:szCs w:val="24"/>
          <w:highlight w:val="none"/>
          <w:u w:val="none"/>
        </w:rPr>
        <w:t>In addition, as consumer demand for sustainable and healthy food increases, new health food chains are emerging as potential competitors (</w:t>
      </w:r>
      <w:r>
        <w:rPr>
          <w:rFonts w:hint="default" w:ascii="Arial Regular" w:hAnsi="Arial Regular" w:cs="Arial Regular"/>
          <w:sz w:val="24"/>
          <w:szCs w:val="24"/>
          <w:highlight w:val="none"/>
        </w:rPr>
        <w:t>Brian and Young, 2015)</w:t>
      </w:r>
      <w:r>
        <w:rPr>
          <w:rFonts w:hint="default" w:ascii="Arial Regular" w:hAnsi="Arial Regular" w:cs="Arial Regular"/>
          <w:b w:val="0"/>
          <w:bCs w:val="0"/>
          <w:sz w:val="24"/>
          <w:szCs w:val="24"/>
          <w:highlight w:val="none"/>
          <w:u w:val="none"/>
        </w:rPr>
        <w:t>. Although the UK retail market is quite mature, there are potential new entrants, with online retailers entering the market, such as Ocado, which has already started experimenting in the space. At the same time, the threat of substitutes is lower for Tesco, as food and everyday items are necessities of life for UK consumers and there are few direct substitutes that can completely replace supermarket shopping. However, with the rise of online retail and convenience stores, some consumers choose to shop online or in convenience stores for daily necessities, rather than shopping in supermarkets.</w:t>
      </w:r>
    </w:p>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Arial Regular" w:hAnsi="Arial Regular" w:cs="Arial Regular"/>
          <w:sz w:val="24"/>
          <w:szCs w:val="24"/>
          <w:highlight w:val="none"/>
        </w:rPr>
      </w:pPr>
    </w:p>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Arial Regular" w:hAnsi="Arial Regular" w:cs="Arial Regular"/>
          <w:sz w:val="24"/>
          <w:szCs w:val="24"/>
          <w:highlight w:val="none"/>
        </w:rPr>
      </w:pPr>
      <w:r>
        <w:rPr>
          <w:rFonts w:hint="default" w:ascii="Arial Regular" w:hAnsi="Arial Regular" w:cs="Arial Regular"/>
          <w:sz w:val="24"/>
          <w:szCs w:val="24"/>
          <w:highlight w:val="none"/>
        </w:rPr>
        <w:t>SWOT model analysis</w:t>
      </w:r>
    </w:p>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Arial Regular" w:hAnsi="Arial Regular" w:cs="Arial Regular"/>
          <w:sz w:val="24"/>
          <w:szCs w:val="24"/>
          <w:highlight w:val="none"/>
        </w:rPr>
      </w:pPr>
      <w:r>
        <w:rPr>
          <w:rFonts w:hint="eastAsia" w:ascii="Arial Regular" w:hAnsi="Arial Regular" w:cs="Arial Regular"/>
          <w:sz w:val="24"/>
          <w:szCs w:val="24"/>
          <w:highlight w:val="none"/>
          <w:lang w:val="en-US" w:eastAsia="zh-Hans"/>
        </w:rPr>
        <w:t>On the one hand, Tesco provides a variety of categories of products, including food, beverage, daily necessities, to meet a wide range of consumer needs, Tesco is one of the largest supermarket chains in the UK, with strong brand awareness and customer loyalty</w:t>
      </w:r>
      <w:r>
        <w:rPr>
          <w:rFonts w:hint="default" w:ascii="Arial Regular" w:hAnsi="Arial Regular" w:cs="Arial Regular"/>
          <w:sz w:val="24"/>
          <w:szCs w:val="24"/>
          <w:highlight w:val="none"/>
          <w:lang w:eastAsia="zh-Hans"/>
        </w:rPr>
        <w:t xml:space="preserve"> (</w:t>
      </w:r>
      <w:r>
        <w:rPr>
          <w:rFonts w:hint="default" w:ascii="Arial Regular" w:hAnsi="Arial Regular" w:cs="Arial Regular"/>
          <w:sz w:val="24"/>
          <w:szCs w:val="24"/>
          <w:highlight w:val="none"/>
        </w:rPr>
        <w:t>Danciu, 2013)</w:t>
      </w:r>
      <w:r>
        <w:rPr>
          <w:rFonts w:hint="eastAsia" w:ascii="Arial Regular" w:hAnsi="Arial Regular" w:cs="Arial Regular"/>
          <w:sz w:val="24"/>
          <w:szCs w:val="24"/>
          <w:highlight w:val="none"/>
          <w:lang w:val="en-US" w:eastAsia="zh-Hans"/>
        </w:rPr>
        <w:t>.</w:t>
      </w:r>
      <w:r>
        <w:rPr>
          <w:rFonts w:hint="default" w:ascii="Arial Regular" w:hAnsi="Arial Regular" w:cs="Arial Regular"/>
          <w:sz w:val="24"/>
          <w:szCs w:val="24"/>
          <w:highlight w:val="none"/>
          <w:lang w:eastAsia="zh-Hans"/>
        </w:rPr>
        <w:t xml:space="preserve"> </w:t>
      </w:r>
      <w:r>
        <w:rPr>
          <w:rFonts w:hint="eastAsia" w:ascii="Arial Regular" w:hAnsi="Arial Regular" w:cs="Arial Regular"/>
          <w:sz w:val="24"/>
          <w:szCs w:val="24"/>
          <w:highlight w:val="none"/>
          <w:lang w:val="en-US" w:eastAsia="zh-Hans"/>
        </w:rPr>
        <w:t>In addition, Tesco has a large scale, large-scale procurement, and an efficient and responsive supply chain, which reduces costs and ensures the stable supply of goods. Tesco has advanced technologies and platforms in digital marketing and e-commerce to attract more online consumers and increase sales.</w:t>
      </w:r>
    </w:p>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Arial Regular" w:hAnsi="Arial Regular" w:cs="Arial Regular"/>
          <w:sz w:val="24"/>
          <w:szCs w:val="24"/>
          <w:highlight w:val="none"/>
        </w:rPr>
      </w:pPr>
    </w:p>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Arial Regular" w:hAnsi="Arial Regular" w:cs="Arial Regular"/>
          <w:sz w:val="24"/>
          <w:szCs w:val="24"/>
          <w:highlight w:val="none"/>
        </w:rPr>
      </w:pPr>
      <w:r>
        <w:rPr>
          <w:rFonts w:hint="default" w:ascii="Arial Regular" w:hAnsi="Arial Regular" w:cs="Arial Regular"/>
          <w:sz w:val="24"/>
          <w:szCs w:val="24"/>
          <w:highlight w:val="none"/>
        </w:rPr>
        <w:t>However, while Tesco has developed its online sales channels, its main business is still concentrated in traditional physical stores, limiting its online sales growth potential. In recent years, market competition has increased, raw material prices have fluctuated, and consumer spending has fallen, so Tesco's performance and profits have declined. In addition, the current retail market competition in the UK is very fierce (Larry and Digal, 2015). Tesco faces competitive pressure from other supermarket chains and online retailers in the UK. Financial scandals and supply chain problems have seriously negatively affected Tesco's brand image and reputation, and reduced the actual trust of British consumers.</w:t>
      </w:r>
    </w:p>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Arial Regular" w:hAnsi="Arial Regular" w:cs="Arial Regular"/>
          <w:sz w:val="24"/>
          <w:szCs w:val="24"/>
          <w:highlight w:val="none"/>
        </w:rPr>
      </w:pPr>
    </w:p>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Arial Regular" w:hAnsi="Arial Regular" w:cs="Arial Regular"/>
          <w:sz w:val="24"/>
          <w:szCs w:val="24"/>
          <w:highlight w:val="none"/>
        </w:rPr>
      </w:pPr>
      <w:r>
        <w:rPr>
          <w:rFonts w:hint="default" w:ascii="Arial Regular" w:hAnsi="Arial Regular" w:cs="Arial Regular"/>
          <w:sz w:val="24"/>
          <w:szCs w:val="24"/>
          <w:highlight w:val="none"/>
        </w:rPr>
        <w:t>Moreover, it cannot be ignored that the uncertainty of political and economic factors in the UK, changes in trade policy, and rising inflation rate stimulated Tesco's business environment and performance (Johansson, 2015). Fluctuations in the price of food raw materials can affect Tesco's purchase costs and negatively impact its profit margin, which negatively reduces Tesco's sales and market share as consumers' purchasing habits change, especially their preference for online shopping and healthy foods (Kakuya, 2020). Tesco needs to seize the opportunity and effectively deal with the threat of disadvantage in order to maintain competitive advantage and achieve sustainable development.</w:t>
      </w:r>
    </w:p>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Arial Regular" w:hAnsi="Arial Regular" w:cs="Arial Regular"/>
          <w:sz w:val="24"/>
          <w:szCs w:val="24"/>
          <w:highlight w:val="none"/>
        </w:rPr>
      </w:pPr>
    </w:p>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Arial Regular" w:hAnsi="Arial Regular" w:cs="Arial Regular"/>
          <w:sz w:val="24"/>
          <w:szCs w:val="24"/>
          <w:highlight w:val="none"/>
        </w:rPr>
      </w:pPr>
      <w:r>
        <w:rPr>
          <w:rFonts w:hint="default" w:ascii="Arial Regular" w:hAnsi="Arial Regular" w:cs="Arial Regular"/>
          <w:sz w:val="24"/>
          <w:szCs w:val="24"/>
          <w:highlight w:val="none"/>
        </w:rPr>
        <w:t>However, in addition to the UK market, Tesco can actively expand its business in international markets, especially in Asian and European markets, to reduce its dependence on the UK market, seek growth opportunities, launch new products and services through marketing innovation and artificial intelligence digital transformation, improve operational efficiency and enhance competitiveness (Foreman, 2014). As consumer demand for sustainable and environmentally friendly products increases, Tesco can expand its sustainability product line, differentiate itself from competitors, strengthen its online sales and delivery services, enhance the customer experience and actually increase online sales.</w:t>
      </w:r>
    </w:p>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Arial Regular" w:hAnsi="Arial Regular" w:cs="Arial Regular"/>
          <w:sz w:val="24"/>
          <w:szCs w:val="24"/>
          <w:highlight w:val="none"/>
        </w:rPr>
      </w:pPr>
    </w:p>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Arial Regular" w:hAnsi="Arial Regular" w:cs="Arial Regular"/>
          <w:sz w:val="24"/>
          <w:szCs w:val="24"/>
          <w:highlight w:val="none"/>
        </w:rPr>
      </w:pPr>
      <w:r>
        <w:rPr>
          <w:rFonts w:hint="default" w:ascii="Arial Regular" w:hAnsi="Arial Regular" w:cs="Arial Regular"/>
          <w:sz w:val="24"/>
          <w:szCs w:val="24"/>
          <w:highlight w:val="none"/>
        </w:rPr>
        <w:t>Porter's universal value chain model analysis</w:t>
      </w:r>
    </w:p>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Arial Regular" w:hAnsi="Arial Regular" w:cs="Arial Regular"/>
          <w:sz w:val="24"/>
          <w:szCs w:val="24"/>
          <w:highlight w:val="none"/>
        </w:rPr>
      </w:pPr>
      <w:r>
        <w:rPr>
          <w:rFonts w:hint="default" w:ascii="Arial Regular" w:hAnsi="Arial Regular" w:cs="Arial Regular"/>
          <w:sz w:val="24"/>
          <w:szCs w:val="24"/>
          <w:highlight w:val="none"/>
        </w:rPr>
        <w:t>Porter's universal value chain model is used to analyze how internal activities create value. Tesco's meticulous inventory management and shelf display ensure that customers can easily find the goods they need, and provide a good shopping experience, training and development of staff to improve service quality and customer satisfaction (Ferrell et al., 2012). Tesco's value chain begins with the operation of entry stores, ensuring a rich and diverse selection of products through product development and procurement, cooperating with suppliers to develop new products, selecting quality suppliers, negotiating purchase prices, constantly optimizing product portfolio to meet the needs of different British consumers, and ensuring product quality and price competitiveness (Mutekwe et  al., 2020).</w:t>
      </w:r>
    </w:p>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Arial Regular" w:hAnsi="Arial Regular" w:cs="Arial Regular"/>
          <w:sz w:val="24"/>
          <w:szCs w:val="24"/>
          <w:highlight w:val="none"/>
        </w:rPr>
      </w:pPr>
    </w:p>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Arial Regular" w:hAnsi="Arial Regular" w:cs="Arial Regular"/>
          <w:sz w:val="24"/>
          <w:szCs w:val="24"/>
          <w:highlight w:val="none"/>
        </w:rPr>
      </w:pPr>
      <w:r>
        <w:rPr>
          <w:rFonts w:hint="default" w:ascii="Arial Regular" w:hAnsi="Arial Regular" w:cs="Arial Regular"/>
          <w:sz w:val="24"/>
          <w:szCs w:val="24"/>
          <w:highlight w:val="none"/>
        </w:rPr>
        <w:t>At the same time, Tesco uses digital marketing means and customer relationship management system to accurately target customers and provide personalized shopping experience to improve sales and customer loyalty. Tesco uses advanced technology and systems to optimize supply chain, reduce inventory cost and logistics cost, ensure commodity quality and supply stability, ensure timely supply and high quality of goods through efficient supply chain management, and actively carry out logistics management and order processing (Kim and Mauborgne, 2014). In addition, Tesco focuses on after-sales service and customer support to ensure customer satisfaction and loyalty. Tesco has established customer service centers and online support platforms to respond to customer needs and solve problems in time, enhance brand reputation and customer satisfaction, effectively improve operational efficiency, reduce costs, increase sales, and enhance customer satisfaction and brand value (Poppy, 2022).</w:t>
      </w:r>
    </w:p>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Arial Regular" w:hAnsi="Arial Regular" w:cs="Arial Regular"/>
          <w:sz w:val="24"/>
          <w:szCs w:val="24"/>
          <w:highlight w:val="none"/>
        </w:rPr>
      </w:pPr>
    </w:p>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Arial Regular" w:hAnsi="Arial Regular" w:cs="Arial Regular"/>
          <w:sz w:val="24"/>
          <w:szCs w:val="24"/>
          <w:highlight w:val="none"/>
        </w:rPr>
      </w:pPr>
      <w:r>
        <w:rPr>
          <w:rFonts w:hint="default" w:ascii="Arial Regular" w:hAnsi="Arial Regular" w:cs="Arial Regular"/>
          <w:b/>
          <w:bCs/>
          <w:sz w:val="24"/>
          <w:szCs w:val="24"/>
          <w:highlight w:val="none"/>
          <w:u w:val="single"/>
        </w:rPr>
        <w:t>Recommendations</w:t>
      </w:r>
    </w:p>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Arial Regular" w:hAnsi="Arial Regular" w:cs="Arial Regular"/>
          <w:sz w:val="24"/>
          <w:szCs w:val="24"/>
          <w:highlight w:val="none"/>
        </w:rPr>
      </w:pPr>
      <w:r>
        <w:rPr>
          <w:rFonts w:hint="default" w:ascii="Arial Regular" w:hAnsi="Arial Regular" w:cs="Arial Regular"/>
          <w:sz w:val="24"/>
          <w:szCs w:val="24"/>
          <w:highlight w:val="none"/>
        </w:rPr>
        <w:t>In the past few years, the economic downturn brought by the epidemic has made the food and beverage industry in a variety of global challenges, consumer demand continues to upgrade, cost reduction and efficiency, and sustainable environmental propositions have been put on the agenda. In the face of social and environmental challenges, the retail food industry represented by Tesco more urgently needs the innovation of the underlying technology (Appold, 2023). The pressure of the macro environment and the dynamic changes of the industry track all bring new opportunities for the prominence of the value of food technology.</w:t>
      </w:r>
    </w:p>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Arial Regular" w:hAnsi="Arial Regular" w:cs="Arial Regular"/>
          <w:sz w:val="24"/>
          <w:szCs w:val="24"/>
          <w:highlight w:val="none"/>
        </w:rPr>
      </w:pPr>
    </w:p>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Arial Regular" w:hAnsi="Arial Regular" w:cs="Arial Regular"/>
          <w:sz w:val="24"/>
          <w:szCs w:val="24"/>
          <w:highlight w:val="none"/>
        </w:rPr>
      </w:pPr>
      <w:r>
        <w:rPr>
          <w:rFonts w:hint="default" w:ascii="Arial Regular" w:hAnsi="Arial Regular" w:cs="Arial Regular"/>
          <w:sz w:val="24"/>
          <w:szCs w:val="24"/>
          <w:highlight w:val="none"/>
        </w:rPr>
        <w:t>First of all, Tesco can give full play to the advantages of artificial intelligence technology to analyze the composition, nutritional value and taste of retail food, as well as detect food quality problems, analyze customers' purchase history, preferences and preferences, and recommend appropriate products and promotions. At the same time, forecast the sales volume of food and daily necessities, manage inventory, optimize staff scheduling, track and test food, find food safety hazards, protect the health and safety of consumers, and provide customized services according to customers' tastes, eating habits and allergy history information</w:t>
      </w:r>
      <w:r>
        <w:rPr>
          <w:rFonts w:hint="default" w:ascii="Arial Regular" w:hAnsi="Arial Regular" w:cs="Arial Regular"/>
          <w:b w:val="0"/>
          <w:bCs w:val="0"/>
          <w:sz w:val="24"/>
          <w:szCs w:val="24"/>
          <w:highlight w:val="none"/>
          <w:u w:val="none"/>
        </w:rPr>
        <w:t xml:space="preserve"> (</w:t>
      </w:r>
      <w:r>
        <w:rPr>
          <w:rFonts w:hint="default" w:ascii="Arial Regular" w:hAnsi="Arial Regular" w:cs="Arial Regular"/>
          <w:sz w:val="24"/>
          <w:szCs w:val="24"/>
          <w:highlight w:val="none"/>
        </w:rPr>
        <w:t>Andrew and wood, 2017).</w:t>
      </w:r>
    </w:p>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Arial Regular" w:hAnsi="Arial Regular" w:cs="Arial Regular"/>
          <w:sz w:val="24"/>
          <w:szCs w:val="24"/>
          <w:highlight w:val="none"/>
        </w:rPr>
      </w:pPr>
    </w:p>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Arial Regular" w:hAnsi="Arial Regular" w:cs="Arial Regular"/>
          <w:sz w:val="24"/>
          <w:szCs w:val="24"/>
          <w:highlight w:val="none"/>
        </w:rPr>
      </w:pPr>
      <w:r>
        <w:rPr>
          <w:rFonts w:hint="default" w:ascii="Arial Regular" w:hAnsi="Arial Regular" w:cs="Arial Regular"/>
          <w:sz w:val="24"/>
          <w:szCs w:val="24"/>
          <w:highlight w:val="none"/>
        </w:rPr>
        <w:t>At the same time, with the popularity of online shopping, Tesco can strengthen its online sales platform, improve the efficiency and convenience of delivery services, increase delivery options, optimize delivery routes and improve order processing speed, meet consumers' demands for convenience and fast delivery, increase online sales and improve customer satisfaction</w:t>
      </w:r>
      <w:r>
        <w:rPr>
          <w:rFonts w:hint="default" w:ascii="Arial Regular" w:hAnsi="Arial Regular" w:cs="Arial Regular"/>
          <w:b w:val="0"/>
          <w:bCs w:val="0"/>
          <w:sz w:val="24"/>
          <w:szCs w:val="24"/>
          <w:highlight w:val="none"/>
          <w:u w:val="none"/>
        </w:rPr>
        <w:t xml:space="preserve"> (</w:t>
      </w:r>
      <w:r>
        <w:rPr>
          <w:rFonts w:hint="default" w:ascii="Arial Regular" w:hAnsi="Arial Regular" w:cs="Arial Regular"/>
          <w:sz w:val="24"/>
          <w:szCs w:val="24"/>
          <w:highlight w:val="none"/>
        </w:rPr>
        <w:t>Andrasic et al., 2017). At the same time, with the increasing demand of contemporary British citizens for environmentally friendly and sustainable products, Tescox needs to expand its sustainable development product line, develop organic food, plastic-free packaging products and local agricultural products, meet the health and environmental awareness of British consumers, and attract more environmentalist consumers (Dimitri and Nehring, 2022). In addition, with the change of shopping habits of British consumers, Tesco needs to develop its digital marketing strategy, closely interact with customers through social media such as YouTube and instgram, mobile applications and online advertising, improve brand awareness, attract more young consumers and increase online sales (Hyman, 2017).</w:t>
      </w:r>
    </w:p>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Arial Regular" w:hAnsi="Arial Regular" w:cs="Arial Regular"/>
          <w:sz w:val="24"/>
          <w:szCs w:val="24"/>
          <w:highlight w:val="none"/>
        </w:rPr>
      </w:pPr>
    </w:p>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Arial Regular" w:hAnsi="Arial Regular" w:cs="Arial Regular"/>
          <w:b w:val="0"/>
          <w:bCs w:val="0"/>
          <w:sz w:val="24"/>
          <w:szCs w:val="24"/>
          <w:highlight w:val="none"/>
          <w:u w:val="none"/>
        </w:rPr>
      </w:pPr>
      <w:r>
        <w:rPr>
          <w:rFonts w:hint="default" w:ascii="Arial Regular" w:hAnsi="Arial Regular" w:cs="Arial Regular"/>
          <w:b/>
          <w:bCs/>
          <w:sz w:val="24"/>
          <w:szCs w:val="24"/>
          <w:highlight w:val="none"/>
          <w:u w:val="single"/>
        </w:rPr>
        <w:t>Conclusions</w:t>
      </w:r>
    </w:p>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Arial Regular" w:hAnsi="Arial Regular" w:cs="Arial Regular"/>
          <w:b w:val="0"/>
          <w:bCs w:val="0"/>
          <w:sz w:val="24"/>
          <w:szCs w:val="24"/>
          <w:highlight w:val="none"/>
          <w:u w:val="none"/>
        </w:rPr>
      </w:pPr>
      <w:r>
        <w:rPr>
          <w:rFonts w:hint="default" w:ascii="Arial Regular" w:hAnsi="Arial Regular" w:cs="Arial Regular"/>
          <w:b w:val="0"/>
          <w:bCs w:val="0"/>
          <w:sz w:val="24"/>
          <w:szCs w:val="24"/>
          <w:highlight w:val="none"/>
          <w:u w:val="none"/>
        </w:rPr>
        <w:t xml:space="preserve">Tesco has formed a coordinated organizational system in terms of strategy, structure, system, skills, employees, style and shared values, which provides strong support for its sustainable development and market competition. In recent years, Tesco's performance and profits have been affected by multiple factors, including intensified market competition, financial scandals and supply chain problems that have affected Tesco's brand image and reputation, fluctuations in raw material prices and declining consumer spending, which have affected its profitability and development prospects and reduced consumer trust. Although Tesco has developed online sales channels, its main business is concentrated in traditional physical stores, which limits its online sales growth potential and misses a lot of online development opportunities. </w:t>
      </w:r>
    </w:p>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Arial Regular" w:hAnsi="Arial Regular" w:cs="Arial Regular"/>
          <w:b w:val="0"/>
          <w:bCs w:val="0"/>
          <w:sz w:val="24"/>
          <w:szCs w:val="24"/>
          <w:highlight w:val="none"/>
          <w:u w:val="none"/>
        </w:rPr>
      </w:pPr>
    </w:p>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Arial Regular" w:hAnsi="Arial Regular" w:cs="Arial Regular"/>
          <w:b w:val="0"/>
          <w:bCs w:val="0"/>
          <w:sz w:val="24"/>
          <w:szCs w:val="24"/>
          <w:highlight w:val="none"/>
          <w:u w:val="none"/>
        </w:rPr>
      </w:pPr>
      <w:r>
        <w:rPr>
          <w:rFonts w:hint="default" w:ascii="Arial Regular" w:hAnsi="Arial Regular" w:cs="Arial Regular"/>
          <w:b w:val="0"/>
          <w:bCs w:val="0"/>
          <w:sz w:val="24"/>
          <w:szCs w:val="24"/>
          <w:highlight w:val="none"/>
          <w:u w:val="none"/>
        </w:rPr>
        <w:t>In the UK retail market, Tesco faces multiple competitive pressures from competitors, potential competitors, substitutes, suppliers and buyers. In order to maintain its competitive advantage in the fierce competitive environment, Tesco needs to continuously optimize its food products and services in the future, improve the satisfaction of British consumers, flexibly respond to external competitive pressure, effectively deal with its disadvantages, make full use of its advantages, flexibly adjust its business strategies and strategies, pay close attention to changes in the external environment, and flexibly adjust its business strategies and strategies. To adapt to the changing UK market environment, maintain a competitive edge and achieve long-term sustainability.</w:t>
      </w:r>
    </w:p>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Arial Regular" w:hAnsi="Arial Regular" w:cs="Arial Regular"/>
          <w:b w:val="0"/>
          <w:bCs w:val="0"/>
          <w:sz w:val="24"/>
          <w:szCs w:val="24"/>
          <w:highlight w:val="none"/>
          <w:u w:val="none"/>
        </w:rPr>
      </w:pPr>
    </w:p>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Arial Regular" w:hAnsi="Arial Regular" w:cs="Arial Regular"/>
          <w:b/>
          <w:bCs/>
          <w:sz w:val="24"/>
          <w:szCs w:val="24"/>
          <w:highlight w:val="none"/>
          <w:u w:val="single"/>
        </w:rPr>
      </w:pPr>
    </w:p>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Arial Regular" w:hAnsi="Arial Regular" w:cs="Arial Regular"/>
          <w:b/>
          <w:bCs/>
          <w:sz w:val="24"/>
          <w:szCs w:val="24"/>
          <w:highlight w:val="none"/>
          <w:u w:val="single"/>
        </w:rPr>
      </w:pPr>
      <w:r>
        <w:rPr>
          <w:rFonts w:hint="default" w:ascii="Arial Regular" w:hAnsi="Arial Regular" w:cs="Arial Regular"/>
          <w:b/>
          <w:bCs/>
          <w:sz w:val="24"/>
          <w:szCs w:val="24"/>
          <w:highlight w:val="none"/>
          <w:u w:val="single"/>
        </w:rPr>
        <w:br w:type="page"/>
      </w:r>
    </w:p>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Arial Regular" w:hAnsi="Arial Regular" w:cs="Arial Regular"/>
          <w:sz w:val="24"/>
          <w:szCs w:val="24"/>
          <w:highlight w:val="none"/>
        </w:rPr>
      </w:pPr>
      <w:r>
        <w:rPr>
          <w:rFonts w:hint="default" w:ascii="Arial Regular" w:hAnsi="Arial Regular" w:cs="Arial Regular"/>
          <w:b/>
          <w:bCs/>
          <w:sz w:val="24"/>
          <w:szCs w:val="24"/>
          <w:highlight w:val="none"/>
          <w:u w:val="single"/>
        </w:rPr>
        <w:t xml:space="preserve">Reference List </w:t>
      </w:r>
    </w:p>
    <w:p>
      <w:pPr>
        <w:keepNext w:val="0"/>
        <w:keepLines w:val="0"/>
        <w:pageBreakBefore w:val="0"/>
        <w:widowControl/>
        <w:kinsoku/>
        <w:wordWrap/>
        <w:overflowPunct/>
        <w:topLinePunct w:val="0"/>
        <w:autoSpaceDE/>
        <w:autoSpaceDN/>
        <w:bidi w:val="0"/>
        <w:adjustRightInd/>
        <w:snapToGrid/>
        <w:spacing w:line="360" w:lineRule="auto"/>
        <w:ind w:left="480" w:hanging="480" w:hangingChars="200"/>
        <w:jc w:val="both"/>
        <w:textAlignment w:val="auto"/>
        <w:rPr>
          <w:rFonts w:hint="default" w:ascii="Arial Regular" w:hAnsi="Arial Regular" w:cs="Arial Regular"/>
          <w:sz w:val="24"/>
          <w:szCs w:val="24"/>
          <w:highlight w:val="none"/>
        </w:rPr>
      </w:pPr>
      <w:r>
        <w:rPr>
          <w:rFonts w:hint="default" w:ascii="Arial Regular" w:hAnsi="Arial Regular" w:cs="Arial Regular"/>
          <w:sz w:val="24"/>
          <w:szCs w:val="24"/>
          <w:highlight w:val="none"/>
        </w:rPr>
        <w:t xml:space="preserve">Andrew, &amp; wood. (2017). Food service &amp; retail. </w:t>
      </w:r>
      <w:r>
        <w:rPr>
          <w:rFonts w:hint="default" w:ascii="Arial Italic" w:hAnsi="Arial Italic" w:cs="Arial Italic"/>
          <w:i/>
          <w:iCs/>
          <w:sz w:val="24"/>
          <w:szCs w:val="24"/>
          <w:highlight w:val="none"/>
        </w:rPr>
        <w:t xml:space="preserve">Food Quality &amp; Safety, </w:t>
      </w:r>
      <w:r>
        <w:rPr>
          <w:rFonts w:hint="default" w:ascii="Arial Regular" w:hAnsi="Arial Regular" w:cs="Arial Regular"/>
          <w:sz w:val="24"/>
          <w:szCs w:val="24"/>
          <w:highlight w:val="none"/>
        </w:rPr>
        <w:t>23(6), 42-43.</w:t>
      </w:r>
    </w:p>
    <w:p>
      <w:pPr>
        <w:keepNext w:val="0"/>
        <w:keepLines w:val="0"/>
        <w:pageBreakBefore w:val="0"/>
        <w:widowControl/>
        <w:kinsoku/>
        <w:wordWrap/>
        <w:overflowPunct/>
        <w:topLinePunct w:val="0"/>
        <w:autoSpaceDE/>
        <w:autoSpaceDN/>
        <w:bidi w:val="0"/>
        <w:adjustRightInd/>
        <w:snapToGrid/>
        <w:spacing w:line="360" w:lineRule="auto"/>
        <w:ind w:left="480" w:hanging="480" w:hangingChars="200"/>
        <w:jc w:val="both"/>
        <w:textAlignment w:val="auto"/>
        <w:rPr>
          <w:rFonts w:hint="default" w:ascii="Arial Regular" w:hAnsi="Arial Regular" w:cs="Arial Regular"/>
          <w:sz w:val="24"/>
          <w:szCs w:val="24"/>
          <w:highlight w:val="none"/>
        </w:rPr>
      </w:pPr>
      <w:r>
        <w:rPr>
          <w:rFonts w:hint="default" w:ascii="Arial Regular" w:hAnsi="Arial Regular" w:cs="Arial Regular"/>
          <w:sz w:val="24"/>
          <w:szCs w:val="24"/>
          <w:highlight w:val="none"/>
        </w:rPr>
        <w:t xml:space="preserve">Andrasic, J.,  Mirovic, V.,  Milenkovic, N.,  Kalas, B., &amp;  Pjanic, M. (2017). Impact of takeover processes on employees: evidence from food, retail and financial sector. </w:t>
      </w:r>
      <w:r>
        <w:rPr>
          <w:rFonts w:hint="default" w:ascii="Arial Italic" w:hAnsi="Arial Italic" w:cs="Arial Italic"/>
          <w:i/>
          <w:iCs/>
          <w:sz w:val="24"/>
          <w:szCs w:val="24"/>
          <w:highlight w:val="none"/>
        </w:rPr>
        <w:t>Ekonomika poljoprivrede,</w:t>
      </w:r>
      <w:r>
        <w:rPr>
          <w:rFonts w:hint="default" w:ascii="Arial Regular" w:hAnsi="Arial Regular" w:cs="Arial Regular"/>
          <w:sz w:val="24"/>
          <w:szCs w:val="24"/>
          <w:highlight w:val="none"/>
        </w:rPr>
        <w:t xml:space="preserve"> 64(4), 1393-1412.</w:t>
      </w:r>
    </w:p>
    <w:p>
      <w:pPr>
        <w:keepNext w:val="0"/>
        <w:keepLines w:val="0"/>
        <w:pageBreakBefore w:val="0"/>
        <w:widowControl/>
        <w:kinsoku/>
        <w:wordWrap/>
        <w:overflowPunct/>
        <w:topLinePunct w:val="0"/>
        <w:autoSpaceDE/>
        <w:autoSpaceDN/>
        <w:bidi w:val="0"/>
        <w:adjustRightInd/>
        <w:snapToGrid/>
        <w:spacing w:line="360" w:lineRule="auto"/>
        <w:ind w:left="480" w:hanging="480" w:hangingChars="200"/>
        <w:jc w:val="both"/>
        <w:textAlignment w:val="auto"/>
        <w:rPr>
          <w:rFonts w:hint="default" w:ascii="Arial Regular" w:hAnsi="Arial Regular" w:cs="Arial Regular"/>
          <w:sz w:val="24"/>
          <w:szCs w:val="24"/>
          <w:highlight w:val="none"/>
        </w:rPr>
      </w:pPr>
      <w:r>
        <w:rPr>
          <w:rFonts w:hint="default" w:ascii="Arial Regular" w:hAnsi="Arial Regular" w:cs="Arial Regular"/>
          <w:sz w:val="24"/>
          <w:szCs w:val="24"/>
          <w:highlight w:val="none"/>
        </w:rPr>
        <w:t xml:space="preserve">Aaker, D. (2015). Brand personalities are like snowflakes. </w:t>
      </w:r>
      <w:r>
        <w:rPr>
          <w:rFonts w:hint="default" w:ascii="Arial Italic" w:hAnsi="Arial Italic" w:cs="Arial Italic"/>
          <w:i/>
          <w:iCs/>
          <w:sz w:val="24"/>
          <w:szCs w:val="24"/>
          <w:highlight w:val="none"/>
        </w:rPr>
        <w:t>Marketing News</w:t>
      </w:r>
      <w:r>
        <w:rPr>
          <w:rFonts w:hint="default" w:ascii="Arial Regular" w:hAnsi="Arial Regular" w:cs="Arial Regular"/>
          <w:sz w:val="24"/>
          <w:szCs w:val="24"/>
          <w:highlight w:val="none"/>
        </w:rPr>
        <w:t xml:space="preserve">, July, Vol 49(7), pp20-21. </w:t>
      </w:r>
    </w:p>
    <w:p>
      <w:pPr>
        <w:keepNext w:val="0"/>
        <w:keepLines w:val="0"/>
        <w:pageBreakBefore w:val="0"/>
        <w:widowControl/>
        <w:kinsoku/>
        <w:wordWrap/>
        <w:overflowPunct/>
        <w:topLinePunct w:val="0"/>
        <w:autoSpaceDE/>
        <w:autoSpaceDN/>
        <w:bidi w:val="0"/>
        <w:adjustRightInd/>
        <w:snapToGrid/>
        <w:spacing w:line="360" w:lineRule="auto"/>
        <w:ind w:left="480" w:hanging="480" w:hangingChars="200"/>
        <w:jc w:val="both"/>
        <w:textAlignment w:val="auto"/>
        <w:rPr>
          <w:rFonts w:hint="default" w:ascii="Arial Regular" w:hAnsi="Arial Regular" w:cs="Arial Regular"/>
          <w:sz w:val="24"/>
          <w:szCs w:val="24"/>
          <w:highlight w:val="none"/>
        </w:rPr>
      </w:pPr>
      <w:r>
        <w:rPr>
          <w:rFonts w:hint="default" w:ascii="Arial Regular" w:hAnsi="Arial Regular" w:cs="Arial Regular"/>
          <w:sz w:val="24"/>
          <w:szCs w:val="24"/>
          <w:highlight w:val="none"/>
        </w:rPr>
        <w:t xml:space="preserve">Appold, K. (2023). From shelf to table:food safety in the retail and foodservice sector. </w:t>
      </w:r>
      <w:r>
        <w:rPr>
          <w:rFonts w:hint="default" w:ascii="Arial Italic" w:hAnsi="Arial Italic" w:cs="Arial Italic"/>
          <w:i/>
          <w:iCs/>
          <w:sz w:val="24"/>
          <w:szCs w:val="24"/>
          <w:highlight w:val="none"/>
        </w:rPr>
        <w:t>Food Quality &amp; Safety</w:t>
      </w:r>
      <w:r>
        <w:rPr>
          <w:rFonts w:hint="default" w:ascii="Arial Regular" w:hAnsi="Arial Regular" w:cs="Arial Regular"/>
          <w:sz w:val="24"/>
          <w:szCs w:val="24"/>
          <w:highlight w:val="none"/>
        </w:rPr>
        <w:t>(4), 30.</w:t>
      </w:r>
    </w:p>
    <w:p>
      <w:pPr>
        <w:keepNext w:val="0"/>
        <w:keepLines w:val="0"/>
        <w:pageBreakBefore w:val="0"/>
        <w:widowControl/>
        <w:kinsoku/>
        <w:wordWrap/>
        <w:overflowPunct/>
        <w:topLinePunct w:val="0"/>
        <w:autoSpaceDE/>
        <w:autoSpaceDN/>
        <w:bidi w:val="0"/>
        <w:adjustRightInd/>
        <w:snapToGrid/>
        <w:spacing w:line="360" w:lineRule="auto"/>
        <w:ind w:left="480" w:hanging="480" w:hangingChars="200"/>
        <w:jc w:val="both"/>
        <w:textAlignment w:val="auto"/>
        <w:rPr>
          <w:rFonts w:hint="default" w:ascii="Arial Regular" w:hAnsi="Arial Regular" w:cs="Arial Regular"/>
          <w:sz w:val="24"/>
          <w:szCs w:val="24"/>
          <w:highlight w:val="none"/>
        </w:rPr>
      </w:pPr>
      <w:r>
        <w:rPr>
          <w:rFonts w:hint="default" w:ascii="Arial Regular" w:hAnsi="Arial Regular" w:cs="Arial Regular"/>
          <w:sz w:val="24"/>
          <w:szCs w:val="24"/>
          <w:highlight w:val="none"/>
        </w:rPr>
        <w:t xml:space="preserve">Brian, &amp; Young. (2015). Frozen food market grows amid retail unrest. </w:t>
      </w:r>
      <w:r>
        <w:rPr>
          <w:rFonts w:hint="default" w:ascii="Arial Italic" w:hAnsi="Arial Italic" w:cs="Arial Italic"/>
          <w:i/>
          <w:iCs/>
          <w:sz w:val="24"/>
          <w:szCs w:val="24"/>
          <w:highlight w:val="none"/>
        </w:rPr>
        <w:t>Food processing</w:t>
      </w:r>
      <w:r>
        <w:rPr>
          <w:rFonts w:hint="default" w:ascii="Arial Regular" w:hAnsi="Arial Regular" w:cs="Arial Regular"/>
          <w:sz w:val="24"/>
          <w:szCs w:val="24"/>
          <w:highlight w:val="none"/>
        </w:rPr>
        <w:t>, 84(1), 4-4.</w:t>
      </w:r>
    </w:p>
    <w:p>
      <w:pPr>
        <w:keepNext w:val="0"/>
        <w:keepLines w:val="0"/>
        <w:pageBreakBefore w:val="0"/>
        <w:widowControl/>
        <w:kinsoku/>
        <w:wordWrap/>
        <w:overflowPunct/>
        <w:topLinePunct w:val="0"/>
        <w:autoSpaceDE/>
        <w:autoSpaceDN/>
        <w:bidi w:val="0"/>
        <w:adjustRightInd/>
        <w:snapToGrid/>
        <w:spacing w:line="360" w:lineRule="auto"/>
        <w:ind w:left="480" w:hanging="480" w:hangingChars="200"/>
        <w:jc w:val="both"/>
        <w:textAlignment w:val="auto"/>
        <w:rPr>
          <w:rFonts w:hint="default" w:ascii="Arial Italic" w:hAnsi="Arial Italic" w:cs="Arial Italic"/>
          <w:i/>
          <w:iCs/>
          <w:sz w:val="24"/>
          <w:szCs w:val="24"/>
          <w:highlight w:val="none"/>
        </w:rPr>
      </w:pPr>
      <w:r>
        <w:rPr>
          <w:rFonts w:hint="default" w:ascii="Arial Regular" w:hAnsi="Arial Regular" w:cs="Arial Regular"/>
          <w:sz w:val="24"/>
          <w:szCs w:val="24"/>
          <w:highlight w:val="none"/>
        </w:rPr>
        <w:t xml:space="preserve">Berry, D. (2023). Foodservice flavors fueling retail innovation. </w:t>
      </w:r>
      <w:r>
        <w:rPr>
          <w:rFonts w:hint="default" w:ascii="Arial Italic" w:hAnsi="Arial Italic" w:cs="Arial Italic"/>
          <w:i/>
          <w:iCs/>
          <w:sz w:val="24"/>
          <w:szCs w:val="24"/>
          <w:highlight w:val="none"/>
        </w:rPr>
        <w:t>Food business news.</w:t>
      </w:r>
    </w:p>
    <w:p>
      <w:pPr>
        <w:keepNext w:val="0"/>
        <w:keepLines w:val="0"/>
        <w:pageBreakBefore w:val="0"/>
        <w:widowControl/>
        <w:kinsoku/>
        <w:wordWrap/>
        <w:overflowPunct/>
        <w:topLinePunct w:val="0"/>
        <w:autoSpaceDE/>
        <w:autoSpaceDN/>
        <w:bidi w:val="0"/>
        <w:adjustRightInd/>
        <w:snapToGrid/>
        <w:spacing w:line="360" w:lineRule="auto"/>
        <w:ind w:left="480" w:hanging="480" w:hangingChars="200"/>
        <w:jc w:val="both"/>
        <w:textAlignment w:val="auto"/>
        <w:rPr>
          <w:rFonts w:hint="default" w:ascii="Arial Regular" w:hAnsi="Arial Regular" w:cs="Arial Regular"/>
          <w:sz w:val="24"/>
          <w:szCs w:val="24"/>
          <w:highlight w:val="none"/>
        </w:rPr>
      </w:pPr>
      <w:r>
        <w:rPr>
          <w:rFonts w:hint="default" w:ascii="Arial Regular" w:hAnsi="Arial Regular" w:cs="Arial Regular"/>
          <w:sz w:val="24"/>
          <w:szCs w:val="24"/>
          <w:highlight w:val="none"/>
        </w:rPr>
        <w:t xml:space="preserve">Cortesi, A., Caroline Pénicaud,  Saint-Eve, A.,  Soler, L. G., &amp;  Souchon, I. (2022). Does environmental impact vary widely within the same food category? a case study on industrial pizzas from the french retail market. </w:t>
      </w:r>
      <w:r>
        <w:rPr>
          <w:rFonts w:hint="default" w:ascii="Arial Italic" w:hAnsi="Arial Italic" w:cs="Arial Italic"/>
          <w:i/>
          <w:iCs/>
          <w:sz w:val="24"/>
          <w:szCs w:val="24"/>
          <w:highlight w:val="none"/>
        </w:rPr>
        <w:t>Journal of Cleaner Production,</w:t>
      </w:r>
      <w:r>
        <w:rPr>
          <w:rFonts w:hint="default" w:ascii="Arial Regular" w:hAnsi="Arial Regular" w:cs="Arial Regular"/>
          <w:sz w:val="24"/>
          <w:szCs w:val="24"/>
          <w:highlight w:val="none"/>
        </w:rPr>
        <w:t xml:space="preserve"> 336, 130128.</w:t>
      </w:r>
    </w:p>
    <w:p>
      <w:pPr>
        <w:keepNext w:val="0"/>
        <w:keepLines w:val="0"/>
        <w:pageBreakBefore w:val="0"/>
        <w:widowControl/>
        <w:kinsoku/>
        <w:wordWrap/>
        <w:overflowPunct/>
        <w:topLinePunct w:val="0"/>
        <w:autoSpaceDE/>
        <w:autoSpaceDN/>
        <w:bidi w:val="0"/>
        <w:adjustRightInd/>
        <w:snapToGrid/>
        <w:spacing w:line="360" w:lineRule="auto"/>
        <w:ind w:left="480" w:hanging="480" w:hangingChars="200"/>
        <w:jc w:val="both"/>
        <w:textAlignment w:val="auto"/>
        <w:rPr>
          <w:rFonts w:hint="default" w:ascii="Arial Regular" w:hAnsi="Arial Regular" w:cs="Arial Regular"/>
          <w:sz w:val="24"/>
          <w:szCs w:val="24"/>
          <w:highlight w:val="none"/>
        </w:rPr>
      </w:pPr>
      <w:r>
        <w:rPr>
          <w:rFonts w:hint="default" w:ascii="Arial Regular" w:hAnsi="Arial Regular" w:cs="Arial Regular"/>
          <w:sz w:val="24"/>
          <w:szCs w:val="24"/>
          <w:highlight w:val="none"/>
        </w:rPr>
        <w:t xml:space="preserve">Castellari, E.,  Bonanno, A., &amp;  Sckokai, P. (2018). Food retail liberalization, food retail structure and food prices: the italian case. </w:t>
      </w:r>
      <w:r>
        <w:rPr>
          <w:rFonts w:hint="default" w:ascii="Arial Italic" w:hAnsi="Arial Italic" w:cs="Arial Italic"/>
          <w:i/>
          <w:iCs/>
          <w:sz w:val="24"/>
          <w:szCs w:val="24"/>
          <w:highlight w:val="none"/>
        </w:rPr>
        <w:t xml:space="preserve">Journal of Agricultural &amp; Food Industrial Organization, </w:t>
      </w:r>
      <w:r>
        <w:rPr>
          <w:rFonts w:hint="default" w:ascii="Arial Regular" w:hAnsi="Arial Regular" w:cs="Arial Regular"/>
          <w:sz w:val="24"/>
          <w:szCs w:val="24"/>
          <w:highlight w:val="none"/>
        </w:rPr>
        <w:t xml:space="preserve">17. </w:t>
      </w:r>
    </w:p>
    <w:p>
      <w:pPr>
        <w:keepNext w:val="0"/>
        <w:keepLines w:val="0"/>
        <w:pageBreakBefore w:val="0"/>
        <w:widowControl/>
        <w:kinsoku/>
        <w:wordWrap/>
        <w:overflowPunct/>
        <w:topLinePunct w:val="0"/>
        <w:autoSpaceDE/>
        <w:autoSpaceDN/>
        <w:bidi w:val="0"/>
        <w:adjustRightInd/>
        <w:snapToGrid/>
        <w:spacing w:line="360" w:lineRule="auto"/>
        <w:ind w:left="480" w:hanging="480" w:hangingChars="200"/>
        <w:jc w:val="both"/>
        <w:textAlignment w:val="auto"/>
        <w:rPr>
          <w:rFonts w:hint="default" w:ascii="Arial Regular" w:hAnsi="Arial Regular" w:cs="Arial Regular"/>
          <w:sz w:val="24"/>
          <w:szCs w:val="24"/>
          <w:highlight w:val="none"/>
        </w:rPr>
      </w:pPr>
      <w:r>
        <w:rPr>
          <w:rFonts w:hint="default" w:ascii="Arial Regular" w:hAnsi="Arial Regular" w:cs="Arial Regular"/>
          <w:sz w:val="24"/>
          <w:szCs w:val="24"/>
          <w:highlight w:val="none"/>
        </w:rPr>
        <w:t xml:space="preserve">Chung, J. (2019). Effective pricing of perishables for a more sustainable retail food market. </w:t>
      </w:r>
      <w:r>
        <w:rPr>
          <w:rFonts w:hint="default" w:ascii="Arial Italic" w:hAnsi="Arial Italic" w:cs="Arial Italic"/>
          <w:i/>
          <w:iCs/>
          <w:sz w:val="24"/>
          <w:szCs w:val="24"/>
          <w:highlight w:val="none"/>
        </w:rPr>
        <w:t>Sustainability</w:t>
      </w:r>
      <w:r>
        <w:rPr>
          <w:rFonts w:hint="default" w:ascii="Arial Regular" w:hAnsi="Arial Regular" w:cs="Arial Regular"/>
          <w:sz w:val="24"/>
          <w:szCs w:val="24"/>
          <w:highlight w:val="none"/>
        </w:rPr>
        <w:t>, 11.</w:t>
      </w:r>
    </w:p>
    <w:p>
      <w:pPr>
        <w:keepNext w:val="0"/>
        <w:keepLines w:val="0"/>
        <w:pageBreakBefore w:val="0"/>
        <w:widowControl/>
        <w:kinsoku/>
        <w:wordWrap/>
        <w:overflowPunct/>
        <w:topLinePunct w:val="0"/>
        <w:autoSpaceDE/>
        <w:autoSpaceDN/>
        <w:bidi w:val="0"/>
        <w:adjustRightInd/>
        <w:snapToGrid/>
        <w:spacing w:line="360" w:lineRule="auto"/>
        <w:ind w:left="480" w:hanging="480" w:hangingChars="200"/>
        <w:jc w:val="both"/>
        <w:textAlignment w:val="auto"/>
        <w:rPr>
          <w:rFonts w:hint="default" w:ascii="Arial Italic" w:hAnsi="Arial Italic" w:cs="Arial Italic"/>
          <w:i/>
          <w:iCs/>
          <w:sz w:val="24"/>
          <w:szCs w:val="24"/>
          <w:highlight w:val="none"/>
        </w:rPr>
      </w:pPr>
      <w:r>
        <w:rPr>
          <w:rFonts w:hint="default" w:ascii="Arial Regular" w:hAnsi="Arial Regular" w:cs="Arial Regular"/>
          <w:sz w:val="24"/>
          <w:szCs w:val="24"/>
          <w:highlight w:val="none"/>
        </w:rPr>
        <w:t xml:space="preserve">Dimitri, C., &amp;  Nehring, R. (2022). Thirty years of organic dairy in the united states: the influences of farms, the market and the organic regulation. </w:t>
      </w:r>
      <w:r>
        <w:rPr>
          <w:rFonts w:hint="default" w:ascii="Arial Italic" w:hAnsi="Arial Italic" w:cs="Arial Italic"/>
          <w:i/>
          <w:iCs/>
          <w:sz w:val="24"/>
          <w:szCs w:val="24"/>
          <w:highlight w:val="none"/>
        </w:rPr>
        <w:t>Renewable Agriculture and Food Systems.</w:t>
      </w:r>
    </w:p>
    <w:p>
      <w:pPr>
        <w:keepNext w:val="0"/>
        <w:keepLines w:val="0"/>
        <w:pageBreakBefore w:val="0"/>
        <w:widowControl/>
        <w:kinsoku/>
        <w:wordWrap/>
        <w:overflowPunct/>
        <w:topLinePunct w:val="0"/>
        <w:autoSpaceDE/>
        <w:autoSpaceDN/>
        <w:bidi w:val="0"/>
        <w:adjustRightInd/>
        <w:snapToGrid/>
        <w:spacing w:line="360" w:lineRule="auto"/>
        <w:ind w:left="480" w:hanging="480" w:hangingChars="200"/>
        <w:jc w:val="both"/>
        <w:textAlignment w:val="auto"/>
        <w:rPr>
          <w:rFonts w:hint="default" w:ascii="Arial Regular" w:hAnsi="Arial Regular" w:cs="Arial Regular"/>
          <w:sz w:val="24"/>
          <w:szCs w:val="24"/>
          <w:highlight w:val="none"/>
        </w:rPr>
      </w:pPr>
      <w:r>
        <w:rPr>
          <w:rFonts w:hint="default" w:ascii="Arial Regular" w:hAnsi="Arial Regular" w:cs="Arial Regular"/>
          <w:sz w:val="24"/>
          <w:szCs w:val="24"/>
          <w:highlight w:val="none"/>
        </w:rPr>
        <w:t xml:space="preserve">Danciu, V. (2013). The future of marketing: an appropriate response to the environment changes. </w:t>
      </w:r>
      <w:r>
        <w:rPr>
          <w:rFonts w:hint="default" w:ascii="Arial Italic" w:hAnsi="Arial Italic" w:cs="Arial Italic"/>
          <w:i/>
          <w:iCs/>
          <w:sz w:val="24"/>
          <w:szCs w:val="24"/>
          <w:highlight w:val="none"/>
        </w:rPr>
        <w:t>Theoretical &amp; Applied Economics</w:t>
      </w:r>
      <w:r>
        <w:rPr>
          <w:rFonts w:hint="default" w:ascii="Arial Regular" w:hAnsi="Arial Regular" w:cs="Arial Regular"/>
          <w:sz w:val="24"/>
          <w:szCs w:val="24"/>
          <w:highlight w:val="none"/>
        </w:rPr>
        <w:t xml:space="preserve">, Vol20 (5), pp33-52. </w:t>
      </w:r>
    </w:p>
    <w:p>
      <w:pPr>
        <w:keepNext w:val="0"/>
        <w:keepLines w:val="0"/>
        <w:pageBreakBefore w:val="0"/>
        <w:widowControl/>
        <w:numPr>
          <w:ilvl w:val="0"/>
          <w:numId w:val="0"/>
        </w:numPr>
        <w:kinsoku/>
        <w:wordWrap/>
        <w:overflowPunct/>
        <w:topLinePunct w:val="0"/>
        <w:autoSpaceDE/>
        <w:autoSpaceDN/>
        <w:bidi w:val="0"/>
        <w:adjustRightInd/>
        <w:snapToGrid/>
        <w:spacing w:line="360" w:lineRule="auto"/>
        <w:ind w:hanging="480" w:hangingChars="200"/>
        <w:jc w:val="both"/>
        <w:textAlignment w:val="auto"/>
        <w:rPr>
          <w:rFonts w:hint="default" w:ascii="Arial Regular" w:hAnsi="Arial Regular" w:cs="Arial Regular"/>
          <w:sz w:val="24"/>
          <w:szCs w:val="24"/>
          <w:highlight w:val="none"/>
        </w:rPr>
      </w:pPr>
      <w:r>
        <w:rPr>
          <w:rFonts w:hint="default" w:ascii="Arial Regular" w:hAnsi="Arial Regular" w:cs="Arial Regular"/>
          <w:sz w:val="24"/>
          <w:szCs w:val="24"/>
          <w:highlight w:val="none"/>
        </w:rPr>
        <w:t xml:space="preserve">David, J. (2007). Foundations of marketing. </w:t>
      </w:r>
      <w:r>
        <w:rPr>
          <w:rFonts w:hint="default" w:ascii="Arial Italic" w:hAnsi="Arial Italic" w:cs="Arial Italic"/>
          <w:i/>
          <w:iCs/>
          <w:sz w:val="24"/>
          <w:szCs w:val="24"/>
          <w:highlight w:val="none"/>
        </w:rPr>
        <w:t>Foundations,</w:t>
      </w:r>
      <w:r>
        <w:rPr>
          <w:rFonts w:hint="default" w:ascii="Arial Regular" w:hAnsi="Arial Regular" w:cs="Arial Regular"/>
          <w:sz w:val="24"/>
          <w:szCs w:val="24"/>
          <w:highlight w:val="none"/>
        </w:rPr>
        <w:t xml:space="preserve"> 45(35), 5740-5750.</w:t>
      </w:r>
    </w:p>
    <w:p>
      <w:pPr>
        <w:keepNext w:val="0"/>
        <w:keepLines w:val="0"/>
        <w:pageBreakBefore w:val="0"/>
        <w:widowControl/>
        <w:kinsoku/>
        <w:wordWrap/>
        <w:overflowPunct/>
        <w:topLinePunct w:val="0"/>
        <w:autoSpaceDE/>
        <w:autoSpaceDN/>
        <w:bidi w:val="0"/>
        <w:adjustRightInd/>
        <w:snapToGrid/>
        <w:spacing w:line="360" w:lineRule="auto"/>
        <w:ind w:left="480" w:hanging="480" w:hangingChars="200"/>
        <w:jc w:val="both"/>
        <w:textAlignment w:val="auto"/>
        <w:rPr>
          <w:rFonts w:hint="default" w:ascii="Arial Regular" w:hAnsi="Arial Regular" w:cs="Arial Regular"/>
          <w:sz w:val="24"/>
          <w:szCs w:val="24"/>
          <w:highlight w:val="none"/>
        </w:rPr>
      </w:pPr>
      <w:r>
        <w:rPr>
          <w:rFonts w:hint="default" w:ascii="Arial Regular" w:hAnsi="Arial Regular" w:cs="Arial Regular"/>
          <w:sz w:val="24"/>
          <w:szCs w:val="24"/>
          <w:highlight w:val="none"/>
        </w:rPr>
        <w:t xml:space="preserve">Digal, L.,  Romo, G. D., &amp;  Reardon, T. (2015). The transformation of food retail in the philippines. </w:t>
      </w:r>
      <w:r>
        <w:rPr>
          <w:rFonts w:hint="default" w:ascii="Arial Italic" w:hAnsi="Arial Italic" w:cs="Arial Italic"/>
          <w:i/>
          <w:iCs/>
          <w:sz w:val="24"/>
          <w:szCs w:val="24"/>
          <w:highlight w:val="none"/>
        </w:rPr>
        <w:t>Asian Journal of Agriculture and Development</w:t>
      </w:r>
      <w:r>
        <w:rPr>
          <w:rFonts w:hint="default" w:ascii="Arial Regular" w:hAnsi="Arial Regular" w:cs="Arial Regular"/>
          <w:sz w:val="24"/>
          <w:szCs w:val="24"/>
          <w:highlight w:val="none"/>
        </w:rPr>
        <w:t>, 06.</w:t>
      </w:r>
    </w:p>
    <w:p>
      <w:pPr>
        <w:keepNext w:val="0"/>
        <w:keepLines w:val="0"/>
        <w:pageBreakBefore w:val="0"/>
        <w:widowControl/>
        <w:numPr>
          <w:ilvl w:val="0"/>
          <w:numId w:val="0"/>
        </w:numPr>
        <w:kinsoku/>
        <w:wordWrap/>
        <w:overflowPunct/>
        <w:topLinePunct w:val="0"/>
        <w:autoSpaceDE/>
        <w:autoSpaceDN/>
        <w:bidi w:val="0"/>
        <w:adjustRightInd/>
        <w:snapToGrid/>
        <w:spacing w:line="360" w:lineRule="auto"/>
        <w:ind w:hanging="480" w:hangingChars="200"/>
        <w:jc w:val="both"/>
        <w:textAlignment w:val="auto"/>
        <w:rPr>
          <w:rFonts w:hint="default" w:ascii="Arial Regular" w:hAnsi="Arial Regular" w:cs="Arial Regular"/>
          <w:sz w:val="24"/>
          <w:szCs w:val="24"/>
          <w:highlight w:val="none"/>
        </w:rPr>
      </w:pPr>
      <w:r>
        <w:rPr>
          <w:rFonts w:hint="default" w:ascii="Arial Regular" w:hAnsi="Arial Regular" w:cs="Arial Regular"/>
          <w:sz w:val="24"/>
          <w:szCs w:val="24"/>
          <w:highlight w:val="none"/>
        </w:rPr>
        <w:t xml:space="preserve">Foreman, J.,  Donthu, N.,  Henson, S., &amp;  Poddar, A. (2014). The performance implications of planning, implementation, and evolution of firms' customer and competitor orientations. </w:t>
      </w:r>
      <w:r>
        <w:rPr>
          <w:rFonts w:hint="default" w:ascii="Arial Italic" w:hAnsi="Arial Italic" w:cs="Arial Italic"/>
          <w:i/>
          <w:iCs/>
          <w:sz w:val="24"/>
          <w:szCs w:val="24"/>
          <w:highlight w:val="none"/>
        </w:rPr>
        <w:t>Journal of Marketing Theory &amp; Practice,</w:t>
      </w:r>
      <w:r>
        <w:rPr>
          <w:rFonts w:hint="default" w:ascii="Arial Regular" w:hAnsi="Arial Regular" w:cs="Arial Regular"/>
          <w:sz w:val="24"/>
          <w:szCs w:val="24"/>
          <w:highlight w:val="none"/>
        </w:rPr>
        <w:t xml:space="preserve"> 22(4), 349-366.</w:t>
      </w:r>
    </w:p>
    <w:p>
      <w:pPr>
        <w:keepNext w:val="0"/>
        <w:keepLines w:val="0"/>
        <w:pageBreakBefore w:val="0"/>
        <w:widowControl/>
        <w:numPr>
          <w:ilvl w:val="0"/>
          <w:numId w:val="0"/>
        </w:numPr>
        <w:kinsoku/>
        <w:wordWrap/>
        <w:overflowPunct/>
        <w:topLinePunct w:val="0"/>
        <w:autoSpaceDE/>
        <w:autoSpaceDN/>
        <w:bidi w:val="0"/>
        <w:adjustRightInd/>
        <w:snapToGrid/>
        <w:spacing w:line="360" w:lineRule="auto"/>
        <w:ind w:hanging="480" w:hangingChars="200"/>
        <w:jc w:val="both"/>
        <w:textAlignment w:val="auto"/>
        <w:rPr>
          <w:rFonts w:hint="default" w:ascii="Arial Regular" w:hAnsi="Arial Regular" w:cs="Arial Regular"/>
          <w:sz w:val="24"/>
          <w:szCs w:val="24"/>
          <w:highlight w:val="none"/>
        </w:rPr>
      </w:pPr>
      <w:r>
        <w:rPr>
          <w:rFonts w:hint="default" w:ascii="Arial Regular" w:hAnsi="Arial Regular" w:cs="Arial Regular"/>
          <w:sz w:val="24"/>
          <w:szCs w:val="24"/>
          <w:highlight w:val="none"/>
        </w:rPr>
        <w:t xml:space="preserve">Ferrell, O. C.,  Dibb, S.,  Simkin, L., &amp;  Pride, W. M. (2012). </w:t>
      </w:r>
      <w:r>
        <w:rPr>
          <w:rFonts w:hint="default" w:ascii="Arial Italic" w:hAnsi="Arial Italic" w:cs="Arial Italic"/>
          <w:i/>
          <w:iCs/>
          <w:sz w:val="24"/>
          <w:szCs w:val="24"/>
          <w:highlight w:val="none"/>
        </w:rPr>
        <w:t>Marketing concepts &amp; strategies.</w:t>
      </w:r>
    </w:p>
    <w:p>
      <w:pPr>
        <w:keepNext w:val="0"/>
        <w:keepLines w:val="0"/>
        <w:pageBreakBefore w:val="0"/>
        <w:widowControl/>
        <w:kinsoku/>
        <w:wordWrap/>
        <w:overflowPunct/>
        <w:topLinePunct w:val="0"/>
        <w:autoSpaceDE/>
        <w:autoSpaceDN/>
        <w:bidi w:val="0"/>
        <w:adjustRightInd/>
        <w:snapToGrid/>
        <w:spacing w:line="360" w:lineRule="auto"/>
        <w:ind w:left="480" w:hanging="480" w:hangingChars="200"/>
        <w:jc w:val="both"/>
        <w:textAlignment w:val="auto"/>
        <w:rPr>
          <w:rFonts w:hint="default" w:ascii="Arial Regular" w:hAnsi="Arial Regular" w:cs="Arial Regular"/>
          <w:sz w:val="24"/>
          <w:szCs w:val="24"/>
          <w:highlight w:val="none"/>
        </w:rPr>
      </w:pPr>
      <w:r>
        <w:rPr>
          <w:rFonts w:hint="default" w:ascii="Arial Regular" w:hAnsi="Arial Regular" w:cs="Arial Regular"/>
          <w:sz w:val="24"/>
          <w:szCs w:val="24"/>
          <w:highlight w:val="none"/>
        </w:rPr>
        <w:t xml:space="preserve">Gisela, Bieling, Ruth, Maria, Stock, &amp; Florian, et al. (2015). Coping with demographic change in job markets: how age diversity management contributes to organisational performance. </w:t>
      </w:r>
      <w:r>
        <w:rPr>
          <w:rFonts w:hint="default" w:ascii="Arial Italic" w:hAnsi="Arial Italic" w:cs="Arial Italic"/>
          <w:i/>
          <w:iCs/>
          <w:sz w:val="24"/>
          <w:szCs w:val="24"/>
          <w:highlight w:val="none"/>
        </w:rPr>
        <w:t>German Journal of Human Resource Management Zeitschrift Für Personalforschung.</w:t>
      </w:r>
    </w:p>
    <w:p>
      <w:pPr>
        <w:keepNext w:val="0"/>
        <w:keepLines w:val="0"/>
        <w:pageBreakBefore w:val="0"/>
        <w:widowControl/>
        <w:kinsoku/>
        <w:wordWrap/>
        <w:overflowPunct/>
        <w:topLinePunct w:val="0"/>
        <w:autoSpaceDE/>
        <w:autoSpaceDN/>
        <w:bidi w:val="0"/>
        <w:adjustRightInd/>
        <w:snapToGrid/>
        <w:spacing w:line="360" w:lineRule="auto"/>
        <w:ind w:left="480" w:hanging="480" w:hangingChars="200"/>
        <w:jc w:val="both"/>
        <w:textAlignment w:val="auto"/>
        <w:rPr>
          <w:rFonts w:hint="default" w:ascii="Arial Regular" w:hAnsi="Arial Regular" w:cs="Arial Regular"/>
          <w:sz w:val="24"/>
          <w:szCs w:val="24"/>
          <w:highlight w:val="none"/>
        </w:rPr>
      </w:pPr>
      <w:r>
        <w:rPr>
          <w:rFonts w:hint="default" w:ascii="Arial Regular" w:hAnsi="Arial Regular" w:cs="Arial Regular"/>
          <w:sz w:val="24"/>
          <w:szCs w:val="24"/>
          <w:highlight w:val="none"/>
        </w:rPr>
        <w:t xml:space="preserve">Hasdell, R.,  Poland, B.,  Cole, D.,  Sheppard, F., &amp;  Mah, C. L. (2020). Retail food environment intervention planning: interviews with owners and managers of small- and medium-sized rural food stores. </w:t>
      </w:r>
      <w:r>
        <w:rPr>
          <w:rFonts w:hint="default" w:ascii="Arial Italic" w:hAnsi="Arial Italic" w:cs="Arial Italic"/>
          <w:i/>
          <w:iCs/>
          <w:sz w:val="24"/>
          <w:szCs w:val="24"/>
          <w:highlight w:val="none"/>
        </w:rPr>
        <w:t>Health Promotion Practice,</w:t>
      </w:r>
      <w:r>
        <w:rPr>
          <w:rFonts w:hint="default" w:ascii="Arial Regular" w:hAnsi="Arial Regular" w:cs="Arial Regular"/>
          <w:sz w:val="24"/>
          <w:szCs w:val="24"/>
          <w:highlight w:val="none"/>
        </w:rPr>
        <w:t xml:space="preserve"> 22(2), 152.</w:t>
      </w:r>
    </w:p>
    <w:p>
      <w:pPr>
        <w:keepNext w:val="0"/>
        <w:keepLines w:val="0"/>
        <w:pageBreakBefore w:val="0"/>
        <w:widowControl/>
        <w:kinsoku/>
        <w:wordWrap/>
        <w:overflowPunct/>
        <w:topLinePunct w:val="0"/>
        <w:autoSpaceDE/>
        <w:autoSpaceDN/>
        <w:bidi w:val="0"/>
        <w:adjustRightInd/>
        <w:snapToGrid/>
        <w:spacing w:line="360" w:lineRule="auto"/>
        <w:ind w:left="480" w:hanging="480" w:hangingChars="200"/>
        <w:jc w:val="both"/>
        <w:textAlignment w:val="auto"/>
        <w:rPr>
          <w:rFonts w:hint="default" w:ascii="Arial Regular" w:hAnsi="Arial Regular" w:cs="Arial Regular"/>
          <w:sz w:val="24"/>
          <w:szCs w:val="24"/>
          <w:highlight w:val="none"/>
        </w:rPr>
      </w:pPr>
      <w:r>
        <w:rPr>
          <w:rFonts w:hint="default" w:ascii="Arial Regular" w:hAnsi="Arial Regular" w:cs="Arial Regular"/>
          <w:sz w:val="24"/>
          <w:szCs w:val="24"/>
          <w:highlight w:val="none"/>
        </w:rPr>
        <w:t xml:space="preserve">Hollis, M. S. (2019). Food service &amp; retail:sustainable approaches to product management. </w:t>
      </w:r>
      <w:r>
        <w:rPr>
          <w:rFonts w:hint="default" w:ascii="Arial Italic" w:hAnsi="Arial Italic" w:cs="Arial Italic"/>
          <w:i/>
          <w:iCs/>
          <w:sz w:val="24"/>
          <w:szCs w:val="24"/>
          <w:highlight w:val="none"/>
        </w:rPr>
        <w:t>Food Quality &amp; Safety</w:t>
      </w:r>
      <w:r>
        <w:rPr>
          <w:rFonts w:hint="default" w:ascii="Arial Regular" w:hAnsi="Arial Regular" w:cs="Arial Regular"/>
          <w:sz w:val="24"/>
          <w:szCs w:val="24"/>
          <w:highlight w:val="none"/>
        </w:rPr>
        <w:t>(2), 26.</w:t>
      </w:r>
    </w:p>
    <w:p>
      <w:pPr>
        <w:keepNext w:val="0"/>
        <w:keepLines w:val="0"/>
        <w:pageBreakBefore w:val="0"/>
        <w:widowControl/>
        <w:kinsoku/>
        <w:wordWrap/>
        <w:overflowPunct/>
        <w:topLinePunct w:val="0"/>
        <w:autoSpaceDE/>
        <w:autoSpaceDN/>
        <w:bidi w:val="0"/>
        <w:adjustRightInd/>
        <w:snapToGrid/>
        <w:spacing w:line="360" w:lineRule="auto"/>
        <w:ind w:left="480" w:hanging="480" w:hangingChars="200"/>
        <w:jc w:val="both"/>
        <w:textAlignment w:val="auto"/>
        <w:rPr>
          <w:rFonts w:hint="default" w:ascii="Arial Regular" w:hAnsi="Arial Regular" w:cs="Arial Regular"/>
          <w:sz w:val="24"/>
          <w:szCs w:val="24"/>
          <w:highlight w:val="none"/>
        </w:rPr>
      </w:pPr>
      <w:r>
        <w:rPr>
          <w:rFonts w:hint="default" w:ascii="Arial Regular" w:hAnsi="Arial Regular" w:cs="Arial Regular"/>
          <w:sz w:val="24"/>
          <w:szCs w:val="24"/>
          <w:highlight w:val="none"/>
        </w:rPr>
        <w:t>Hyman, J. (2017). Frozen food retail market performs well.</w:t>
      </w:r>
      <w:r>
        <w:rPr>
          <w:rFonts w:hint="default" w:ascii="Arial Italic" w:hAnsi="Arial Italic" w:cs="Arial Italic"/>
          <w:i/>
          <w:iCs/>
          <w:sz w:val="24"/>
          <w:szCs w:val="24"/>
          <w:highlight w:val="none"/>
        </w:rPr>
        <w:t xml:space="preserve"> Frozen &amp; chilled foods, </w:t>
      </w:r>
      <w:r>
        <w:rPr>
          <w:rFonts w:hint="default" w:ascii="Arial Regular" w:hAnsi="Arial Regular" w:cs="Arial Regular"/>
          <w:sz w:val="24"/>
          <w:szCs w:val="24"/>
          <w:highlight w:val="none"/>
        </w:rPr>
        <w:t>71(3), 4-4.</w:t>
      </w:r>
    </w:p>
    <w:p>
      <w:pPr>
        <w:keepNext w:val="0"/>
        <w:keepLines w:val="0"/>
        <w:pageBreakBefore w:val="0"/>
        <w:widowControl/>
        <w:kinsoku/>
        <w:wordWrap/>
        <w:overflowPunct/>
        <w:topLinePunct w:val="0"/>
        <w:autoSpaceDE/>
        <w:autoSpaceDN/>
        <w:bidi w:val="0"/>
        <w:adjustRightInd/>
        <w:snapToGrid/>
        <w:spacing w:line="360" w:lineRule="auto"/>
        <w:ind w:left="480" w:hanging="480" w:hangingChars="200"/>
        <w:jc w:val="both"/>
        <w:textAlignment w:val="auto"/>
        <w:rPr>
          <w:rFonts w:hint="default" w:ascii="Arial Regular" w:hAnsi="Arial Regular" w:cs="Arial Regular"/>
          <w:sz w:val="24"/>
          <w:szCs w:val="24"/>
          <w:highlight w:val="none"/>
        </w:rPr>
      </w:pPr>
      <w:r>
        <w:rPr>
          <w:rFonts w:hint="default" w:ascii="Arial Regular" w:hAnsi="Arial Regular" w:cs="Arial Regular"/>
          <w:sz w:val="24"/>
          <w:szCs w:val="24"/>
          <w:highlight w:val="none"/>
        </w:rPr>
        <w:t xml:space="preserve">Jhaveri, A., &amp;  Anantharaman, A. (2016). Royal india food retail: struggling to stay fresh. </w:t>
      </w:r>
      <w:r>
        <w:rPr>
          <w:rFonts w:hint="default" w:ascii="Arial Italic" w:hAnsi="Arial Italic" w:cs="Arial Italic"/>
          <w:i/>
          <w:iCs/>
          <w:sz w:val="24"/>
          <w:szCs w:val="24"/>
          <w:highlight w:val="none"/>
        </w:rPr>
        <w:t>Emerald Emerging Markets Case Studies</w:t>
      </w:r>
      <w:r>
        <w:rPr>
          <w:rFonts w:hint="default" w:ascii="Arial Regular" w:hAnsi="Arial Regular" w:cs="Arial Regular"/>
          <w:sz w:val="24"/>
          <w:szCs w:val="24"/>
          <w:highlight w:val="none"/>
        </w:rPr>
        <w:t>, 6(3), 1-30.</w:t>
      </w:r>
    </w:p>
    <w:p>
      <w:pPr>
        <w:keepNext w:val="0"/>
        <w:keepLines w:val="0"/>
        <w:pageBreakBefore w:val="0"/>
        <w:widowControl/>
        <w:kinsoku/>
        <w:wordWrap/>
        <w:overflowPunct/>
        <w:topLinePunct w:val="0"/>
        <w:autoSpaceDE/>
        <w:autoSpaceDN/>
        <w:bidi w:val="0"/>
        <w:adjustRightInd/>
        <w:snapToGrid/>
        <w:spacing w:line="360" w:lineRule="auto"/>
        <w:ind w:left="480" w:hanging="480" w:hangingChars="200"/>
        <w:jc w:val="both"/>
        <w:textAlignment w:val="auto"/>
        <w:rPr>
          <w:rFonts w:hint="default" w:ascii="Arial Italic" w:hAnsi="Arial Italic" w:cs="Arial Italic"/>
          <w:i/>
          <w:iCs/>
          <w:sz w:val="24"/>
          <w:szCs w:val="24"/>
          <w:highlight w:val="none"/>
        </w:rPr>
      </w:pPr>
      <w:r>
        <w:rPr>
          <w:rFonts w:hint="default" w:ascii="Arial Regular" w:hAnsi="Arial Regular" w:cs="Arial Regular"/>
          <w:sz w:val="24"/>
          <w:szCs w:val="24"/>
          <w:highlight w:val="none"/>
        </w:rPr>
        <w:t xml:space="preserve">Johansson, K. (2015). Gender and food retail trade. </w:t>
      </w:r>
      <w:r>
        <w:rPr>
          <w:rFonts w:hint="default" w:ascii="Arial Italic" w:hAnsi="Arial Italic" w:cs="Arial Italic"/>
          <w:i/>
          <w:iCs/>
          <w:sz w:val="24"/>
          <w:szCs w:val="24"/>
          <w:highlight w:val="none"/>
        </w:rPr>
        <w:t>Gecamin.</w:t>
      </w:r>
    </w:p>
    <w:p>
      <w:pPr>
        <w:keepNext w:val="0"/>
        <w:keepLines w:val="0"/>
        <w:pageBreakBefore w:val="0"/>
        <w:widowControl/>
        <w:kinsoku/>
        <w:wordWrap/>
        <w:overflowPunct/>
        <w:topLinePunct w:val="0"/>
        <w:autoSpaceDE/>
        <w:autoSpaceDN/>
        <w:bidi w:val="0"/>
        <w:adjustRightInd/>
        <w:snapToGrid/>
        <w:spacing w:line="360" w:lineRule="auto"/>
        <w:ind w:left="480" w:hanging="480" w:hangingChars="200"/>
        <w:jc w:val="both"/>
        <w:textAlignment w:val="auto"/>
        <w:rPr>
          <w:rFonts w:hint="default" w:ascii="Arial Regular" w:hAnsi="Arial Regular" w:cs="Arial Regular"/>
          <w:sz w:val="24"/>
          <w:szCs w:val="24"/>
          <w:highlight w:val="none"/>
        </w:rPr>
      </w:pPr>
      <w:r>
        <w:rPr>
          <w:rFonts w:hint="default" w:ascii="Arial Regular" w:hAnsi="Arial Regular" w:cs="Arial Regular"/>
          <w:sz w:val="24"/>
          <w:szCs w:val="24"/>
          <w:highlight w:val="none"/>
        </w:rPr>
        <w:t xml:space="preserve">Johns, C.,  Lyon, P., Stringer, R., &amp;  Umberger, W. (2017). Changing urban consumer behaviour and the role of different retail outlets in the food industry of fiji. </w:t>
      </w:r>
      <w:r>
        <w:rPr>
          <w:rFonts w:hint="default" w:ascii="Arial Italic" w:hAnsi="Arial Italic" w:cs="Arial Italic"/>
          <w:i/>
          <w:iCs/>
          <w:sz w:val="24"/>
          <w:szCs w:val="24"/>
          <w:highlight w:val="none"/>
        </w:rPr>
        <w:t>Asia-Pacific Development Journal,</w:t>
      </w:r>
      <w:r>
        <w:rPr>
          <w:rFonts w:hint="default" w:ascii="Arial Regular" w:hAnsi="Arial Regular" w:cs="Arial Regular"/>
          <w:sz w:val="24"/>
          <w:szCs w:val="24"/>
          <w:highlight w:val="none"/>
        </w:rPr>
        <w:t xml:space="preserve"> 24.</w:t>
      </w:r>
    </w:p>
    <w:p>
      <w:pPr>
        <w:keepNext w:val="0"/>
        <w:keepLines w:val="0"/>
        <w:pageBreakBefore w:val="0"/>
        <w:widowControl/>
        <w:kinsoku/>
        <w:wordWrap/>
        <w:overflowPunct/>
        <w:topLinePunct w:val="0"/>
        <w:autoSpaceDE/>
        <w:autoSpaceDN/>
        <w:bidi w:val="0"/>
        <w:adjustRightInd/>
        <w:snapToGrid/>
        <w:spacing w:line="360" w:lineRule="auto"/>
        <w:ind w:left="480" w:hanging="480" w:hangingChars="200"/>
        <w:jc w:val="both"/>
        <w:textAlignment w:val="auto"/>
        <w:rPr>
          <w:rFonts w:hint="default" w:ascii="Arial Regular" w:hAnsi="Arial Regular" w:cs="Arial Regular"/>
          <w:sz w:val="24"/>
          <w:szCs w:val="24"/>
          <w:highlight w:val="none"/>
        </w:rPr>
      </w:pPr>
      <w:r>
        <w:rPr>
          <w:rFonts w:hint="default" w:ascii="Arial Regular" w:hAnsi="Arial Regular" w:cs="Arial Regular"/>
          <w:sz w:val="24"/>
          <w:szCs w:val="24"/>
          <w:highlight w:val="none"/>
        </w:rPr>
        <w:t>Jobber, D., &amp; Ellis-Chadwick, F., (2016).</w:t>
      </w:r>
      <w:r>
        <w:rPr>
          <w:rFonts w:hint="default" w:ascii="Arial Italic" w:hAnsi="Arial Italic" w:cs="Arial Italic"/>
          <w:i/>
          <w:iCs/>
          <w:sz w:val="24"/>
          <w:szCs w:val="24"/>
          <w:highlight w:val="none"/>
        </w:rPr>
        <w:t xml:space="preserve"> Principles and Practice of Marketing 7th revised ed. </w:t>
      </w:r>
      <w:r>
        <w:rPr>
          <w:rFonts w:hint="default" w:ascii="Arial Regular" w:hAnsi="Arial Regular" w:cs="Arial Regular"/>
          <w:sz w:val="24"/>
          <w:szCs w:val="24"/>
          <w:highlight w:val="none"/>
        </w:rPr>
        <w:t>Berkshire.</w:t>
      </w:r>
    </w:p>
    <w:p>
      <w:pPr>
        <w:keepNext w:val="0"/>
        <w:keepLines w:val="0"/>
        <w:pageBreakBefore w:val="0"/>
        <w:widowControl/>
        <w:kinsoku/>
        <w:wordWrap/>
        <w:overflowPunct/>
        <w:topLinePunct w:val="0"/>
        <w:autoSpaceDE/>
        <w:autoSpaceDN/>
        <w:bidi w:val="0"/>
        <w:adjustRightInd/>
        <w:snapToGrid/>
        <w:spacing w:line="360" w:lineRule="auto"/>
        <w:ind w:left="480" w:hanging="480" w:hangingChars="200"/>
        <w:jc w:val="both"/>
        <w:textAlignment w:val="auto"/>
        <w:rPr>
          <w:rFonts w:hint="default" w:ascii="Arial Regular" w:hAnsi="Arial Regular" w:cs="Arial Regular"/>
          <w:sz w:val="24"/>
          <w:szCs w:val="24"/>
          <w:highlight w:val="none"/>
        </w:rPr>
      </w:pPr>
      <w:r>
        <w:rPr>
          <w:rFonts w:hint="default" w:ascii="Arial Regular" w:hAnsi="Arial Regular" w:cs="Arial Regular"/>
          <w:sz w:val="24"/>
          <w:szCs w:val="24"/>
          <w:highlight w:val="none"/>
        </w:rPr>
        <w:t xml:space="preserve">Kaoru, &amp; Tashiro. (2015). Future food district - an ethical retail future transformed by sensing systems. </w:t>
      </w:r>
      <w:r>
        <w:rPr>
          <w:rFonts w:hint="default" w:ascii="Arial Italic" w:hAnsi="Arial Italic" w:cs="Arial Italic"/>
          <w:i/>
          <w:iCs/>
          <w:sz w:val="24"/>
          <w:szCs w:val="24"/>
          <w:highlight w:val="none"/>
        </w:rPr>
        <w:t>AXIS: Concepts on the Horizon</w:t>
      </w:r>
      <w:r>
        <w:rPr>
          <w:rFonts w:hint="default" w:ascii="Arial Regular" w:hAnsi="Arial Regular" w:cs="Arial Regular"/>
          <w:sz w:val="24"/>
          <w:szCs w:val="24"/>
          <w:highlight w:val="none"/>
        </w:rPr>
        <w:t>, 35-37.</w:t>
      </w:r>
    </w:p>
    <w:p>
      <w:pPr>
        <w:keepNext w:val="0"/>
        <w:keepLines w:val="0"/>
        <w:pageBreakBefore w:val="0"/>
        <w:widowControl/>
        <w:kinsoku/>
        <w:wordWrap/>
        <w:overflowPunct/>
        <w:topLinePunct w:val="0"/>
        <w:autoSpaceDE/>
        <w:autoSpaceDN/>
        <w:bidi w:val="0"/>
        <w:adjustRightInd/>
        <w:snapToGrid/>
        <w:spacing w:line="360" w:lineRule="auto"/>
        <w:ind w:left="480" w:hanging="480" w:hangingChars="200"/>
        <w:jc w:val="both"/>
        <w:textAlignment w:val="auto"/>
        <w:rPr>
          <w:rFonts w:hint="default" w:ascii="Arial Regular" w:hAnsi="Arial Regular" w:cs="Arial Regular"/>
          <w:sz w:val="24"/>
          <w:szCs w:val="24"/>
          <w:highlight w:val="none"/>
        </w:rPr>
      </w:pPr>
      <w:r>
        <w:rPr>
          <w:rFonts w:hint="default" w:ascii="Arial Regular" w:hAnsi="Arial Regular" w:cs="Arial Regular"/>
          <w:sz w:val="24"/>
          <w:szCs w:val="24"/>
          <w:highlight w:val="none"/>
        </w:rPr>
        <w:t xml:space="preserve">Kim, W.C. and Mauborgne, R. (2014). Blue ocean leadership. </w:t>
      </w:r>
      <w:r>
        <w:rPr>
          <w:rFonts w:hint="default" w:ascii="Arial Italic" w:hAnsi="Arial Italic" w:cs="Arial Italic"/>
          <w:i/>
          <w:iCs/>
          <w:sz w:val="24"/>
          <w:szCs w:val="24"/>
          <w:highlight w:val="none"/>
        </w:rPr>
        <w:t>Harvard Business Review</w:t>
      </w:r>
      <w:r>
        <w:rPr>
          <w:rFonts w:hint="default" w:ascii="Arial Regular" w:hAnsi="Arial Regular" w:cs="Arial Regular"/>
          <w:sz w:val="24"/>
          <w:szCs w:val="24"/>
          <w:highlight w:val="none"/>
        </w:rPr>
        <w:t xml:space="preserve">, 92 (5), pp60-72. </w:t>
      </w:r>
    </w:p>
    <w:p>
      <w:pPr>
        <w:keepNext w:val="0"/>
        <w:keepLines w:val="0"/>
        <w:pageBreakBefore w:val="0"/>
        <w:widowControl/>
        <w:kinsoku/>
        <w:wordWrap/>
        <w:overflowPunct/>
        <w:topLinePunct w:val="0"/>
        <w:autoSpaceDE/>
        <w:autoSpaceDN/>
        <w:bidi w:val="0"/>
        <w:adjustRightInd/>
        <w:snapToGrid/>
        <w:spacing w:line="360" w:lineRule="auto"/>
        <w:ind w:left="480" w:hanging="480" w:hangingChars="200"/>
        <w:jc w:val="both"/>
        <w:textAlignment w:val="auto"/>
        <w:rPr>
          <w:rFonts w:hint="default" w:ascii="Arial Regular" w:hAnsi="Arial Regular" w:cs="Arial Regular"/>
          <w:sz w:val="24"/>
          <w:szCs w:val="24"/>
          <w:highlight w:val="none"/>
        </w:rPr>
      </w:pPr>
      <w:r>
        <w:rPr>
          <w:rFonts w:hint="default" w:ascii="Arial Regular" w:hAnsi="Arial Regular" w:cs="Arial Regular"/>
          <w:sz w:val="24"/>
          <w:szCs w:val="24"/>
          <w:highlight w:val="none"/>
        </w:rPr>
        <w:t xml:space="preserve">Kim, W.C. and Mauborgne, R. (2004). Blue ocean strategy. </w:t>
      </w:r>
      <w:r>
        <w:rPr>
          <w:rFonts w:hint="default" w:ascii="Arial Italic" w:hAnsi="Arial Italic" w:cs="Arial Italic"/>
          <w:i/>
          <w:iCs/>
          <w:sz w:val="24"/>
          <w:szCs w:val="24"/>
          <w:highlight w:val="none"/>
        </w:rPr>
        <w:t xml:space="preserve">Harvard Business Review, </w:t>
      </w:r>
      <w:r>
        <w:rPr>
          <w:rFonts w:hint="default" w:ascii="Arial Regular" w:hAnsi="Arial Regular" w:cs="Arial Regular"/>
          <w:sz w:val="24"/>
          <w:szCs w:val="24"/>
          <w:highlight w:val="none"/>
        </w:rPr>
        <w:t xml:space="preserve">October, 82 (10), pp76-84. </w:t>
      </w:r>
    </w:p>
    <w:p>
      <w:pPr>
        <w:keepNext w:val="0"/>
        <w:keepLines w:val="0"/>
        <w:pageBreakBefore w:val="0"/>
        <w:widowControl/>
        <w:kinsoku/>
        <w:wordWrap/>
        <w:overflowPunct/>
        <w:topLinePunct w:val="0"/>
        <w:autoSpaceDE/>
        <w:autoSpaceDN/>
        <w:bidi w:val="0"/>
        <w:adjustRightInd/>
        <w:snapToGrid/>
        <w:spacing w:line="360" w:lineRule="auto"/>
        <w:ind w:left="480" w:hanging="480" w:hangingChars="200"/>
        <w:jc w:val="both"/>
        <w:textAlignment w:val="auto"/>
        <w:rPr>
          <w:rFonts w:hint="default" w:ascii="Arial Regular" w:hAnsi="Arial Regular" w:cs="Arial Regular"/>
          <w:sz w:val="24"/>
          <w:szCs w:val="24"/>
          <w:highlight w:val="none"/>
        </w:rPr>
      </w:pPr>
      <w:r>
        <w:rPr>
          <w:rFonts w:hint="default" w:ascii="Arial Regular" w:hAnsi="Arial Regular" w:cs="Arial Regular"/>
          <w:sz w:val="24"/>
          <w:szCs w:val="24"/>
          <w:highlight w:val="none"/>
        </w:rPr>
        <w:t xml:space="preserve">Kakuya, S. (2020). China's food retail market accelerates realignments. </w:t>
      </w:r>
      <w:r>
        <w:rPr>
          <w:rFonts w:hint="default" w:ascii="Arial Italic" w:hAnsi="Arial Italic" w:cs="Arial Italic"/>
          <w:i/>
          <w:iCs/>
          <w:sz w:val="24"/>
          <w:szCs w:val="24"/>
          <w:highlight w:val="none"/>
        </w:rPr>
        <w:t>JARN: Japan Air Conditioning, Heating &amp; Refrigeration News</w:t>
      </w:r>
      <w:r>
        <w:rPr>
          <w:rFonts w:hint="default" w:ascii="Arial Regular" w:hAnsi="Arial Regular" w:cs="Arial Regular"/>
          <w:sz w:val="24"/>
          <w:szCs w:val="24"/>
          <w:highlight w:val="none"/>
        </w:rPr>
        <w:t>, 52.</w:t>
      </w:r>
    </w:p>
    <w:p>
      <w:pPr>
        <w:keepNext w:val="0"/>
        <w:keepLines w:val="0"/>
        <w:pageBreakBefore w:val="0"/>
        <w:widowControl/>
        <w:kinsoku/>
        <w:wordWrap/>
        <w:overflowPunct/>
        <w:topLinePunct w:val="0"/>
        <w:autoSpaceDE/>
        <w:autoSpaceDN/>
        <w:bidi w:val="0"/>
        <w:adjustRightInd/>
        <w:snapToGrid/>
        <w:spacing w:line="360" w:lineRule="auto"/>
        <w:ind w:left="480" w:hanging="480" w:hangingChars="200"/>
        <w:jc w:val="both"/>
        <w:textAlignment w:val="auto"/>
        <w:rPr>
          <w:rFonts w:hint="default" w:ascii="Arial Italic" w:hAnsi="Arial Italic" w:cs="Arial Italic"/>
          <w:i/>
          <w:iCs/>
          <w:sz w:val="24"/>
          <w:szCs w:val="24"/>
          <w:highlight w:val="none"/>
        </w:rPr>
      </w:pPr>
      <w:r>
        <w:rPr>
          <w:rFonts w:hint="default" w:ascii="Arial Regular" w:hAnsi="Arial Regular" w:cs="Arial Regular"/>
          <w:sz w:val="24"/>
          <w:szCs w:val="24"/>
          <w:highlight w:val="none"/>
        </w:rPr>
        <w:t xml:space="preserve">Larry, N., &amp; Digal. (2015). Modern retail food sector in the philippines: dominance of large domestic retailers and their effects on the supply chain. </w:t>
      </w:r>
      <w:r>
        <w:rPr>
          <w:rFonts w:hint="default" w:ascii="Arial Italic" w:hAnsi="Arial Italic" w:cs="Arial Italic"/>
          <w:i/>
          <w:iCs/>
          <w:sz w:val="24"/>
          <w:szCs w:val="24"/>
          <w:highlight w:val="none"/>
        </w:rPr>
        <w:t>International Review of Retail Distribution &amp; Consumer Research.</w:t>
      </w:r>
    </w:p>
    <w:p>
      <w:pPr>
        <w:keepNext w:val="0"/>
        <w:keepLines w:val="0"/>
        <w:pageBreakBefore w:val="0"/>
        <w:widowControl/>
        <w:kinsoku/>
        <w:wordWrap/>
        <w:overflowPunct/>
        <w:topLinePunct w:val="0"/>
        <w:autoSpaceDE/>
        <w:autoSpaceDN/>
        <w:bidi w:val="0"/>
        <w:adjustRightInd/>
        <w:snapToGrid/>
        <w:spacing w:line="360" w:lineRule="auto"/>
        <w:ind w:left="480" w:hanging="480" w:hangingChars="200"/>
        <w:jc w:val="both"/>
        <w:textAlignment w:val="auto"/>
        <w:rPr>
          <w:rFonts w:hint="default" w:ascii="Arial Regular" w:hAnsi="Arial Regular" w:cs="Arial Regular"/>
          <w:sz w:val="24"/>
          <w:szCs w:val="24"/>
          <w:highlight w:val="none"/>
        </w:rPr>
      </w:pPr>
      <w:r>
        <w:rPr>
          <w:rFonts w:hint="default" w:ascii="Arial Regular" w:hAnsi="Arial Regular" w:cs="Arial Regular"/>
          <w:sz w:val="24"/>
          <w:szCs w:val="24"/>
          <w:highlight w:val="none"/>
        </w:rPr>
        <w:t xml:space="preserve">Mutekwe, L. R. T.,  Mafini, C., &amp;  Chinomona, E. (2020). Supply chain risk management and operational performance in the food retail industry in zimbabwe. </w:t>
      </w:r>
      <w:r>
        <w:rPr>
          <w:rFonts w:hint="default" w:ascii="Arial Italic" w:hAnsi="Arial Italic" w:cs="Arial Italic"/>
          <w:i/>
          <w:iCs/>
          <w:sz w:val="24"/>
          <w:szCs w:val="24"/>
          <w:highlight w:val="none"/>
        </w:rPr>
        <w:t xml:space="preserve">Acta Commercii, </w:t>
      </w:r>
      <w:r>
        <w:rPr>
          <w:rFonts w:hint="default" w:ascii="Arial Regular" w:hAnsi="Arial Regular" w:cs="Arial Regular"/>
          <w:sz w:val="24"/>
          <w:szCs w:val="24"/>
          <w:highlight w:val="none"/>
        </w:rPr>
        <w:t>20(1).</w:t>
      </w:r>
    </w:p>
    <w:p>
      <w:pPr>
        <w:keepNext w:val="0"/>
        <w:keepLines w:val="0"/>
        <w:pageBreakBefore w:val="0"/>
        <w:widowControl/>
        <w:kinsoku/>
        <w:wordWrap/>
        <w:overflowPunct/>
        <w:topLinePunct w:val="0"/>
        <w:autoSpaceDE/>
        <w:autoSpaceDN/>
        <w:bidi w:val="0"/>
        <w:adjustRightInd/>
        <w:snapToGrid/>
        <w:spacing w:line="360" w:lineRule="auto"/>
        <w:ind w:left="480" w:hanging="480" w:hangingChars="200"/>
        <w:jc w:val="both"/>
        <w:textAlignment w:val="auto"/>
        <w:rPr>
          <w:rFonts w:hint="default" w:ascii="Arial Regular" w:hAnsi="Arial Regular" w:cs="Arial Regular"/>
          <w:sz w:val="24"/>
          <w:szCs w:val="24"/>
          <w:highlight w:val="none"/>
        </w:rPr>
      </w:pPr>
      <w:r>
        <w:rPr>
          <w:rFonts w:hint="default" w:ascii="Arial Regular" w:hAnsi="Arial Regular" w:cs="Arial Regular"/>
          <w:sz w:val="24"/>
          <w:szCs w:val="24"/>
          <w:highlight w:val="none"/>
        </w:rPr>
        <w:t xml:space="preserve">Ngouapegne, C. N. M., &amp;  Chinomona, E. (2019). Modelling the influence of the drivers of supply chain performance in the food retail industry in south africa. </w:t>
      </w:r>
      <w:r>
        <w:rPr>
          <w:rFonts w:hint="default" w:ascii="Arial Italic" w:hAnsi="Arial Italic" w:cs="Arial Italic"/>
          <w:i/>
          <w:iCs/>
          <w:sz w:val="24"/>
          <w:szCs w:val="24"/>
          <w:highlight w:val="none"/>
        </w:rPr>
        <w:t>Journal of Applied Business Research,</w:t>
      </w:r>
      <w:r>
        <w:rPr>
          <w:rFonts w:hint="default" w:ascii="Arial Regular" w:hAnsi="Arial Regular" w:cs="Arial Regular"/>
          <w:sz w:val="24"/>
          <w:szCs w:val="24"/>
          <w:highlight w:val="none"/>
        </w:rPr>
        <w:t xml:space="preserve"> 35(2), 43-60.</w:t>
      </w:r>
    </w:p>
    <w:p>
      <w:pPr>
        <w:keepNext w:val="0"/>
        <w:keepLines w:val="0"/>
        <w:pageBreakBefore w:val="0"/>
        <w:widowControl/>
        <w:kinsoku/>
        <w:wordWrap/>
        <w:overflowPunct/>
        <w:topLinePunct w:val="0"/>
        <w:autoSpaceDE/>
        <w:autoSpaceDN/>
        <w:bidi w:val="0"/>
        <w:adjustRightInd/>
        <w:snapToGrid/>
        <w:spacing w:line="360" w:lineRule="auto"/>
        <w:ind w:left="480" w:hanging="480" w:hangingChars="200"/>
        <w:jc w:val="both"/>
        <w:textAlignment w:val="auto"/>
        <w:rPr>
          <w:rFonts w:hint="default" w:ascii="Arial Regular" w:hAnsi="Arial Regular" w:cs="Arial Regular"/>
          <w:sz w:val="24"/>
          <w:szCs w:val="24"/>
          <w:highlight w:val="none"/>
        </w:rPr>
      </w:pPr>
      <w:r>
        <w:rPr>
          <w:rFonts w:hint="default" w:ascii="Arial Regular" w:hAnsi="Arial Regular" w:cs="Arial Regular"/>
          <w:sz w:val="24"/>
          <w:szCs w:val="24"/>
          <w:highlight w:val="none"/>
        </w:rPr>
        <w:t xml:space="preserve">Poppy, G.,  Baverstock-Poppy, J, &amp;  Baverstock, J. (2022). Trade and dietary preferences can determine micronutrient security in the united kingdom. </w:t>
      </w:r>
      <w:r>
        <w:rPr>
          <w:rFonts w:hint="default" w:ascii="Arial Italic" w:hAnsi="Arial Italic" w:cs="Arial Italic"/>
          <w:i/>
          <w:iCs/>
          <w:sz w:val="24"/>
          <w:szCs w:val="24"/>
          <w:highlight w:val="none"/>
        </w:rPr>
        <w:t>Nature Food,</w:t>
      </w:r>
      <w:r>
        <w:rPr>
          <w:rFonts w:hint="default" w:ascii="Arial Regular" w:hAnsi="Arial Regular" w:cs="Arial Regular"/>
          <w:sz w:val="24"/>
          <w:szCs w:val="24"/>
          <w:highlight w:val="none"/>
        </w:rPr>
        <w:t xml:space="preserve"> 3, 512 - 522. </w:t>
      </w:r>
    </w:p>
    <w:p>
      <w:pPr>
        <w:keepNext w:val="0"/>
        <w:keepLines w:val="0"/>
        <w:pageBreakBefore w:val="0"/>
        <w:widowControl/>
        <w:kinsoku/>
        <w:wordWrap/>
        <w:overflowPunct/>
        <w:topLinePunct w:val="0"/>
        <w:autoSpaceDE/>
        <w:autoSpaceDN/>
        <w:bidi w:val="0"/>
        <w:adjustRightInd/>
        <w:snapToGrid/>
        <w:spacing w:line="360" w:lineRule="auto"/>
        <w:ind w:left="480" w:hanging="480" w:hangingChars="200"/>
        <w:jc w:val="both"/>
        <w:textAlignment w:val="auto"/>
        <w:rPr>
          <w:rFonts w:hint="default" w:ascii="Arial Italic" w:hAnsi="Arial Italic" w:cs="Arial Italic"/>
          <w:i/>
          <w:iCs/>
          <w:sz w:val="24"/>
          <w:szCs w:val="24"/>
          <w:highlight w:val="none"/>
        </w:rPr>
      </w:pPr>
      <w:r>
        <w:rPr>
          <w:rFonts w:hint="default" w:ascii="Arial Regular" w:hAnsi="Arial Regular" w:cs="Arial Regular"/>
          <w:sz w:val="24"/>
          <w:szCs w:val="24"/>
          <w:highlight w:val="none"/>
        </w:rPr>
        <w:t xml:space="preserve">Raiter, N. (2019). The main trends of retail sales of food goods in the lviv region. </w:t>
      </w:r>
      <w:r>
        <w:rPr>
          <w:rFonts w:hint="default" w:ascii="Arial Italic" w:hAnsi="Arial Italic" w:cs="Arial Italic"/>
          <w:i/>
          <w:iCs/>
          <w:sz w:val="24"/>
          <w:szCs w:val="24"/>
          <w:highlight w:val="none"/>
        </w:rPr>
        <w:t>Economy and Management.</w:t>
      </w:r>
    </w:p>
    <w:p>
      <w:pPr>
        <w:keepNext w:val="0"/>
        <w:keepLines w:val="0"/>
        <w:pageBreakBefore w:val="0"/>
        <w:widowControl/>
        <w:kinsoku/>
        <w:wordWrap/>
        <w:overflowPunct/>
        <w:topLinePunct w:val="0"/>
        <w:autoSpaceDE/>
        <w:autoSpaceDN/>
        <w:bidi w:val="0"/>
        <w:adjustRightInd/>
        <w:snapToGrid/>
        <w:spacing w:line="360" w:lineRule="auto"/>
        <w:ind w:left="480" w:hanging="480" w:hangingChars="200"/>
        <w:jc w:val="both"/>
        <w:textAlignment w:val="auto"/>
        <w:rPr>
          <w:rFonts w:hint="default" w:ascii="Arial Regular" w:hAnsi="Arial Regular" w:cs="Arial Regular"/>
          <w:sz w:val="24"/>
          <w:szCs w:val="24"/>
          <w:highlight w:val="none"/>
        </w:rPr>
      </w:pPr>
      <w:r>
        <w:rPr>
          <w:rFonts w:hint="default" w:ascii="Arial Regular" w:hAnsi="Arial Regular" w:cs="Arial Regular"/>
          <w:sz w:val="24"/>
          <w:szCs w:val="24"/>
          <w:highlight w:val="none"/>
        </w:rPr>
        <w:t xml:space="preserve">Shivakumar, R. (2014). How to tell which decisions are strategic. </w:t>
      </w:r>
      <w:r>
        <w:rPr>
          <w:rFonts w:hint="default" w:ascii="Arial Italic" w:hAnsi="Arial Italic" w:cs="Arial Italic"/>
          <w:i/>
          <w:iCs/>
          <w:sz w:val="24"/>
          <w:szCs w:val="24"/>
          <w:highlight w:val="none"/>
        </w:rPr>
        <w:t>California Management Review</w:t>
      </w:r>
      <w:r>
        <w:rPr>
          <w:rFonts w:hint="default" w:ascii="Arial Regular" w:hAnsi="Arial Regular" w:cs="Arial Regular"/>
          <w:sz w:val="24"/>
          <w:szCs w:val="24"/>
          <w:highlight w:val="none"/>
        </w:rPr>
        <w:t xml:space="preserve">, 56 (3), pp78-97. </w:t>
      </w:r>
    </w:p>
    <w:p>
      <w:pPr>
        <w:keepNext w:val="0"/>
        <w:keepLines w:val="0"/>
        <w:pageBreakBefore w:val="0"/>
        <w:widowControl/>
        <w:kinsoku/>
        <w:wordWrap/>
        <w:overflowPunct/>
        <w:topLinePunct w:val="0"/>
        <w:autoSpaceDE/>
        <w:autoSpaceDN/>
        <w:bidi w:val="0"/>
        <w:adjustRightInd/>
        <w:snapToGrid/>
        <w:spacing w:line="360" w:lineRule="auto"/>
        <w:ind w:hanging="480" w:hangingChars="200"/>
        <w:jc w:val="both"/>
        <w:textAlignment w:val="auto"/>
        <w:rPr>
          <w:rFonts w:hint="default" w:ascii="Arial Regular" w:hAnsi="Arial Regular" w:cs="Arial Regular"/>
          <w:sz w:val="24"/>
          <w:szCs w:val="24"/>
          <w:highlight w:val="none"/>
        </w:rPr>
      </w:pPr>
      <w:r>
        <w:rPr>
          <w:rFonts w:hint="default" w:ascii="Arial Regular" w:hAnsi="Arial Regular" w:cs="Arial Regular"/>
          <w:sz w:val="24"/>
          <w:szCs w:val="24"/>
          <w:highlight w:val="none"/>
        </w:rPr>
        <w:t>Tesco. 2024. www.tesco.com</w:t>
      </w:r>
    </w:p>
    <w:p>
      <w:pPr>
        <w:keepNext w:val="0"/>
        <w:keepLines w:val="0"/>
        <w:pageBreakBefore w:val="0"/>
        <w:widowControl/>
        <w:kinsoku/>
        <w:wordWrap/>
        <w:overflowPunct/>
        <w:topLinePunct w:val="0"/>
        <w:autoSpaceDE/>
        <w:autoSpaceDN/>
        <w:bidi w:val="0"/>
        <w:adjustRightInd/>
        <w:snapToGrid/>
        <w:spacing w:line="360" w:lineRule="auto"/>
        <w:ind w:left="480" w:hanging="480" w:hangingChars="200"/>
        <w:jc w:val="both"/>
        <w:textAlignment w:val="auto"/>
        <w:rPr>
          <w:rFonts w:hint="default" w:ascii="Arial Italic" w:hAnsi="Arial Italic" w:cs="Arial Italic"/>
          <w:i/>
          <w:iCs/>
          <w:sz w:val="24"/>
          <w:szCs w:val="24"/>
          <w:highlight w:val="none"/>
        </w:rPr>
      </w:pPr>
      <w:r>
        <w:rPr>
          <w:rFonts w:hint="default" w:ascii="Arial Regular" w:hAnsi="Arial Regular" w:cs="Arial Regular"/>
          <w:sz w:val="24"/>
          <w:szCs w:val="24"/>
          <w:highlight w:val="none"/>
        </w:rPr>
        <w:t xml:space="preserve">Thornes, R. (2022). England's co-operative movement: an architectural history. </w:t>
      </w:r>
      <w:r>
        <w:rPr>
          <w:rFonts w:hint="default" w:ascii="Arial Italic" w:hAnsi="Arial Italic" w:cs="Arial Italic"/>
          <w:i/>
          <w:iCs/>
          <w:sz w:val="24"/>
          <w:szCs w:val="24"/>
          <w:highlight w:val="none"/>
        </w:rPr>
        <w:t>Journal of Historic Buildings and Places.</w:t>
      </w:r>
    </w:p>
    <w:p>
      <w:pPr>
        <w:keepNext w:val="0"/>
        <w:keepLines w:val="0"/>
        <w:pageBreakBefore w:val="0"/>
        <w:widowControl/>
        <w:kinsoku/>
        <w:wordWrap/>
        <w:overflowPunct/>
        <w:topLinePunct w:val="0"/>
        <w:autoSpaceDE/>
        <w:autoSpaceDN/>
        <w:bidi w:val="0"/>
        <w:adjustRightInd/>
        <w:snapToGrid/>
        <w:spacing w:line="360" w:lineRule="auto"/>
        <w:ind w:left="480" w:hanging="480" w:hangingChars="200"/>
        <w:jc w:val="both"/>
        <w:textAlignment w:val="auto"/>
        <w:rPr>
          <w:rFonts w:hint="default" w:ascii="Arial Regular" w:hAnsi="Arial Regular" w:cs="Arial Regular"/>
          <w:sz w:val="24"/>
          <w:szCs w:val="24"/>
          <w:highlight w:val="none"/>
        </w:rPr>
      </w:pPr>
      <w:r>
        <w:rPr>
          <w:rFonts w:hint="default" w:ascii="Arial Regular" w:hAnsi="Arial Regular" w:cs="Arial Regular"/>
          <w:sz w:val="24"/>
          <w:szCs w:val="24"/>
          <w:highlight w:val="none"/>
        </w:rPr>
        <w:t xml:space="preserve">Taghian, M. (2010). Marketing planning: operationalising the market orientation strategy. </w:t>
      </w:r>
      <w:r>
        <w:rPr>
          <w:rFonts w:hint="default" w:ascii="Arial Italic" w:hAnsi="Arial Italic" w:cs="Arial Italic"/>
          <w:i/>
          <w:iCs/>
          <w:sz w:val="24"/>
          <w:szCs w:val="24"/>
          <w:highlight w:val="none"/>
        </w:rPr>
        <w:t>Journal of Marketing Management</w:t>
      </w:r>
      <w:r>
        <w:rPr>
          <w:rFonts w:hint="default" w:ascii="Arial Regular" w:hAnsi="Arial Regular" w:cs="Arial Regular"/>
          <w:sz w:val="24"/>
          <w:szCs w:val="24"/>
          <w:highlight w:val="none"/>
        </w:rPr>
        <w:t>, 26(9-10), 825-841.</w:t>
      </w:r>
    </w:p>
    <w:p>
      <w:pPr>
        <w:keepNext w:val="0"/>
        <w:keepLines w:val="0"/>
        <w:pageBreakBefore w:val="0"/>
        <w:widowControl/>
        <w:numPr>
          <w:ilvl w:val="0"/>
          <w:numId w:val="0"/>
        </w:numPr>
        <w:kinsoku/>
        <w:wordWrap/>
        <w:overflowPunct/>
        <w:topLinePunct w:val="0"/>
        <w:autoSpaceDE/>
        <w:autoSpaceDN/>
        <w:bidi w:val="0"/>
        <w:adjustRightInd/>
        <w:snapToGrid/>
        <w:spacing w:line="360" w:lineRule="auto"/>
        <w:ind w:hanging="480" w:hangingChars="200"/>
        <w:jc w:val="both"/>
        <w:textAlignment w:val="auto"/>
        <w:rPr>
          <w:rFonts w:hint="default" w:ascii="Arial Regular" w:hAnsi="Arial Regular" w:cs="Arial Regular"/>
          <w:sz w:val="24"/>
          <w:szCs w:val="24"/>
          <w:highlight w:val="none"/>
        </w:rPr>
      </w:pPr>
      <w:r>
        <w:rPr>
          <w:rFonts w:hint="default" w:ascii="Arial Regular" w:hAnsi="Arial Regular" w:cs="Arial Regular"/>
          <w:sz w:val="24"/>
          <w:szCs w:val="24"/>
          <w:highlight w:val="none"/>
        </w:rPr>
        <w:t xml:space="preserve">Udell, M. (2015). Competitive edge. </w:t>
      </w:r>
      <w:r>
        <w:rPr>
          <w:rFonts w:hint="default" w:ascii="Arial Italic" w:hAnsi="Arial Italic" w:cs="Arial Italic"/>
          <w:i/>
          <w:iCs/>
          <w:sz w:val="24"/>
          <w:szCs w:val="24"/>
          <w:highlight w:val="none"/>
        </w:rPr>
        <w:t>Marketing Research</w:t>
      </w:r>
      <w:r>
        <w:rPr>
          <w:rFonts w:hint="default" w:ascii="Arial Regular" w:hAnsi="Arial Regular" w:cs="Arial Regular"/>
          <w:sz w:val="24"/>
          <w:szCs w:val="24"/>
          <w:highlight w:val="none"/>
        </w:rPr>
        <w:t>, 27(3), 48-48.</w:t>
      </w:r>
    </w:p>
    <w:p>
      <w:pPr>
        <w:keepNext w:val="0"/>
        <w:keepLines w:val="0"/>
        <w:pageBreakBefore w:val="0"/>
        <w:widowControl/>
        <w:kinsoku/>
        <w:wordWrap/>
        <w:overflowPunct/>
        <w:topLinePunct w:val="0"/>
        <w:autoSpaceDE/>
        <w:autoSpaceDN/>
        <w:bidi w:val="0"/>
        <w:adjustRightInd/>
        <w:snapToGrid/>
        <w:spacing w:line="360" w:lineRule="auto"/>
        <w:ind w:left="480" w:hanging="480" w:hangingChars="200"/>
        <w:jc w:val="both"/>
        <w:textAlignment w:val="auto"/>
        <w:rPr>
          <w:rFonts w:hint="default" w:ascii="Arial Regular" w:hAnsi="Arial Regular" w:cs="Arial Regular"/>
          <w:sz w:val="24"/>
          <w:szCs w:val="24"/>
          <w:highlight w:val="none"/>
        </w:rPr>
      </w:pPr>
      <w:r>
        <w:rPr>
          <w:rFonts w:hint="default" w:ascii="Arial Regular" w:hAnsi="Arial Regular" w:cs="Arial Regular"/>
          <w:sz w:val="24"/>
          <w:szCs w:val="24"/>
          <w:highlight w:val="none"/>
        </w:rPr>
        <w:t xml:space="preserve">Vriens, M. and Brazell, J.D. (2013). Competitive advantage. </w:t>
      </w:r>
      <w:r>
        <w:rPr>
          <w:rFonts w:hint="default" w:ascii="Arial Italic" w:hAnsi="Arial Italic" w:cs="Arial Italic"/>
          <w:i/>
          <w:iCs/>
          <w:sz w:val="24"/>
          <w:szCs w:val="24"/>
          <w:highlight w:val="none"/>
        </w:rPr>
        <w:t>Marketing Insights,</w:t>
      </w:r>
      <w:r>
        <w:rPr>
          <w:rFonts w:hint="default" w:ascii="Arial Regular" w:hAnsi="Arial Regular" w:cs="Arial Regular"/>
          <w:sz w:val="24"/>
          <w:szCs w:val="24"/>
          <w:highlight w:val="none"/>
        </w:rPr>
        <w:t xml:space="preserve"> Vol25 (3), pp32-38. </w:t>
      </w:r>
    </w:p>
    <w:p>
      <w:pPr>
        <w:keepNext w:val="0"/>
        <w:keepLines w:val="0"/>
        <w:pageBreakBefore w:val="0"/>
        <w:widowControl/>
        <w:kinsoku/>
        <w:wordWrap/>
        <w:overflowPunct/>
        <w:topLinePunct w:val="0"/>
        <w:autoSpaceDE/>
        <w:autoSpaceDN/>
        <w:bidi w:val="0"/>
        <w:adjustRightInd/>
        <w:snapToGrid/>
        <w:spacing w:line="360" w:lineRule="auto"/>
        <w:ind w:left="480" w:hanging="480" w:hangingChars="200"/>
        <w:jc w:val="both"/>
        <w:textAlignment w:val="auto"/>
        <w:rPr>
          <w:rFonts w:hint="default" w:ascii="Arial Italic" w:hAnsi="Arial Italic" w:cs="Arial Italic"/>
          <w:i/>
          <w:iCs/>
          <w:sz w:val="24"/>
          <w:szCs w:val="24"/>
          <w:highlight w:val="none"/>
        </w:rPr>
      </w:pPr>
      <w:r>
        <w:rPr>
          <w:rFonts w:hint="default" w:ascii="Arial Regular" w:hAnsi="Arial Regular" w:cs="Arial Regular"/>
          <w:sz w:val="24"/>
          <w:szCs w:val="24"/>
          <w:highlight w:val="none"/>
        </w:rPr>
        <w:t xml:space="preserve">Wood, A. (2017). Food service &amp; retail. </w:t>
      </w:r>
      <w:r>
        <w:rPr>
          <w:rFonts w:hint="default" w:ascii="Arial Italic" w:hAnsi="Arial Italic" w:cs="Arial Italic"/>
          <w:i/>
          <w:iCs/>
          <w:sz w:val="24"/>
          <w:szCs w:val="24"/>
          <w:highlight w:val="none"/>
        </w:rPr>
        <w:t>Food Quality &amp; Safety.</w:t>
      </w:r>
    </w:p>
    <w:p>
      <w:pPr>
        <w:keepNext w:val="0"/>
        <w:keepLines w:val="0"/>
        <w:pageBreakBefore w:val="0"/>
        <w:widowControl/>
        <w:kinsoku/>
        <w:wordWrap/>
        <w:overflowPunct/>
        <w:topLinePunct w:val="0"/>
        <w:autoSpaceDE/>
        <w:autoSpaceDN/>
        <w:bidi w:val="0"/>
        <w:adjustRightInd/>
        <w:snapToGrid/>
        <w:spacing w:line="360" w:lineRule="auto"/>
        <w:ind w:left="480" w:hanging="480" w:hangingChars="200"/>
        <w:jc w:val="both"/>
        <w:textAlignment w:val="auto"/>
        <w:rPr>
          <w:rFonts w:hint="default" w:ascii="Arial Regular" w:hAnsi="Arial Regular" w:cs="Arial Regular"/>
          <w:sz w:val="24"/>
          <w:szCs w:val="24"/>
          <w:highlight w:val="none"/>
        </w:rPr>
      </w:pPr>
      <w:r>
        <w:rPr>
          <w:rFonts w:hint="default" w:ascii="Arial Regular" w:hAnsi="Arial Regular" w:cs="Arial Regular"/>
          <w:sz w:val="24"/>
          <w:szCs w:val="24"/>
          <w:highlight w:val="none"/>
        </w:rPr>
        <w:t xml:space="preserve">Wilson, M. (2019). Food service &amp; retail:making the right choice. </w:t>
      </w:r>
      <w:r>
        <w:rPr>
          <w:rFonts w:hint="default" w:ascii="Arial Italic" w:hAnsi="Arial Italic" w:cs="Arial Italic"/>
          <w:i/>
          <w:iCs/>
          <w:sz w:val="24"/>
          <w:szCs w:val="24"/>
          <w:highlight w:val="none"/>
        </w:rPr>
        <w:t>Food Quality &amp; Safety</w:t>
      </w:r>
      <w:r>
        <w:rPr>
          <w:rFonts w:hint="default" w:ascii="Arial Regular" w:hAnsi="Arial Regular" w:cs="Arial Regular"/>
          <w:sz w:val="24"/>
          <w:szCs w:val="24"/>
          <w:highlight w:val="none"/>
        </w:rPr>
        <w:t>(4), 26.</w:t>
      </w:r>
    </w:p>
    <w:p>
      <w:pPr>
        <w:keepNext w:val="0"/>
        <w:keepLines w:val="0"/>
        <w:pageBreakBefore w:val="0"/>
        <w:widowControl/>
        <w:kinsoku/>
        <w:wordWrap/>
        <w:overflowPunct/>
        <w:topLinePunct w:val="0"/>
        <w:autoSpaceDE/>
        <w:autoSpaceDN/>
        <w:bidi w:val="0"/>
        <w:adjustRightInd/>
        <w:snapToGrid/>
        <w:spacing w:line="360" w:lineRule="auto"/>
        <w:ind w:left="480" w:hanging="480" w:hangingChars="200"/>
        <w:jc w:val="both"/>
        <w:textAlignment w:val="auto"/>
        <w:rPr>
          <w:rFonts w:hint="default" w:ascii="Arial Regular" w:hAnsi="Arial Regular" w:cs="Arial Regular"/>
          <w:sz w:val="24"/>
          <w:szCs w:val="24"/>
          <w:highlight w:val="none"/>
        </w:rPr>
      </w:pPr>
    </w:p>
    <w:sectPr>
      <w:headerReference r:id="rId5" w:type="default"/>
      <w:pgSz w:w="11906" w:h="16838"/>
      <w:pgMar w:top="1440" w:right="1440" w:bottom="1440" w:left="1440" w:header="708" w:footer="708" w:gutter="0"/>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Calibri">
    <w:panose1 w:val="020F0502020204030204"/>
    <w:charset w:val="86"/>
    <w:family w:val="swiss"/>
    <w:pitch w:val="default"/>
    <w:sig w:usb0="E4002EFF" w:usb1="C000247B" w:usb2="00000009" w:usb3="00000000" w:csb0="200001FF" w:csb1="00000000"/>
  </w:font>
  <w:font w:name="Arial Regular">
    <w:altName w:val="Arial"/>
    <w:panose1 w:val="020B0604020202020204"/>
    <w:charset w:val="00"/>
    <w:family w:val="auto"/>
    <w:pitch w:val="default"/>
    <w:sig w:usb0="00000000" w:usb1="00000000" w:usb2="00000000" w:usb3="00000000" w:csb0="00000000" w:csb1="00000000"/>
  </w:font>
  <w:font w:name="Arial Bold">
    <w:altName w:val="Arial"/>
    <w:panose1 w:val="020B0604020202020204"/>
    <w:charset w:val="00"/>
    <w:family w:val="auto"/>
    <w:pitch w:val="default"/>
    <w:sig w:usb0="00000000" w:usb1="00000000" w:usb2="00000000" w:usb3="00000000" w:csb0="00000000" w:csb1="00000000"/>
  </w:font>
  <w:font w:name="Arial Italic">
    <w:altName w:val="Arial"/>
    <w:panose1 w:val="020B0604020202020204"/>
    <w:charset w:val="00"/>
    <w:family w:val="auto"/>
    <w:pitch w:val="default"/>
    <w:sig w:usb0="00000000" w:usb1="00000000" w:usb2="00000000" w:usb3="00000000" w:csb0="00000000" w:csb1="00000000"/>
  </w:font>
  <w:font w:name="Arial">
    <w:panose1 w:val="020B0604020202020204"/>
    <w:charset w:val="00"/>
    <w:family w:val="auto"/>
    <w:pitch w:val="default"/>
    <w:sig w:usb0="E0002EFF" w:usb1="C000785B" w:usb2="00000009" w:usb3="00000000" w:csb0="400001FF" w:csb1="FFFF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
    </w:pPr>
    <w:r>
      <w:rPr>
        <w:sz w:val="22"/>
      </w:rPr>
      <mc:AlternateContent>
        <mc:Choice Requires="wps">
          <w:drawing>
            <wp:anchor distT="0" distB="0" distL="114300" distR="114300" simplePos="0" relativeHeight="251659264" behindDoc="0" locked="0" layoutInCell="1" allowOverlap="1">
              <wp:simplePos x="0" y="0"/>
              <wp:positionH relativeFrom="margin">
                <wp:align>right</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3"/>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right;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Brhfn7MQIAAGEEAAAOAAAAAAAAAAEAIAAAAB8BAABkcnMvZTJvRG9jLnhtbFBLBQYA&#10;AAAABgAGAFkBAADCBQAAAAA=&#10;">
              <v:fill on="f" focussize="0,0"/>
              <v:stroke on="f" weight="0.5pt"/>
              <v:imagedata o:title=""/>
              <o:lock v:ext="edit" aspectratio="f"/>
              <v:textbox inset="0mm,0mm,0mm,0mm" style="mso-fit-shape-to-text:t;">
                <w:txbxContent>
                  <w:p>
                    <w:pPr>
                      <w:pStyle w:val="3"/>
                    </w:pPr>
                    <w:r>
                      <w:fldChar w:fldCharType="begin"/>
                    </w:r>
                    <w:r>
                      <w:instrText xml:space="preserve"> PAGE  \* MERGEFORMAT </w:instrText>
                    </w:r>
                    <w:r>
                      <w:fldChar w:fldCharType="separate"/>
                    </w:r>
                    <w:r>
                      <w:t>1</w:t>
                    </w:r>
                    <w:r>
                      <w:fldChar w:fldCharType="end"/>
                    </w:r>
                  </w:p>
                </w:txbxContent>
              </v:textbox>
            </v:shape>
          </w:pict>
        </mc:Fallback>
      </mc:AlternateConten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N2QwNTIzMmYyMjk0MGRiN2Q5MTA2NjVlY2ZiNGEwNmYifQ=="/>
  </w:docVars>
  <w:rsids>
    <w:rsidRoot w:val="00E67BBE"/>
    <w:rsid w:val="000F5D24"/>
    <w:rsid w:val="00125943"/>
    <w:rsid w:val="00132475"/>
    <w:rsid w:val="001E0E1E"/>
    <w:rsid w:val="00576143"/>
    <w:rsid w:val="00670578"/>
    <w:rsid w:val="00704898"/>
    <w:rsid w:val="00752B9C"/>
    <w:rsid w:val="00804506"/>
    <w:rsid w:val="00813338"/>
    <w:rsid w:val="008C52A5"/>
    <w:rsid w:val="00B47F7D"/>
    <w:rsid w:val="00B85981"/>
    <w:rsid w:val="00C2055B"/>
    <w:rsid w:val="00C73C10"/>
    <w:rsid w:val="00C81FC3"/>
    <w:rsid w:val="00CF4BFB"/>
    <w:rsid w:val="00D4774E"/>
    <w:rsid w:val="00DD110A"/>
    <w:rsid w:val="00E65109"/>
    <w:rsid w:val="00E67BBE"/>
    <w:rsid w:val="00EC1CE8"/>
    <w:rsid w:val="00F26584"/>
    <w:rsid w:val="065C3433"/>
    <w:rsid w:val="07DF7A44"/>
    <w:rsid w:val="0A795065"/>
    <w:rsid w:val="0CA18A9C"/>
    <w:rsid w:val="0ED7BEAC"/>
    <w:rsid w:val="0FAEC3C6"/>
    <w:rsid w:val="175FA544"/>
    <w:rsid w:val="17AE7069"/>
    <w:rsid w:val="17FF2894"/>
    <w:rsid w:val="1BAFCDA9"/>
    <w:rsid w:val="1DEE2EA0"/>
    <w:rsid w:val="1DF6D5EA"/>
    <w:rsid w:val="1DF9BC19"/>
    <w:rsid w:val="1DFD9C09"/>
    <w:rsid w:val="1E5FCD4B"/>
    <w:rsid w:val="1F7F13DD"/>
    <w:rsid w:val="1F9FEDB1"/>
    <w:rsid w:val="1FAFEAB5"/>
    <w:rsid w:val="1FBF9CF7"/>
    <w:rsid w:val="1FCF61F1"/>
    <w:rsid w:val="1FF5EBE1"/>
    <w:rsid w:val="2ABA9551"/>
    <w:rsid w:val="2BCF7492"/>
    <w:rsid w:val="2BFFD62D"/>
    <w:rsid w:val="2F7A5564"/>
    <w:rsid w:val="2FBE95AF"/>
    <w:rsid w:val="2FDF047B"/>
    <w:rsid w:val="2FFB970E"/>
    <w:rsid w:val="2FFF61DD"/>
    <w:rsid w:val="33AF3D1C"/>
    <w:rsid w:val="348E6331"/>
    <w:rsid w:val="3757EE07"/>
    <w:rsid w:val="37B9302E"/>
    <w:rsid w:val="37DB604C"/>
    <w:rsid w:val="37DFAD72"/>
    <w:rsid w:val="37E75FC7"/>
    <w:rsid w:val="37EE4F8A"/>
    <w:rsid w:val="37FFE78E"/>
    <w:rsid w:val="39B40972"/>
    <w:rsid w:val="3AC7B42A"/>
    <w:rsid w:val="3B7BC4DB"/>
    <w:rsid w:val="3BED2163"/>
    <w:rsid w:val="3BFFBD22"/>
    <w:rsid w:val="3D1DF19F"/>
    <w:rsid w:val="3D3FAC78"/>
    <w:rsid w:val="3D6E5F42"/>
    <w:rsid w:val="3DDD3EC9"/>
    <w:rsid w:val="3DFC3655"/>
    <w:rsid w:val="3EDF8553"/>
    <w:rsid w:val="3EEB0C86"/>
    <w:rsid w:val="3EF9B865"/>
    <w:rsid w:val="3EFBC6F9"/>
    <w:rsid w:val="3F3D62CF"/>
    <w:rsid w:val="3F5BABE0"/>
    <w:rsid w:val="3F76AA10"/>
    <w:rsid w:val="3F7BA2C5"/>
    <w:rsid w:val="3F7F7545"/>
    <w:rsid w:val="3FB7218B"/>
    <w:rsid w:val="3FBF936E"/>
    <w:rsid w:val="3FCD0D02"/>
    <w:rsid w:val="3FD9FF55"/>
    <w:rsid w:val="3FDE76B4"/>
    <w:rsid w:val="3FEB7D5C"/>
    <w:rsid w:val="3FF6E300"/>
    <w:rsid w:val="3FFF1E54"/>
    <w:rsid w:val="3FFFB69D"/>
    <w:rsid w:val="47BCD7C3"/>
    <w:rsid w:val="47FF4A60"/>
    <w:rsid w:val="4B774488"/>
    <w:rsid w:val="4C53E02A"/>
    <w:rsid w:val="4CEF7F6B"/>
    <w:rsid w:val="4F1FC100"/>
    <w:rsid w:val="4F7F8E60"/>
    <w:rsid w:val="4FAF4EEB"/>
    <w:rsid w:val="4FF2EFFB"/>
    <w:rsid w:val="4FF3E637"/>
    <w:rsid w:val="4FF78AE3"/>
    <w:rsid w:val="4FFE139A"/>
    <w:rsid w:val="4FFF5097"/>
    <w:rsid w:val="524F387E"/>
    <w:rsid w:val="52DF776F"/>
    <w:rsid w:val="537E9875"/>
    <w:rsid w:val="53AF0D55"/>
    <w:rsid w:val="5493AD57"/>
    <w:rsid w:val="55FB08BB"/>
    <w:rsid w:val="5655C5CA"/>
    <w:rsid w:val="56EF7F15"/>
    <w:rsid w:val="576F7FD3"/>
    <w:rsid w:val="579B5F6A"/>
    <w:rsid w:val="579F2A48"/>
    <w:rsid w:val="57AFDBF3"/>
    <w:rsid w:val="57EAE531"/>
    <w:rsid w:val="57F3C863"/>
    <w:rsid w:val="57F7027C"/>
    <w:rsid w:val="57FF34D4"/>
    <w:rsid w:val="59978520"/>
    <w:rsid w:val="5A6FAF0C"/>
    <w:rsid w:val="5BD725E3"/>
    <w:rsid w:val="5BF91577"/>
    <w:rsid w:val="5CBFF62E"/>
    <w:rsid w:val="5D3FEAD1"/>
    <w:rsid w:val="5D9F03D6"/>
    <w:rsid w:val="5DB338D9"/>
    <w:rsid w:val="5DDE36BB"/>
    <w:rsid w:val="5DDF01EF"/>
    <w:rsid w:val="5DF5E15E"/>
    <w:rsid w:val="5DF771B5"/>
    <w:rsid w:val="5DF91BA5"/>
    <w:rsid w:val="5E0F4FE0"/>
    <w:rsid w:val="5EED34E7"/>
    <w:rsid w:val="5EF1A1D7"/>
    <w:rsid w:val="5EF6DE57"/>
    <w:rsid w:val="5EF775A0"/>
    <w:rsid w:val="5FCFC1C8"/>
    <w:rsid w:val="5FE678CB"/>
    <w:rsid w:val="5FE76B54"/>
    <w:rsid w:val="5FEE3600"/>
    <w:rsid w:val="5FEF395A"/>
    <w:rsid w:val="5FFA5280"/>
    <w:rsid w:val="5FFAF103"/>
    <w:rsid w:val="5FFDB895"/>
    <w:rsid w:val="5FFF4FB1"/>
    <w:rsid w:val="5FFF673F"/>
    <w:rsid w:val="64FDDA43"/>
    <w:rsid w:val="65B01BB8"/>
    <w:rsid w:val="67669B47"/>
    <w:rsid w:val="67DF5855"/>
    <w:rsid w:val="69A94CD0"/>
    <w:rsid w:val="69DBB020"/>
    <w:rsid w:val="69F6C981"/>
    <w:rsid w:val="69F93C51"/>
    <w:rsid w:val="6ABB6164"/>
    <w:rsid w:val="6AD30BC6"/>
    <w:rsid w:val="6AE71E96"/>
    <w:rsid w:val="6BFE7AD5"/>
    <w:rsid w:val="6C9F491D"/>
    <w:rsid w:val="6C9F9E3F"/>
    <w:rsid w:val="6D17760B"/>
    <w:rsid w:val="6D6FDC05"/>
    <w:rsid w:val="6DF7EFA4"/>
    <w:rsid w:val="6DFB5114"/>
    <w:rsid w:val="6DFBA9E2"/>
    <w:rsid w:val="6DFDA00E"/>
    <w:rsid w:val="6ED8A870"/>
    <w:rsid w:val="6EF3B4DE"/>
    <w:rsid w:val="6EF7854C"/>
    <w:rsid w:val="6F4F9730"/>
    <w:rsid w:val="6F5FCE2E"/>
    <w:rsid w:val="6F7FFC80"/>
    <w:rsid w:val="6F8FA5E4"/>
    <w:rsid w:val="6FBD34DB"/>
    <w:rsid w:val="6FD43CD3"/>
    <w:rsid w:val="6FDA8B44"/>
    <w:rsid w:val="6FDF25E5"/>
    <w:rsid w:val="6FE542C6"/>
    <w:rsid w:val="6FFBE1B1"/>
    <w:rsid w:val="6FFF0CC3"/>
    <w:rsid w:val="6FFF8F64"/>
    <w:rsid w:val="725C3C76"/>
    <w:rsid w:val="72767095"/>
    <w:rsid w:val="72B5D6F0"/>
    <w:rsid w:val="737F77CA"/>
    <w:rsid w:val="7397A90B"/>
    <w:rsid w:val="73B720A0"/>
    <w:rsid w:val="73DFFE77"/>
    <w:rsid w:val="73FF217B"/>
    <w:rsid w:val="75AFCACF"/>
    <w:rsid w:val="75BFBEB7"/>
    <w:rsid w:val="75EE8969"/>
    <w:rsid w:val="75FF2B0F"/>
    <w:rsid w:val="768D7929"/>
    <w:rsid w:val="76999F8F"/>
    <w:rsid w:val="76DBE955"/>
    <w:rsid w:val="76FD8CAE"/>
    <w:rsid w:val="76FF179C"/>
    <w:rsid w:val="776F252C"/>
    <w:rsid w:val="779DA66C"/>
    <w:rsid w:val="77AE7985"/>
    <w:rsid w:val="77BF347E"/>
    <w:rsid w:val="77C34ACB"/>
    <w:rsid w:val="77EE73C8"/>
    <w:rsid w:val="77FEAEBA"/>
    <w:rsid w:val="77FF55A2"/>
    <w:rsid w:val="77FF663C"/>
    <w:rsid w:val="793B91A9"/>
    <w:rsid w:val="79734ACF"/>
    <w:rsid w:val="7A8DA849"/>
    <w:rsid w:val="7AB770DF"/>
    <w:rsid w:val="7ABE68D1"/>
    <w:rsid w:val="7AF5408A"/>
    <w:rsid w:val="7AFFA1CB"/>
    <w:rsid w:val="7B5976D7"/>
    <w:rsid w:val="7BAD6F6C"/>
    <w:rsid w:val="7BBB2810"/>
    <w:rsid w:val="7BBF0112"/>
    <w:rsid w:val="7BCFC610"/>
    <w:rsid w:val="7BCFD802"/>
    <w:rsid w:val="7BE308DA"/>
    <w:rsid w:val="7BFC2D4E"/>
    <w:rsid w:val="7BFD15AD"/>
    <w:rsid w:val="7BFE3956"/>
    <w:rsid w:val="7BFFF191"/>
    <w:rsid w:val="7C7B9CD1"/>
    <w:rsid w:val="7C9BEB51"/>
    <w:rsid w:val="7CDFFB72"/>
    <w:rsid w:val="7CF14F62"/>
    <w:rsid w:val="7CFBF479"/>
    <w:rsid w:val="7D1B0A09"/>
    <w:rsid w:val="7D7CDCAF"/>
    <w:rsid w:val="7D7D3574"/>
    <w:rsid w:val="7D9F4027"/>
    <w:rsid w:val="7DBB351D"/>
    <w:rsid w:val="7DBE5249"/>
    <w:rsid w:val="7DBF4454"/>
    <w:rsid w:val="7DBFD238"/>
    <w:rsid w:val="7DF784DA"/>
    <w:rsid w:val="7DF86668"/>
    <w:rsid w:val="7DFC4DEA"/>
    <w:rsid w:val="7E1FF1EE"/>
    <w:rsid w:val="7E7F29FB"/>
    <w:rsid w:val="7EBE4626"/>
    <w:rsid w:val="7EC676E7"/>
    <w:rsid w:val="7EC78F26"/>
    <w:rsid w:val="7ECFA0D5"/>
    <w:rsid w:val="7EECF88D"/>
    <w:rsid w:val="7EEE6586"/>
    <w:rsid w:val="7EF0ADDF"/>
    <w:rsid w:val="7EFC6236"/>
    <w:rsid w:val="7EFFDC65"/>
    <w:rsid w:val="7F19014C"/>
    <w:rsid w:val="7F1EB768"/>
    <w:rsid w:val="7F2F4B4A"/>
    <w:rsid w:val="7F37B947"/>
    <w:rsid w:val="7F3F4CD6"/>
    <w:rsid w:val="7F5B71D9"/>
    <w:rsid w:val="7F5F4AF2"/>
    <w:rsid w:val="7F77070E"/>
    <w:rsid w:val="7F7A1993"/>
    <w:rsid w:val="7F7F0422"/>
    <w:rsid w:val="7F7F806D"/>
    <w:rsid w:val="7F7FEDE4"/>
    <w:rsid w:val="7FABCF53"/>
    <w:rsid w:val="7FAF1E48"/>
    <w:rsid w:val="7FAFBC6B"/>
    <w:rsid w:val="7FB74429"/>
    <w:rsid w:val="7FBD519D"/>
    <w:rsid w:val="7FBFC0A4"/>
    <w:rsid w:val="7FCFB9B8"/>
    <w:rsid w:val="7FDFFDC7"/>
    <w:rsid w:val="7FE79722"/>
    <w:rsid w:val="7FEEE8E6"/>
    <w:rsid w:val="7FEF07E1"/>
    <w:rsid w:val="7FEF0BBF"/>
    <w:rsid w:val="7FEFFE0E"/>
    <w:rsid w:val="7FF0901D"/>
    <w:rsid w:val="7FF6955A"/>
    <w:rsid w:val="7FF73405"/>
    <w:rsid w:val="7FF7FD20"/>
    <w:rsid w:val="7FF930E6"/>
    <w:rsid w:val="7FFB002F"/>
    <w:rsid w:val="7FFC87CB"/>
    <w:rsid w:val="7FFD436A"/>
    <w:rsid w:val="7FFD5730"/>
    <w:rsid w:val="7FFE044F"/>
    <w:rsid w:val="7FFE5DDB"/>
    <w:rsid w:val="7FFF3A7B"/>
    <w:rsid w:val="7FFFD228"/>
    <w:rsid w:val="80EBD18D"/>
    <w:rsid w:val="85F71E1B"/>
    <w:rsid w:val="8D7F5252"/>
    <w:rsid w:val="8FBD03AA"/>
    <w:rsid w:val="8FF9F92F"/>
    <w:rsid w:val="94EB625C"/>
    <w:rsid w:val="96FCADFC"/>
    <w:rsid w:val="97ED6B4D"/>
    <w:rsid w:val="97F75493"/>
    <w:rsid w:val="9BB7A4A6"/>
    <w:rsid w:val="9EE39974"/>
    <w:rsid w:val="9FAC68E9"/>
    <w:rsid w:val="9FF74900"/>
    <w:rsid w:val="9FFFDAA5"/>
    <w:rsid w:val="A5658EDE"/>
    <w:rsid w:val="A7C38CD3"/>
    <w:rsid w:val="AADB80D7"/>
    <w:rsid w:val="AB1E031E"/>
    <w:rsid w:val="AD172913"/>
    <w:rsid w:val="AD5E3E47"/>
    <w:rsid w:val="ADDF969B"/>
    <w:rsid w:val="AFB74D15"/>
    <w:rsid w:val="AFF70461"/>
    <w:rsid w:val="AFF7910C"/>
    <w:rsid w:val="AFFAF92B"/>
    <w:rsid w:val="B331E85B"/>
    <w:rsid w:val="B71B03C2"/>
    <w:rsid w:val="B7F702C0"/>
    <w:rsid w:val="B7F91C86"/>
    <w:rsid w:val="BAFE05EF"/>
    <w:rsid w:val="BBDF031E"/>
    <w:rsid w:val="BBF7C135"/>
    <w:rsid w:val="BBFF2FEA"/>
    <w:rsid w:val="BCBF9B0A"/>
    <w:rsid w:val="BCEF8BE5"/>
    <w:rsid w:val="BD7AE07E"/>
    <w:rsid w:val="BDEF5210"/>
    <w:rsid w:val="BE4A8B9C"/>
    <w:rsid w:val="BE6EB0AB"/>
    <w:rsid w:val="BE7AB1DF"/>
    <w:rsid w:val="BE7D6ED2"/>
    <w:rsid w:val="BEC50C31"/>
    <w:rsid w:val="BED61F1D"/>
    <w:rsid w:val="BEDBB535"/>
    <w:rsid w:val="BEEE6F98"/>
    <w:rsid w:val="BEFC134B"/>
    <w:rsid w:val="BEFD1EF2"/>
    <w:rsid w:val="BEFF9AE3"/>
    <w:rsid w:val="BF4603C2"/>
    <w:rsid w:val="BFBF1E2F"/>
    <w:rsid w:val="BFD664F7"/>
    <w:rsid w:val="BFDF8C05"/>
    <w:rsid w:val="BFE7E6CD"/>
    <w:rsid w:val="BFF9F405"/>
    <w:rsid w:val="C55E6391"/>
    <w:rsid w:val="C5AF5AB7"/>
    <w:rsid w:val="C77D1F8E"/>
    <w:rsid w:val="CB57785F"/>
    <w:rsid w:val="CCF78517"/>
    <w:rsid w:val="CD6B01E9"/>
    <w:rsid w:val="CDDBF424"/>
    <w:rsid w:val="CE5EC33C"/>
    <w:rsid w:val="CEF92F26"/>
    <w:rsid w:val="CEFB9B9A"/>
    <w:rsid w:val="CF7E986E"/>
    <w:rsid w:val="CFBCA281"/>
    <w:rsid w:val="CFF36F27"/>
    <w:rsid w:val="CFF3FCC7"/>
    <w:rsid w:val="CFF7A748"/>
    <w:rsid w:val="CFFB9D1F"/>
    <w:rsid w:val="D5F7868E"/>
    <w:rsid w:val="D7BBEEDB"/>
    <w:rsid w:val="D7BF1212"/>
    <w:rsid w:val="D7EB73D5"/>
    <w:rsid w:val="D7FF00D8"/>
    <w:rsid w:val="D87E0E53"/>
    <w:rsid w:val="D937CD70"/>
    <w:rsid w:val="D97F0BBC"/>
    <w:rsid w:val="DABFA038"/>
    <w:rsid w:val="DAE7914B"/>
    <w:rsid w:val="DBFCA547"/>
    <w:rsid w:val="DCBB7FDE"/>
    <w:rsid w:val="DD5799CE"/>
    <w:rsid w:val="DE2F1FD8"/>
    <w:rsid w:val="DECB4730"/>
    <w:rsid w:val="DF3EEADE"/>
    <w:rsid w:val="DF4BDC91"/>
    <w:rsid w:val="DFB64DE8"/>
    <w:rsid w:val="DFB70461"/>
    <w:rsid w:val="DFCB2AF3"/>
    <w:rsid w:val="DFCF7456"/>
    <w:rsid w:val="DFDC5BB9"/>
    <w:rsid w:val="DFED68D2"/>
    <w:rsid w:val="DFEF45E9"/>
    <w:rsid w:val="DFEF53D9"/>
    <w:rsid w:val="DFF5A33C"/>
    <w:rsid w:val="DFFF2F66"/>
    <w:rsid w:val="DFFFB9A4"/>
    <w:rsid w:val="E1F52DBB"/>
    <w:rsid w:val="E36FB4EB"/>
    <w:rsid w:val="E67E0093"/>
    <w:rsid w:val="E67E07E9"/>
    <w:rsid w:val="E6DB8AE4"/>
    <w:rsid w:val="E74FC1B7"/>
    <w:rsid w:val="E7FF5A8D"/>
    <w:rsid w:val="EA7D9273"/>
    <w:rsid w:val="EAD7F782"/>
    <w:rsid w:val="EAF5BBC2"/>
    <w:rsid w:val="EB6F18C3"/>
    <w:rsid w:val="EB9E2BF0"/>
    <w:rsid w:val="EBBF0466"/>
    <w:rsid w:val="EBD7D3F2"/>
    <w:rsid w:val="EBDFF4AD"/>
    <w:rsid w:val="EBF769E3"/>
    <w:rsid w:val="EC7D73AF"/>
    <w:rsid w:val="ED98C751"/>
    <w:rsid w:val="ED9D726B"/>
    <w:rsid w:val="EDFA133C"/>
    <w:rsid w:val="EDFF4878"/>
    <w:rsid w:val="EE5FD697"/>
    <w:rsid w:val="EEEDECCE"/>
    <w:rsid w:val="EF57B962"/>
    <w:rsid w:val="EF5DE0D8"/>
    <w:rsid w:val="EF6F5F57"/>
    <w:rsid w:val="EF754F78"/>
    <w:rsid w:val="EFBF99EE"/>
    <w:rsid w:val="EFD7699C"/>
    <w:rsid w:val="EFDF1F86"/>
    <w:rsid w:val="EFE7EE43"/>
    <w:rsid w:val="EFF72815"/>
    <w:rsid w:val="EFFB7EDB"/>
    <w:rsid w:val="EFFD1921"/>
    <w:rsid w:val="EFFFBC04"/>
    <w:rsid w:val="F1FBEFB7"/>
    <w:rsid w:val="F1FF1F49"/>
    <w:rsid w:val="F22F670A"/>
    <w:rsid w:val="F22FABEB"/>
    <w:rsid w:val="F375D3E5"/>
    <w:rsid w:val="F49F6E33"/>
    <w:rsid w:val="F5796E5E"/>
    <w:rsid w:val="F5DED6FD"/>
    <w:rsid w:val="F5EF09B5"/>
    <w:rsid w:val="F5EF7A3E"/>
    <w:rsid w:val="F5F78C56"/>
    <w:rsid w:val="F5FBBF99"/>
    <w:rsid w:val="F5FE54A6"/>
    <w:rsid w:val="F5FF8457"/>
    <w:rsid w:val="F6BB5A7D"/>
    <w:rsid w:val="F6E2488C"/>
    <w:rsid w:val="F6EBA692"/>
    <w:rsid w:val="F6EF28D5"/>
    <w:rsid w:val="F6FBAED6"/>
    <w:rsid w:val="F6FFF264"/>
    <w:rsid w:val="F74F9D89"/>
    <w:rsid w:val="F763B0EE"/>
    <w:rsid w:val="F77F3ECB"/>
    <w:rsid w:val="F793CCFB"/>
    <w:rsid w:val="F7B66F25"/>
    <w:rsid w:val="F7BFF8E9"/>
    <w:rsid w:val="F7DDE77D"/>
    <w:rsid w:val="F7DDFDD1"/>
    <w:rsid w:val="F7E75FB6"/>
    <w:rsid w:val="F7EE0B2A"/>
    <w:rsid w:val="F7EF2199"/>
    <w:rsid w:val="F7FF35AF"/>
    <w:rsid w:val="F7FF8DB1"/>
    <w:rsid w:val="F8BC80A4"/>
    <w:rsid w:val="F95DD845"/>
    <w:rsid w:val="F97FC488"/>
    <w:rsid w:val="F9F7A26A"/>
    <w:rsid w:val="F9FF8C0C"/>
    <w:rsid w:val="FABF62BD"/>
    <w:rsid w:val="FACF967D"/>
    <w:rsid w:val="FAFFA0CB"/>
    <w:rsid w:val="FB0E1640"/>
    <w:rsid w:val="FB2D6587"/>
    <w:rsid w:val="FBB4B6F4"/>
    <w:rsid w:val="FBD29BB9"/>
    <w:rsid w:val="FBDE1314"/>
    <w:rsid w:val="FBE10701"/>
    <w:rsid w:val="FBE963B3"/>
    <w:rsid w:val="FBE96D70"/>
    <w:rsid w:val="FBF51F41"/>
    <w:rsid w:val="FBF753AA"/>
    <w:rsid w:val="FBFB4B56"/>
    <w:rsid w:val="FBFEFA54"/>
    <w:rsid w:val="FBFFD375"/>
    <w:rsid w:val="FC3FA025"/>
    <w:rsid w:val="FCDF0E78"/>
    <w:rsid w:val="FD3FF54A"/>
    <w:rsid w:val="FD697215"/>
    <w:rsid w:val="FD772EEC"/>
    <w:rsid w:val="FD7FC252"/>
    <w:rsid w:val="FD995498"/>
    <w:rsid w:val="FDBC307E"/>
    <w:rsid w:val="FDF5D9C3"/>
    <w:rsid w:val="FDFB4FB4"/>
    <w:rsid w:val="FDFE1774"/>
    <w:rsid w:val="FDFFFDBE"/>
    <w:rsid w:val="FE3FE3D1"/>
    <w:rsid w:val="FE5E4548"/>
    <w:rsid w:val="FE5FCE01"/>
    <w:rsid w:val="FE7F8B49"/>
    <w:rsid w:val="FE8F5648"/>
    <w:rsid w:val="FE9E1D6D"/>
    <w:rsid w:val="FECFD686"/>
    <w:rsid w:val="FEDBFF1C"/>
    <w:rsid w:val="FEDD93F4"/>
    <w:rsid w:val="FEEF4B13"/>
    <w:rsid w:val="FEF519DC"/>
    <w:rsid w:val="FEF6170E"/>
    <w:rsid w:val="FEFD7C64"/>
    <w:rsid w:val="FF1FE2E8"/>
    <w:rsid w:val="FF2BE25F"/>
    <w:rsid w:val="FF3C75C3"/>
    <w:rsid w:val="FF3F4ED6"/>
    <w:rsid w:val="FF5E43D1"/>
    <w:rsid w:val="FF6D01B7"/>
    <w:rsid w:val="FF6FFEA3"/>
    <w:rsid w:val="FF7B3AB7"/>
    <w:rsid w:val="FFAE6BE9"/>
    <w:rsid w:val="FFB7A083"/>
    <w:rsid w:val="FFBBACE0"/>
    <w:rsid w:val="FFBD59EB"/>
    <w:rsid w:val="FFBEA196"/>
    <w:rsid w:val="FFCF41D4"/>
    <w:rsid w:val="FFDD955C"/>
    <w:rsid w:val="FFDF1865"/>
    <w:rsid w:val="FFDF67A2"/>
    <w:rsid w:val="FFDF8E17"/>
    <w:rsid w:val="FFEB27C4"/>
    <w:rsid w:val="FFEB5E43"/>
    <w:rsid w:val="FFEF6A5F"/>
    <w:rsid w:val="FFEF9753"/>
    <w:rsid w:val="FFEFAA42"/>
    <w:rsid w:val="FFF771DF"/>
    <w:rsid w:val="FFF77902"/>
    <w:rsid w:val="FFF9F3D2"/>
    <w:rsid w:val="FFFBFF6F"/>
    <w:rsid w:val="FFFE2397"/>
    <w:rsid w:val="FFFEABF9"/>
    <w:rsid w:val="FFFF0516"/>
    <w:rsid w:val="FFFF628C"/>
    <w:rsid w:val="FFFF8E3B"/>
    <w:rsid w:val="FFFFA440"/>
    <w:rsid w:val="FFFFA5B7"/>
    <w:rsid w:val="FFFFBB2D"/>
    <w:rsid w:val="FFFFBCC7"/>
    <w:rsid w:val="FFFFC12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GB" w:eastAsia="en-US" w:bidi="ar-SA"/>
    </w:rPr>
  </w:style>
  <w:style w:type="character" w:default="1" w:styleId="7">
    <w:name w:val="Default Paragraph Font"/>
    <w:semiHidden/>
    <w:unhideWhenUsed/>
    <w:uiPriority w:val="1"/>
  </w:style>
  <w:style w:type="table" w:default="1" w:styleId="5">
    <w:name w:val="Normal Table"/>
    <w:semiHidden/>
    <w:unhideWhenUsed/>
    <w:qFormat/>
    <w:uiPriority w:val="99"/>
    <w:tblPr>
      <w:tblCellMar>
        <w:top w:w="0" w:type="dxa"/>
        <w:left w:w="108" w:type="dxa"/>
        <w:bottom w:w="0" w:type="dxa"/>
        <w:right w:w="108" w:type="dxa"/>
      </w:tblCellMar>
    </w:tblPr>
  </w:style>
  <w:style w:type="paragraph" w:styleId="2">
    <w:name w:val="footer"/>
    <w:basedOn w:val="1"/>
    <w:link w:val="11"/>
    <w:unhideWhenUsed/>
    <w:qFormat/>
    <w:uiPriority w:val="99"/>
    <w:pPr>
      <w:tabs>
        <w:tab w:val="center" w:pos="4513"/>
        <w:tab w:val="right" w:pos="9026"/>
      </w:tabs>
      <w:spacing w:after="0" w:line="240" w:lineRule="auto"/>
    </w:pPr>
  </w:style>
  <w:style w:type="paragraph" w:styleId="3">
    <w:name w:val="header"/>
    <w:basedOn w:val="1"/>
    <w:link w:val="10"/>
    <w:unhideWhenUsed/>
    <w:qFormat/>
    <w:uiPriority w:val="99"/>
    <w:pPr>
      <w:tabs>
        <w:tab w:val="center" w:pos="4513"/>
        <w:tab w:val="right" w:pos="9026"/>
      </w:tabs>
      <w:spacing w:after="0" w:line="240" w:lineRule="auto"/>
    </w:pPr>
  </w:style>
  <w:style w:type="paragraph" w:styleId="4">
    <w:name w:val="Normal (Web)"/>
    <w:basedOn w:val="1"/>
    <w:semiHidden/>
    <w:unhideWhenUsed/>
    <w:uiPriority w:val="99"/>
    <w:pPr>
      <w:spacing w:before="0" w:beforeAutospacing="1" w:after="0" w:afterAutospacing="1"/>
      <w:ind w:left="0" w:right="0"/>
      <w:jc w:val="left"/>
    </w:pPr>
    <w:rPr>
      <w:kern w:val="0"/>
      <w:sz w:val="24"/>
      <w:lang w:val="en-US" w:eastAsia="zh-CN" w:bidi="ar"/>
    </w:rPr>
  </w:style>
  <w:style w:type="table" w:styleId="6">
    <w:name w:val="Table Grid"/>
    <w:basedOn w:val="5"/>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8">
    <w:name w:val="Hyperlink"/>
    <w:basedOn w:val="7"/>
    <w:unhideWhenUsed/>
    <w:uiPriority w:val="99"/>
    <w:rPr>
      <w:color w:val="0563C1" w:themeColor="hyperlink"/>
      <w:u w:val="single"/>
      <w14:textFill>
        <w14:solidFill>
          <w14:schemeClr w14:val="hlink"/>
        </w14:solidFill>
      </w14:textFill>
    </w:rPr>
  </w:style>
  <w:style w:type="paragraph" w:styleId="9">
    <w:name w:val="List Paragraph"/>
    <w:basedOn w:val="1"/>
    <w:qFormat/>
    <w:uiPriority w:val="34"/>
    <w:pPr>
      <w:ind w:left="720"/>
      <w:contextualSpacing/>
    </w:pPr>
  </w:style>
  <w:style w:type="character" w:customStyle="1" w:styleId="10">
    <w:name w:val="Header Char"/>
    <w:basedOn w:val="7"/>
    <w:link w:val="3"/>
    <w:qFormat/>
    <w:uiPriority w:val="99"/>
  </w:style>
  <w:style w:type="character" w:customStyle="1" w:styleId="11">
    <w:name w:val="Footer Char"/>
    <w:basedOn w:val="7"/>
    <w:link w:val="2"/>
    <w:qFormat/>
    <w:uiPriority w:val="99"/>
  </w:style>
  <w:style w:type="table" w:customStyle="1" w:styleId="12">
    <w:name w:val="Table Grid114"/>
    <w:basedOn w:val="5"/>
    <w:qFormat/>
    <w:uiPriority w:val="59"/>
    <w:pPr>
      <w:spacing w:after="0" w:line="240" w:lineRule="auto"/>
    </w:pPr>
    <w:rPr>
      <w:rFonts w:ascii="Calibri" w:hAnsi="Calibri" w:eastAsia="Calibri" w:cs="Times New Roman"/>
      <w:sz w:val="20"/>
      <w:szCs w:val="20"/>
      <w:lang w:eastAsia="en-GB"/>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2</Pages>
  <Words>548</Words>
  <Characters>3127</Characters>
  <Lines>26</Lines>
  <Paragraphs>7</Paragraphs>
  <TotalTime>3</TotalTime>
  <ScaleCrop>false</ScaleCrop>
  <LinksUpToDate>false</LinksUpToDate>
  <CharactersWithSpaces>3668</CharactersWithSpaces>
  <Application>WPS Office_12.1.0.16412_F1E327BC-269C-435d-A152-05C5408002CA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2024-01-29T22:57:00Z</dcterms:created>
  <dc:creator>Lisa Knight</dc:creator>
  <cp:lastModifiedBy>rua</cp:lastModifiedBy>
  <dcterms:modified xsi:type="dcterms:W3CDTF">2024-03-21T13:52:26Z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2052-12.1.0.16412</vt:lpwstr>
  </property>
  <property fmtid="{D5CDD505-2E9C-101B-9397-08002B2CF9AE}" pid="3" name="ICV">
    <vt:lpwstr>9DE1DDBE193F4C019D4D126215C8D9B2_13</vt:lpwstr>
  </property>
</Properties>
</file>