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xlsx" ContentType="application/vnd.openxmlformats-officedocument.spreadsheetml.sheet"/>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r>
        <w:rPr>
          <w:rFonts w:ascii="Arial" w:cs="Arial" w:hAnsi="Arial"/>
          <w:b/>
          <w:sz w:val="32"/>
          <w:szCs w:val="32"/>
        </w:rPr>
        <w:t>Programme: Master of Business Administration</w:t>
      </w: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r>
        <w:rPr>
          <w:rFonts w:ascii="Arial" w:cs="Arial" w:hAnsi="Arial"/>
          <w:b/>
          <w:sz w:val="32"/>
          <w:szCs w:val="32"/>
        </w:rPr>
        <w:t>Module: Financial Management</w:t>
      </w: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r>
        <w:rPr>
          <w:rFonts w:ascii="Arial" w:cs="Arial" w:hAnsi="Arial"/>
          <w:b/>
          <w:sz w:val="32"/>
          <w:szCs w:val="32"/>
        </w:rPr>
        <w:t>Module code: LCMB7002</w:t>
      </w: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r>
        <w:rPr>
          <w:rFonts w:ascii="Arial" w:cs="Arial" w:hAnsi="Arial"/>
          <w:b/>
          <w:sz w:val="32"/>
          <w:szCs w:val="32"/>
        </w:rPr>
        <w:t>Assignment Title: Assessment component: Financial performance and management</w:t>
      </w: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p>
    <w:p>
      <w:pPr>
        <w:spacing w:line="360" w:lineRule="auto"/>
        <w:jc w:val="center"/>
        <w:rPr>
          <w:rFonts w:ascii="Arial" w:cs="Arial" w:hAnsi="Arial"/>
          <w:b/>
          <w:sz w:val="32"/>
          <w:szCs w:val="32"/>
        </w:rPr>
      </w:pPr>
      <w:r>
        <w:rPr>
          <w:rFonts w:ascii="Arial" w:cs="Arial" w:hAnsi="Arial"/>
          <w:b/>
          <w:sz w:val="32"/>
          <w:szCs w:val="32"/>
        </w:rPr>
        <w:t>Student name: Anjaliben Harishbhai chavda</w:t>
      </w:r>
    </w:p>
    <w:p>
      <w:pPr>
        <w:spacing w:line="360" w:lineRule="auto"/>
        <w:jc w:val="both"/>
        <w:rPr>
          <w:rFonts w:ascii="Arial" w:cs="Arial" w:hAnsi="Arial"/>
          <w:b/>
          <w:sz w:val="32"/>
          <w:szCs w:val="32"/>
        </w:rPr>
      </w:pPr>
    </w:p>
    <w:p>
      <w:pPr>
        <w:spacing w:line="360" w:lineRule="auto"/>
        <w:jc w:val="center"/>
        <w:rPr>
          <w:rFonts w:ascii="Arial" w:cs="Arial" w:hAnsi="Arial"/>
          <w:b/>
          <w:sz w:val="32"/>
          <w:szCs w:val="32"/>
        </w:rPr>
      </w:pPr>
      <w:r>
        <w:rPr>
          <w:rFonts w:ascii="Arial" w:cs="Arial" w:hAnsi="Arial"/>
          <w:b/>
          <w:sz w:val="32"/>
          <w:szCs w:val="32"/>
        </w:rPr>
        <w:t>Student ID number:2532966</w:t>
      </w:r>
    </w:p>
    <w:p>
      <w:pPr>
        <w:spacing w:line="360" w:lineRule="auto"/>
        <w:ind w:left="440"/>
        <w:rPr>
          <w:rFonts w:ascii="Arial" w:cs="Arial" w:hAnsi="Arial"/>
          <w:b/>
          <w:sz w:val="32"/>
          <w:szCs w:val="32"/>
        </w:rPr>
      </w:pPr>
      <w:r>
        <w:rPr>
          <w:rFonts w:ascii="Arial" w:cs="Arial" w:hAnsi="Arial"/>
          <w:b/>
          <w:sz w:val="32"/>
          <w:szCs w:val="32"/>
        </w:rPr>
        <w:t xml:space="preserve">                    </w:t>
      </w:r>
      <w:bookmarkStart w:id="0" w:name="_GoBack"/>
      <w:bookmarkEnd w:id="0"/>
      <w:r>
        <w:rPr>
          <w:rFonts w:ascii="Arial" w:cs="Arial" w:hAnsi="Arial"/>
          <w:b/>
          <w:sz w:val="32"/>
          <w:szCs w:val="32"/>
        </w:rPr>
        <w:t>Lecture'  s Name : Shengfeng mei</w:t>
      </w:r>
    </w:p>
    <w:p>
      <w:pPr>
        <w:spacing w:line="360" w:lineRule="auto"/>
        <w:ind w:left="880"/>
        <w:jc w:val="both"/>
        <w:rPr>
          <w:rFonts w:ascii="Arial" w:cs="Arial" w:hAnsi="Arial"/>
          <w:b/>
          <w:sz w:val="32"/>
          <w:szCs w:val="32"/>
        </w:rPr>
      </w:pPr>
      <w:r>
        <w:rPr>
          <w:rFonts w:ascii="Arial" w:cs="Arial" w:hAnsi="Arial"/>
          <w:b/>
          <w:sz w:val="32"/>
          <w:szCs w:val="32"/>
        </w:rPr>
        <w:t xml:space="preserve">                            Work count: 2500 </w:t>
      </w:r>
    </w:p>
    <w:p>
      <w:pPr>
        <w:spacing w:line="360" w:lineRule="auto"/>
        <w:ind w:left="880"/>
        <w:rPr>
          <w:rFonts w:ascii="Arial" w:cs="Arial" w:hAnsi="Arial"/>
          <w:b/>
          <w:sz w:val="32"/>
          <w:szCs w:val="32"/>
        </w:rPr>
      </w:pPr>
    </w:p>
    <w:p>
      <w:pPr>
        <w:spacing w:line="360" w:lineRule="auto"/>
        <w:ind w:left="440"/>
        <w:rPr>
          <w:rFonts w:ascii="Arial" w:cs="Arial" w:hAnsi="Arial"/>
          <w:b/>
          <w:sz w:val="32"/>
          <w:szCs w:val="32"/>
        </w:rPr>
      </w:pPr>
    </w:p>
    <w:p>
      <w:pPr>
        <w:jc w:val="center"/>
        <w:rPr>
          <w:rFonts w:ascii="Arial" w:cs="Arial" w:hAnsi="Arial"/>
          <w:b/>
          <w:sz w:val="24"/>
          <w:szCs w:val="24"/>
        </w:rPr>
      </w:pPr>
      <w:r>
        <w:rPr>
          <w:rFonts w:ascii="Arial" w:cs="Arial" w:hAnsi="Arial"/>
          <w:b/>
          <w:sz w:val="24"/>
          <w:szCs w:val="24"/>
        </w:rPr>
        <w:br w:type="page"/>
      </w:r>
    </w:p>
    <w:p>
      <w:pPr>
        <w:pStyle w:val="22"/>
        <w:jc w:val="both"/>
        <w:rPr>
          <w:rFonts w:ascii="Arial" w:cs="Arial" w:hAnsi="Arial"/>
          <w:b/>
          <w:color w:val="auto"/>
          <w:sz w:val="24"/>
          <w:szCs w:val="24"/>
        </w:rPr>
      </w:pPr>
      <w:r>
        <w:rPr>
          <w:rFonts w:ascii="Arial" w:cs="Arial" w:hAnsi="Arial"/>
          <w:b/>
          <w:color w:val="auto"/>
          <w:sz w:val="24"/>
          <w:szCs w:val="24"/>
        </w:rPr>
        <w:t>Table of Contents</w:t>
      </w:r>
    </w:p>
    <w:p>
      <w:pPr>
        <w:pStyle w:val="23"/>
        <w:tabs>
          <w:tab w:val="right" w:leader="dot" w:pos="9016"/>
        </w:tabs>
        <w:jc w:val="both"/>
        <w:rPr>
          <w:rFonts w:ascii="Arial" w:cs="Arial" w:hAnsi="Arial"/>
          <w:sz w:val="24"/>
          <w:szCs w:val="24"/>
        </w:rPr>
      </w:pPr>
      <w:r>
        <w:rPr>
          <w:rFonts w:ascii="Arial" w:cs="Arial" w:hAnsi="Arial"/>
          <w:sz w:val="24"/>
          <w:szCs w:val="24"/>
        </w:rPr>
        <w:fldChar w:fldCharType="begin"/>
      </w:r>
      <w:r>
        <w:rPr>
          <w:rFonts w:ascii="Arial" w:cs="Arial" w:hAnsi="Arial"/>
          <w:sz w:val="24"/>
          <w:szCs w:val="24"/>
        </w:rPr>
        <w:instrText xml:space="preserve"> TOC \o "1-3" \h \z \u </w:instrText>
      </w:r>
      <w:r>
        <w:rPr>
          <w:rFonts w:ascii="Arial" w:cs="Arial" w:hAnsi="Arial"/>
          <w:sz w:val="24"/>
          <w:szCs w:val="24"/>
        </w:rPr>
        <w:fldChar w:fldCharType="separate"/>
      </w:r>
      <w:r>
        <w:fldChar w:fldCharType="begin"/>
      </w:r>
      <w:r>
        <w:instrText>Hyperlink \l "_Toc224037887"</w:instrText>
      </w:r>
      <w:r>
        <w:fldChar w:fldCharType="separate"/>
      </w:r>
      <w:r>
        <w:rPr>
          <w:rFonts w:ascii="Arial" w:cs="Arial" w:hAnsi="Arial"/>
          <w:color w:val="auto"/>
          <w:sz w:val="24"/>
          <w:szCs w:val="24"/>
        </w:rPr>
        <w:t>1.0 Financial Health Check</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_Toc224037887 \h </w:instrText>
      </w:r>
      <w:r>
        <w:rPr>
          <w:rFonts w:ascii="Arial" w:cs="Arial" w:hAnsi="Arial"/>
          <w:sz w:val="24"/>
          <w:szCs w:val="24"/>
        </w:rPr>
        <w:fldChar w:fldCharType="separate"/>
      </w:r>
      <w:r>
        <w:rPr>
          <w:rFonts w:ascii="Arial" w:cs="Arial" w:hAnsi="Arial"/>
          <w:sz w:val="24"/>
          <w:szCs w:val="24"/>
        </w:rPr>
        <w:t>3</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"_Toc224037888"</w:instrText>
      </w:r>
      <w:r>
        <w:fldChar w:fldCharType="separate"/>
      </w:r>
      <w:r>
        <w:rPr>
          <w:rFonts w:ascii="Arial" w:cs="Arial" w:hAnsi="Arial"/>
          <w:color w:val="auto"/>
          <w:sz w:val="24"/>
          <w:szCs w:val="24"/>
        </w:rPr>
        <w:t>1.1 Firm’s past five-year financial statements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_Toc224037888 \h </w:instrText>
      </w:r>
      <w:r>
        <w:rPr>
          <w:rFonts w:ascii="Arial" w:cs="Arial" w:hAnsi="Arial"/>
          <w:sz w:val="24"/>
          <w:szCs w:val="24"/>
        </w:rPr>
        <w:fldChar w:fldCharType="separate"/>
      </w:r>
      <w:r>
        <w:rPr>
          <w:rFonts w:ascii="Arial" w:cs="Arial" w:hAnsi="Arial"/>
          <w:sz w:val="24"/>
          <w:szCs w:val="24"/>
        </w:rPr>
        <w:t>3</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"_Toc224037889"</w:instrText>
      </w:r>
      <w:r>
        <w:fldChar w:fldCharType="separate"/>
      </w:r>
      <w:r>
        <w:rPr>
          <w:rFonts w:ascii="Arial" w:cs="Arial" w:hAnsi="Arial"/>
          <w:color w:val="auto"/>
          <w:sz w:val="24"/>
          <w:szCs w:val="24"/>
        </w:rPr>
        <w:t>1.2 Ratio analysis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_Toc224037889 \h </w:instrText>
      </w:r>
      <w:r>
        <w:rPr>
          <w:rFonts w:ascii="Arial" w:cs="Arial" w:hAnsi="Arial"/>
          <w:sz w:val="24"/>
          <w:szCs w:val="24"/>
        </w:rPr>
        <w:fldChar w:fldCharType="separate"/>
      </w:r>
      <w:r>
        <w:rPr>
          <w:rFonts w:ascii="Arial" w:cs="Arial" w:hAnsi="Arial"/>
          <w:sz w:val="24"/>
          <w:szCs w:val="24"/>
        </w:rPr>
        <w:t>4</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"_Toc224037890"</w:instrText>
      </w:r>
      <w:r>
        <w:fldChar w:fldCharType="separate"/>
      </w:r>
      <w:r>
        <w:rPr>
          <w:rFonts w:ascii="Arial" w:cs="Arial" w:hAnsi="Arial"/>
          <w:color w:val="auto"/>
          <w:sz w:val="24"/>
          <w:szCs w:val="24"/>
        </w:rPr>
        <w:t>1.3 Trends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_Toc224037890 \h </w:instrText>
      </w:r>
      <w:r>
        <w:rPr>
          <w:rFonts w:ascii="Arial" w:cs="Arial" w:hAnsi="Arial"/>
          <w:sz w:val="24"/>
          <w:szCs w:val="24"/>
        </w:rPr>
        <w:fldChar w:fldCharType="separate"/>
      </w:r>
      <w:r>
        <w:rPr>
          <w:rFonts w:ascii="Arial" w:cs="Arial" w:hAnsi="Arial"/>
          <w:sz w:val="24"/>
          <w:szCs w:val="24"/>
        </w:rPr>
        <w:t>9</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"_Toc224037891"</w:instrText>
      </w:r>
      <w:r>
        <w:fldChar w:fldCharType="separate"/>
      </w:r>
      <w:r>
        <w:rPr>
          <w:rFonts w:ascii="Arial" w:cs="Arial" w:hAnsi="Arial"/>
          <w:color w:val="auto"/>
          <w:sz w:val="24"/>
          <w:szCs w:val="24"/>
        </w:rPr>
        <w:t>1.4 Strengths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_Toc224037891 \h </w:instrText>
      </w:r>
      <w:r>
        <w:rPr>
          <w:rFonts w:ascii="Arial" w:cs="Arial" w:hAnsi="Arial"/>
          <w:sz w:val="24"/>
          <w:szCs w:val="24"/>
        </w:rPr>
        <w:fldChar w:fldCharType="separate"/>
      </w:r>
      <w:r>
        <w:rPr>
          <w:rFonts w:ascii="Arial" w:cs="Arial" w:hAnsi="Arial"/>
          <w:sz w:val="24"/>
          <w:szCs w:val="24"/>
        </w:rPr>
        <w:t>10</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"_Toc224037892"</w:instrText>
      </w:r>
      <w:r>
        <w:fldChar w:fldCharType="separate"/>
      </w:r>
      <w:r>
        <w:rPr>
          <w:rFonts w:ascii="Arial" w:cs="Arial" w:hAnsi="Arial"/>
          <w:color w:val="auto"/>
          <w:sz w:val="24"/>
          <w:szCs w:val="24"/>
        </w:rPr>
        <w:t>1.5 Threats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_Toc224037892 \h </w:instrText>
      </w:r>
      <w:r>
        <w:rPr>
          <w:rFonts w:ascii="Arial" w:cs="Arial" w:hAnsi="Arial"/>
          <w:sz w:val="24"/>
          <w:szCs w:val="24"/>
        </w:rPr>
        <w:fldChar w:fldCharType="separate"/>
      </w:r>
      <w:r>
        <w:rPr>
          <w:rFonts w:ascii="Arial" w:cs="Arial" w:hAnsi="Arial"/>
          <w:sz w:val="24"/>
          <w:szCs w:val="24"/>
        </w:rPr>
        <w:t>10</w:t>
      </w:r>
      <w:r>
        <w:rPr>
          <w:rFonts w:ascii="Arial" w:cs="Arial" w:hAnsi="Arial"/>
          <w:sz w:val="24"/>
          <w:szCs w:val="24"/>
        </w:rPr>
        <w:fldChar w:fldCharType="end"/>
      </w:r>
      <w:r>
        <w:fldChar w:fldCharType="end"/>
      </w:r>
    </w:p>
    <w:p>
      <w:pPr>
        <w:pStyle w:val="23"/>
        <w:tabs>
          <w:tab w:val="right" w:leader="dot" w:pos="9016"/>
        </w:tabs>
        <w:jc w:val="both"/>
        <w:rPr>
          <w:rFonts w:ascii="Arial" w:cs="Arial" w:hAnsi="Arial"/>
          <w:sz w:val="24"/>
          <w:szCs w:val="24"/>
        </w:rPr>
      </w:pPr>
      <w:r>
        <w:fldChar w:fldCharType="begin"/>
      </w:r>
      <w:r>
        <w:instrText>Hyperlink \l "_Toc224037893"</w:instrText>
      </w:r>
      <w:r>
        <w:fldChar w:fldCharType="separate"/>
      </w:r>
      <w:r>
        <w:rPr>
          <w:rFonts w:ascii="Arial" w:cs="Arial" w:hAnsi="Arial"/>
          <w:color w:val="auto"/>
          <w:sz w:val="24"/>
          <w:szCs w:val="24"/>
        </w:rPr>
        <w:t>2.0 Working Capital Management Analysis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_Toc224037893 \h </w:instrText>
      </w:r>
      <w:r>
        <w:rPr>
          <w:rFonts w:ascii="Arial" w:cs="Arial" w:hAnsi="Arial"/>
          <w:sz w:val="24"/>
          <w:szCs w:val="24"/>
        </w:rPr>
        <w:fldChar w:fldCharType="separate"/>
      </w:r>
      <w:r>
        <w:rPr>
          <w:rFonts w:ascii="Arial" w:cs="Arial" w:hAnsi="Arial"/>
          <w:sz w:val="24"/>
          <w:szCs w:val="24"/>
        </w:rPr>
        <w:t>11</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"_Toc224037894"</w:instrText>
      </w:r>
      <w:r>
        <w:fldChar w:fldCharType="separate"/>
      </w:r>
      <w:r>
        <w:rPr>
          <w:rFonts w:ascii="Arial" w:cs="Arial" w:hAnsi="Arial"/>
          <w:color w:val="auto"/>
          <w:sz w:val="24"/>
          <w:szCs w:val="24"/>
        </w:rPr>
        <w:t>2.1 Cash operating cycle</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_Toc224037894 \h </w:instrText>
      </w:r>
      <w:r>
        <w:rPr>
          <w:rFonts w:ascii="Arial" w:cs="Arial" w:hAnsi="Arial"/>
          <w:sz w:val="24"/>
          <w:szCs w:val="24"/>
        </w:rPr>
        <w:fldChar w:fldCharType="separate"/>
      </w:r>
      <w:r>
        <w:rPr>
          <w:rFonts w:ascii="Arial" w:cs="Arial" w:hAnsi="Arial"/>
          <w:sz w:val="24"/>
          <w:szCs w:val="24"/>
        </w:rPr>
        <w:t>11</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"_Toc224037895"</w:instrText>
      </w:r>
      <w:r>
        <w:fldChar w:fldCharType="separate"/>
      </w:r>
      <w:r>
        <w:rPr>
          <w:rFonts w:ascii="Arial" w:cs="Arial" w:hAnsi="Arial"/>
          <w:color w:val="auto"/>
          <w:sz w:val="24"/>
          <w:szCs w:val="24"/>
        </w:rPr>
        <w:t>2.2 Recommend strategies to improve liquidity through working capital reforms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_Toc224037895 \h </w:instrText>
      </w:r>
      <w:r>
        <w:rPr>
          <w:rFonts w:ascii="Arial" w:cs="Arial" w:hAnsi="Arial"/>
          <w:sz w:val="24"/>
          <w:szCs w:val="24"/>
        </w:rPr>
        <w:fldChar w:fldCharType="separate"/>
      </w:r>
      <w:r>
        <w:rPr>
          <w:rFonts w:ascii="Arial" w:cs="Arial" w:hAnsi="Arial"/>
          <w:sz w:val="24"/>
          <w:szCs w:val="24"/>
        </w:rPr>
        <w:t>11</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"_Toc224037896"</w:instrText>
      </w:r>
      <w:r>
        <w:fldChar w:fldCharType="separate"/>
      </w:r>
      <w:r>
        <w:rPr>
          <w:rFonts w:ascii="Arial" w:cs="Arial" w:hAnsi="Arial"/>
          <w:color w:val="auto"/>
          <w:sz w:val="24"/>
          <w:szCs w:val="24"/>
        </w:rPr>
        <w:t>2.3 Short-term vs long-term financing options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_Toc224037896 \h </w:instrText>
      </w:r>
      <w:r>
        <w:rPr>
          <w:rFonts w:ascii="Arial" w:cs="Arial" w:hAnsi="Arial"/>
          <w:sz w:val="24"/>
          <w:szCs w:val="24"/>
        </w:rPr>
        <w:fldChar w:fldCharType="separate"/>
      </w:r>
      <w:r>
        <w:rPr>
          <w:rFonts w:ascii="Arial" w:cs="Arial" w:hAnsi="Arial"/>
          <w:sz w:val="24"/>
          <w:szCs w:val="24"/>
        </w:rPr>
        <w:t>12</w:t>
      </w:r>
      <w:r>
        <w:rPr>
          <w:rFonts w:ascii="Arial" w:cs="Arial" w:hAnsi="Arial"/>
          <w:sz w:val="24"/>
          <w:szCs w:val="24"/>
        </w:rPr>
        <w:fldChar w:fldCharType="end"/>
      </w:r>
      <w:r>
        <w:fldChar w:fldCharType="end"/>
      </w:r>
    </w:p>
    <w:p>
      <w:pPr>
        <w:pStyle w:val="23"/>
        <w:tabs>
          <w:tab w:val="right" w:leader="dot" w:pos="9016"/>
        </w:tabs>
        <w:jc w:val="both"/>
        <w:rPr>
          <w:rFonts w:ascii="Arial" w:cs="Arial" w:hAnsi="Arial"/>
          <w:sz w:val="24"/>
          <w:szCs w:val="24"/>
        </w:rPr>
      </w:pPr>
      <w:r>
        <w:fldChar w:fldCharType="begin"/>
      </w:r>
      <w:r>
        <w:instrText>Hyperlink \l "_Toc224037897"</w:instrText>
      </w:r>
      <w:r>
        <w:fldChar w:fldCharType="separate"/>
      </w:r>
      <w:r>
        <w:rPr>
          <w:rFonts w:ascii="Arial" w:cs="Arial" w:hAnsi="Arial"/>
          <w:color w:val="auto"/>
          <w:sz w:val="24"/>
          <w:szCs w:val="24"/>
        </w:rPr>
        <w:t>3.0 Strategic Financial Restructuring Plan</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_Toc224037897 \h </w:instrText>
      </w:r>
      <w:r>
        <w:rPr>
          <w:rFonts w:ascii="Arial" w:cs="Arial" w:hAnsi="Arial"/>
          <w:sz w:val="24"/>
          <w:szCs w:val="24"/>
        </w:rPr>
        <w:fldChar w:fldCharType="separate"/>
      </w:r>
      <w:r>
        <w:rPr>
          <w:rFonts w:ascii="Arial" w:cs="Arial" w:hAnsi="Arial"/>
          <w:sz w:val="24"/>
          <w:szCs w:val="24"/>
        </w:rPr>
        <w:t>14</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"_Toc224037898"</w:instrText>
      </w:r>
      <w:r>
        <w:fldChar w:fldCharType="separate"/>
      </w:r>
      <w:r>
        <w:rPr>
          <w:rFonts w:ascii="Arial" w:cs="Arial" w:hAnsi="Arial"/>
          <w:color w:val="auto"/>
          <w:sz w:val="24"/>
          <w:szCs w:val="24"/>
        </w:rPr>
        <w:t>3.1 Recommend financial restructuring options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_Toc224037898 \h </w:instrText>
      </w:r>
      <w:r>
        <w:rPr>
          <w:rFonts w:ascii="Arial" w:cs="Arial" w:hAnsi="Arial"/>
          <w:sz w:val="24"/>
          <w:szCs w:val="24"/>
        </w:rPr>
        <w:fldChar w:fldCharType="separate"/>
      </w:r>
      <w:r>
        <w:rPr>
          <w:rFonts w:ascii="Arial" w:cs="Arial" w:hAnsi="Arial"/>
          <w:sz w:val="24"/>
          <w:szCs w:val="24"/>
        </w:rPr>
        <w:t>14</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"_Toc224037899"</w:instrText>
      </w:r>
      <w:r>
        <w:fldChar w:fldCharType="separate"/>
      </w:r>
      <w:r>
        <w:rPr>
          <w:rFonts w:ascii="Arial" w:cs="Arial" w:hAnsi="Arial"/>
          <w:color w:val="auto"/>
          <w:sz w:val="24"/>
          <w:szCs w:val="24"/>
        </w:rPr>
        <w:t>3.2 Impact on shareholder value, debt structure, and operational flexibility</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_Toc224037899 \h </w:instrText>
      </w:r>
      <w:r>
        <w:rPr>
          <w:rFonts w:ascii="Arial" w:cs="Arial" w:hAnsi="Arial"/>
          <w:sz w:val="24"/>
          <w:szCs w:val="24"/>
        </w:rPr>
        <w:fldChar w:fldCharType="separate"/>
      </w:r>
      <w:r>
        <w:rPr>
          <w:rFonts w:ascii="Arial" w:cs="Arial" w:hAnsi="Arial"/>
          <w:sz w:val="24"/>
          <w:szCs w:val="24"/>
        </w:rPr>
        <w:t>15</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"_Toc224037900"</w:instrText>
      </w:r>
      <w:r>
        <w:fldChar w:fldCharType="separate"/>
      </w:r>
      <w:r>
        <w:rPr>
          <w:rFonts w:ascii="Arial" w:cs="Arial" w:hAnsi="Arial"/>
          <w:color w:val="auto"/>
          <w:sz w:val="24"/>
          <w:szCs w:val="24"/>
        </w:rPr>
        <w:t>3.3 International and ethical considerations (taxation, currency risk, inflation, CSR)</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_Toc224037900 \h </w:instrText>
      </w:r>
      <w:r>
        <w:rPr>
          <w:rFonts w:ascii="Arial" w:cs="Arial" w:hAnsi="Arial"/>
          <w:sz w:val="24"/>
          <w:szCs w:val="24"/>
        </w:rPr>
        <w:fldChar w:fldCharType="separate"/>
      </w:r>
      <w:r>
        <w:rPr>
          <w:rFonts w:ascii="Arial" w:cs="Arial" w:hAnsi="Arial"/>
          <w:sz w:val="24"/>
          <w:szCs w:val="24"/>
        </w:rPr>
        <w:t>16</w:t>
      </w:r>
      <w:r>
        <w:rPr>
          <w:rFonts w:ascii="Arial" w:cs="Arial" w:hAnsi="Arial"/>
          <w:sz w:val="24"/>
          <w:szCs w:val="24"/>
        </w:rPr>
        <w:fldChar w:fldCharType="end"/>
      </w:r>
      <w:r>
        <w:fldChar w:fldCharType="end"/>
      </w:r>
    </w:p>
    <w:p>
      <w:pPr>
        <w:pStyle w:val="23"/>
        <w:tabs>
          <w:tab w:val="right" w:leader="dot" w:pos="9016"/>
        </w:tabs>
        <w:jc w:val="both"/>
        <w:rPr>
          <w:rFonts w:ascii="Arial" w:cs="Arial" w:hAnsi="Arial"/>
          <w:sz w:val="24"/>
          <w:szCs w:val="24"/>
        </w:rPr>
      </w:pPr>
      <w:r>
        <w:fldChar w:fldCharType="begin"/>
      </w:r>
      <w:r>
        <w:instrText>Hyperlink \l "_Toc224037901"</w:instrText>
      </w:r>
      <w:r>
        <w:fldChar w:fldCharType="separate"/>
      </w:r>
      <w:r>
        <w:rPr>
          <w:rFonts w:ascii="Arial" w:cs="Arial" w:hAnsi="Arial"/>
          <w:color w:val="auto"/>
          <w:sz w:val="24"/>
          <w:szCs w:val="24"/>
        </w:rPr>
        <w:t>4.0 Investment Appraisal and Capital Budgeting</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_Toc224037901 \h </w:instrText>
      </w:r>
      <w:r>
        <w:rPr>
          <w:rFonts w:ascii="Arial" w:cs="Arial" w:hAnsi="Arial"/>
          <w:sz w:val="24"/>
          <w:szCs w:val="24"/>
        </w:rPr>
        <w:fldChar w:fldCharType="separate"/>
      </w:r>
      <w:r>
        <w:rPr>
          <w:rFonts w:ascii="Arial" w:cs="Arial" w:hAnsi="Arial"/>
          <w:sz w:val="24"/>
          <w:szCs w:val="24"/>
        </w:rPr>
        <w:t>18</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"_Toc224037902"</w:instrText>
      </w:r>
      <w:r>
        <w:fldChar w:fldCharType="separate"/>
      </w:r>
      <w:r>
        <w:rPr>
          <w:rFonts w:ascii="Arial" w:cs="Arial" w:hAnsi="Arial"/>
          <w:color w:val="auto"/>
          <w:sz w:val="24"/>
          <w:szCs w:val="24"/>
        </w:rPr>
        <w:t>4.1 Which project to be recommended</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_Toc224037902 \h </w:instrText>
      </w:r>
      <w:r>
        <w:rPr>
          <w:rFonts w:ascii="Arial" w:cs="Arial" w:hAnsi="Arial"/>
          <w:sz w:val="24"/>
          <w:szCs w:val="24"/>
        </w:rPr>
        <w:fldChar w:fldCharType="separate"/>
      </w:r>
      <w:r>
        <w:rPr>
          <w:rFonts w:ascii="Arial" w:cs="Arial" w:hAnsi="Arial"/>
          <w:sz w:val="24"/>
          <w:szCs w:val="24"/>
        </w:rPr>
        <w:t>18</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"_Toc224037903"</w:instrText>
      </w:r>
      <w:r>
        <w:fldChar w:fldCharType="separate"/>
      </w:r>
      <w:r>
        <w:rPr>
          <w:rFonts w:ascii="Arial" w:cs="Arial" w:hAnsi="Arial"/>
          <w:color w:val="auto"/>
          <w:sz w:val="24"/>
          <w:szCs w:val="24"/>
        </w:rPr>
        <w:t>4.2 Justify of the recommendation with reference to the company’s financial performance (e.g. profitability, liquidity)</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_Toc224037903 \h </w:instrText>
      </w:r>
      <w:r>
        <w:rPr>
          <w:rFonts w:ascii="Arial" w:cs="Arial" w:hAnsi="Arial"/>
          <w:sz w:val="24"/>
          <w:szCs w:val="24"/>
        </w:rPr>
        <w:fldChar w:fldCharType="separate"/>
      </w:r>
      <w:r>
        <w:rPr>
          <w:rFonts w:ascii="Arial" w:cs="Arial" w:hAnsi="Arial"/>
          <w:sz w:val="24"/>
          <w:szCs w:val="24"/>
        </w:rPr>
        <w:t>19</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"_Toc224037904"</w:instrText>
      </w:r>
      <w:r>
        <w:fldChar w:fldCharType="separate"/>
      </w:r>
      <w:r>
        <w:rPr>
          <w:rFonts w:ascii="Arial" w:cs="Arial" w:hAnsi="Arial"/>
          <w:color w:val="auto"/>
          <w:sz w:val="24"/>
          <w:szCs w:val="24"/>
        </w:rPr>
        <w:t>4.3 Justify of the recommendation with reference to the company’s non-financial risks (e.g. political risk, customer loyalty)</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_Toc224037904 \h </w:instrText>
      </w:r>
      <w:r>
        <w:rPr>
          <w:rFonts w:ascii="Arial" w:cs="Arial" w:hAnsi="Arial"/>
          <w:sz w:val="24"/>
          <w:szCs w:val="24"/>
        </w:rPr>
        <w:fldChar w:fldCharType="separate"/>
      </w:r>
      <w:r>
        <w:rPr>
          <w:rFonts w:ascii="Arial" w:cs="Arial" w:hAnsi="Arial"/>
          <w:sz w:val="24"/>
          <w:szCs w:val="24"/>
        </w:rPr>
        <w:t>20</w:t>
      </w:r>
      <w:r>
        <w:rPr>
          <w:rFonts w:ascii="Arial" w:cs="Arial" w:hAnsi="Arial"/>
          <w:sz w:val="24"/>
          <w:szCs w:val="24"/>
        </w:rPr>
        <w:fldChar w:fldCharType="end"/>
      </w:r>
      <w:r>
        <w:fldChar w:fldCharType="end"/>
      </w:r>
    </w:p>
    <w:p>
      <w:pPr>
        <w:pStyle w:val="24"/>
        <w:tabs>
          <w:tab w:val="right" w:leader="dot" w:pos="9016"/>
        </w:tabs>
        <w:jc w:val="both"/>
        <w:rPr>
          <w:rFonts w:ascii="Arial" w:cs="Arial" w:hAnsi="Arial"/>
          <w:sz w:val="24"/>
          <w:szCs w:val="24"/>
        </w:rPr>
      </w:pPr>
      <w:r>
        <w:fldChar w:fldCharType="begin"/>
      </w:r>
      <w:r>
        <w:instrText>Hyperlink \l "_Toc224037905"</w:instrText>
      </w:r>
      <w:r>
        <w:fldChar w:fldCharType="separate"/>
      </w:r>
      <w:r>
        <w:rPr>
          <w:rFonts w:ascii="Arial" w:cs="Arial" w:hAnsi="Arial"/>
          <w:color w:val="auto"/>
          <w:sz w:val="24"/>
          <w:szCs w:val="24"/>
        </w:rPr>
        <w:t>4.4 Justification of the suggestion using capital rationing</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_Toc224037905 \h </w:instrText>
      </w:r>
      <w:r>
        <w:rPr>
          <w:rFonts w:ascii="Arial" w:cs="Arial" w:hAnsi="Arial"/>
          <w:sz w:val="24"/>
          <w:szCs w:val="24"/>
        </w:rPr>
        <w:fldChar w:fldCharType="separate"/>
      </w:r>
      <w:r>
        <w:rPr>
          <w:rFonts w:ascii="Arial" w:cs="Arial" w:hAnsi="Arial"/>
          <w:sz w:val="24"/>
          <w:szCs w:val="24"/>
        </w:rPr>
        <w:t>21</w:t>
      </w:r>
      <w:r>
        <w:rPr>
          <w:rFonts w:ascii="Arial" w:cs="Arial" w:hAnsi="Arial"/>
          <w:sz w:val="24"/>
          <w:szCs w:val="24"/>
        </w:rPr>
        <w:fldChar w:fldCharType="end"/>
      </w:r>
      <w:r>
        <w:fldChar w:fldCharType="end"/>
      </w:r>
    </w:p>
    <w:p>
      <w:pPr>
        <w:pStyle w:val="23"/>
        <w:tabs>
          <w:tab w:val="right" w:leader="dot" w:pos="9016"/>
        </w:tabs>
        <w:jc w:val="both"/>
        <w:rPr>
          <w:rFonts w:ascii="Arial" w:cs="Arial" w:hAnsi="Arial"/>
          <w:sz w:val="24"/>
          <w:szCs w:val="24"/>
        </w:rPr>
      </w:pPr>
      <w:r>
        <w:fldChar w:fldCharType="begin"/>
      </w:r>
      <w:r>
        <w:instrText>Hyperlink \l "_Toc224037906"</w:instrText>
      </w:r>
      <w:r>
        <w:fldChar w:fldCharType="separate"/>
      </w:r>
      <w:r>
        <w:rPr>
          <w:rFonts w:ascii="Arial" w:cs="Arial" w:hAnsi="Arial"/>
          <w:color w:val="auto"/>
          <w:sz w:val="24"/>
          <w:szCs w:val="24"/>
        </w:rPr>
        <w:t>References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_Toc224037906 \h </w:instrText>
      </w:r>
      <w:r>
        <w:rPr>
          <w:rFonts w:ascii="Arial" w:cs="Arial" w:hAnsi="Arial"/>
          <w:sz w:val="24"/>
          <w:szCs w:val="24"/>
        </w:rPr>
        <w:fldChar w:fldCharType="separate"/>
      </w:r>
      <w:r>
        <w:rPr>
          <w:rFonts w:ascii="Arial" w:cs="Arial" w:hAnsi="Arial"/>
          <w:sz w:val="24"/>
          <w:szCs w:val="24"/>
        </w:rPr>
        <w:t>23</w:t>
      </w:r>
      <w:r>
        <w:rPr>
          <w:rFonts w:ascii="Arial" w:cs="Arial" w:hAnsi="Arial"/>
          <w:sz w:val="24"/>
          <w:szCs w:val="24"/>
        </w:rPr>
        <w:fldChar w:fldCharType="end"/>
      </w:r>
      <w:r>
        <w:fldChar w:fldCharType="end"/>
      </w:r>
    </w:p>
    <w:p>
      <w:pPr>
        <w:pStyle w:val="23"/>
        <w:tabs>
          <w:tab w:val="right" w:leader="dot" w:pos="9016"/>
        </w:tabs>
        <w:jc w:val="both"/>
        <w:rPr>
          <w:rFonts w:ascii="Arial" w:cs="Arial" w:hAnsi="Arial"/>
          <w:sz w:val="24"/>
          <w:szCs w:val="24"/>
        </w:rPr>
      </w:pPr>
      <w:r>
        <w:fldChar w:fldCharType="begin"/>
      </w:r>
      <w:r>
        <w:instrText>Hyperlink \l "_Toc224037907"</w:instrText>
      </w:r>
      <w:r>
        <w:fldChar w:fldCharType="separate"/>
      </w:r>
      <w:r>
        <w:rPr>
          <w:rFonts w:ascii="Arial" w:cs="Arial" w:hAnsi="Arial"/>
          <w:color w:val="auto"/>
          <w:sz w:val="24"/>
          <w:szCs w:val="24"/>
        </w:rPr>
        <w:t>Appendices</w:t>
      </w:r>
      <w:r>
        <w:rPr>
          <w:rFonts w:ascii="Arial" w:cs="Arial" w:hAnsi="Arial"/>
          <w:sz w:val="24"/>
          <w:szCs w:val="24"/>
        </w:rPr>
        <w:tab/>
      </w:r>
      <w:r>
        <w:rPr>
          <w:rFonts w:ascii="Arial" w:cs="Arial" w:hAnsi="Arial"/>
          <w:sz w:val="24"/>
          <w:szCs w:val="24"/>
        </w:rPr>
        <w:fldChar w:fldCharType="begin"/>
      </w:r>
      <w:r>
        <w:rPr>
          <w:rFonts w:ascii="Arial" w:cs="Arial" w:hAnsi="Arial"/>
          <w:sz w:val="24"/>
          <w:szCs w:val="24"/>
        </w:rPr>
        <w:instrText xml:space="preserve"> PAGEREF _Toc224037907 \h </w:instrText>
      </w:r>
      <w:r>
        <w:rPr>
          <w:rFonts w:ascii="Arial" w:cs="Arial" w:hAnsi="Arial"/>
          <w:sz w:val="24"/>
          <w:szCs w:val="24"/>
        </w:rPr>
        <w:fldChar w:fldCharType="separate"/>
      </w:r>
      <w:r>
        <w:rPr>
          <w:rFonts w:ascii="Arial" w:cs="Arial" w:hAnsi="Arial"/>
          <w:sz w:val="24"/>
          <w:szCs w:val="24"/>
        </w:rPr>
        <w:t>26</w:t>
      </w:r>
      <w:r>
        <w:rPr>
          <w:rFonts w:ascii="Arial" w:cs="Arial" w:hAnsi="Arial"/>
          <w:sz w:val="24"/>
          <w:szCs w:val="24"/>
        </w:rPr>
        <w:fldChar w:fldCharType="end"/>
      </w:r>
      <w:r>
        <w:fldChar w:fldCharType="end"/>
      </w:r>
    </w:p>
    <w:p>
      <w:pPr>
        <w:jc w:val="both"/>
      </w:pPr>
      <w:r>
        <w:rPr>
          <w:rFonts w:ascii="Arial" w:cs="Arial" w:hAnsi="Arial"/>
          <w:bCs/>
          <w:sz w:val="24"/>
          <w:szCs w:val="24"/>
        </w:rPr>
        <w:fldChar w:fldCharType="end"/>
      </w:r>
    </w:p>
    <w:p>
      <w:pPr>
        <w:rPr>
          <w:rFonts w:ascii="Arial" w:eastAsia="宋体" w:cs="Arial" w:hAnsi="Arial"/>
          <w:b/>
          <w:sz w:val="24"/>
          <w:szCs w:val="24"/>
        </w:rPr>
      </w:pPr>
      <w:r>
        <w:rPr>
          <w:rFonts w:ascii="Arial" w:cs="Arial" w:hAnsi="Arial"/>
          <w:b/>
          <w:sz w:val="24"/>
          <w:szCs w:val="24"/>
        </w:rPr>
        <w:br w:type="page"/>
      </w:r>
    </w:p>
    <w:p>
      <w:pPr>
        <w:pStyle w:val="1"/>
        <w:spacing w:line="360" w:lineRule="auto"/>
        <w:jc w:val="both"/>
        <w:rPr>
          <w:rFonts w:ascii="Arial" w:cs="Arial" w:hAnsi="Arial"/>
          <w:b/>
          <w:color w:val="auto"/>
          <w:sz w:val="24"/>
          <w:szCs w:val="24"/>
        </w:rPr>
      </w:pPr>
      <w:bookmarkStart w:id="1" w:name="_Toc224037887"/>
      <w:r>
        <w:rPr>
          <w:rFonts w:ascii="Arial" w:cs="Arial" w:hAnsi="Arial"/>
          <w:b/>
          <w:color w:val="auto"/>
          <w:sz w:val="24"/>
          <w:szCs w:val="24"/>
        </w:rPr>
        <w:t>1.0 Financial Health Check</w:t>
      </w:r>
      <w:bookmarkEnd w:id="1"/>
      <w:r>
        <w:rPr>
          <w:rFonts w:ascii="Arial" w:cs="Arial" w:hAnsi="Arial"/>
          <w:b/>
          <w:color w:val="auto"/>
          <w:sz w:val="24"/>
          <w:szCs w:val="24"/>
        </w:rPr>
        <w:t xml:space="preserve"> </w:t>
      </w:r>
    </w:p>
    <w:p>
      <w:pPr>
        <w:pStyle w:val="2"/>
        <w:spacing w:line="360" w:lineRule="auto"/>
        <w:jc w:val="both"/>
        <w:rPr>
          <w:rFonts w:ascii="Arial" w:cs="Arial" w:hAnsi="Arial"/>
          <w:b/>
          <w:color w:val="auto"/>
          <w:sz w:val="24"/>
          <w:szCs w:val="24"/>
        </w:rPr>
      </w:pPr>
      <w:bookmarkStart w:id="2" w:name="_Toc224037888"/>
      <w:r>
        <w:rPr>
          <w:rFonts w:ascii="Arial" w:cs="Arial" w:hAnsi="Arial"/>
          <w:b/>
          <w:color w:val="auto"/>
          <w:sz w:val="24"/>
          <w:szCs w:val="24"/>
        </w:rPr>
        <w:t>1.1 Firm’s past five-year financial statements</w:t>
      </w:r>
      <w:bookmarkEnd w:id="2"/>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54"/>
        <w:gridCol w:w="1590"/>
        <w:gridCol w:w="1771"/>
        <w:gridCol w:w="1404"/>
        <w:gridCol w:w="1457"/>
        <w:gridCol w:w="2040"/>
      </w:tblGrid>
      <w:t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Sales Revenue (¥ million)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Operating Income (¥ million)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Net Income (¥ million)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Total Assets (¥ million)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Shareholders’ Equity (¥ million)</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27,214,594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2,197,748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2,282,378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62,267,140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24,288,329</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31,379,507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2,995,697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2,874,614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67,688,771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27,154,820</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37,154,298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2,725,025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2,492,967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74,303,180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29,264,213</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45,095,325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5,352,934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5,071,421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90,114,296</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35,239,338</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48,036,704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4,795,586</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4,789,755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93,601,350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36,878,913</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1:</w:t>
      </w:r>
      <w:r>
        <w:rPr>
          <w:rFonts w:ascii="Arial" w:cs="Arial" w:hAnsi="Arial"/>
          <w:b/>
          <w:sz w:val="24"/>
          <w:szCs w:val="24"/>
        </w:rPr>
        <w:t xml:space="preserve"> Five-year financial statements</w:t>
      </w:r>
    </w:p>
    <w:p>
      <w:pPr>
        <w:spacing w:line="360" w:lineRule="auto"/>
        <w:jc w:val="center"/>
        <w:rPr>
          <w:rFonts w:ascii="Arial" w:cs="Arial" w:hAnsi="Arial"/>
          <w:sz w:val="24"/>
          <w:szCs w:val="24"/>
        </w:rPr>
      </w:pPr>
      <w:r>
        <w:rPr>
          <w:rFonts w:ascii="Arial" w:cs="Arial" w:hAnsi="Arial"/>
          <w:sz w:val="24"/>
          <w:szCs w:val="24"/>
          <w:lang w:val="en-IN" w:eastAsia="en-IN"/>
        </w:rPr>
        <w:drawing>
          <wp:inline distT="0" distB="0" distL="0" distR="0">
            <wp:extent cx="4572000" cy="2743200"/>
            <wp:effectExtent l="0" t="0" r="0" b="0"/>
            <wp:docPr id="4" name="图表 4"/>
            <wp:cNvGraphicFramePr>
              <a:graphicFrameLocks noChangeAspect="0"/>
            </wp:cNvGraphicFramePr>
            <a:graphic>
              <a:graphicData uri="http://schemas.openxmlformats.org/drawingml/2006/chart">
                <c:chart xmlns:c="http://schemas.openxmlformats.org/drawingml/2006/chart" r:id="rId4"/>
              </a:graphicData>
            </a:graphic>
          </wp:inline>
        </w:drawing>
      </w:r>
    </w:p>
    <w:p>
      <w:pPr>
        <w:spacing w:line="360" w:lineRule="auto"/>
        <w:jc w:val="center"/>
        <w:rPr>
          <w:rFonts w:ascii="Arial" w:cs="Arial" w:hAnsi="Arial"/>
          <w:b/>
          <w:sz w:val="24"/>
          <w:szCs w:val="24"/>
        </w:rPr>
      </w:pPr>
      <w:r>
        <w:rPr>
          <w:rFonts w:ascii="Arial" w:cs="Arial" w:hAnsi="Arial"/>
          <w:b/>
          <w:sz w:val="24"/>
          <w:szCs w:val="24"/>
        </w:rPr>
        <w:t>Graph 1: Financial Statement</w:t>
      </w:r>
    </w:p>
    <w:p>
      <w:pPr>
        <w:pStyle w:val="15"/>
        <w:spacing w:line="360" w:lineRule="auto"/>
        <w:jc w:val="both"/>
        <w:rPr>
          <w:rFonts w:ascii="Arial" w:cs="Arial" w:hAnsi="Arial"/>
        </w:rPr>
      </w:pPr>
      <w:r>
        <w:rPr>
          <w:rFonts w:ascii="Arial" w:cs="Arial" w:hAnsi="Arial"/>
        </w:rPr>
        <w:t>The five-year financial records demonstrate that Toyota has a good growth and growing financial potential even though its profitability varies within ineffective limits. In terms of revenue, it has risen considerably between 2021 (¥ 27.2 trillion) and 2025 (¥ 48.0 trillion) as the world demands more vehicles, and the hybrid and electric vehicles are gaining markets. The operating income grew in 2024 to ¥5.35 trillion after increasing in 2021 as ¥2.2 trillion, but fell slightly to ¥4.79 trillion in 2025, which shows the growth of operating costs and investments in electrification technologies (Bloomberg, 2026). The trend was the same with net income, which rose sharply in FY2024 and then stabilised in FY2025. Total assets grew to ¥93.6 trillion as compared to ¥62.3 trillion, while shareholder equity rose steadily to ¥36.9 trillion as compared to ¥24.3 trillion and this indicates better financial strength and capital growth of the company. On the whole, the financial statements demonstrate that Toyota has remained financially healthy and resilient and spent much money on innovation and EV development (Toyota Motor Corporation, 2025a).</w:t>
      </w:r>
    </w:p>
    <w:p>
      <w:pPr>
        <w:pStyle w:val="2"/>
        <w:spacing w:line="360" w:lineRule="auto"/>
        <w:jc w:val="both"/>
        <w:rPr>
          <w:rFonts w:ascii="Arial" w:cs="Arial" w:hAnsi="Arial"/>
          <w:b/>
          <w:color w:val="auto"/>
          <w:sz w:val="24"/>
          <w:szCs w:val="24"/>
        </w:rPr>
      </w:pPr>
      <w:bookmarkStart w:id="3" w:name="_Toc224037889"/>
      <w:r>
        <w:rPr>
          <w:rFonts w:ascii="Arial" w:cs="Arial" w:hAnsi="Arial"/>
          <w:b/>
          <w:color w:val="auto"/>
          <w:sz w:val="24"/>
          <w:szCs w:val="24"/>
        </w:rPr>
        <w:t>1.2 Ratio analysis</w:t>
      </w:r>
      <w:bookmarkEnd w:id="3"/>
      <w:r>
        <w:rPr>
          <w:rFonts w:ascii="Arial" w:cs="Arial" w:hAnsi="Arial"/>
          <w:b/>
          <w:color w:val="auto"/>
          <w:sz w:val="24"/>
          <w:szCs w:val="24"/>
        </w:rPr>
        <w:t xml:space="preserve"> </w:t>
      </w:r>
    </w:p>
    <w:p>
      <w:pPr>
        <w:spacing w:line="360" w:lineRule="auto"/>
        <w:jc w:val="both"/>
        <w:rPr>
          <w:rFonts w:ascii="Arial" w:cs="Arial" w:hAnsi="Arial"/>
          <w:b/>
          <w:sz w:val="24"/>
          <w:szCs w:val="24"/>
        </w:rPr>
      </w:pPr>
      <w:r>
        <w:rPr>
          <w:rFonts w:ascii="Arial" w:cs="Arial" w:hAnsi="Arial"/>
          <w:b/>
          <w:sz w:val="24"/>
          <w:szCs w:val="24"/>
        </w:rPr>
        <w:t>Profitability</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54"/>
        <w:gridCol w:w="2440"/>
        <w:gridCol w:w="2421"/>
        <w:gridCol w:w="2350"/>
      </w:tblGrid>
      <w:t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Operating Margin (%)</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Net Profit Margin (%)</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Return on Equity (%)</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8.1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8.4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10.2</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11.5</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9.0</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11.9</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11.2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15.8</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10.0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10.0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13.6</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2: Profitabilty</w:t>
      </w:r>
    </w:p>
    <w:p>
      <w:pPr>
        <w:spacing w:line="360" w:lineRule="auto"/>
        <w:jc w:val="center"/>
        <w:rPr>
          <w:rFonts w:ascii="Arial" w:cs="Arial" w:hAnsi="Arial"/>
          <w:b/>
          <w:sz w:val="24"/>
          <w:szCs w:val="24"/>
        </w:rPr>
      </w:pPr>
      <w:r>
        <w:rPr>
          <w:rFonts w:ascii="Arial" w:cs="Arial" w:hAnsi="Arial"/>
          <w:sz w:val="24"/>
          <w:szCs w:val="24"/>
          <w:lang w:val="en-IN" w:eastAsia="en-IN"/>
        </w:rPr>
        <w:drawing>
          <wp:inline distT="0" distB="0" distL="0" distR="0">
            <wp:extent cx="4572000" cy="2743200"/>
            <wp:effectExtent l="0" t="0" r="0" b="0"/>
            <wp:docPr id="5" name="图表 5"/>
            <wp:cNvGraphicFramePr>
              <a:graphicFrameLocks noChangeAspect="0"/>
            </wp:cNvGraphicFramePr>
            <a:graphic>
              <a:graphicData uri="http://schemas.openxmlformats.org/drawingml/2006/chart">
                <c:chart xmlns:c="http://schemas.openxmlformats.org/drawingml/2006/chart" r:id="rId5"/>
              </a:graphicData>
            </a:graphic>
          </wp:inline>
        </w:drawing>
      </w:r>
    </w:p>
    <w:p>
      <w:pPr>
        <w:spacing w:line="360" w:lineRule="auto"/>
        <w:jc w:val="center"/>
        <w:rPr>
          <w:rFonts w:ascii="Arial" w:cs="Arial" w:hAnsi="Arial"/>
          <w:b/>
          <w:sz w:val="24"/>
          <w:szCs w:val="24"/>
        </w:rPr>
      </w:pPr>
      <w:r>
        <w:rPr>
          <w:rFonts w:ascii="Arial" w:cs="Arial" w:hAnsi="Arial"/>
          <w:b/>
          <w:sz w:val="24"/>
          <w:szCs w:val="24"/>
        </w:rPr>
        <w:t>Graph 2: Profitability Ratios</w:t>
      </w:r>
    </w:p>
    <w:p>
      <w:pPr>
        <w:pStyle w:val="15"/>
        <w:spacing w:line="360" w:lineRule="auto"/>
        <w:jc w:val="both"/>
        <w:rPr>
          <w:rFonts w:ascii="Arial" w:cs="Arial" w:hAnsi="Arial"/>
        </w:rPr>
      </w:pPr>
      <w:r>
        <w:rPr>
          <w:rFonts w:ascii="Arial" w:cs="Arial" w:hAnsi="Arial"/>
        </w:rPr>
        <w:t>The financial performances of Toyota based on profitability ratios show an increase in the profitability over the five years albeit with some fluctuations. Operating margin has improved and is now at 11.9% in 2024 compared to 8.1% in 2021, which indicates better operational efficiency and high vehicles demand across the world. The profitability is also high even though the margin has decreased by a small percentage to 10% in the year 2025 as Toyota has a big market share and diversified vehicles (Boston Consulting Group, 2025). In the same way, the ROE rose significantly to 15.8% in 2024 between 10.2% in 2021, which contrasts well with the utilization of shareholder capital. The short term drop in 2023 indicates disruptions in the supply chain and increasing raw material prices which impacted the automotive industry.</w:t>
      </w:r>
    </w:p>
    <w:p>
      <w:pPr>
        <w:spacing w:line="360" w:lineRule="auto"/>
        <w:jc w:val="both"/>
        <w:rPr>
          <w:rFonts w:ascii="Arial" w:cs="Arial" w:hAnsi="Arial"/>
          <w:b/>
          <w:sz w:val="24"/>
          <w:szCs w:val="24"/>
        </w:rPr>
      </w:pPr>
      <w:r>
        <w:rPr>
          <w:rFonts w:ascii="Arial" w:cs="Arial" w:hAnsi="Arial"/>
          <w:b/>
          <w:sz w:val="24"/>
          <w:szCs w:val="24"/>
        </w:rPr>
        <w:t>Liquidity</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54"/>
        <w:gridCol w:w="3889"/>
        <w:gridCol w:w="3462"/>
      </w:tblGrid>
      <w:t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Cash &amp; Cash Equivalents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Operating Cash Flow (¥ trillion)</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5.10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2.73</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6.11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3.72</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7.52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2.96</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9.41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4.21</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8.98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3.70</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3: Liquidity</w:t>
      </w:r>
    </w:p>
    <w:p>
      <w:pPr>
        <w:spacing w:line="360" w:lineRule="auto"/>
        <w:jc w:val="center"/>
        <w:rPr>
          <w:rFonts w:ascii="Arial" w:cs="Arial" w:hAnsi="Arial"/>
          <w:b/>
          <w:sz w:val="24"/>
          <w:szCs w:val="24"/>
        </w:rPr>
      </w:pPr>
      <w:r>
        <w:rPr>
          <w:rFonts w:ascii="Arial" w:cs="Arial" w:hAnsi="Arial"/>
          <w:sz w:val="24"/>
          <w:szCs w:val="24"/>
          <w:lang w:val="en-IN" w:eastAsia="en-IN"/>
        </w:rPr>
        <w:drawing>
          <wp:inline distT="0" distB="0" distL="0" distR="0">
            <wp:extent cx="4572000" cy="2743200"/>
            <wp:effectExtent l="0" t="0" r="0" b="0"/>
            <wp:docPr id="6" name="图表 6"/>
            <wp:cNvGraphicFramePr>
              <a:graphicFrameLocks noChangeAspect="0"/>
            </wp:cNvGraphicFramePr>
            <a:graphic>
              <a:graphicData uri="http://schemas.openxmlformats.org/drawingml/2006/chart">
                <c:chart xmlns:c="http://schemas.openxmlformats.org/drawingml/2006/chart" r:id="rId6"/>
              </a:graphicData>
            </a:graphic>
          </wp:inline>
        </w:drawing>
      </w:r>
    </w:p>
    <w:p>
      <w:pPr>
        <w:spacing w:line="360" w:lineRule="auto"/>
        <w:jc w:val="center"/>
        <w:rPr>
          <w:rFonts w:ascii="Arial" w:cs="Arial" w:hAnsi="Arial"/>
          <w:b/>
          <w:sz w:val="24"/>
          <w:szCs w:val="24"/>
        </w:rPr>
      </w:pPr>
      <w:r>
        <w:rPr>
          <w:rFonts w:ascii="Arial" w:cs="Arial" w:hAnsi="Arial"/>
          <w:b/>
          <w:sz w:val="24"/>
          <w:szCs w:val="24"/>
        </w:rPr>
        <w:t>Graph 3: Liquidity Ratio</w:t>
      </w:r>
    </w:p>
    <w:p>
      <w:pPr>
        <w:pStyle w:val="15"/>
        <w:spacing w:line="360" w:lineRule="auto"/>
        <w:jc w:val="both"/>
        <w:rPr>
          <w:rFonts w:ascii="Arial" w:cs="Arial" w:hAnsi="Arial"/>
        </w:rPr>
      </w:pPr>
      <w:r>
        <w:rPr>
          <w:rFonts w:ascii="Arial" w:cs="Arial" w:hAnsi="Arial"/>
        </w:rPr>
        <w:t>Toyota has good liquidity levels over the period. The cash reserves also varied considerably, as it rose to more than ¥9 trillion in 2024 compared with ¥5.1 trillion in 2021, which implies a high level of operational performance and financial flexibility. Despite the slight decrease in cash levels in 2025, the firm continues to have high liquidity to pay short-term liabilities and afford investments of a large scale. Good operating cash flow also reflects the capability of Toyota to generate cash out of its core automotive business (Grand View Research, 2025).</w:t>
      </w:r>
    </w:p>
    <w:p>
      <w:pPr>
        <w:spacing w:line="360" w:lineRule="auto"/>
        <w:jc w:val="both"/>
        <w:rPr>
          <w:rFonts w:ascii="Arial" w:cs="Arial" w:hAnsi="Arial"/>
          <w:b/>
          <w:sz w:val="24"/>
          <w:szCs w:val="24"/>
        </w:rPr>
      </w:pPr>
      <w:r>
        <w:rPr>
          <w:rFonts w:ascii="Arial" w:cs="Arial" w:hAnsi="Arial"/>
          <w:b/>
          <w:sz w:val="24"/>
          <w:szCs w:val="24"/>
        </w:rPr>
        <w:t>Efficiency</w:t>
      </w:r>
    </w:p>
    <w:tbl>
      <w:tblPr>
        <w:jc w:val="left"/>
        <w:tblInd w:w="0" w:type="dxa"/>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90"/>
        <w:gridCol w:w="2983"/>
        <w:gridCol w:w="2729"/>
        <w:gridCol w:w="1921"/>
      </w:tblGrid>
      <w:tr>
        <w:trPr>
          <w:trHeight w:val="283"/>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Sales Revenue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Total Assets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Asset Turnover</w:t>
            </w:r>
          </w:p>
        </w:tc>
      </w:tr>
      <w:tr>
        <w:trPr>
          <w:trHeight w:val="28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62.27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0.44</w:t>
            </w:r>
          </w:p>
        </w:tc>
      </w:tr>
      <w:tr>
        <w:trPr>
          <w:trHeight w:val="271"/>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31.38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67.69</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0.46</w:t>
            </w:r>
          </w:p>
        </w:tc>
      </w:tr>
      <w:tr>
        <w:trPr>
          <w:trHeight w:val="28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37.15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74.30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0.50</w:t>
            </w:r>
          </w:p>
        </w:tc>
      </w:tr>
      <w:tr>
        <w:trPr>
          <w:trHeight w:val="28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45.10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90.11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0.50</w:t>
            </w:r>
          </w:p>
        </w:tc>
      </w:tr>
      <w:tr>
        <w:trPr>
          <w:trHeight w:val="28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48.04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93.60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0.51</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4: Efficiency</w:t>
      </w:r>
    </w:p>
    <w:p>
      <w:pPr>
        <w:spacing w:line="360" w:lineRule="auto"/>
        <w:jc w:val="center"/>
        <w:rPr>
          <w:rFonts w:ascii="Arial" w:cs="Arial" w:hAnsi="Arial"/>
          <w:sz w:val="24"/>
          <w:szCs w:val="24"/>
        </w:rPr>
      </w:pPr>
      <w:r>
        <w:rPr>
          <w:rFonts w:ascii="Arial" w:cs="Arial" w:hAnsi="Arial"/>
          <w:sz w:val="24"/>
          <w:szCs w:val="24"/>
          <w:lang w:val="en-IN" w:eastAsia="en-IN"/>
        </w:rPr>
        <w:drawing>
          <wp:inline distT="0" distB="0" distL="0" distR="0">
            <wp:extent cx="4572000" cy="2743200"/>
            <wp:effectExtent l="0" t="0" r="0" b="0"/>
            <wp:docPr id="7" name="图表 7"/>
            <wp:cNvGraphicFramePr>
              <a:graphicFrameLocks noChangeAspect="0"/>
            </wp:cNvGraphicFramePr>
            <a:graphic>
              <a:graphicData uri="http://schemas.openxmlformats.org/drawingml/2006/chart">
                <c:chart xmlns:c="http://schemas.openxmlformats.org/drawingml/2006/chart" r:id="rId7"/>
              </a:graphicData>
            </a:graphic>
          </wp:inline>
        </w:drawing>
      </w:r>
    </w:p>
    <w:p>
      <w:pPr>
        <w:spacing w:line="360" w:lineRule="auto"/>
        <w:jc w:val="center"/>
        <w:rPr>
          <w:rFonts w:ascii="Arial" w:cs="Arial" w:hAnsi="Arial"/>
          <w:b/>
          <w:sz w:val="24"/>
          <w:szCs w:val="24"/>
        </w:rPr>
      </w:pPr>
      <w:r>
        <w:rPr>
          <w:rFonts w:ascii="Arial" w:cs="Arial" w:hAnsi="Arial"/>
          <w:b/>
          <w:sz w:val="24"/>
          <w:szCs w:val="24"/>
        </w:rPr>
        <w:t>Graph 4: Efficiency Ratios</w:t>
      </w:r>
    </w:p>
    <w:p>
      <w:pPr>
        <w:pStyle w:val="15"/>
        <w:spacing w:line="360" w:lineRule="auto"/>
        <w:jc w:val="both"/>
        <w:rPr>
          <w:rFonts w:ascii="Arial" w:cs="Arial" w:hAnsi="Arial"/>
        </w:rPr>
      </w:pPr>
      <w:r>
        <w:rPr>
          <w:rFonts w:ascii="Arial" w:cs="Arial" w:hAnsi="Arial"/>
        </w:rPr>
        <w:t>Efficiency ratios show that Toyota has been slowly becoming more productive in terms of its capacity to create revenue out of its asset base. The ratio of asset turnover improved to 0.51 in 2025 and improved asset turnover as compared to 0.44 in 2021 (International Energy Agency, 2025a). Although Toyota has invested heavily in its manufacturing facilities, research centers, and EV technology, the company generates growing revenues of its assets, which means that it successfully manages production capacity and global supply chains.</w:t>
      </w:r>
    </w:p>
    <w:p>
      <w:pPr>
        <w:spacing w:line="360" w:lineRule="auto"/>
        <w:jc w:val="both"/>
        <w:rPr>
          <w:rFonts w:ascii="Arial" w:cs="Arial" w:hAnsi="Arial"/>
          <w:b/>
          <w:sz w:val="24"/>
          <w:szCs w:val="24"/>
        </w:rPr>
      </w:pPr>
      <w:r>
        <w:rPr>
          <w:rFonts w:ascii="Arial" w:cs="Arial" w:hAnsi="Arial"/>
          <w:b/>
          <w:sz w:val="24"/>
          <w:szCs w:val="24"/>
        </w:rPr>
        <w:t>Gearing</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54"/>
        <w:gridCol w:w="2602"/>
        <w:gridCol w:w="3660"/>
        <w:gridCol w:w="1865"/>
      </w:tblGrid>
      <w:t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Total Assets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Shareholders’ Equity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Equity Ratio (%)</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62.27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24.29</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37.6</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67.69</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27.15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38.8</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74.30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29.26</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38.1</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90.11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35.24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38.0</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93.60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36.88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38.4</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5: Gearing Ratio</w:t>
      </w:r>
    </w:p>
    <w:p>
      <w:pPr>
        <w:spacing w:line="360" w:lineRule="auto"/>
        <w:jc w:val="center"/>
        <w:rPr>
          <w:rFonts w:ascii="Arial" w:cs="Arial" w:hAnsi="Arial"/>
          <w:sz w:val="24"/>
          <w:szCs w:val="24"/>
          <w:lang w:val="en-IN" w:eastAsia="en-IN"/>
        </w:rPr>
      </w:pPr>
      <w:r>
        <w:rPr>
          <w:rFonts w:ascii="Arial" w:cs="Arial" w:hAnsi="Arial"/>
          <w:sz w:val="24"/>
          <w:szCs w:val="24"/>
          <w:lang w:val="en-IN" w:eastAsia="en-IN"/>
        </w:rPr>
        <w:drawing>
          <wp:inline distT="0" distB="0" distL="0" distR="0">
            <wp:extent cx="4572000" cy="2743200"/>
            <wp:effectExtent l="0" t="0" r="0" b="0"/>
            <wp:docPr id="8" name="图表 8"/>
            <wp:cNvGraphicFramePr>
              <a:graphicFrameLocks noChangeAspect="0"/>
            </wp:cNvGraphicFramePr>
            <a:graphic>
              <a:graphicData uri="http://schemas.openxmlformats.org/drawingml/2006/chart">
                <c:chart xmlns:c="http://schemas.openxmlformats.org/drawingml/2006/chart" r:id="rId8"/>
              </a:graphicData>
            </a:graphic>
          </wp:inline>
        </w:drawing>
      </w:r>
    </w:p>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Graph 5: Gearing Ratio</w:t>
      </w:r>
    </w:p>
    <w:p>
      <w:pPr>
        <w:pStyle w:val="15"/>
        <w:spacing w:line="360" w:lineRule="auto"/>
        <w:jc w:val="both"/>
        <w:rPr>
          <w:rFonts w:ascii="Arial" w:cs="Arial" w:hAnsi="Arial"/>
        </w:rPr>
      </w:pPr>
      <w:r>
        <w:rPr>
          <w:rFonts w:ascii="Arial" w:cs="Arial" w:hAnsi="Arial"/>
        </w:rPr>
        <w:t>Toyota has a fairly stable gearing ratio of approximately 38% in the five years. This means that there is an equal capital structure and moderate dependence on debt capital. The fact that the equity ratio is constant implies that Toyota is able to deal with financial risk responsibly and even uses leverage as a way of funding investments in manufacturing growth and electrification technologies (International Energy Agency, 2025b).</w:t>
      </w:r>
    </w:p>
    <w:p>
      <w:pPr>
        <w:spacing w:line="360" w:lineRule="auto"/>
        <w:jc w:val="both"/>
        <w:rPr>
          <w:rFonts w:ascii="Arial" w:cs="Arial" w:hAnsi="Arial"/>
          <w:b/>
          <w:sz w:val="24"/>
          <w:szCs w:val="24"/>
        </w:rPr>
      </w:pPr>
      <w:r>
        <w:rPr>
          <w:rFonts w:ascii="Arial" w:cs="Arial" w:hAnsi="Arial"/>
          <w:b/>
          <w:sz w:val="24"/>
          <w:szCs w:val="24"/>
        </w:rPr>
        <w:t>Investment</w:t>
      </w:r>
    </w:p>
    <w:tbl>
      <w:tblPr>
        <w:jc w:val="left"/>
        <w:tblInd w:w="0" w:type="dxa"/>
        <w:tblW w:w="89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1149"/>
        <w:gridCol w:w="3894"/>
        <w:gridCol w:w="3894"/>
      </w:tblGrid>
      <w:tr>
        <w:trPr>
          <w:trHeight w:val="254"/>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Earnings per Share (¥)</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Dividend per Share (¥)</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160.65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240</w:t>
            </w:r>
          </w:p>
        </w:tc>
      </w:tr>
      <w:tr>
        <w:trPr>
          <w:trHeight w:val="24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205.23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260*</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179.47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60</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365.94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75</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359.56</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90</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6: Investment</w:t>
      </w:r>
    </w:p>
    <w:p>
      <w:pPr>
        <w:spacing w:line="360" w:lineRule="auto"/>
        <w:jc w:val="center"/>
        <w:rPr>
          <w:rFonts w:ascii="Arial" w:cs="Arial" w:hAnsi="Arial"/>
          <w:b/>
          <w:sz w:val="24"/>
          <w:szCs w:val="24"/>
        </w:rPr>
      </w:pPr>
      <w:r>
        <w:rPr>
          <w:rFonts w:ascii="Arial" w:cs="Arial" w:hAnsi="Arial"/>
          <w:b/>
          <w:sz w:val="24"/>
          <w:szCs w:val="24"/>
          <w:lang w:val="en-IN" w:eastAsia="en-IN"/>
        </w:rPr>
        <w:drawing>
          <wp:inline distT="0" distB="0" distL="0" distR="0">
            <wp:extent cx="4572000" cy="2743200"/>
            <wp:effectExtent l="0" t="0" r="0" b="0"/>
            <wp:docPr id="9" name="图表 9"/>
            <wp:cNvGraphicFramePr>
              <a:graphicFrameLocks noChangeAspect="0"/>
            </wp:cNvGraphicFramePr>
            <a:graphic>
              <a:graphicData uri="http://schemas.openxmlformats.org/drawingml/2006/chart">
                <c:chart xmlns:c="http://schemas.openxmlformats.org/drawingml/2006/chart" r:id="rId9"/>
              </a:graphicData>
            </a:graphic>
          </wp:inline>
        </w:drawing>
      </w:r>
    </w:p>
    <w:p>
      <w:pPr>
        <w:spacing w:line="360" w:lineRule="auto"/>
        <w:jc w:val="center"/>
        <w:rPr>
          <w:rFonts w:ascii="Arial" w:cs="Arial" w:hAnsi="Arial"/>
          <w:b/>
          <w:sz w:val="24"/>
          <w:szCs w:val="24"/>
        </w:rPr>
      </w:pPr>
      <w:r>
        <w:rPr>
          <w:rFonts w:ascii="Arial" w:cs="Arial" w:hAnsi="Arial"/>
          <w:b/>
          <w:sz w:val="24"/>
          <w:szCs w:val="24"/>
        </w:rPr>
        <w:t>Graph 6: Investment</w:t>
      </w:r>
    </w:p>
    <w:p>
      <w:pPr>
        <w:pStyle w:val="15"/>
        <w:spacing w:line="360" w:lineRule="auto"/>
        <w:jc w:val="both"/>
        <w:rPr>
          <w:rFonts w:ascii="Arial" w:cs="Arial" w:hAnsi="Arial"/>
        </w:rPr>
      </w:pPr>
      <w:r>
        <w:rPr>
          <w:rFonts w:ascii="Arial" w:cs="Arial" w:hAnsi="Arial"/>
        </w:rPr>
        <w:t>Investment ratios reveal that Toyota is capable of creating value to shareholders. The profitability and better financial results were demonstrated by the high growth of earnings per share that reached ¥365.94 in 2024 compared to ¥160.65 in 2021. Even though there was a slight drop in EPS in 2025, it is still large, and this means that earnings ability is stable. Toyota has also been raising dividends slowly in 2025 to ¥90 per share, showing a strong interest in the dividend back to the shareholders as they invest in the future technologies (International Energy Agency, 2025c).</w:t>
      </w:r>
    </w:p>
    <w:p>
      <w:pPr>
        <w:spacing w:line="360" w:lineRule="auto"/>
        <w:jc w:val="both"/>
        <w:rPr>
          <w:rFonts w:ascii="Arial" w:cs="Arial" w:hAnsi="Arial"/>
          <w:b/>
          <w:sz w:val="24"/>
          <w:szCs w:val="24"/>
        </w:rPr>
      </w:pPr>
      <w:r>
        <w:rPr>
          <w:rFonts w:ascii="Arial" w:cs="Arial" w:hAnsi="Arial"/>
          <w:b/>
          <w:sz w:val="24"/>
          <w:szCs w:val="24"/>
        </w:rPr>
        <w:t>Cash flow</w:t>
      </w:r>
    </w:p>
    <w:tbl>
      <w:tblPr>
        <w:jc w:val="left"/>
        <w:tblInd w:w="0" w:type="dxa"/>
        <w:tblW w:w="8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888"/>
        <w:gridCol w:w="4079"/>
        <w:gridCol w:w="4001"/>
      </w:tblGrid>
      <w:tr>
        <w:trPr>
          <w:trHeight w:val="484"/>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Operating Cash Flow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Investing Cash Flow (¥ trillion)</w:t>
            </w:r>
          </w:p>
        </w:tc>
      </w:tr>
      <w:tr>
        <w:trPr>
          <w:trHeight w:val="219"/>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-4.68</w:t>
            </w:r>
          </w:p>
        </w:tc>
      </w:tr>
      <w:tr>
        <w:trPr>
          <w:trHeight w:val="27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-0.58</w:t>
            </w:r>
          </w:p>
        </w:tc>
      </w:tr>
      <w:tr>
        <w:trPr>
          <w:trHeight w:val="27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2.96</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-1.60</w:t>
            </w:r>
          </w:p>
        </w:tc>
      </w:tr>
      <w:tr>
        <w:trPr>
          <w:trHeight w:val="26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-5.00</w:t>
            </w:r>
          </w:p>
        </w:tc>
      </w:tr>
      <w:tr>
        <w:trPr>
          <w:trHeight w:val="268"/>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-4.19</w:t>
            </w:r>
          </w:p>
        </w:tc>
      </w:tr>
    </w:tbl>
    <w:p>
      <w:pPr>
        <w:spacing w:line="360" w:lineRule="auto"/>
        <w:jc w:val="center"/>
        <w:rPr>
          <w:rFonts w:ascii="Arial" w:cs="Arial" w:hAnsi="Arial"/>
          <w:b/>
          <w:sz w:val="24"/>
          <w:szCs w:val="24"/>
        </w:rPr>
      </w:pPr>
      <w:r>
        <w:rPr>
          <w:rFonts w:ascii="Arial" w:cs="Arial" w:hAnsi="Arial"/>
          <w:b/>
          <w:sz w:val="24"/>
          <w:szCs w:val="24"/>
        </w:rPr>
        <w:t>Table 7: Cash Flow</w:t>
      </w:r>
    </w:p>
    <w:p>
      <w:pPr>
        <w:spacing w:line="360" w:lineRule="auto"/>
        <w:jc w:val="center"/>
        <w:rPr>
          <w:rFonts w:ascii="Arial" w:cs="Arial" w:hAnsi="Arial"/>
          <w:b/>
          <w:sz w:val="24"/>
          <w:szCs w:val="24"/>
        </w:rPr>
      </w:pPr>
      <w:r>
        <w:rPr>
          <w:rFonts w:ascii="Arial" w:cs="Arial" w:hAnsi="Arial"/>
          <w:sz w:val="24"/>
          <w:szCs w:val="24"/>
          <w:lang w:val="en-IN" w:eastAsia="en-IN"/>
        </w:rPr>
        <w:drawing>
          <wp:inline distT="0" distB="0" distL="0" distR="0">
            <wp:extent cx="4572000" cy="2743200"/>
            <wp:effectExtent l="0" t="0" r="0" b="0"/>
            <wp:docPr id="10" name="图表 10"/>
            <wp:cNvGraphicFramePr>
              <a:graphicFrameLocks noChangeAspect="0"/>
            </wp:cNvGraphicFramePr>
            <a:graphic>
              <a:graphicData uri="http://schemas.openxmlformats.org/drawingml/2006/chart">
                <c:chart xmlns:c="http://schemas.openxmlformats.org/drawingml/2006/chart" r:id="rId10"/>
              </a:graphicData>
            </a:graphic>
          </wp:inline>
        </w:drawing>
      </w:r>
    </w:p>
    <w:p>
      <w:pPr>
        <w:spacing w:line="360" w:lineRule="auto"/>
        <w:jc w:val="center"/>
        <w:rPr>
          <w:rFonts w:ascii="Arial" w:cs="Arial" w:hAnsi="Arial"/>
          <w:b/>
          <w:sz w:val="24"/>
          <w:szCs w:val="24"/>
        </w:rPr>
      </w:pPr>
      <w:r>
        <w:rPr>
          <w:rFonts w:ascii="Arial" w:cs="Arial" w:hAnsi="Arial"/>
          <w:b/>
          <w:sz w:val="24"/>
          <w:szCs w:val="24"/>
        </w:rPr>
        <w:t>Graph 7: Cash Flow</w:t>
      </w:r>
    </w:p>
    <w:p>
      <w:pPr>
        <w:pStyle w:val="15"/>
        <w:spacing w:line="360" w:lineRule="auto"/>
        <w:jc w:val="both"/>
        <w:rPr>
          <w:rFonts w:ascii="Arial" w:cs="Arial" w:hAnsi="Arial"/>
        </w:rPr>
      </w:pPr>
      <w:r>
        <w:rPr>
          <w:rFonts w:ascii="Arial" w:cs="Arial" w:hAnsi="Arial"/>
        </w:rPr>
        <w:t>Toyota is good at cash flow creation in its operations, which has been used in its capital expenditure and dividend payments to its shareholders. The negative investment cash flows indicate massive investment in manufacturing plants, research and development, and electric vehicle technology. As an illustration, the huge -¥5 trillion investing cash flow in 2024 is sign of aggressive growth and investment in future mobility solutions (Toyota Motor Corporation, 2025b). This kind of investment is also necessary to ensure long-term competitiveness of Toyota in the changing EV market.</w:t>
      </w:r>
    </w:p>
    <w:p>
      <w:pPr>
        <w:pStyle w:val="2"/>
        <w:spacing w:line="360" w:lineRule="auto"/>
        <w:jc w:val="both"/>
        <w:rPr>
          <w:rFonts w:ascii="Arial" w:cs="Arial" w:hAnsi="Arial"/>
          <w:b/>
          <w:color w:val="auto"/>
          <w:sz w:val="24"/>
          <w:szCs w:val="24"/>
        </w:rPr>
      </w:pPr>
      <w:bookmarkStart w:id="4" w:name="_Toc224037890"/>
      <w:r>
        <w:rPr>
          <w:rFonts w:ascii="Arial" w:cs="Arial" w:hAnsi="Arial"/>
          <w:b/>
          <w:color w:val="auto"/>
          <w:sz w:val="24"/>
          <w:szCs w:val="24"/>
        </w:rPr>
        <w:t>1.3 Trends</w:t>
      </w:r>
      <w:bookmarkEnd w:id="4"/>
    </w:p>
    <w:p>
      <w:pPr>
        <w:spacing w:line="360" w:lineRule="auto"/>
        <w:jc w:val="both"/>
        <w:rPr>
          <w:rFonts w:ascii="Arial" w:cs="Arial" w:hAnsi="Arial"/>
          <w:b/>
          <w:sz w:val="24"/>
          <w:szCs w:val="24"/>
        </w:rPr>
      </w:pPr>
      <w:r>
        <w:rPr>
          <w:rFonts w:ascii="Arial" w:cs="Arial" w:hAnsi="Arial"/>
          <w:b/>
          <w:sz w:val="24"/>
          <w:szCs w:val="24"/>
        </w:rPr>
        <w:t>Trend 1: Revenue Growth Driven by Electrification Strategy</w:t>
      </w:r>
    </w:p>
    <w:p>
      <w:pPr>
        <w:pStyle w:val="15"/>
        <w:spacing w:line="360" w:lineRule="auto"/>
        <w:jc w:val="both"/>
        <w:rPr>
          <w:rFonts w:ascii="Arial" w:cs="Arial" w:hAnsi="Arial"/>
        </w:rPr>
      </w:pPr>
      <w:r>
        <w:rPr>
          <w:rFonts w:ascii="Arial" w:cs="Arial" w:hAnsi="Arial"/>
        </w:rPr>
        <w:t>One of the financial trends that Toyota can be proud of is the steady rise in revenue, which has been facilitated by the diversification of the Toyota Company to include the markets of hybrids and electric vehicles. The figures show that the sales revenue of Toyota rose by ¥27.2 trillion in FY2021 to ¥48.0 trillion in FY2025, reflecting high demand of Toyota vehicles in the world market and increased uptake of electrified mobility solutions. The research and development in hybrid technology, battery electric vehicles (BEVs) and hydrogen fuel cell vehicles has made the company stronger in its quest to shift to sustainable mobility (Toyota Motor Corporation, 2025c). With stricter environmental regulations being introduced by governments all over the world, the electrification strategy of Toyota will contribute to the increased revenues and market development even more.</w:t>
      </w:r>
    </w:p>
    <w:p>
      <w:pPr>
        <w:spacing w:line="360" w:lineRule="auto"/>
        <w:jc w:val="both"/>
        <w:rPr>
          <w:rFonts w:ascii="Arial" w:cs="Arial" w:hAnsi="Arial"/>
          <w:b/>
          <w:sz w:val="24"/>
          <w:szCs w:val="24"/>
        </w:rPr>
      </w:pPr>
      <w:r>
        <w:rPr>
          <w:rFonts w:ascii="Arial" w:cs="Arial" w:hAnsi="Arial"/>
          <w:b/>
          <w:sz w:val="24"/>
          <w:szCs w:val="24"/>
        </w:rPr>
        <w:t>Trend 2: Rising Capital Investment in EV Technology and Infrastructure</w:t>
      </w:r>
    </w:p>
    <w:p>
      <w:pPr>
        <w:pStyle w:val="15"/>
        <w:spacing w:line="360" w:lineRule="auto"/>
        <w:jc w:val="both"/>
        <w:rPr>
          <w:rFonts w:ascii="Arial" w:cs="Arial" w:hAnsi="Arial"/>
        </w:rPr>
      </w:pPr>
      <w:r>
        <w:rPr>
          <w:rFonts w:ascii="Arial" w:cs="Arial" w:hAnsi="Arial"/>
        </w:rPr>
        <w:t>The other trend worth considering is that the total assets and capital investment of Toyota are rapidly rising which is indicative of its dedication towards the development of electric vehicles. The total assets grew to ¥93.6 trillion in FY2025 compared to ¥62.3 trillion in FY2021, which implies a huge investment in production plants, battery technology, and EV manufacturing infrastructure (Toyota Motor Corporation, 2026a). Such investments are research and development of solid-state batteries, increasing EV manufacturing capacity, and collaborations on battery supply chains. Such investments may raise short-term capital spending, but they are needed to make Toyota competitive in the long-term as the world automotive industry is going to be electrified and low-carbon transportation is established.</w:t>
      </w:r>
    </w:p>
    <w:p>
      <w:pPr>
        <w:pStyle w:val="2"/>
        <w:spacing w:line="360" w:lineRule="auto"/>
        <w:jc w:val="both"/>
        <w:rPr>
          <w:rFonts w:ascii="Arial" w:cs="Arial" w:hAnsi="Arial"/>
          <w:b/>
          <w:color w:val="auto"/>
          <w:sz w:val="24"/>
          <w:szCs w:val="24"/>
        </w:rPr>
      </w:pPr>
      <w:bookmarkStart w:id="5" w:name="_Toc224037891"/>
      <w:r>
        <w:rPr>
          <w:rFonts w:ascii="Arial" w:cs="Arial" w:hAnsi="Arial"/>
          <w:b/>
          <w:color w:val="auto"/>
          <w:sz w:val="24"/>
          <w:szCs w:val="24"/>
        </w:rPr>
        <w:t>1.4 Strengths</w:t>
      </w:r>
      <w:bookmarkEnd w:id="5"/>
    </w:p>
    <w:p>
      <w:pPr>
        <w:pStyle w:val="15"/>
        <w:spacing w:line="360" w:lineRule="auto"/>
        <w:jc w:val="both"/>
        <w:rPr>
          <w:rFonts w:ascii="Arial" w:cs="Arial" w:hAnsi="Arial"/>
        </w:rPr>
      </w:pPr>
      <w:r>
        <w:rPr>
          <w:rStyle w:val="16"/>
          <w:rFonts w:ascii="Arial" w:eastAsia="宋体" w:cs="Arial" w:hAnsi="Arial"/>
        </w:rPr>
        <w:t>Strong Financial Capacity</w:t>
      </w:r>
      <w:r>
        <w:rPr>
          <w:rFonts w:ascii="Arial" w:cs="Arial" w:hAnsi="Arial"/>
        </w:rPr>
        <w:t>: The growing revenue and high operating cash flows offered by Toyota give it the financial capability to invest heavily in EV technology and international production growth.</w:t>
      </w:r>
    </w:p>
    <w:p>
      <w:pPr>
        <w:pStyle w:val="15"/>
        <w:spacing w:line="360" w:lineRule="auto"/>
        <w:jc w:val="both"/>
        <w:rPr>
          <w:rFonts w:ascii="Arial" w:cs="Arial" w:hAnsi="Arial"/>
        </w:rPr>
      </w:pPr>
      <w:r>
        <w:rPr>
          <w:rStyle w:val="16"/>
          <w:rFonts w:ascii="Arial" w:eastAsia="宋体" w:cs="Arial" w:hAnsi="Arial"/>
        </w:rPr>
        <w:t>Advanced Electrification Technology</w:t>
      </w:r>
      <w:r>
        <w:rPr>
          <w:rFonts w:ascii="Arial" w:cs="Arial" w:hAnsi="Arial"/>
        </w:rPr>
        <w:t>: Toyota has a long history of hybrid vehicles and investments in battery and hydrogen technologies, which place the company in a competitive position in the future of EVs worldwide (Toyota Motor Corporation, 2026b).</w:t>
      </w:r>
    </w:p>
    <w:p>
      <w:pPr>
        <w:pStyle w:val="2"/>
        <w:spacing w:line="360" w:lineRule="auto"/>
        <w:jc w:val="both"/>
        <w:rPr>
          <w:rFonts w:ascii="Arial" w:cs="Arial" w:hAnsi="Arial"/>
          <w:b/>
          <w:color w:val="auto"/>
          <w:sz w:val="24"/>
          <w:szCs w:val="24"/>
        </w:rPr>
      </w:pPr>
      <w:bookmarkStart w:id="6" w:name="_Toc224037892"/>
      <w:r>
        <w:rPr>
          <w:rFonts w:ascii="Arial" w:cs="Arial" w:hAnsi="Arial"/>
          <w:b/>
          <w:color w:val="auto"/>
          <w:sz w:val="24"/>
          <w:szCs w:val="24"/>
        </w:rPr>
        <w:t>1.5 Threats</w:t>
      </w:r>
      <w:bookmarkEnd w:id="6"/>
    </w:p>
    <w:p>
      <w:pPr>
        <w:pStyle w:val="15"/>
        <w:spacing w:line="360" w:lineRule="auto"/>
        <w:jc w:val="both"/>
        <w:rPr>
          <w:rFonts w:ascii="Arial" w:cs="Arial" w:hAnsi="Arial"/>
        </w:rPr>
      </w:pPr>
      <w:r>
        <w:rPr>
          <w:rStyle w:val="16"/>
          <w:rFonts w:ascii="Arial" w:eastAsia="宋体" w:cs="Arial" w:hAnsi="Arial"/>
        </w:rPr>
        <w:t>High EV Development Costs</w:t>
      </w:r>
      <w:r>
        <w:rPr>
          <w:rFonts w:ascii="Arial" w:cs="Arial" w:hAnsi="Arial"/>
        </w:rPr>
        <w:t>: Significant spending on battery technology, research and development and EV production facilities can raise operating expenses and lower short-term profitability.</w:t>
      </w:r>
    </w:p>
    <w:p>
      <w:pPr>
        <w:pStyle w:val="15"/>
        <w:spacing w:line="360" w:lineRule="auto"/>
        <w:jc w:val="both"/>
        <w:rPr>
          <w:rFonts w:ascii="Arial" w:cs="Arial" w:hAnsi="Arial"/>
        </w:rPr>
      </w:pPr>
      <w:r>
        <w:rPr>
          <w:rStyle w:val="16"/>
          <w:rFonts w:ascii="Arial" w:eastAsia="宋体" w:cs="Arial" w:hAnsi="Arial"/>
        </w:rPr>
        <w:t>Increasing Global Competition</w:t>
      </w:r>
      <w:r>
        <w:rPr>
          <w:rFonts w:ascii="Arial" w:cs="Arial" w:hAnsi="Arial"/>
        </w:rPr>
        <w:t>: The increasing threat of competition by EV producers like Tesla, BYD, and other motor manufacturers can compel Toyota to alter its market share and pricing policies.</w:t>
      </w:r>
    </w:p>
    <w:p>
      <w:pPr>
        <w:pStyle w:val="1"/>
        <w:spacing w:line="360" w:lineRule="auto"/>
        <w:jc w:val="both"/>
        <w:rPr>
          <w:rFonts w:ascii="Arial" w:cs="Arial" w:hAnsi="Arial"/>
          <w:b/>
          <w:sz w:val="24"/>
          <w:szCs w:val="24"/>
        </w:rPr>
      </w:pPr>
      <w:r>
        <w:br w:type="page"/>
      </w:r>
      <w:bookmarkStart w:id="7" w:name="_Toc224037893"/>
      <w:r>
        <w:rPr>
          <w:rFonts w:ascii="Arial" w:cs="Arial" w:hAnsi="Arial"/>
          <w:b/>
          <w:color w:val="auto"/>
          <w:sz w:val="24"/>
          <w:szCs w:val="24"/>
        </w:rPr>
        <w:t>2.0 Working Capital Management Analysis</w:t>
      </w:r>
      <w:bookmarkEnd w:id="7"/>
      <w:r>
        <w:rPr>
          <w:rFonts w:ascii="Arial" w:cs="Arial" w:hAnsi="Arial"/>
          <w:b/>
          <w:color w:val="auto"/>
          <w:sz w:val="24"/>
          <w:szCs w:val="24"/>
        </w:rPr>
        <w:t xml:space="preserve"> </w:t>
      </w:r>
    </w:p>
    <w:p>
      <w:pPr>
        <w:pStyle w:val="2"/>
        <w:spacing w:line="360" w:lineRule="auto"/>
        <w:jc w:val="both"/>
        <w:rPr>
          <w:rFonts w:ascii="Arial" w:cs="Arial" w:hAnsi="Arial"/>
          <w:b/>
          <w:color w:val="auto"/>
          <w:sz w:val="24"/>
          <w:szCs w:val="24"/>
        </w:rPr>
      </w:pPr>
      <w:bookmarkStart w:id="8" w:name="_Toc224037894"/>
      <w:r>
        <w:rPr>
          <w:rFonts w:ascii="Arial" w:cs="Arial" w:hAnsi="Arial"/>
          <w:b/>
          <w:color w:val="auto"/>
          <w:sz w:val="24"/>
          <w:szCs w:val="24"/>
        </w:rPr>
        <w:t>2.1 Cash operating cycle</w:t>
      </w:r>
      <w:bookmarkEnd w:id="8"/>
    </w:p>
    <w:p>
      <w:pPr>
        <w:pStyle w:val="15"/>
        <w:spacing w:line="360" w:lineRule="auto"/>
        <w:jc w:val="both"/>
        <w:rPr>
          <w:rFonts w:ascii="Arial" w:cs="Arial" w:hAnsi="Arial"/>
        </w:rPr>
      </w:pPr>
      <w:r>
        <w:rPr>
          <w:rFonts w:ascii="Arial" w:cs="Arial" w:hAnsi="Arial"/>
        </w:rPr>
        <w:t>The cash operating cycle is a measure used to determine how long it takes the company to turn its investments in inventory and other resources into cash flows of sales and is commonly determined by inventory days, receivable days and payable days as discussed in financial ratio analysis models. In the case of Toyota, the large-scale manufacturing and the global supply chain can affect the cycle (Toyota Motor Corporation, 2026c). The company has the Toyota Production System (TPS) and Just-in Time (JIT) production that reduces the inventory holding times and lower the working capital in stock. This leads to Toyota being able to achieve relatively effective inventory turnover in comparison with numerous automotive manufacturers. Moreover, sales of vehicles are frequently effected by way of worldwide dealer systems, as well as financial services subsidiaries, where receivables can be gathered in organized financing packages. Simultaneously, Toyota enjoys good supplier relations that enable it to offer favourable payment terms, that is, the payable periods can compensate in part the time to sell vehicles. On the whole, the cash operating cycle of Toyota is quite efficient as compared to that of a capital-intensive automotive company since its lean production system lowers inventory days whereas the supplier credit and well-organized receivable systems manage to ensure steady cash flows (Yahoo Finance, 2026).</w:t>
      </w:r>
    </w:p>
    <w:p>
      <w:pPr>
        <w:pStyle w:val="2"/>
        <w:spacing w:line="360" w:lineRule="auto"/>
        <w:jc w:val="both"/>
        <w:rPr>
          <w:rFonts w:ascii="Arial" w:cs="Arial" w:hAnsi="Arial"/>
          <w:b/>
          <w:color w:val="auto"/>
          <w:sz w:val="24"/>
          <w:szCs w:val="24"/>
        </w:rPr>
      </w:pPr>
      <w:bookmarkStart w:id="9" w:name="_Toc224037895"/>
      <w:r>
        <w:rPr>
          <w:rFonts w:ascii="Arial" w:cs="Arial" w:hAnsi="Arial"/>
          <w:b/>
          <w:color w:val="auto"/>
          <w:sz w:val="24"/>
          <w:szCs w:val="24"/>
        </w:rPr>
        <w:t>2.2 Recommend strategies to improve liquidity through working capital reforms</w:t>
      </w:r>
      <w:bookmarkEnd w:id="9"/>
    </w:p>
    <w:p>
      <w:pPr>
        <w:spacing w:line="360" w:lineRule="auto"/>
        <w:jc w:val="both"/>
        <w:rPr>
          <w:rFonts w:ascii="Arial" w:cs="Arial" w:hAnsi="Arial"/>
          <w:b/>
          <w:sz w:val="24"/>
          <w:szCs w:val="24"/>
        </w:rPr>
      </w:pPr>
      <w:r>
        <w:rPr>
          <w:rFonts w:ascii="Arial" w:cs="Arial" w:hAnsi="Arial"/>
          <w:b/>
          <w:sz w:val="24"/>
          <w:szCs w:val="24"/>
        </w:rPr>
        <w:t>Strengthening Inventory Control through EV Production Planning</w:t>
      </w:r>
    </w:p>
    <w:p>
      <w:pPr>
        <w:pStyle w:val="15"/>
        <w:spacing w:line="360" w:lineRule="auto"/>
        <w:jc w:val="both"/>
        <w:rPr>
          <w:rFonts w:ascii="Arial" w:cs="Arial" w:hAnsi="Arial"/>
        </w:rPr>
      </w:pPr>
      <w:r>
        <w:rPr>
          <w:rFonts w:ascii="Arial" w:cs="Arial" w:hAnsi="Arial"/>
        </w:rPr>
        <w:t>By further streamlining inventory management, especially with the EV manufacturing growth, Toyota would be able to increase liquidity. Toyota, according to the FY2026 financial results has reported ¥24.63 trillion sales revenue in the first half of FY2026, an indication of further increases in vehicle demand. Nevertheless, mass production of EV and battery investments demand large inventories that need to be planned carefully to prevent stock buildup. Toyota can optimize the production of EV more closely to meet market demand by combining the latest demand forecasting solutions and digital monitoring of supply chains, minimizing costs of holding inventory and releasing working capital (Toyota Motor Corporation, 2026d).</w:t>
      </w:r>
    </w:p>
    <w:p>
      <w:pPr>
        <w:spacing w:line="360" w:lineRule="auto"/>
        <w:jc w:val="both"/>
        <w:rPr>
          <w:rFonts w:ascii="Arial" w:cs="Arial" w:hAnsi="Arial"/>
          <w:b/>
          <w:sz w:val="24"/>
          <w:szCs w:val="24"/>
        </w:rPr>
      </w:pPr>
      <w:r>
        <w:rPr>
          <w:rFonts w:ascii="Arial" w:cs="Arial" w:hAnsi="Arial"/>
          <w:b/>
          <w:sz w:val="24"/>
          <w:szCs w:val="24"/>
        </w:rPr>
        <w:t>Accelerating Receivables Collection from Global Dealer Networks</w:t>
      </w:r>
    </w:p>
    <w:p>
      <w:pPr>
        <w:pStyle w:val="15"/>
        <w:spacing w:line="360" w:lineRule="auto"/>
        <w:jc w:val="both"/>
        <w:rPr>
          <w:rFonts w:ascii="Arial" w:cs="Arial" w:hAnsi="Arial"/>
        </w:rPr>
      </w:pPr>
      <w:r>
        <w:rPr>
          <w:rFonts w:ascii="Arial" w:cs="Arial" w:hAnsi="Arial"/>
        </w:rPr>
        <w:t>Toyota can also enhance liquidity through shortening the time that is taken to receive payment at dealerships and financing partners. The FY2026 outcomes indicate that the net income generated by Toyota in the first half of the financial year was ¥1.77 trillion, which demonstrates a good performance in terms of operation. But quicker receivable turnover would enhance the cash inflows and enhance short term liquidity (Toyota Motor Corporation, 2026e). The introduction of digital invoicing, automated payment tracking and better credit control management would help decrease the number of receivable days and increase the predictability of cash flows.</w:t>
      </w:r>
    </w:p>
    <w:p>
      <w:pPr>
        <w:spacing w:line="360" w:lineRule="auto"/>
        <w:jc w:val="both"/>
        <w:rPr>
          <w:rFonts w:ascii="Arial" w:cs="Arial" w:hAnsi="Arial"/>
          <w:b/>
          <w:sz w:val="24"/>
          <w:szCs w:val="24"/>
        </w:rPr>
      </w:pPr>
      <w:r>
        <w:rPr>
          <w:rFonts w:ascii="Arial" w:cs="Arial" w:hAnsi="Arial"/>
          <w:b/>
          <w:sz w:val="24"/>
          <w:szCs w:val="24"/>
        </w:rPr>
        <w:t>Enhancing Supplier Financing and Payable Management</w:t>
      </w:r>
    </w:p>
    <w:p>
      <w:pPr>
        <w:pStyle w:val="15"/>
        <w:spacing w:line="360" w:lineRule="auto"/>
        <w:jc w:val="both"/>
        <w:rPr>
          <w:rFonts w:ascii="Arial" w:cs="Arial" w:hAnsi="Arial"/>
        </w:rPr>
      </w:pPr>
      <w:r>
        <w:rPr>
          <w:rFonts w:ascii="Arial" w:cs="Arial" w:hAnsi="Arial"/>
        </w:rPr>
        <w:t>The other working capital reform is the optimisation of payment terms with suppliers by means of supply chain financing. The total assets of Toyota were estimated to have reached ¥97.57 trillion in the first half of FY2026, and there was a significant investment in manufacturing capacity and EV infrastructure. Prolonging the payable terms without affecting the supplier relationship would enable Toyota to have the money longer and facilitate cash flow during times of high capital spending (Toyota Motor Corporation, 2026f). Supply chain financing schemes might also assist suppliers to get paid sooner by the financial institutions and Toyota retain its internal cash.</w:t>
      </w:r>
    </w:p>
    <w:p>
      <w:pPr>
        <w:pStyle w:val="2"/>
        <w:spacing w:line="360" w:lineRule="auto"/>
        <w:jc w:val="both"/>
        <w:rPr>
          <w:rFonts w:ascii="Arial" w:cs="Arial" w:hAnsi="Arial"/>
          <w:b/>
          <w:color w:val="auto"/>
          <w:sz w:val="24"/>
          <w:szCs w:val="24"/>
        </w:rPr>
      </w:pPr>
      <w:bookmarkStart w:id="10" w:name="_Toc224037896"/>
      <w:r>
        <w:rPr>
          <w:rFonts w:ascii="Arial" w:cs="Arial" w:hAnsi="Arial"/>
          <w:b/>
          <w:color w:val="auto"/>
          <w:sz w:val="24"/>
          <w:szCs w:val="24"/>
        </w:rPr>
        <w:t>2.3 Short-term vs long-term financing options</w:t>
      </w:r>
      <w:bookmarkEnd w:id="10"/>
    </w:p>
    <w:p>
      <w:pPr>
        <w:spacing w:line="360" w:lineRule="auto"/>
        <w:jc w:val="both"/>
        <w:rPr>
          <w:rFonts w:ascii="Arial" w:cs="Arial" w:hAnsi="Arial"/>
          <w:b/>
          <w:sz w:val="24"/>
          <w:szCs w:val="24"/>
        </w:rPr>
      </w:pPr>
      <w:r>
        <w:rPr>
          <w:rFonts w:ascii="Arial" w:cs="Arial" w:hAnsi="Arial"/>
          <w:b/>
          <w:sz w:val="24"/>
          <w:szCs w:val="24"/>
        </w:rPr>
        <w:t>Short-Term Financing for Working Capital Needs</w:t>
      </w:r>
    </w:p>
    <w:p>
      <w:pPr>
        <w:pStyle w:val="15"/>
        <w:spacing w:line="360" w:lineRule="auto"/>
        <w:jc w:val="both"/>
        <w:rPr>
          <w:rFonts w:ascii="Arial" w:cs="Arial" w:hAnsi="Arial"/>
        </w:rPr>
      </w:pPr>
      <w:r>
        <w:rPr>
          <w:rFonts w:ascii="Arial" w:cs="Arial" w:hAnsi="Arial"/>
        </w:rPr>
        <w:t>Short-term financing assists Toyota in financing its day to day operations like purchasing inventory, paying suppliers and costs involved in production. Trade credit, short-term bank loans and commercial paper are the usual constituents of this type of financing. Based on the results of the first quarter FY2026, Toyota recorded sales revenue of approximately ¥12.25 trillion and operating income of ¥1.17 trillion implying that the company operates efficiently and requires effective short-term financing to fund its production and distribution processes (Toyota Motor Corporation, 2026g). Short term funding will enable Toyota to have a liquidity and be able to react fast to any changes in the demand and supply of the vehicles as well as the changes in the supply chain costs.</w:t>
      </w:r>
    </w:p>
    <w:p>
      <w:pPr>
        <w:spacing w:line="360" w:lineRule="auto"/>
        <w:jc w:val="both"/>
        <w:rPr>
          <w:rFonts w:ascii="Arial" w:cs="Arial" w:hAnsi="Arial"/>
          <w:b/>
          <w:sz w:val="24"/>
          <w:szCs w:val="24"/>
        </w:rPr>
      </w:pPr>
      <w:r>
        <w:rPr>
          <w:rFonts w:ascii="Arial" w:cs="Arial" w:hAnsi="Arial"/>
          <w:b/>
          <w:sz w:val="24"/>
          <w:szCs w:val="24"/>
        </w:rPr>
        <w:t>Long-Term Financing for EV Investment and Expansion</w:t>
      </w:r>
    </w:p>
    <w:p>
      <w:pPr>
        <w:pStyle w:val="15"/>
        <w:spacing w:line="360" w:lineRule="auto"/>
        <w:jc w:val="both"/>
        <w:rPr>
          <w:rFonts w:ascii="Arial" w:cs="Arial" w:hAnsi="Arial"/>
        </w:rPr>
      </w:pPr>
      <w:r>
        <w:rPr>
          <w:rFonts w:ascii="Arial" w:cs="Arial" w:hAnsi="Arial"/>
        </w:rPr>
        <w:t>Toyota needs long-term funding to finance its strategic initiatives on electric cars, battery technology, and manufacturing plants. These investments are costly in terms of capital expenditure which cannot be maintained by short term funding only. In the FY2026 third quarter, Toyota financial position depicts the total asset as rising to around ¥102.34 trillion which indicates heavy investment in production capacity and technological advancement (Toyota Motor Corporation, 2026h). Corporate bonds, retained earnings and long-term loans are long-term funding sources that help Toyota afford these large scale EVs and still provide a stable operating environment.</w:t>
      </w:r>
    </w:p>
    <w:p>
      <w:pPr>
        <w:spacing w:line="360" w:lineRule="auto"/>
        <w:jc w:val="both"/>
        <w:rPr>
          <w:rFonts w:ascii="Arial" w:cs="Arial" w:hAnsi="Arial"/>
          <w:b/>
          <w:sz w:val="24"/>
          <w:szCs w:val="24"/>
        </w:rPr>
      </w:pPr>
      <w:r>
        <w:rPr>
          <w:rFonts w:ascii="Arial" w:cs="Arial" w:hAnsi="Arial"/>
          <w:b/>
          <w:sz w:val="24"/>
          <w:szCs w:val="24"/>
        </w:rPr>
        <w:t>Balanced Financing Strategy to Maintain Financial Stability</w:t>
      </w:r>
    </w:p>
    <w:p>
      <w:pPr>
        <w:pStyle w:val="15"/>
        <w:spacing w:line="360" w:lineRule="auto"/>
        <w:jc w:val="both"/>
        <w:rPr>
          <w:rFonts w:ascii="Arial" w:cs="Arial" w:hAnsi="Arial"/>
        </w:rPr>
      </w:pPr>
      <w:r>
        <w:rPr>
          <w:rFonts w:ascii="Arial" w:cs="Arial" w:hAnsi="Arial"/>
        </w:rPr>
        <w:t>Toyota uses a balanced financing strategy which incorporates short-term and long-term funding sources so as to ensure fiscal flexibility. Although short term financing helps in ensuring operational liquidity, long term financing is stable in funding long-term strategic investments and innovation. To illustrate this, the company has recorded shareholders’ equity of about 39.99 trillion in the third quarter of FY2026, which implies that the capital base is very strong in terms of long-term investment and financial sustainability. This balanced financing approach will enable Toyota to deal with financial risks and still invest in EV technology and sustainable mobility solutions.</w:t>
      </w:r>
    </w:p>
    <w:p>
      <w:pPr>
        <w:spacing w:line="360" w:lineRule="auto"/>
        <w:jc w:val="both"/>
        <w:rPr>
          <w:rFonts w:ascii="Arial" w:cs="Arial" w:hAnsi="Arial"/>
          <w:sz w:val="24"/>
          <w:szCs w:val="24"/>
        </w:rPr>
      </w:pPr>
    </w:p>
    <w:p>
      <w:pPr>
        <w:spacing w:line="360" w:lineRule="auto"/>
        <w:jc w:val="both"/>
        <w:rPr>
          <w:rFonts w:ascii="Arial" w:eastAsia="宋体" w:cs="Arial" w:hAnsi="Arial"/>
          <w:b/>
          <w:sz w:val="24"/>
          <w:szCs w:val="24"/>
        </w:rPr>
      </w:pPr>
      <w:r>
        <w:rPr>
          <w:rFonts w:ascii="Arial" w:cs="Arial" w:hAnsi="Arial"/>
          <w:b/>
          <w:sz w:val="24"/>
          <w:szCs w:val="24"/>
        </w:rPr>
        <w:br w:type="page"/>
      </w:r>
    </w:p>
    <w:p>
      <w:pPr>
        <w:pStyle w:val="1"/>
        <w:spacing w:line="360" w:lineRule="auto"/>
        <w:jc w:val="both"/>
        <w:rPr>
          <w:rFonts w:ascii="Arial" w:cs="Arial" w:hAnsi="Arial"/>
          <w:b/>
          <w:color w:val="auto"/>
          <w:sz w:val="24"/>
          <w:szCs w:val="24"/>
        </w:rPr>
      </w:pPr>
      <w:bookmarkStart w:id="11" w:name="_Toc224037897"/>
      <w:r>
        <w:rPr>
          <w:rFonts w:ascii="Arial" w:cs="Arial" w:hAnsi="Arial"/>
          <w:b/>
          <w:color w:val="auto"/>
          <w:sz w:val="24"/>
          <w:szCs w:val="24"/>
        </w:rPr>
        <w:t>3.0 Strategic Financial Restructuring Plan</w:t>
      </w:r>
      <w:bookmarkEnd w:id="11"/>
      <w:r>
        <w:rPr>
          <w:rFonts w:ascii="Arial" w:cs="Arial" w:hAnsi="Arial"/>
          <w:b/>
          <w:color w:val="auto"/>
          <w:sz w:val="24"/>
          <w:szCs w:val="24"/>
        </w:rPr>
        <w:t xml:space="preserve"> </w:t>
      </w:r>
    </w:p>
    <w:p>
      <w:pPr>
        <w:pStyle w:val="2"/>
        <w:spacing w:line="360" w:lineRule="auto"/>
        <w:jc w:val="both"/>
        <w:rPr>
          <w:rFonts w:ascii="Arial" w:cs="Arial" w:hAnsi="Arial"/>
          <w:b/>
          <w:color w:val="auto"/>
          <w:sz w:val="24"/>
          <w:szCs w:val="24"/>
        </w:rPr>
      </w:pPr>
      <w:bookmarkStart w:id="12" w:name="_Toc224037898"/>
      <w:r>
        <w:rPr>
          <w:rFonts w:ascii="Arial" w:cs="Arial" w:hAnsi="Arial"/>
          <w:b/>
          <w:color w:val="auto"/>
          <w:sz w:val="24"/>
          <w:szCs w:val="24"/>
        </w:rPr>
        <w:t>3.1 Recommend financial restructuring options</w:t>
      </w:r>
      <w:bookmarkEnd w:id="12"/>
      <w:r>
        <w:rPr>
          <w:rFonts w:ascii="Arial" w:cs="Arial" w:hAnsi="Arial"/>
          <w:b/>
          <w:color w:val="auto"/>
          <w:sz w:val="24"/>
          <w:szCs w:val="24"/>
        </w:rPr>
        <w:t xml:space="preserve"> </w:t>
      </w:r>
    </w:p>
    <w:p>
      <w:pPr>
        <w:spacing w:line="360" w:lineRule="auto"/>
        <w:jc w:val="both"/>
        <w:rPr>
          <w:rFonts w:ascii="Arial" w:cs="Arial" w:hAnsi="Arial"/>
          <w:b/>
          <w:sz w:val="24"/>
          <w:szCs w:val="24"/>
        </w:rPr>
      </w:pPr>
      <w:r>
        <w:rPr>
          <w:rFonts w:ascii="Arial" w:cs="Arial" w:hAnsi="Arial"/>
          <w:b/>
          <w:sz w:val="24"/>
          <w:szCs w:val="24"/>
        </w:rPr>
        <w:t>Strategic Divestiture of Non-Core Business Segments</w:t>
      </w:r>
    </w:p>
    <w:p>
      <w:pPr>
        <w:pStyle w:val="15"/>
        <w:spacing w:line="360" w:lineRule="auto"/>
        <w:jc w:val="both"/>
        <w:rPr>
          <w:rFonts w:ascii="Arial" w:cs="Arial" w:hAnsi="Arial"/>
        </w:rPr>
      </w:pPr>
      <w:r>
        <w:rPr>
          <w:rFonts w:ascii="Arial" w:cs="Arial" w:hAnsi="Arial"/>
        </w:rPr>
        <w:t>The divestiture of non-core or underperforming business units of Toyota can be one of the possible strategies to reorganize the company and free capital to invest in Evs. Despite the financial stability of Toyota, the FY2026 outcomes point to the profitability pressure since operating income in the first half of FY2026 is estimated at approximately ¥2.01 trillion, which is a reduction of 18.6% as compared to the preceding year (Investing.com, 2025). The sale of low-reward business or non-strategic subsidiaries would enable Toyota to shift financial resources to battery production, EV development, and digital mobility technologies. The use of this restructuring would also result in higher efficiency in the capital and the ability of the company to concentrate on the areas of the automotive industry that will be performing better.</w:t>
      </w:r>
    </w:p>
    <w:p>
      <w:pPr>
        <w:spacing w:line="360" w:lineRule="auto"/>
        <w:jc w:val="both"/>
        <w:rPr>
          <w:rFonts w:ascii="Arial" w:cs="Arial" w:hAnsi="Arial"/>
          <w:b/>
          <w:sz w:val="24"/>
          <w:szCs w:val="24"/>
        </w:rPr>
      </w:pPr>
      <w:r>
        <w:rPr>
          <w:rFonts w:ascii="Arial" w:cs="Arial" w:hAnsi="Arial"/>
          <w:b/>
          <w:sz w:val="24"/>
          <w:szCs w:val="24"/>
        </w:rPr>
        <w:t>Strategic Mergers and Partnerships in EV Technology</w:t>
      </w:r>
    </w:p>
    <w:p>
      <w:pPr>
        <w:pStyle w:val="15"/>
        <w:spacing w:line="360" w:lineRule="auto"/>
        <w:jc w:val="both"/>
        <w:rPr>
          <w:rFonts w:ascii="Arial" w:cs="Arial" w:hAnsi="Arial"/>
        </w:rPr>
      </w:pPr>
      <w:r>
        <w:rPr>
          <w:rFonts w:ascii="Arial" w:cs="Arial" w:hAnsi="Arial"/>
        </w:rPr>
        <w:t>The other alternative financial restructuring would be to establish mergers or strategic partnerships with battery makers and technology companies to cut the cost of development and make EV innovation faster. Toyota has already broadened its world EV ecosystem with collaborations and technological partnerships (MarketWatch, 2026). To illustrate the point, the FY2026, third-quarter report reveals that Toyota has sold about 7.30million vehicles in the first three quarters of the fiscal year, which shows that the company is experiencing high demand of its vehicles in the global market. A strategic alliance with battery vendors, semiconductor firms, or mobility technologies would enhance the supply chain of Toyota and evenly distribute the cost of research and development. These partnerships would also increase technical capacity and decrease financial risk in big ticket EV investments (McKinsey &amp; Company, 2025a).</w:t>
      </w:r>
    </w:p>
    <w:p>
      <w:pPr>
        <w:spacing w:line="360" w:lineRule="auto"/>
        <w:jc w:val="both"/>
        <w:rPr>
          <w:rFonts w:ascii="Arial" w:cs="Arial" w:hAnsi="Arial"/>
          <w:b/>
          <w:sz w:val="24"/>
          <w:szCs w:val="24"/>
        </w:rPr>
      </w:pPr>
      <w:r>
        <w:rPr>
          <w:rFonts w:ascii="Arial" w:cs="Arial" w:hAnsi="Arial"/>
          <w:b/>
          <w:sz w:val="24"/>
          <w:szCs w:val="24"/>
        </w:rPr>
        <w:t>Equity Injection to Strengthen Capital Structure</w:t>
      </w:r>
    </w:p>
    <w:p>
      <w:pPr>
        <w:pStyle w:val="15"/>
        <w:spacing w:line="360" w:lineRule="auto"/>
        <w:jc w:val="both"/>
        <w:rPr>
          <w:rFonts w:ascii="Arial" w:cs="Arial" w:hAnsi="Arial"/>
        </w:rPr>
      </w:pPr>
      <w:r>
        <w:rPr>
          <w:rFonts w:ascii="Arial" w:cs="Arial" w:hAnsi="Arial"/>
        </w:rPr>
        <w:t>Another restructuring strategy that Toyota can use to finance the large scale electrification initiatives without falling into financial crisis is equity financing. The reliance on debt financing can be decreased by increased equity through new share issue or retained earnings which enhances the balance sheet of the company. Toyota shareholders have an equity of about 38.46 trillion as per the FY2026 financial results which depicts a high capital base that can be used to make strategic investments (McKinsey &amp; Company, 2025b). Additional capital investment would support EV infrastructure, battery technology and global production. New shares will dilute the existing ownership but slightly, and this will enhance the financial stability of Toyota and promote the long-term sustainable growth in the electric mobility industry.</w:t>
      </w:r>
    </w:p>
    <w:p>
      <w:pPr>
        <w:pStyle w:val="2"/>
        <w:spacing w:line="360" w:lineRule="auto"/>
        <w:jc w:val="both"/>
        <w:rPr>
          <w:rFonts w:ascii="Arial" w:cs="Arial" w:hAnsi="Arial"/>
          <w:b/>
          <w:color w:val="auto"/>
          <w:sz w:val="24"/>
          <w:szCs w:val="24"/>
        </w:rPr>
      </w:pPr>
      <w:bookmarkStart w:id="13" w:name="_Toc224037899"/>
      <w:r>
        <w:rPr>
          <w:rFonts w:ascii="Arial" w:cs="Arial" w:hAnsi="Arial"/>
          <w:b/>
          <w:color w:val="auto"/>
          <w:sz w:val="24"/>
          <w:szCs w:val="24"/>
        </w:rPr>
        <w:t>3.2 Impact on shareholder value, debt structure, and operational flexibility</w:t>
      </w:r>
      <w:bookmarkEnd w:id="13"/>
    </w:p>
    <w:p>
      <w:pPr>
        <w:spacing w:line="360" w:lineRule="auto"/>
        <w:jc w:val="both"/>
        <w:rPr>
          <w:rFonts w:ascii="Arial" w:cs="Arial" w:hAnsi="Arial"/>
          <w:b/>
          <w:sz w:val="24"/>
          <w:szCs w:val="24"/>
        </w:rPr>
      </w:pPr>
      <w:r>
        <w:rPr>
          <w:rFonts w:ascii="Arial" w:cs="Arial" w:hAnsi="Arial"/>
          <w:b/>
          <w:sz w:val="24"/>
          <w:szCs w:val="24"/>
        </w:rPr>
        <w:t>Impact on Shareholder Value</w:t>
      </w:r>
    </w:p>
    <w:p>
      <w:pPr>
        <w:pStyle w:val="15"/>
        <w:spacing w:line="360" w:lineRule="auto"/>
        <w:jc w:val="both"/>
        <w:rPr>
          <w:rFonts w:ascii="Arial" w:cs="Arial" w:hAnsi="Arial"/>
        </w:rPr>
      </w:pPr>
      <w:r>
        <w:rPr>
          <w:rFonts w:ascii="Arial" w:cs="Arial" w:hAnsi="Arial"/>
        </w:rPr>
        <w:t xml:space="preserve">Some of the financial restructuring activity like the divestitures, strategic alliance and equity financing can be of great help to Toyota in increasing its shareholder value. The company can enhance the profitability and competitiveness in the long term by redistributing financial and human resources to high-growth areas like electric vehicles, battery technology, and digital mobility services. The good financial performance of Toyota shows its ability to create investors value. To illustrate, during the FY2025, the company has recorded a </w:t>
      </w:r>
      <w:r>
        <w:rPr>
          <w:rStyle w:val="16"/>
          <w:rFonts w:ascii="Arial" w:cs="Arial" w:hAnsi="Arial"/>
          <w:b w:val="0"/>
        </w:rPr>
        <w:t>¥</w:t>
      </w:r>
      <w:r>
        <w:rPr>
          <w:rFonts w:ascii="Arial" w:cs="Arial" w:hAnsi="Arial"/>
        </w:rPr>
        <w:t>359.56 earnings per share, which demonstrates excellent profitability and consistent returns to shareholders (Morningstar, 2026). The future profit potential can be enhanced by strategic restructuring emphasizing EV innovation and sustainable mobility to help to increase dividends and share price growth. Nonetheless, when equity financing is adopted to a large extent, it can dilute the ownership of existing shareholders in the short-term, but the long-term growth effects are likely to counterbalance the effects.</w:t>
      </w:r>
    </w:p>
    <w:p>
      <w:pPr>
        <w:spacing w:line="360" w:lineRule="auto"/>
        <w:jc w:val="both"/>
        <w:rPr>
          <w:rFonts w:ascii="Arial" w:cs="Arial" w:hAnsi="Arial"/>
          <w:b/>
          <w:sz w:val="24"/>
          <w:szCs w:val="24"/>
        </w:rPr>
      </w:pPr>
      <w:r>
        <w:rPr>
          <w:rFonts w:ascii="Arial" w:cs="Arial" w:hAnsi="Arial"/>
          <w:b/>
          <w:sz w:val="24"/>
          <w:szCs w:val="24"/>
        </w:rPr>
        <w:t>Impact on Debt Structure</w:t>
      </w:r>
    </w:p>
    <w:p>
      <w:pPr>
        <w:pStyle w:val="15"/>
        <w:spacing w:line="360" w:lineRule="auto"/>
        <w:jc w:val="both"/>
        <w:rPr>
          <w:rFonts w:ascii="Arial" w:cs="Arial" w:hAnsi="Arial"/>
        </w:rPr>
      </w:pPr>
      <w:r>
        <w:rPr>
          <w:rFonts w:ascii="Arial" w:cs="Arial" w:hAnsi="Arial"/>
        </w:rPr>
        <w:t xml:space="preserve">This is also further affected by financial restructuring, which may alter the debt structure and the financial risk of Toyota. The firm has a fairly stable capital structure, and it has a solid equity base. Toyota has shareholders equity amounting to about </w:t>
      </w:r>
      <w:r>
        <w:rPr>
          <w:rStyle w:val="16"/>
          <w:rFonts w:ascii="Arial" w:cs="Arial" w:hAnsi="Arial"/>
          <w:b w:val="0"/>
        </w:rPr>
        <w:t>¥</w:t>
      </w:r>
      <w:r>
        <w:rPr>
          <w:rFonts w:ascii="Arial" w:cs="Arial" w:hAnsi="Arial"/>
        </w:rPr>
        <w:t xml:space="preserve">39.99 trillion and total assets amounting to about </w:t>
      </w:r>
      <w:r>
        <w:rPr>
          <w:rStyle w:val="16"/>
          <w:rFonts w:ascii="Arial" w:cs="Arial" w:hAnsi="Arial"/>
          <w:b w:val="0"/>
        </w:rPr>
        <w:t>¥</w:t>
      </w:r>
      <w:r>
        <w:rPr>
          <w:rFonts w:ascii="Arial" w:cs="Arial" w:hAnsi="Arial"/>
        </w:rPr>
        <w:t>102.34 trillion in the FY2026 third quarter, suggesting a moderate leverage ratio and balanced financing structure. When Toyota depends more on equity financing and divestiture proceeds to finance EV expansion, the company will be able to decrease reliance on debt and decrease interest payments (OECD, 2025). This would enhance its financial stability and credit worthiness. On the other hand, intensified borrowing to fund massive EV-related projects may raise the financial risk and lessen the financial flexibility in times of economic insecurity or lower automotive demand.</w:t>
      </w:r>
    </w:p>
    <w:p>
      <w:pPr>
        <w:spacing w:line="360" w:lineRule="auto"/>
        <w:jc w:val="both"/>
        <w:rPr>
          <w:rFonts w:ascii="Arial" w:cs="Arial" w:hAnsi="Arial"/>
          <w:b/>
          <w:sz w:val="24"/>
          <w:szCs w:val="24"/>
        </w:rPr>
      </w:pPr>
      <w:r>
        <w:rPr>
          <w:rFonts w:ascii="Arial" w:cs="Arial" w:hAnsi="Arial"/>
          <w:b/>
          <w:sz w:val="24"/>
          <w:szCs w:val="24"/>
        </w:rPr>
        <w:t>Impact on Operational Flexibility</w:t>
      </w:r>
    </w:p>
    <w:p>
      <w:pPr>
        <w:pStyle w:val="15"/>
        <w:spacing w:line="360" w:lineRule="auto"/>
        <w:jc w:val="both"/>
        <w:rPr>
          <w:rFonts w:ascii="Arial" w:cs="Arial" w:hAnsi="Arial"/>
        </w:rPr>
      </w:pPr>
      <w:r>
        <w:rPr>
          <w:rFonts w:ascii="Arial" w:cs="Arial" w:hAnsi="Arial"/>
        </w:rPr>
        <w:t xml:space="preserve">The restructuring strategies can also be employed to enhance flexibility in the way Toyota operates by allowing the company to respond more too any alterations in the automotive industry. Investments in EV technologies, in the digital manufacturing systems, and the supply chains will enable Toyota to be more responsive to the changes in production capacity and product offerings. The financial performance of the company reveals that the company had sales revenue of approximately </w:t>
      </w:r>
      <w:r>
        <w:rPr>
          <w:rStyle w:val="16"/>
          <w:rFonts w:ascii="Arial" w:cs="Arial" w:hAnsi="Arial"/>
          <w:b w:val="0"/>
        </w:rPr>
        <w:t>¥</w:t>
      </w:r>
      <w:r>
        <w:rPr>
          <w:rFonts w:ascii="Arial" w:cs="Arial" w:hAnsi="Arial"/>
        </w:rPr>
        <w:t>24.63 trillion in the first half of FY2026, which was associated with high demand of vehicles in the world and high volume production units (PR Newswire, 2025). With the help of a redistribution of financial resources in the direction of innovations and technologies, Toyota is able to cope with the potential of adjusting production processes, switching to new Evs, and acting swiftly to changes in customer preferences and environmental policies. This increased flexibility is improving long term competitiveness of the company in the dynamic global automotive industry.</w:t>
      </w:r>
    </w:p>
    <w:p>
      <w:pPr>
        <w:pStyle w:val="2"/>
        <w:spacing w:line="360" w:lineRule="auto"/>
        <w:jc w:val="both"/>
        <w:rPr>
          <w:rFonts w:ascii="Arial" w:cs="Arial" w:hAnsi="Arial"/>
          <w:b/>
          <w:color w:val="auto"/>
          <w:sz w:val="24"/>
          <w:szCs w:val="24"/>
        </w:rPr>
      </w:pPr>
      <w:bookmarkStart w:id="14" w:name="_Toc224037900"/>
      <w:r>
        <w:rPr>
          <w:rFonts w:ascii="Arial" w:cs="Arial" w:hAnsi="Arial"/>
          <w:b/>
          <w:color w:val="auto"/>
          <w:sz w:val="24"/>
          <w:szCs w:val="24"/>
        </w:rPr>
        <w:t>3.3 International and ethical considerations (taxation, currency risk, inflation, CSR)</w:t>
      </w:r>
      <w:bookmarkEnd w:id="14"/>
    </w:p>
    <w:p>
      <w:pPr>
        <w:spacing w:line="360" w:lineRule="auto"/>
        <w:jc w:val="both"/>
        <w:rPr>
          <w:rFonts w:ascii="Arial" w:cs="Arial" w:hAnsi="Arial"/>
          <w:b/>
          <w:sz w:val="24"/>
          <w:szCs w:val="24"/>
        </w:rPr>
      </w:pPr>
      <w:r>
        <w:rPr>
          <w:rFonts w:ascii="Arial" w:cs="Arial" w:hAnsi="Arial"/>
          <w:b/>
          <w:sz w:val="24"/>
          <w:szCs w:val="24"/>
        </w:rPr>
        <w:t>Taxation and Global Regulatory Environment</w:t>
      </w:r>
    </w:p>
    <w:p>
      <w:pPr>
        <w:pStyle w:val="15"/>
        <w:spacing w:line="360" w:lineRule="auto"/>
        <w:jc w:val="both"/>
        <w:rPr>
          <w:rFonts w:ascii="Arial" w:cs="Arial" w:hAnsi="Arial"/>
        </w:rPr>
      </w:pPr>
      <w:r>
        <w:rPr>
          <w:rFonts w:ascii="Arial" w:cs="Arial" w:hAnsi="Arial"/>
        </w:rPr>
        <w:t>Toyota is present in over 170 countries, which means that its financial strategy is highly dependent on the international taxation laws and governmental regulations. The tax layouts of various regions may impact profitability and investment choices, especially the EV manufacturing facilities and battery production plants. As an illustration, Toyota has reported income before taxes of about 6141 trillion yen in FY2025, indicating the dimension that tax policies can affect the overall financial performance (Precedence Research, 2025). In most markets, governments offer tax breaks and subsidies on electric vehicles, an opportunity that Toyota can use to lower the cost of production and promote Evs.</w:t>
      </w:r>
    </w:p>
    <w:p>
      <w:pPr>
        <w:spacing w:line="360" w:lineRule="auto"/>
        <w:jc w:val="both"/>
        <w:rPr>
          <w:rFonts w:ascii="Arial" w:cs="Arial" w:hAnsi="Arial"/>
          <w:b/>
          <w:sz w:val="24"/>
          <w:szCs w:val="24"/>
        </w:rPr>
      </w:pPr>
      <w:r>
        <w:rPr>
          <w:rFonts w:ascii="Arial" w:cs="Arial" w:hAnsi="Arial"/>
          <w:b/>
          <w:sz w:val="24"/>
          <w:szCs w:val="24"/>
        </w:rPr>
        <w:t>Currency Risk and Inflation</w:t>
      </w:r>
    </w:p>
    <w:p>
      <w:pPr>
        <w:pStyle w:val="15"/>
        <w:spacing w:line="360" w:lineRule="auto"/>
        <w:jc w:val="both"/>
        <w:rPr>
          <w:rFonts w:ascii="Arial" w:cs="Arial" w:hAnsi="Arial"/>
        </w:rPr>
      </w:pPr>
      <w:r>
        <w:rPr>
          <w:rFonts w:ascii="Arial" w:cs="Arial" w:hAnsi="Arial"/>
        </w:rPr>
        <w:t>Toyota is a global manufacturer of automobiles and as a result, they are exposed to international currency and inflation. Exchange rate fluctuations between the Japanese yen and other exceptional currencies like the US dollar or euro may affect the export revenues and the operating costs. To illustrate this, in FY2026 first half results Toyota made sales revenue of about ¥24.63 trillion of which a part of the earnings were received on the foreign markets (PwC, 2025). Depreciation or the high inflation in the international markets may raise production costs and decrease the profit margins. Proper hedging practices and diversified site of production are thus required to reduce financial risks.</w:t>
      </w:r>
    </w:p>
    <w:p>
      <w:pPr>
        <w:spacing w:line="360" w:lineRule="auto"/>
        <w:jc w:val="both"/>
        <w:rPr>
          <w:rFonts w:ascii="Arial" w:cs="Arial" w:hAnsi="Arial"/>
          <w:b/>
          <w:sz w:val="24"/>
          <w:szCs w:val="24"/>
        </w:rPr>
      </w:pPr>
      <w:r>
        <w:rPr>
          <w:rFonts w:ascii="Arial" w:cs="Arial" w:hAnsi="Arial"/>
          <w:b/>
          <w:sz w:val="24"/>
          <w:szCs w:val="24"/>
        </w:rPr>
        <w:t>Corporate Social Responsibility (CSR) and Sustainability</w:t>
      </w:r>
    </w:p>
    <w:p>
      <w:pPr>
        <w:pStyle w:val="15"/>
        <w:spacing w:line="360" w:lineRule="auto"/>
        <w:jc w:val="both"/>
        <w:rPr>
          <w:rFonts w:ascii="Arial" w:cs="Arial" w:hAnsi="Arial"/>
        </w:rPr>
      </w:pPr>
      <w:r>
        <w:rPr>
          <w:rFonts w:ascii="Arial" w:cs="Arial" w:hAnsi="Arial"/>
        </w:rPr>
        <w:t>Environmental responsibility and sustainable production are becoming more crucial ethical aspects in the world automotive market. In its long-term sustainability approach, Toyota has pledged to lower carbon emissions and increase electric and hybrid vehicles development. Investments in EV technology, battery innovation, and hydrogen fuel cells prove that Toyota is determined to make its manufacturing environmentally friendly (Reuters, 2026). Such CSR activities ensure that not only do they assist the company in meeting the environmental regulations set by the global community but also in improving brand reputation and consumer confidence in the shift towards sustainable mobility.</w:t>
      </w:r>
    </w:p>
    <w:p>
      <w:pPr>
        <w:spacing w:line="360" w:lineRule="auto"/>
        <w:jc w:val="both"/>
        <w:rPr>
          <w:rFonts w:ascii="Arial" w:cs="Arial" w:hAnsi="Arial"/>
          <w:sz w:val="24"/>
          <w:szCs w:val="24"/>
        </w:rPr>
      </w:pPr>
    </w:p>
    <w:p>
      <w:pPr>
        <w:spacing w:line="360" w:lineRule="auto"/>
        <w:jc w:val="both"/>
        <w:rPr>
          <w:rFonts w:ascii="Arial" w:eastAsia="宋体" w:cs="Arial" w:hAnsi="Arial"/>
          <w:b/>
          <w:sz w:val="24"/>
          <w:szCs w:val="24"/>
        </w:rPr>
      </w:pPr>
      <w:r>
        <w:rPr>
          <w:rFonts w:ascii="Arial" w:cs="Arial" w:hAnsi="Arial"/>
          <w:b/>
          <w:sz w:val="24"/>
          <w:szCs w:val="24"/>
        </w:rPr>
        <w:br w:type="page"/>
      </w:r>
    </w:p>
    <w:p>
      <w:pPr>
        <w:pStyle w:val="1"/>
        <w:spacing w:line="360" w:lineRule="auto"/>
        <w:jc w:val="both"/>
        <w:rPr>
          <w:rFonts w:ascii="Arial" w:cs="Arial" w:hAnsi="Arial"/>
          <w:b/>
          <w:color w:val="auto"/>
          <w:sz w:val="24"/>
          <w:szCs w:val="24"/>
        </w:rPr>
      </w:pPr>
      <w:bookmarkStart w:id="15" w:name="_Toc224037901"/>
      <w:r>
        <w:rPr>
          <w:rFonts w:ascii="Arial" w:cs="Arial" w:hAnsi="Arial"/>
          <w:b/>
          <w:color w:val="auto"/>
          <w:sz w:val="24"/>
          <w:szCs w:val="24"/>
        </w:rPr>
        <w:t>4.0 Investment Appraisal and Capital Budgeting</w:t>
      </w:r>
      <w:bookmarkEnd w:id="15"/>
      <w:r>
        <w:rPr>
          <w:rFonts w:ascii="Arial" w:cs="Arial" w:hAnsi="Arial"/>
          <w:b/>
          <w:color w:val="auto"/>
          <w:sz w:val="24"/>
          <w:szCs w:val="24"/>
        </w:rPr>
        <w:t xml:space="preserve"> </w:t>
      </w:r>
    </w:p>
    <w:p>
      <w:pPr>
        <w:spacing w:line="360" w:lineRule="auto"/>
        <w:jc w:val="both"/>
        <w:rPr>
          <w:rFonts w:ascii="Arial" w:cs="Arial" w:hAnsi="Arial"/>
          <w:b/>
          <w:sz w:val="24"/>
          <w:szCs w:val="24"/>
        </w:rPr>
      </w:pPr>
      <w:r>
        <w:rPr>
          <w:rFonts w:ascii="Arial" w:cs="Arial" w:hAnsi="Arial"/>
          <w:b/>
          <w:sz w:val="24"/>
          <w:szCs w:val="24"/>
        </w:rPr>
        <w:t>Project A</w:t>
      </w:r>
    </w:p>
    <w:tbl>
      <w:tblPr>
        <w:jc w:val="left"/>
        <w:tblInd w:w="0" w:type="dxa"/>
        <w:tblW w:w="88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6577"/>
        <w:gridCol w:w="2316"/>
      </w:tblGrid>
      <w:tr>
        <w:trPr>
          <w:trHeight w:val="287"/>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Method</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Result</w:t>
            </w:r>
          </w:p>
        </w:tc>
      </w:tr>
      <w:tr>
        <w:trPr>
          <w:trHeight w:val="287"/>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Payback Period (PBP)</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4.5 years</w:t>
            </w:r>
          </w:p>
        </w:tc>
      </w:tr>
      <w:tr>
        <w:trPr>
          <w:trHeight w:val="275"/>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Accounting Rate of Return (ARR)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3.2%</w:t>
            </w:r>
          </w:p>
        </w:tc>
      </w:tr>
      <w:tr>
        <w:trPr>
          <w:trHeight w:val="287"/>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Net Present Value (NPV)</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–£8.68m</w:t>
            </w:r>
          </w:p>
        </w:tc>
      </w:tr>
      <w:tr>
        <w:trPr>
          <w:trHeight w:val="287"/>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Profitability Index (PI)</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0.83</w:t>
            </w:r>
          </w:p>
        </w:tc>
      </w:tr>
      <w:tr>
        <w:trPr>
          <w:trHeight w:val="287"/>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Internal Rate of Return (IRR)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2.72%</w:t>
            </w:r>
          </w:p>
        </w:tc>
      </w:tr>
    </w:tbl>
    <w:p>
      <w:pPr>
        <w:spacing w:line="360" w:lineRule="auto"/>
        <w:jc w:val="center"/>
        <w:rPr>
          <w:rFonts w:ascii="Arial" w:cs="Arial" w:hAnsi="Arial"/>
          <w:b/>
          <w:sz w:val="24"/>
          <w:szCs w:val="24"/>
        </w:rPr>
      </w:pPr>
      <w:r>
        <w:rPr>
          <w:rFonts w:ascii="Arial" w:cs="Arial" w:hAnsi="Arial"/>
          <w:b/>
          <w:sz w:val="24"/>
          <w:szCs w:val="24"/>
        </w:rPr>
        <w:t>Table 8: Project A Calculations</w:t>
      </w:r>
    </w:p>
    <w:p>
      <w:pPr>
        <w:spacing w:line="360" w:lineRule="auto"/>
        <w:jc w:val="both"/>
        <w:rPr>
          <w:rFonts w:ascii="Arial" w:cs="Arial" w:hAnsi="Arial"/>
          <w:b/>
          <w:sz w:val="24"/>
          <w:szCs w:val="24"/>
        </w:rPr>
      </w:pPr>
      <w:r>
        <w:rPr>
          <w:rFonts w:ascii="Arial" w:cs="Arial" w:hAnsi="Arial"/>
          <w:b/>
          <w:sz w:val="24"/>
          <w:szCs w:val="24"/>
        </w:rPr>
        <w:t>Project B</w:t>
      </w:r>
    </w:p>
    <w:tbl>
      <w:tblPr>
        <w:jc w:val="left"/>
        <w:tblInd w:w="0" w:type="dxa"/>
        <w:tblW w:w="89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6569"/>
        <w:gridCol w:w="2384"/>
      </w:tblGrid>
      <w:tr>
        <w:trPr>
          <w:trHeight w:val="266"/>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Method</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Result</w:t>
            </w:r>
          </w:p>
        </w:tc>
      </w:tr>
      <w:tr>
        <w:trPr>
          <w:trHeight w:val="266"/>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Payback Period (PBP)</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4.55 years</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Accounting Rate of Return (ARR)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4%</w:t>
            </w:r>
          </w:p>
        </w:tc>
      </w:tr>
      <w:tr>
        <w:trPr>
          <w:trHeight w:val="266"/>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Net Present Value (NPV)</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–£8.30m</w:t>
            </w:r>
          </w:p>
        </w:tc>
      </w:tr>
      <w:tr>
        <w:trPr>
          <w:trHeight w:val="266"/>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Profitability Index (PI)</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0.83</w:t>
            </w:r>
          </w:p>
        </w:tc>
      </w:tr>
      <w:tr>
        <w:trPr>
          <w:trHeight w:val="266"/>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Internal Rate of Return (IRR)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3.26%</w:t>
            </w:r>
          </w:p>
        </w:tc>
      </w:tr>
    </w:tbl>
    <w:p>
      <w:pPr>
        <w:spacing w:line="360" w:lineRule="auto"/>
        <w:jc w:val="center"/>
        <w:rPr>
          <w:rFonts w:ascii="Arial" w:cs="Arial" w:hAnsi="Arial"/>
          <w:b/>
          <w:sz w:val="24"/>
          <w:szCs w:val="24"/>
        </w:rPr>
      </w:pPr>
      <w:r>
        <w:rPr>
          <w:rFonts w:ascii="Arial" w:cs="Arial" w:hAnsi="Arial"/>
          <w:b/>
          <w:sz w:val="24"/>
          <w:szCs w:val="24"/>
        </w:rPr>
        <w:t>Table 9: Project B Calculations</w:t>
      </w:r>
    </w:p>
    <w:p>
      <w:pPr>
        <w:spacing w:line="360" w:lineRule="auto"/>
        <w:jc w:val="both"/>
        <w:rPr>
          <w:rFonts w:ascii="Arial" w:cs="Arial" w:hAnsi="Arial"/>
          <w:b/>
          <w:sz w:val="24"/>
          <w:szCs w:val="24"/>
        </w:rPr>
      </w:pPr>
      <w:r>
        <w:rPr>
          <w:rFonts w:ascii="Arial" w:cs="Arial" w:hAnsi="Arial"/>
          <w:b/>
          <w:sz w:val="24"/>
          <w:szCs w:val="24"/>
        </w:rPr>
        <w:t>Project C</w:t>
      </w:r>
    </w:p>
    <w:tbl>
      <w:tblPr>
        <w:jc w:val="left"/>
        <w:tblInd w:w="0" w:type="dxa"/>
        <w:tblW w:w="89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6595"/>
        <w:gridCol w:w="2322"/>
      </w:tblGrid>
      <w:tr>
        <w:trPr>
          <w:trHeight w:val="254"/>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Method</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Result</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Payback Period (PBP)</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3.6 years</w:t>
            </w:r>
          </w:p>
        </w:tc>
      </w:tr>
      <w:tr>
        <w:trPr>
          <w:trHeight w:val="24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Accounting Rate of Return (ARR)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12%</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Net Present Value (NPV)</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–£1.98m</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Profitability Index (PI)</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0.96</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Internal Rate of Return (IRR)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8.59%</w:t>
            </w:r>
          </w:p>
        </w:tc>
      </w:tr>
    </w:tbl>
    <w:p>
      <w:pPr>
        <w:spacing w:line="360" w:lineRule="auto"/>
        <w:jc w:val="center"/>
        <w:rPr>
          <w:rFonts w:ascii="Arial" w:cs="Arial" w:hAnsi="Arial"/>
          <w:b/>
          <w:sz w:val="24"/>
          <w:szCs w:val="24"/>
        </w:rPr>
      </w:pPr>
      <w:r>
        <w:rPr>
          <w:rFonts w:ascii="Arial" w:cs="Arial" w:hAnsi="Arial"/>
          <w:b/>
          <w:sz w:val="24"/>
          <w:szCs w:val="24"/>
        </w:rPr>
        <w:t>Table 10: Project C Calculations</w:t>
      </w:r>
    </w:p>
    <w:p>
      <w:pPr>
        <w:spacing w:line="360" w:lineRule="auto"/>
        <w:jc w:val="both"/>
        <w:rPr>
          <w:rFonts w:ascii="Arial" w:cs="Arial" w:hAnsi="Arial"/>
          <w:b/>
          <w:sz w:val="24"/>
          <w:szCs w:val="24"/>
        </w:rPr>
      </w:pPr>
    </w:p>
    <w:p>
      <w:pPr>
        <w:pStyle w:val="2"/>
        <w:spacing w:line="360" w:lineRule="auto"/>
        <w:jc w:val="both"/>
        <w:rPr>
          <w:rFonts w:ascii="Arial" w:cs="Arial" w:hAnsi="Arial"/>
          <w:b/>
          <w:color w:val="auto"/>
          <w:sz w:val="24"/>
          <w:szCs w:val="24"/>
        </w:rPr>
      </w:pPr>
      <w:bookmarkStart w:id="16" w:name="_Toc224037902"/>
      <w:r>
        <w:rPr>
          <w:rFonts w:ascii="Arial" w:cs="Arial" w:hAnsi="Arial"/>
          <w:b/>
          <w:color w:val="auto"/>
          <w:sz w:val="24"/>
          <w:szCs w:val="24"/>
        </w:rPr>
        <w:t>4.1 Which project to be recommended</w:t>
      </w:r>
      <w:bookmarkEnd w:id="16"/>
    </w:p>
    <w:p>
      <w:pPr>
        <w:pStyle w:val="15"/>
        <w:spacing w:line="360" w:lineRule="auto"/>
        <w:jc w:val="both"/>
        <w:rPr>
          <w:rFonts w:ascii="Arial" w:cs="Arial" w:hAnsi="Arial"/>
        </w:rPr>
      </w:pPr>
      <w:r>
        <w:rPr>
          <w:rStyle w:val="16"/>
          <w:rFonts w:ascii="Arial" w:eastAsia="宋体" w:cs="Arial" w:hAnsi="Arial"/>
        </w:rPr>
        <w:t>Recommended Project: Project C</w:t>
      </w:r>
    </w:p>
    <w:p>
      <w:pPr>
        <w:pStyle w:val="15"/>
        <w:spacing w:line="360" w:lineRule="auto"/>
        <w:jc w:val="both"/>
        <w:rPr>
          <w:rFonts w:ascii="Arial" w:cs="Arial" w:hAnsi="Arial"/>
        </w:rPr>
      </w:pPr>
      <w:r>
        <w:rPr>
          <w:rFonts w:ascii="Arial" w:cs="Arial" w:hAnsi="Arial"/>
        </w:rPr>
        <w:t>According to the investment appraisal methods used, the most appropriate investment choice to the company is Project C. The project shows a stronger financial performance in relation to Projects A and B in a number of evaluation criteria. Specifically, Project C will be recouped sooner because it has the lowest payback period of about 3.6 years, so the initial investment of 50 million pounds will be paid back faster. The shorter the payback period the better as it lowers the risk on the investment and the liquidity status of the firm, particularly when firms are investing heavily on new technologies like electric cars and battery development (Statista, 2025a).</w:t>
      </w:r>
    </w:p>
    <w:p>
      <w:pPr>
        <w:pStyle w:val="15"/>
        <w:spacing w:line="360" w:lineRule="auto"/>
        <w:jc w:val="both"/>
        <w:rPr>
          <w:rFonts w:ascii="Arial" w:cs="Arial" w:hAnsi="Arial"/>
        </w:rPr>
      </w:pPr>
      <w:r>
        <w:rPr>
          <w:rFonts w:ascii="Arial" w:cs="Arial" w:hAnsi="Arial"/>
        </w:rPr>
        <w:t>Besides this, Project C also has a larger Accounting Rate of Return (ARR) of about 12% than the returns of Projects A and B. This implies that project C is more profitable using accounting income consideration throughout the life of the project. The Net Present Value (NPV) is not very large, but it is quite positive as compared to Net Present Value of the two other projects, which indicate bigger negative values at the assumed discount rate of 10. The Internal Rate of Return (IRR) of approximately 8.6% also compares to the needed rate of return more than the other projects implying that Project C has the highest potential of value generation.</w:t>
      </w:r>
    </w:p>
    <w:p>
      <w:pPr>
        <w:pStyle w:val="15"/>
        <w:spacing w:line="360" w:lineRule="auto"/>
        <w:jc w:val="both"/>
        <w:rPr>
          <w:rFonts w:ascii="Arial" w:cs="Arial" w:hAnsi="Arial"/>
        </w:rPr>
      </w:pPr>
      <w:r>
        <w:rPr>
          <w:rFonts w:ascii="Arial" w:cs="Arial" w:hAnsi="Arial"/>
        </w:rPr>
        <w:t>Moreover, the Project C yields more cash inflows in the middle years of the project, especially in the third and the fourth year, when the project yields a cash flow of 20 million and 25 million respectively. These enhanced cash flows enhance the recovery of investment incurred by the firm and future capital expenditure. Strategically, selecting Project C would give Toyota a quicker payback period on capital and greater working cash flow, which could be used to invest further in electric vehicles and sustainable mobility technologies (Statista, 2025b). Thus, based on the overall findings of payback period, ARR, IRR, and total cash flow performance, Project C is therefore suggested as the most financially viable investment choice between the three alternatives.</w:t>
      </w:r>
    </w:p>
    <w:p>
      <w:pPr>
        <w:pStyle w:val="2"/>
        <w:spacing w:line="360" w:lineRule="auto"/>
        <w:jc w:val="both"/>
        <w:rPr>
          <w:rFonts w:ascii="Arial" w:cs="Arial" w:hAnsi="Arial"/>
          <w:b/>
          <w:color w:val="auto"/>
          <w:sz w:val="24"/>
          <w:szCs w:val="24"/>
        </w:rPr>
      </w:pPr>
      <w:bookmarkStart w:id="17" w:name="_Toc224037903"/>
      <w:r>
        <w:rPr>
          <w:rFonts w:ascii="Arial" w:cs="Arial" w:hAnsi="Arial"/>
          <w:b/>
          <w:color w:val="auto"/>
          <w:sz w:val="24"/>
          <w:szCs w:val="24"/>
        </w:rPr>
        <w:t>4.2 Justify of the recommendation with reference to the company’s financial performance (e.g. profitability, liquidity)</w:t>
      </w:r>
      <w:bookmarkEnd w:id="17"/>
    </w:p>
    <w:p>
      <w:pPr>
        <w:spacing w:line="360" w:lineRule="auto"/>
        <w:jc w:val="both"/>
        <w:rPr>
          <w:rFonts w:ascii="Arial" w:cs="Arial" w:hAnsi="Arial"/>
          <w:b/>
          <w:sz w:val="24"/>
          <w:szCs w:val="24"/>
        </w:rPr>
      </w:pPr>
      <w:r>
        <w:rPr>
          <w:rFonts w:ascii="Arial" w:cs="Arial" w:hAnsi="Arial"/>
          <w:b/>
          <w:sz w:val="24"/>
          <w:szCs w:val="24"/>
        </w:rPr>
        <w:t>Profitability Considerations</w:t>
      </w:r>
    </w:p>
    <w:p>
      <w:pPr>
        <w:pStyle w:val="15"/>
        <w:spacing w:line="360" w:lineRule="auto"/>
        <w:jc w:val="both"/>
        <w:rPr>
          <w:rFonts w:ascii="Arial" w:cs="Arial" w:hAnsi="Arial"/>
        </w:rPr>
      </w:pPr>
      <w:r>
        <w:rPr>
          <w:rFonts w:ascii="Arial" w:cs="Arial" w:hAnsi="Arial"/>
        </w:rPr>
        <w:t>The profitability performance of Toyota justifies the choice of Project C as the choice of investment alternative. According to the results of financial ratios, Toyota has been enjoying good profits in the past few years. As an example, the company realized operating margin of about 11.9% in FY2024 and about 10.0% in FY2025 meaning that Toyota can make significant operating profits based on its sales. Such a profitability enables the company to pursue projects with a fairly good level of returns and quicker rate of investment payoff. Project C has a higher Accounting Rate of Return (ARR) of approximately 12% that is consistent with the high rate of profitability performance at Toyota and better utilisation of the invested capital than the other projects (Sustainability Times, 2025). Moreover, Project C generates greater cash flows during the intermediate years of the project and this helps to generate higher earnings potential. As Toyota is continuing to invest in electric vehicle technology, it is necessary to ensure that any project it picks has a greater potential of profitability to continue supporting growth in the long term and ensuring high returns to shareholders.</w:t>
      </w:r>
    </w:p>
    <w:p>
      <w:pPr>
        <w:spacing w:line="360" w:lineRule="auto"/>
        <w:jc w:val="both"/>
        <w:rPr>
          <w:rFonts w:ascii="Arial" w:cs="Arial" w:hAnsi="Arial"/>
          <w:b/>
          <w:sz w:val="24"/>
          <w:szCs w:val="24"/>
        </w:rPr>
      </w:pPr>
      <w:r>
        <w:rPr>
          <w:rFonts w:ascii="Arial" w:cs="Arial" w:hAnsi="Arial"/>
          <w:b/>
          <w:sz w:val="24"/>
          <w:szCs w:val="24"/>
        </w:rPr>
        <w:t>Liquidity Considerations</w:t>
      </w:r>
    </w:p>
    <w:p>
      <w:pPr>
        <w:pStyle w:val="15"/>
        <w:spacing w:line="360" w:lineRule="auto"/>
        <w:jc w:val="both"/>
        <w:rPr>
          <w:rFonts w:ascii="Arial" w:cs="Arial" w:hAnsi="Arial"/>
        </w:rPr>
      </w:pPr>
      <w:r>
        <w:rPr>
          <w:rFonts w:ascii="Arial" w:cs="Arial" w:hAnsi="Arial"/>
        </w:rPr>
        <w:t>Another parameter that facilitates the recommendation of Project C is that Liquidity position has been sound as the operating cash flow of Toyota is about ¥3.70 trillion in FY2025 and its cash reserves are about ¥8.98 trillion indicating that the company produces a considerable amount of cash through its operations. This robust cash flow can be used by Toyota to finance big capital projects, such as EV development and manufacturing expansion. Project C is also very optimal regarding liquidity since it has the shortest payback period at about 3.6 years and thus the company can recover its investment of £50 million pounds in the least amount of time compared to the other projects. Quick capital recovery minimizes financial risk and enhances the cash management of the company to reinvest in other strategic projects  (Toyota Times, 2025). In the present case, since Toyota continues to invest in electrification, battery, and sustainable mobility, it is strategically advantageous to choose a project that reinforces liquidity and yields solid cash flows. Thus, Project C is in line with the liquidity position and financial strategy of Toyota.</w:t>
      </w:r>
    </w:p>
    <w:p>
      <w:pPr>
        <w:pStyle w:val="2"/>
        <w:spacing w:line="360" w:lineRule="auto"/>
        <w:jc w:val="both"/>
        <w:rPr>
          <w:rFonts w:ascii="Arial" w:cs="Arial" w:hAnsi="Arial"/>
          <w:b/>
          <w:color w:val="auto"/>
          <w:sz w:val="24"/>
          <w:szCs w:val="24"/>
        </w:rPr>
      </w:pPr>
      <w:bookmarkStart w:id="18" w:name="_Toc224037904"/>
      <w:r>
        <w:rPr>
          <w:rFonts w:ascii="Arial" w:cs="Arial" w:hAnsi="Arial"/>
          <w:b/>
          <w:color w:val="auto"/>
          <w:sz w:val="24"/>
          <w:szCs w:val="24"/>
        </w:rPr>
        <w:t>4.3 Justify of the recommendation with reference to the company’s non-financial risks (e.g. political risk, customer loyalty)</w:t>
      </w:r>
      <w:bookmarkEnd w:id="18"/>
    </w:p>
    <w:p>
      <w:pPr>
        <w:spacing w:line="360" w:lineRule="auto"/>
        <w:jc w:val="both"/>
        <w:rPr>
          <w:rFonts w:ascii="Arial" w:cs="Arial" w:hAnsi="Arial"/>
          <w:b/>
          <w:sz w:val="24"/>
          <w:szCs w:val="24"/>
        </w:rPr>
      </w:pPr>
      <w:r>
        <w:rPr>
          <w:rFonts w:ascii="Arial" w:cs="Arial" w:hAnsi="Arial"/>
          <w:b/>
          <w:sz w:val="24"/>
          <w:szCs w:val="24"/>
        </w:rPr>
        <w:t>Political and Regulatory Risk</w:t>
      </w:r>
    </w:p>
    <w:p>
      <w:pPr>
        <w:pStyle w:val="15"/>
        <w:spacing w:line="360" w:lineRule="auto"/>
        <w:jc w:val="both"/>
        <w:rPr>
          <w:rFonts w:ascii="Arial" w:cs="Arial" w:hAnsi="Arial"/>
        </w:rPr>
      </w:pPr>
      <w:r>
        <w:rPr>
          <w:rFonts w:ascii="Arial" w:cs="Arial" w:hAnsi="Arial"/>
        </w:rPr>
        <w:t>Global automotive firms like Toyota need to be concerned with political and regulatory risks. Global governments are enacting tougher environmental policies, carbon emission targets, and policies that support electric cars to overcome climate change. These specifications may influence production expenses, supply chains and vehicle design specifications. Project C would be the most appropriate in this case since it would give a larger inflow of cash in the middle years of the project that will enable the company to recoup its investment more quickly and cope with the uncertainty associated with the regulatory changes. The quicker payback also minimizes the risk of being exposed to possible political risks like any alterations in the EV subsidies, trade policies or tariffs that may impact profitability (United Nations, 2025). Thus, the choice of Project C gives higher financial freedom to adapt to policy changes in the world automotive markets.</w:t>
      </w:r>
    </w:p>
    <w:p>
      <w:pPr>
        <w:spacing w:line="360" w:lineRule="auto"/>
        <w:jc w:val="both"/>
        <w:rPr>
          <w:rFonts w:ascii="Arial" w:cs="Arial" w:hAnsi="Arial"/>
          <w:b/>
          <w:sz w:val="24"/>
          <w:szCs w:val="24"/>
        </w:rPr>
      </w:pPr>
      <w:r>
        <w:rPr>
          <w:rFonts w:ascii="Arial" w:cs="Arial" w:hAnsi="Arial"/>
          <w:b/>
          <w:sz w:val="24"/>
          <w:szCs w:val="24"/>
        </w:rPr>
        <w:t>Customer Loyalty and Brand Reputation</w:t>
      </w:r>
    </w:p>
    <w:p>
      <w:pPr>
        <w:pStyle w:val="15"/>
        <w:spacing w:line="360" w:lineRule="auto"/>
        <w:jc w:val="both"/>
        <w:rPr>
          <w:rFonts w:ascii="Arial" w:cs="Arial" w:hAnsi="Arial"/>
        </w:rPr>
      </w:pPr>
      <w:r>
        <w:rPr>
          <w:rFonts w:ascii="Arial" w:cs="Arial" w:hAnsi="Arial"/>
        </w:rPr>
        <w:t>Other important non-financial factors that affect investment decisions are customer loyalty and brand reputation. Toyota has established a strong reputation in the world as a company that makes reliable, fuel efficient and green cars. With the ongoing shift of consumer demand towards sustainable mobility and electric vehicles, customer trust is the key to the long-term competitiveness. Project C produces better cash flows in the subsequent years, which can help in investments in product development, innovation and customer oriented technologies. By focusing on investments that will contribute to electrification and sustainable movement, Toyota will be able to create a firmer customer base and improve the brand image as a producer of socially responsible transportation (World Economic Forum, 2025). As a result, choosing Project C will aid in aligning financial investment decision-making in higher strategic objectives regarding customer satisfaction and sustainable innovation.</w:t>
      </w:r>
    </w:p>
    <w:p>
      <w:pPr>
        <w:pStyle w:val="2"/>
        <w:spacing w:line="360" w:lineRule="auto"/>
        <w:jc w:val="both"/>
        <w:rPr>
          <w:rFonts w:ascii="Arial" w:cs="Arial" w:hAnsi="Arial"/>
          <w:b/>
          <w:color w:val="auto"/>
          <w:sz w:val="24"/>
          <w:szCs w:val="24"/>
        </w:rPr>
      </w:pPr>
      <w:bookmarkStart w:id="19" w:name="_Toc224037905"/>
      <w:r>
        <w:rPr>
          <w:rFonts w:ascii="Arial" w:cs="Arial" w:hAnsi="Arial"/>
          <w:b/>
          <w:color w:val="auto"/>
          <w:sz w:val="24"/>
          <w:szCs w:val="24"/>
        </w:rPr>
        <w:t>4.4 Justification of the suggestion using capital rationing</w:t>
      </w:r>
      <w:bookmarkEnd w:id="19"/>
    </w:p>
    <w:p>
      <w:pPr>
        <w:spacing w:line="360" w:lineRule="auto"/>
        <w:jc w:val="both"/>
        <w:rPr>
          <w:rFonts w:ascii="Arial" w:cs="Arial" w:hAnsi="Arial"/>
          <w:sz w:val="24"/>
          <w:szCs w:val="24"/>
        </w:rPr>
      </w:pPr>
      <w:r>
        <w:rPr>
          <w:rFonts w:ascii="Arial" w:cs="Arial" w:hAnsi="Arial"/>
          <w:sz w:val="24"/>
          <w:szCs w:val="24"/>
        </w:rPr>
        <w:t>Capital rationing happens when the firm has a small amount of financial resources and is faced with the need to choose the most lucrative portfolio of investment projects under a given budget constraint. Here, the maximum investment budget is that of Toyota of £100M with each project having an initial investment of 50M. Hence, the company is free to choose between two out of the three options that include Project A, Project B, and Project C.</w:t>
      </w:r>
    </w:p>
    <w:p>
      <w:pPr>
        <w:pStyle w:val="15"/>
        <w:spacing w:line="360" w:lineRule="auto"/>
        <w:jc w:val="both"/>
        <w:rPr>
          <w:rFonts w:ascii="Arial" w:cs="Arial" w:hAnsi="Arial"/>
        </w:rPr>
      </w:pPr>
      <w:r>
        <w:rPr>
          <w:rFonts w:ascii="Arial" w:cs="Arial" w:hAnsi="Arial"/>
        </w:rPr>
        <w:t>Project C has the best financial performance between the three projects according to the calculations of the investment appraisal results carried out above. It will have the lowest payback period of about 3.6 years, high Accounting Rate of Return (ARR) of about 12 and Internal Rate of Return (IRR) of about 8.6 which is much higher than the IRR values of Projects A and B. It also has high cash inflows in the middle years of the project, specifically the value of 20million pounds in years three and 25million pounds in years four, which enhance liquidity and capital recovery faster. Consequently, the first project that should be chosen as an investment is Project C (World Bank, 2025).</w:t>
      </w:r>
    </w:p>
    <w:p>
      <w:pPr>
        <w:spacing w:line="360" w:lineRule="auto"/>
        <w:jc w:val="both"/>
        <w:rPr>
          <w:rFonts w:ascii="Arial" w:cs="Arial" w:hAnsi="Arial"/>
          <w:sz w:val="24"/>
          <w:szCs w:val="24"/>
        </w:rPr>
      </w:pPr>
      <w:r>
        <w:rPr>
          <w:rFonts w:ascii="Arial" w:cs="Arial" w:hAnsi="Arial"/>
          <w:sz w:val="24"/>
          <w:szCs w:val="24"/>
        </w:rPr>
        <w:t>With the choice of Project C, Toyota has left with a balance of £50 million in its investment budget which enables the firm to choose one more project. Project A is a better option than Project B when it comes to the overall financial performance. Both projects have the same initial investment and payback period however, the cash flows within Project A get higher cash inflows in the early years than Project B. This generates superior early cash recovery and helps the company in its liquidity position.</w:t>
      </w:r>
    </w:p>
    <w:p>
      <w:pPr>
        <w:spacing w:line="360" w:lineRule="auto"/>
        <w:jc w:val="both"/>
        <w:rPr>
          <w:rFonts w:ascii="Arial" w:cs="Arial" w:hAnsi="Arial"/>
          <w:sz w:val="24"/>
          <w:szCs w:val="24"/>
        </w:rPr>
      </w:pPr>
      <w:r>
        <w:rPr>
          <w:rFonts w:ascii="Arial" w:cs="Arial" w:hAnsi="Arial"/>
          <w:sz w:val="24"/>
          <w:szCs w:val="24"/>
        </w:rPr>
        <w:t>Thus, the optimal project mix with the capital rationing constraint is Project A and Project C that collectively imply an investment amounting to £100 million. Such a mixture will maximise cash inflows within the investment limit and will give a balance between early cash recovery and increased chances of greater profitability. The choice of Projects A and C can also enable Toyota to diversify its investment on various cash flow patterns, which decreases the total financial risk.</w:t>
      </w:r>
    </w:p>
    <w:p>
      <w:pPr>
        <w:spacing w:line="360" w:lineRule="auto"/>
        <w:jc w:val="both"/>
        <w:rPr>
          <w:rFonts w:ascii="Arial" w:cs="Arial" w:hAnsi="Arial"/>
          <w:sz w:val="24"/>
          <w:szCs w:val="24"/>
        </w:rPr>
      </w:pPr>
      <w:r>
        <w:rPr>
          <w:rFonts w:ascii="Arial" w:cs="Arial" w:hAnsi="Arial"/>
          <w:sz w:val="24"/>
          <w:szCs w:val="24"/>
        </w:rPr>
        <w:t>Strategically, a combination of Project A and Project C would enable Toyota to create a greater operation cash flow that can then be used to invest in the future in electric vehicle technology, manufacturing capacity, and sustainable mobility solutions. This means that when the capital-rationing constraint is that of using less than 100 million, the best investment decision would be to implement Projects A and C, since it would give the best proportion of profitability, liquidity, and risk management.</w:t>
      </w:r>
    </w:p>
    <w:p>
      <w:pPr>
        <w:spacing w:line="360" w:lineRule="auto"/>
        <w:jc w:val="both"/>
        <w:rPr>
          <w:rFonts w:ascii="Arial" w:eastAsia="宋体" w:cs="Arial" w:hAnsi="Arial"/>
          <w:b/>
          <w:sz w:val="24"/>
          <w:szCs w:val="24"/>
        </w:rPr>
      </w:pPr>
      <w:r>
        <w:rPr>
          <w:rFonts w:ascii="Arial" w:cs="Arial" w:hAnsi="Arial"/>
          <w:b/>
          <w:sz w:val="24"/>
          <w:szCs w:val="24"/>
        </w:rPr>
        <w:br w:type="page"/>
      </w:r>
    </w:p>
    <w:p>
      <w:pPr>
        <w:pStyle w:val="1"/>
        <w:spacing w:line="360" w:lineRule="auto"/>
        <w:jc w:val="both"/>
        <w:rPr>
          <w:rFonts w:ascii="Arial" w:cs="Arial" w:hAnsi="Arial"/>
          <w:b/>
          <w:color w:val="auto"/>
          <w:sz w:val="24"/>
          <w:szCs w:val="24"/>
        </w:rPr>
      </w:pPr>
      <w:bookmarkStart w:id="20" w:name="_Toc224037906"/>
      <w:r>
        <w:rPr>
          <w:rFonts w:ascii="Arial" w:cs="Arial" w:hAnsi="Arial"/>
          <w:b/>
          <w:color w:val="auto"/>
          <w:sz w:val="24"/>
          <w:szCs w:val="24"/>
        </w:rPr>
        <w:t>References</w:t>
      </w:r>
      <w:bookmarkEnd w:id="20"/>
    </w:p>
    <w:p>
      <w:pPr>
        <w:spacing w:line="360" w:lineRule="auto"/>
        <w:jc w:val="both"/>
        <w:rPr>
          <w:rFonts w:ascii="Arial" w:cs="Arial" w:hAnsi="Arial"/>
          <w:sz w:val="24"/>
          <w:szCs w:val="24"/>
        </w:rPr>
      </w:pPr>
      <w:r>
        <w:rPr>
          <w:rFonts w:ascii="Arial" w:cs="Arial" w:hAnsi="Arial"/>
          <w:sz w:val="24"/>
          <w:szCs w:val="24"/>
        </w:rPr>
        <w:t xml:space="preserve">Bloomberg (2026) Toyota Motor Corporation stock analysis. Available at: </w:t>
      </w:r>
      <w:r>
        <w:rPr>
          <w:rStyle w:val="19"/>
          <w:rFonts w:ascii="Arial" w:cs="Arial" w:hAnsi="Arial"/>
          <w:color w:val="auto"/>
          <w:sz w:val="24"/>
          <w:szCs w:val="24"/>
        </w:rPr>
        <w:fldChar w:fldCharType="begin"/>
      </w:r>
      <w:r>
        <w:instrText>HYPERLINK "https://www.bloomberg.com/quote/7203:JP"</w:instrText>
      </w:r>
      <w:r>
        <w:rPr>
          <w:rStyle w:val="19"/>
          <w:rFonts w:ascii="Arial" w:cs="Arial" w:hAnsi="Arial"/>
          <w:color w:val="auto"/>
          <w:sz w:val="24"/>
          <w:szCs w:val="24"/>
        </w:rPr>
        <w:fldChar w:fldCharType="separate"/>
      </w:r>
      <w:r>
        <w:rPr>
          <w:rStyle w:val="19"/>
          <w:rFonts w:ascii="Arial" w:cs="Arial" w:hAnsi="Arial"/>
          <w:color w:val="auto"/>
          <w:sz w:val="24"/>
          <w:szCs w:val="24"/>
        </w:rPr>
        <w:t>https://www.bloomberg.com/quote/7203:JP</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Boston Consulting Group (2025) Electric vehicle market trends. Available at: </w:t>
      </w:r>
      <w:r>
        <w:rPr>
          <w:rStyle w:val="19"/>
          <w:rFonts w:ascii="Arial" w:cs="Arial" w:hAnsi="Arial"/>
          <w:color w:val="auto"/>
          <w:sz w:val="24"/>
          <w:szCs w:val="24"/>
        </w:rPr>
        <w:fldChar w:fldCharType="begin"/>
      </w:r>
      <w:r>
        <w:instrText>HYPERLINK "https://www.bcg.com/publications/2025/electric-vehicle-market-trends"</w:instrText>
      </w:r>
      <w:r>
        <w:rPr>
          <w:rStyle w:val="19"/>
          <w:rFonts w:ascii="Arial" w:cs="Arial" w:hAnsi="Arial"/>
          <w:color w:val="auto"/>
          <w:sz w:val="24"/>
          <w:szCs w:val="24"/>
        </w:rPr>
        <w:fldChar w:fldCharType="separate"/>
      </w:r>
      <w:r>
        <w:rPr>
          <w:rStyle w:val="19"/>
          <w:rFonts w:ascii="Arial" w:cs="Arial" w:hAnsi="Arial"/>
          <w:color w:val="auto"/>
          <w:sz w:val="24"/>
          <w:szCs w:val="24"/>
        </w:rPr>
        <w:t>https://www.bcg.com/publications/2025/electric-vehicle-market-trends</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Grand View Research (2025) Electric vehicle market size and trends. Available at: </w:t>
      </w:r>
      <w:r>
        <w:rPr>
          <w:rStyle w:val="19"/>
          <w:rFonts w:ascii="Arial" w:cs="Arial" w:hAnsi="Arial"/>
          <w:color w:val="auto"/>
          <w:sz w:val="24"/>
          <w:szCs w:val="24"/>
        </w:rPr>
        <w:fldChar w:fldCharType="begin"/>
      </w:r>
      <w:r>
        <w:instrText>HYPERLINK "https://www.grandviewresearch.com/industry-analysis/electric-vehicle-market"</w:instrText>
      </w:r>
      <w:r>
        <w:rPr>
          <w:rStyle w:val="19"/>
          <w:rFonts w:ascii="Arial" w:cs="Arial" w:hAnsi="Arial"/>
          <w:color w:val="auto"/>
          <w:sz w:val="24"/>
          <w:szCs w:val="24"/>
        </w:rPr>
        <w:fldChar w:fldCharType="separate"/>
      </w:r>
      <w:r>
        <w:rPr>
          <w:rStyle w:val="19"/>
          <w:rFonts w:ascii="Arial" w:cs="Arial" w:hAnsi="Arial"/>
          <w:color w:val="auto"/>
          <w:sz w:val="24"/>
          <w:szCs w:val="24"/>
        </w:rPr>
        <w:t>https://www.grandviewresearch.com/industry-analysis/electric-vehicle-market</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International Energy Agency (2025) Electric vehicles and energy system transition. Available at: </w:t>
      </w:r>
      <w:r>
        <w:rPr>
          <w:rStyle w:val="19"/>
          <w:rFonts w:ascii="Arial" w:cs="Arial" w:hAnsi="Arial"/>
          <w:color w:val="auto"/>
          <w:sz w:val="24"/>
          <w:szCs w:val="24"/>
        </w:rPr>
        <w:fldChar w:fldCharType="begin"/>
      </w:r>
      <w:r>
        <w:instrText>HYPERLINK "https://www.iea.org/energy-system/transport/electric-vehicles"</w:instrText>
      </w:r>
      <w:r>
        <w:rPr>
          <w:rStyle w:val="19"/>
          <w:rFonts w:ascii="Arial" w:cs="Arial" w:hAnsi="Arial"/>
          <w:color w:val="auto"/>
          <w:sz w:val="24"/>
          <w:szCs w:val="24"/>
        </w:rPr>
        <w:fldChar w:fldCharType="separate"/>
      </w:r>
      <w:r>
        <w:rPr>
          <w:rStyle w:val="19"/>
          <w:rFonts w:ascii="Arial" w:cs="Arial" w:hAnsi="Arial"/>
          <w:color w:val="auto"/>
          <w:sz w:val="24"/>
          <w:szCs w:val="24"/>
        </w:rPr>
        <w:t>https://www.iea.org/energy-system/transport/electric-vehicles</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International Energy Agency (2025a) Global EV outlook 2025. Available at: </w:t>
      </w:r>
      <w:r>
        <w:rPr>
          <w:rStyle w:val="19"/>
          <w:rFonts w:ascii="Arial" w:cs="Arial" w:hAnsi="Arial"/>
          <w:color w:val="auto"/>
          <w:sz w:val="24"/>
          <w:szCs w:val="24"/>
        </w:rPr>
        <w:fldChar w:fldCharType="begin"/>
      </w:r>
      <w:r>
        <w:instrText>HYPERLINK "https://www.iea.org/reports/global-ev-outlook-2025"</w:instrText>
      </w:r>
      <w:r>
        <w:rPr>
          <w:rStyle w:val="19"/>
          <w:rFonts w:ascii="Arial" w:cs="Arial" w:hAnsi="Arial"/>
          <w:color w:val="auto"/>
          <w:sz w:val="24"/>
          <w:szCs w:val="24"/>
        </w:rPr>
        <w:fldChar w:fldCharType="separate"/>
      </w:r>
      <w:r>
        <w:rPr>
          <w:rStyle w:val="19"/>
          <w:rFonts w:ascii="Arial" w:cs="Arial" w:hAnsi="Arial"/>
          <w:color w:val="auto"/>
          <w:sz w:val="24"/>
          <w:szCs w:val="24"/>
        </w:rPr>
        <w:t>https://www.iea.org/reports/global-ev-outlook-2025</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International Energy Agency (2025b) Electric vehicles and transport energy analysis. Available at: </w:t>
      </w:r>
      <w:r>
        <w:rPr>
          <w:rStyle w:val="19"/>
          <w:rFonts w:ascii="Arial" w:cs="Arial" w:hAnsi="Arial"/>
          <w:color w:val="auto"/>
          <w:sz w:val="24"/>
          <w:szCs w:val="24"/>
        </w:rPr>
        <w:fldChar w:fldCharType="begin"/>
      </w:r>
      <w:r>
        <w:instrText>HYPERLINK "https://www.iea.org/transport/electric-vehicles"</w:instrText>
      </w:r>
      <w:r>
        <w:rPr>
          <w:rStyle w:val="19"/>
          <w:rFonts w:ascii="Arial" w:cs="Arial" w:hAnsi="Arial"/>
          <w:color w:val="auto"/>
          <w:sz w:val="24"/>
          <w:szCs w:val="24"/>
        </w:rPr>
        <w:fldChar w:fldCharType="separate"/>
      </w:r>
      <w:r>
        <w:rPr>
          <w:rStyle w:val="19"/>
          <w:rFonts w:ascii="Arial" w:cs="Arial" w:hAnsi="Arial"/>
          <w:color w:val="auto"/>
          <w:sz w:val="24"/>
          <w:szCs w:val="24"/>
        </w:rPr>
        <w:t>https://www.iea.org/transport/electric-vehicles</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Investing.com (2025) Toyota reports increase in electrified vehicle sales. Available at: </w:t>
      </w:r>
      <w:r>
        <w:rPr>
          <w:rStyle w:val="19"/>
          <w:rFonts w:ascii="Arial" w:cs="Arial" w:hAnsi="Arial"/>
          <w:color w:val="auto"/>
          <w:sz w:val="24"/>
          <w:szCs w:val="24"/>
        </w:rPr>
        <w:fldChar w:fldCharType="begin"/>
      </w:r>
      <w:r>
        <w:instrText>HYPERLINK "https://ca.investing.com/news/company-news/toyota-reports-8-sales-increase-in-2025-electrified-vehicles-surge-93CH-4385910"</w:instrText>
      </w:r>
      <w:r>
        <w:rPr>
          <w:rStyle w:val="19"/>
          <w:rFonts w:ascii="Arial" w:cs="Arial" w:hAnsi="Arial"/>
          <w:color w:val="auto"/>
          <w:sz w:val="24"/>
          <w:szCs w:val="24"/>
        </w:rPr>
        <w:fldChar w:fldCharType="separate"/>
      </w:r>
      <w:r>
        <w:rPr>
          <w:rStyle w:val="19"/>
          <w:rFonts w:ascii="Arial" w:cs="Arial" w:hAnsi="Arial"/>
          <w:color w:val="auto"/>
          <w:sz w:val="24"/>
          <w:szCs w:val="24"/>
        </w:rPr>
        <w:t>https://ca.investing.com/news/company-news/toyota-reports-8-sales-increase-in-2025-electrified-vehicles-surge-93CH-4385910</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MarketWatch (2026) Toyota Motor Corporation market performance. Available at: </w:t>
      </w:r>
      <w:r>
        <w:rPr>
          <w:rStyle w:val="19"/>
          <w:rFonts w:ascii="Arial" w:cs="Arial" w:hAnsi="Arial"/>
          <w:color w:val="auto"/>
          <w:sz w:val="24"/>
          <w:szCs w:val="24"/>
        </w:rPr>
        <w:fldChar w:fldCharType="begin"/>
      </w:r>
      <w:r>
        <w:instrText>HYPERLINK "https://www.marketwatch.com/investing/stock/tm"</w:instrText>
      </w:r>
      <w:r>
        <w:rPr>
          <w:rStyle w:val="19"/>
          <w:rFonts w:ascii="Arial" w:cs="Arial" w:hAnsi="Arial"/>
          <w:color w:val="auto"/>
          <w:sz w:val="24"/>
          <w:szCs w:val="24"/>
        </w:rPr>
        <w:fldChar w:fldCharType="separate"/>
      </w:r>
      <w:r>
        <w:rPr>
          <w:rStyle w:val="19"/>
          <w:rFonts w:ascii="Arial" w:cs="Arial" w:hAnsi="Arial"/>
          <w:color w:val="auto"/>
          <w:sz w:val="24"/>
          <w:szCs w:val="24"/>
        </w:rPr>
        <w:t>https://www.marketwatch.com/investing/stock/tm</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McKinsey &amp; Company (2025a) Automotive and assembly industry insights. Available at: </w:t>
      </w:r>
      <w:r>
        <w:rPr>
          <w:rStyle w:val="19"/>
          <w:rFonts w:ascii="Arial" w:cs="Arial" w:hAnsi="Arial"/>
          <w:color w:val="auto"/>
          <w:sz w:val="24"/>
          <w:szCs w:val="24"/>
        </w:rPr>
        <w:fldChar w:fldCharType="begin"/>
      </w:r>
      <w:r>
        <w:instrText>HYPERLINK "https://www.mckinsey.com/industries/automotive-and-assembly/our-insights"</w:instrText>
      </w:r>
      <w:r>
        <w:rPr>
          <w:rStyle w:val="19"/>
          <w:rFonts w:ascii="Arial" w:cs="Arial" w:hAnsi="Arial"/>
          <w:color w:val="auto"/>
          <w:sz w:val="24"/>
          <w:szCs w:val="24"/>
        </w:rPr>
        <w:fldChar w:fldCharType="separate"/>
      </w:r>
      <w:r>
        <w:rPr>
          <w:rStyle w:val="19"/>
          <w:rFonts w:ascii="Arial" w:cs="Arial" w:hAnsi="Arial"/>
          <w:color w:val="auto"/>
          <w:sz w:val="24"/>
          <w:szCs w:val="24"/>
        </w:rPr>
        <w:t>https://www.mckinsey.com/industries/automotive-and-assembly/our-insights</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McKinsey &amp; Company (2025b) The future of electric vehicles. Available at: </w:t>
      </w:r>
      <w:r>
        <w:rPr>
          <w:rStyle w:val="19"/>
          <w:rFonts w:ascii="Arial" w:cs="Arial" w:hAnsi="Arial"/>
          <w:color w:val="auto"/>
          <w:sz w:val="24"/>
          <w:szCs w:val="24"/>
        </w:rPr>
        <w:fldChar w:fldCharType="begin"/>
      </w:r>
      <w:r>
        <w:instrText>HYPERLINK "https://www.mckinsey.com/industries/automotive-and-assembly/our-insights/the-future-of-electric-vehicles"</w:instrText>
      </w:r>
      <w:r>
        <w:rPr>
          <w:rStyle w:val="19"/>
          <w:rFonts w:ascii="Arial" w:cs="Arial" w:hAnsi="Arial"/>
          <w:color w:val="auto"/>
          <w:sz w:val="24"/>
          <w:szCs w:val="24"/>
        </w:rPr>
        <w:fldChar w:fldCharType="separate"/>
      </w:r>
      <w:r>
        <w:rPr>
          <w:rStyle w:val="19"/>
          <w:rFonts w:ascii="Arial" w:cs="Arial" w:hAnsi="Arial"/>
          <w:color w:val="auto"/>
          <w:sz w:val="24"/>
          <w:szCs w:val="24"/>
        </w:rPr>
        <w:t>https://www.mckinsey.com/industries/automotive-and-assembly/our-insights/the-future-of-electric-vehicles</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Morningstar (2026) Toyota Motor Corporation financial analysis. Available at: </w:t>
      </w:r>
      <w:r>
        <w:rPr>
          <w:rStyle w:val="19"/>
          <w:rFonts w:ascii="Arial" w:cs="Arial" w:hAnsi="Arial"/>
          <w:color w:val="auto"/>
          <w:sz w:val="24"/>
          <w:szCs w:val="24"/>
        </w:rPr>
        <w:fldChar w:fldCharType="begin"/>
      </w:r>
      <w:r>
        <w:instrText>HYPERLINK "https://www.morningstar.com/stocks/xnys/tm/quote"</w:instrText>
      </w:r>
      <w:r>
        <w:rPr>
          <w:rStyle w:val="19"/>
          <w:rFonts w:ascii="Arial" w:cs="Arial" w:hAnsi="Arial"/>
          <w:color w:val="auto"/>
          <w:sz w:val="24"/>
          <w:szCs w:val="24"/>
        </w:rPr>
        <w:fldChar w:fldCharType="separate"/>
      </w:r>
      <w:r>
        <w:rPr>
          <w:rStyle w:val="19"/>
          <w:rFonts w:ascii="Arial" w:cs="Arial" w:hAnsi="Arial"/>
          <w:color w:val="auto"/>
          <w:sz w:val="24"/>
          <w:szCs w:val="24"/>
        </w:rPr>
        <w:t>https://www.morningstar.com/stocks/xnys/tm/quote</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OECD (2025) Transport and environmental sustainability policies. Available at: </w:t>
      </w:r>
      <w:r>
        <w:rPr>
          <w:rStyle w:val="19"/>
          <w:rFonts w:ascii="Arial" w:cs="Arial" w:hAnsi="Arial"/>
          <w:color w:val="auto"/>
          <w:sz w:val="24"/>
          <w:szCs w:val="24"/>
        </w:rPr>
        <w:fldChar w:fldCharType="begin"/>
      </w:r>
      <w:r>
        <w:instrText>HYPERLINK "https://www.oecd.org/environment/transport/"</w:instrText>
      </w:r>
      <w:r>
        <w:rPr>
          <w:rStyle w:val="19"/>
          <w:rFonts w:ascii="Arial" w:cs="Arial" w:hAnsi="Arial"/>
          <w:color w:val="auto"/>
          <w:sz w:val="24"/>
          <w:szCs w:val="24"/>
        </w:rPr>
        <w:fldChar w:fldCharType="separate"/>
      </w:r>
      <w:r>
        <w:rPr>
          <w:rStyle w:val="19"/>
          <w:rFonts w:ascii="Arial" w:cs="Arial" w:hAnsi="Arial"/>
          <w:color w:val="auto"/>
          <w:sz w:val="24"/>
          <w:szCs w:val="24"/>
        </w:rPr>
        <w:t>https://www.oecd.org/environment/transport/</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PR Newswire (2025) Toyota Motor North America reports 2025 US sales results. Available at: </w:t>
      </w:r>
      <w:r>
        <w:rPr>
          <w:rStyle w:val="19"/>
          <w:rFonts w:ascii="Arial" w:cs="Arial" w:hAnsi="Arial"/>
          <w:color w:val="auto"/>
          <w:sz w:val="24"/>
          <w:szCs w:val="24"/>
        </w:rPr>
        <w:fldChar w:fldCharType="begin"/>
      </w:r>
      <w:r>
        <w:instrText>HYPERLINK "https://www.prnewswire.com/news-releases/toyota-motor-north-america-reports-2025-us-sales-results-302652746.html"</w:instrText>
      </w:r>
      <w:r>
        <w:rPr>
          <w:rStyle w:val="19"/>
          <w:rFonts w:ascii="Arial" w:cs="Arial" w:hAnsi="Arial"/>
          <w:color w:val="auto"/>
          <w:sz w:val="24"/>
          <w:szCs w:val="24"/>
        </w:rPr>
        <w:fldChar w:fldCharType="separate"/>
      </w:r>
      <w:r>
        <w:rPr>
          <w:rStyle w:val="19"/>
          <w:rFonts w:ascii="Arial" w:cs="Arial" w:hAnsi="Arial"/>
          <w:color w:val="auto"/>
          <w:sz w:val="24"/>
          <w:szCs w:val="24"/>
        </w:rPr>
        <w:t>https://www.prnewswire.com/news-releases/toyota-motor-north-america-reports-2025-us-sales-results-302652746.html</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Precedence Research (2025) Electric vehicle market report. Available at: </w:t>
      </w:r>
      <w:r>
        <w:rPr>
          <w:rStyle w:val="19"/>
          <w:rFonts w:ascii="Arial" w:cs="Arial" w:hAnsi="Arial"/>
          <w:color w:val="auto"/>
          <w:sz w:val="24"/>
          <w:szCs w:val="24"/>
        </w:rPr>
        <w:fldChar w:fldCharType="begin"/>
      </w:r>
      <w:r>
        <w:instrText>HYPERLINK "https://www.precedenceresearch.com/electric-vehicle-market"</w:instrText>
      </w:r>
      <w:r>
        <w:rPr>
          <w:rStyle w:val="19"/>
          <w:rFonts w:ascii="Arial" w:cs="Arial" w:hAnsi="Arial"/>
          <w:color w:val="auto"/>
          <w:sz w:val="24"/>
          <w:szCs w:val="24"/>
        </w:rPr>
        <w:fldChar w:fldCharType="separate"/>
      </w:r>
      <w:r>
        <w:rPr>
          <w:rStyle w:val="19"/>
          <w:rFonts w:ascii="Arial" w:cs="Arial" w:hAnsi="Arial"/>
          <w:color w:val="auto"/>
          <w:sz w:val="24"/>
          <w:szCs w:val="24"/>
        </w:rPr>
        <w:t>https://www.precedenceresearch.com/electric-vehicle-market</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PwC (2025) Electric vehicle market trends and insights. Available at: </w:t>
      </w:r>
      <w:r>
        <w:rPr>
          <w:rStyle w:val="19"/>
          <w:rFonts w:ascii="Arial" w:cs="Arial" w:hAnsi="Arial"/>
          <w:color w:val="auto"/>
          <w:sz w:val="24"/>
          <w:szCs w:val="24"/>
        </w:rPr>
        <w:fldChar w:fldCharType="begin"/>
      </w:r>
      <w:r>
        <w:instrText>HYPERLINK "https://www.pwc.com/gx/en/industries/automotive/electric-vehicle-trends.html"</w:instrText>
      </w:r>
      <w:r>
        <w:rPr>
          <w:rStyle w:val="19"/>
          <w:rFonts w:ascii="Arial" w:cs="Arial" w:hAnsi="Arial"/>
          <w:color w:val="auto"/>
          <w:sz w:val="24"/>
          <w:szCs w:val="24"/>
        </w:rPr>
        <w:fldChar w:fldCharType="separate"/>
      </w:r>
      <w:r>
        <w:rPr>
          <w:rStyle w:val="19"/>
          <w:rFonts w:ascii="Arial" w:cs="Arial" w:hAnsi="Arial"/>
          <w:color w:val="auto"/>
          <w:sz w:val="24"/>
          <w:szCs w:val="24"/>
        </w:rPr>
        <w:t>https://www.pwc.com/gx/en/industries/automotive/electric-vehicle-trends.html</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Reuters (2026) Toyota Motor Corporation financial information. Available at: </w:t>
      </w:r>
      <w:r>
        <w:rPr>
          <w:rStyle w:val="19"/>
          <w:rFonts w:ascii="Arial" w:cs="Arial" w:hAnsi="Arial"/>
          <w:color w:val="auto"/>
          <w:sz w:val="24"/>
          <w:szCs w:val="24"/>
        </w:rPr>
        <w:fldChar w:fldCharType="begin"/>
      </w:r>
      <w:r>
        <w:instrText>HYPERLINK "https://www.reuters.com/companies/7203.T"</w:instrText>
      </w:r>
      <w:r>
        <w:rPr>
          <w:rStyle w:val="19"/>
          <w:rFonts w:ascii="Arial" w:cs="Arial" w:hAnsi="Arial"/>
          <w:color w:val="auto"/>
          <w:sz w:val="24"/>
          <w:szCs w:val="24"/>
        </w:rPr>
        <w:fldChar w:fldCharType="separate"/>
      </w:r>
      <w:r>
        <w:rPr>
          <w:rStyle w:val="19"/>
          <w:rFonts w:ascii="Arial" w:cs="Arial" w:hAnsi="Arial"/>
          <w:color w:val="auto"/>
          <w:sz w:val="24"/>
          <w:szCs w:val="24"/>
        </w:rPr>
        <w:t>https://www.reuters.com/companies/7203.T</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Statista (2025a) Electric vehicles – global market statistics. Available at: </w:t>
      </w:r>
      <w:r>
        <w:rPr>
          <w:rStyle w:val="19"/>
          <w:rFonts w:ascii="Arial" w:cs="Arial" w:hAnsi="Arial"/>
          <w:color w:val="auto"/>
          <w:sz w:val="24"/>
          <w:szCs w:val="24"/>
        </w:rPr>
        <w:fldChar w:fldCharType="begin"/>
      </w:r>
      <w:r>
        <w:instrText>HYPERLINK "https://www.statista.com/topics/1087/electric-vehicles/"</w:instrText>
      </w:r>
      <w:r>
        <w:rPr>
          <w:rStyle w:val="19"/>
          <w:rFonts w:ascii="Arial" w:cs="Arial" w:hAnsi="Arial"/>
          <w:color w:val="auto"/>
          <w:sz w:val="24"/>
          <w:szCs w:val="24"/>
        </w:rPr>
        <w:fldChar w:fldCharType="separate"/>
      </w:r>
      <w:r>
        <w:rPr>
          <w:rStyle w:val="19"/>
          <w:rFonts w:ascii="Arial" w:cs="Arial" w:hAnsi="Arial"/>
          <w:color w:val="auto"/>
          <w:sz w:val="24"/>
          <w:szCs w:val="24"/>
        </w:rPr>
        <w:t>https://www.statista.com/topics/1087/electric-vehicles/</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Statista (2025b) Electric vehicle market outlook worldwide. Available at: </w:t>
      </w:r>
      <w:r>
        <w:rPr>
          <w:rStyle w:val="19"/>
          <w:rFonts w:ascii="Arial" w:cs="Arial" w:hAnsi="Arial"/>
          <w:color w:val="auto"/>
          <w:sz w:val="24"/>
          <w:szCs w:val="24"/>
        </w:rPr>
        <w:fldChar w:fldCharType="begin"/>
      </w:r>
      <w:r>
        <w:instrText>HYPERLINK "https://www.statista.com/outlook/mmo/electric-vehicles/worldwide"</w:instrText>
      </w:r>
      <w:r>
        <w:rPr>
          <w:rStyle w:val="19"/>
          <w:rFonts w:ascii="Arial" w:cs="Arial" w:hAnsi="Arial"/>
          <w:color w:val="auto"/>
          <w:sz w:val="24"/>
          <w:szCs w:val="24"/>
        </w:rPr>
        <w:fldChar w:fldCharType="separate"/>
      </w:r>
      <w:r>
        <w:rPr>
          <w:rStyle w:val="19"/>
          <w:rFonts w:ascii="Arial" w:cs="Arial" w:hAnsi="Arial"/>
          <w:color w:val="auto"/>
          <w:sz w:val="24"/>
          <w:szCs w:val="24"/>
        </w:rPr>
        <w:t>https://www.statista.com/outlook/mmo/electric-vehicles/worldwide</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Sustainability Times (2025) Sustainable mobility and environmental innovation. Available at: </w:t>
      </w:r>
      <w:r>
        <w:rPr>
          <w:rStyle w:val="19"/>
          <w:rFonts w:ascii="Arial" w:cs="Arial" w:hAnsi="Arial"/>
          <w:color w:val="auto"/>
          <w:sz w:val="24"/>
          <w:szCs w:val="24"/>
        </w:rPr>
        <w:fldChar w:fldCharType="begin"/>
      </w:r>
      <w:r>
        <w:instrText>HYPERLINK "https://www.sustainability-times.com"</w:instrText>
      </w:r>
      <w:r>
        <w:rPr>
          <w:rStyle w:val="19"/>
          <w:rFonts w:ascii="Arial" w:cs="Arial" w:hAnsi="Arial"/>
          <w:color w:val="auto"/>
          <w:sz w:val="24"/>
          <w:szCs w:val="24"/>
        </w:rPr>
        <w:fldChar w:fldCharType="separate"/>
      </w:r>
      <w:r>
        <w:rPr>
          <w:rStyle w:val="19"/>
          <w:rFonts w:ascii="Arial" w:cs="Arial" w:hAnsi="Arial"/>
          <w:color w:val="auto"/>
          <w:sz w:val="24"/>
          <w:szCs w:val="24"/>
        </w:rPr>
        <w:t>https://www.sustainability-times.com</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(2025a) FY2025 consolidated financial summary. Available at: </w:t>
      </w:r>
      <w:r>
        <w:rPr>
          <w:rStyle w:val="19"/>
          <w:rFonts w:ascii="Arial" w:cs="Arial" w:hAnsi="Arial"/>
          <w:color w:val="auto"/>
          <w:sz w:val="24"/>
          <w:szCs w:val="24"/>
        </w:rPr>
        <w:fldChar w:fldCharType="begin"/>
      </w:r>
      <w:r>
        <w:instrText>HYPERLINK "https://global.toyota/pages/global_toyota/ir/financial-results/2025_4q_summary_en.pdf"</w:instrText>
      </w:r>
      <w:r>
        <w:rPr>
          <w:rStyle w:val="19"/>
          <w:rFonts w:ascii="Arial" w:cs="Arial" w:hAnsi="Arial"/>
          <w:color w:val="auto"/>
          <w:sz w:val="24"/>
          <w:szCs w:val="24"/>
        </w:rPr>
        <w:fldChar w:fldCharType="separate"/>
      </w:r>
      <w:r>
        <w:rPr>
          <w:rStyle w:val="19"/>
          <w:rFonts w:ascii="Arial" w:cs="Arial" w:hAnsi="Arial"/>
          <w:color w:val="auto"/>
          <w:sz w:val="24"/>
          <w:szCs w:val="24"/>
        </w:rPr>
        <w:t>https://global.toyota/pages/global_toyota/ir/financial-results/2025_4q_summary_en.pdf</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(2025b) Toyota announces April through March 2025 financial results. Available at: </w:t>
      </w:r>
      <w:r>
        <w:rPr>
          <w:rStyle w:val="19"/>
          <w:rFonts w:ascii="Arial" w:cs="Arial" w:hAnsi="Arial"/>
          <w:color w:val="auto"/>
          <w:sz w:val="24"/>
          <w:szCs w:val="24"/>
        </w:rPr>
        <w:fldChar w:fldCharType="begin"/>
      </w:r>
      <w:r>
        <w:instrText>HYPERLINK "https://pressroom.toyota.com/tmc-announces-april-through-march-2025-financial-results/"</w:instrText>
      </w:r>
      <w:r>
        <w:rPr>
          <w:rStyle w:val="19"/>
          <w:rFonts w:ascii="Arial" w:cs="Arial" w:hAnsi="Arial"/>
          <w:color w:val="auto"/>
          <w:sz w:val="24"/>
          <w:szCs w:val="24"/>
        </w:rPr>
        <w:fldChar w:fldCharType="separate"/>
      </w:r>
      <w:r>
        <w:rPr>
          <w:rStyle w:val="19"/>
          <w:rFonts w:ascii="Arial" w:cs="Arial" w:hAnsi="Arial"/>
          <w:color w:val="auto"/>
          <w:sz w:val="24"/>
          <w:szCs w:val="24"/>
        </w:rPr>
        <w:t>https://pressroom.toyota.com/tmc-announces-april-through-march-2025-financial-results/</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(2025c) Toyota announces April through September 2025 financial results. Available at: </w:t>
      </w:r>
      <w:r>
        <w:rPr>
          <w:rStyle w:val="19"/>
          <w:rFonts w:ascii="Arial" w:cs="Arial" w:hAnsi="Arial"/>
          <w:color w:val="auto"/>
          <w:sz w:val="24"/>
          <w:szCs w:val="24"/>
        </w:rPr>
        <w:fldChar w:fldCharType="begin"/>
      </w:r>
      <w:r>
        <w:instrText>HYPERLINK "https://pressroom.toyota.com/tmc-announces-april-through-september-2025-financial-results/?utm_source=chatgpt.com"</w:instrText>
      </w:r>
      <w:r>
        <w:rPr>
          <w:rStyle w:val="19"/>
          <w:rFonts w:ascii="Arial" w:cs="Arial" w:hAnsi="Arial"/>
          <w:color w:val="auto"/>
          <w:sz w:val="24"/>
          <w:szCs w:val="24"/>
        </w:rPr>
        <w:fldChar w:fldCharType="separate"/>
      </w:r>
      <w:r>
        <w:rPr>
          <w:rStyle w:val="19"/>
          <w:rFonts w:ascii="Arial" w:cs="Arial" w:hAnsi="Arial"/>
          <w:color w:val="auto"/>
          <w:sz w:val="24"/>
          <w:szCs w:val="24"/>
        </w:rPr>
        <w:t>https://pressroom.toyota.com/tmc-announces-april-through-september-2025-financial-results/</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(2026a) Financial results and investor relations. Available at: </w:t>
      </w:r>
      <w:r>
        <w:rPr>
          <w:rStyle w:val="19"/>
          <w:rFonts w:ascii="Arial" w:cs="Arial" w:hAnsi="Arial"/>
          <w:color w:val="auto"/>
          <w:sz w:val="24"/>
          <w:szCs w:val="24"/>
        </w:rPr>
        <w:fldChar w:fldCharType="begin"/>
      </w:r>
      <w:r>
        <w:instrText>HYPERLINK "https://global.toyota/en/ir/financial-results/index.html"</w:instrText>
      </w:r>
      <w:r>
        <w:rPr>
          <w:rStyle w:val="19"/>
          <w:rFonts w:ascii="Arial" w:cs="Arial" w:hAnsi="Arial"/>
          <w:color w:val="auto"/>
          <w:sz w:val="24"/>
          <w:szCs w:val="24"/>
        </w:rPr>
        <w:fldChar w:fldCharType="separate"/>
      </w:r>
      <w:r>
        <w:rPr>
          <w:rStyle w:val="19"/>
          <w:rFonts w:ascii="Arial" w:cs="Arial" w:hAnsi="Arial"/>
          <w:color w:val="auto"/>
          <w:sz w:val="24"/>
          <w:szCs w:val="24"/>
        </w:rPr>
        <w:t>https://global.toyota/en/ir/financial-results/index.html</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(2026b) Global production and sales figures. Available at: </w:t>
      </w:r>
      <w:r>
        <w:rPr>
          <w:rStyle w:val="19"/>
          <w:rFonts w:ascii="Arial" w:cs="Arial" w:hAnsi="Arial"/>
          <w:color w:val="auto"/>
          <w:sz w:val="24"/>
          <w:szCs w:val="24"/>
        </w:rPr>
        <w:fldChar w:fldCharType="begin"/>
      </w:r>
      <w:r>
        <w:instrText>HYPERLINK "https://global.toyota/en/company/profile/production-sales-figures/index.html"</w:instrText>
      </w:r>
      <w:r>
        <w:rPr>
          <w:rStyle w:val="19"/>
          <w:rFonts w:ascii="Arial" w:cs="Arial" w:hAnsi="Arial"/>
          <w:color w:val="auto"/>
          <w:sz w:val="24"/>
          <w:szCs w:val="24"/>
        </w:rPr>
        <w:fldChar w:fldCharType="separate"/>
      </w:r>
      <w:r>
        <w:rPr>
          <w:rStyle w:val="19"/>
          <w:rFonts w:ascii="Arial" w:cs="Arial" w:hAnsi="Arial"/>
          <w:color w:val="auto"/>
          <w:sz w:val="24"/>
          <w:szCs w:val="24"/>
        </w:rPr>
        <w:t>https://global.toyota/en/company/profile/production-sales-figures/index.html</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(2026c) Electrification strategy. Available at: </w:t>
      </w:r>
      <w:r>
        <w:rPr>
          <w:rStyle w:val="19"/>
          <w:rFonts w:ascii="Arial" w:cs="Arial" w:hAnsi="Arial"/>
          <w:color w:val="auto"/>
          <w:sz w:val="24"/>
          <w:szCs w:val="24"/>
        </w:rPr>
        <w:fldChar w:fldCharType="begin"/>
      </w:r>
      <w:r>
        <w:instrText>HYPERLINK "https://global.toyota/en/mobility/electrification/"</w:instrText>
      </w:r>
      <w:r>
        <w:rPr>
          <w:rStyle w:val="19"/>
          <w:rFonts w:ascii="Arial" w:cs="Arial" w:hAnsi="Arial"/>
          <w:color w:val="auto"/>
          <w:sz w:val="24"/>
          <w:szCs w:val="24"/>
        </w:rPr>
        <w:fldChar w:fldCharType="separate"/>
      </w:r>
      <w:r>
        <w:rPr>
          <w:rStyle w:val="19"/>
          <w:rFonts w:ascii="Arial" w:cs="Arial" w:hAnsi="Arial"/>
          <w:color w:val="auto"/>
          <w:sz w:val="24"/>
          <w:szCs w:val="24"/>
        </w:rPr>
        <w:t>https://global.toyota/en/mobility/electrification/</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(2026d) Sustainability strategy. Available at: </w:t>
      </w:r>
      <w:r>
        <w:rPr>
          <w:rStyle w:val="19"/>
          <w:rFonts w:ascii="Arial" w:cs="Arial" w:hAnsi="Arial"/>
          <w:color w:val="auto"/>
          <w:sz w:val="24"/>
          <w:szCs w:val="24"/>
        </w:rPr>
        <w:fldChar w:fldCharType="begin"/>
      </w:r>
      <w:r>
        <w:instrText>HYPERLINK "https://global.toyota/en/sustainability/"</w:instrText>
      </w:r>
      <w:r>
        <w:rPr>
          <w:rStyle w:val="19"/>
          <w:rFonts w:ascii="Arial" w:cs="Arial" w:hAnsi="Arial"/>
          <w:color w:val="auto"/>
          <w:sz w:val="24"/>
          <w:szCs w:val="24"/>
        </w:rPr>
        <w:fldChar w:fldCharType="separate"/>
      </w:r>
      <w:r>
        <w:rPr>
          <w:rStyle w:val="19"/>
          <w:rFonts w:ascii="Arial" w:cs="Arial" w:hAnsi="Arial"/>
          <w:color w:val="auto"/>
          <w:sz w:val="24"/>
          <w:szCs w:val="24"/>
        </w:rPr>
        <w:t>https://global.toyota/en/sustainability/</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(2026e) Corporate philosophy and vision. Available at: </w:t>
      </w:r>
      <w:r>
        <w:rPr>
          <w:rStyle w:val="19"/>
          <w:rFonts w:ascii="Arial" w:cs="Arial" w:hAnsi="Arial"/>
          <w:color w:val="auto"/>
          <w:sz w:val="24"/>
          <w:szCs w:val="24"/>
        </w:rPr>
        <w:fldChar w:fldCharType="begin"/>
      </w:r>
      <w:r>
        <w:instrText>HYPERLINK "https://global.toyota/en/company/vision-and-philosophy/"</w:instrText>
      </w:r>
      <w:r>
        <w:rPr>
          <w:rStyle w:val="19"/>
          <w:rFonts w:ascii="Arial" w:cs="Arial" w:hAnsi="Arial"/>
          <w:color w:val="auto"/>
          <w:sz w:val="24"/>
          <w:szCs w:val="24"/>
        </w:rPr>
        <w:fldChar w:fldCharType="separate"/>
      </w:r>
      <w:r>
        <w:rPr>
          <w:rStyle w:val="19"/>
          <w:rFonts w:ascii="Arial" w:cs="Arial" w:hAnsi="Arial"/>
          <w:color w:val="auto"/>
          <w:sz w:val="24"/>
          <w:szCs w:val="24"/>
        </w:rPr>
        <w:t>https://global.toyota/en/company/vision-and-philosophy/</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(2026f) Toyota newsroom. Available at: </w:t>
      </w:r>
      <w:r>
        <w:rPr>
          <w:rStyle w:val="19"/>
          <w:rFonts w:ascii="Arial" w:cs="Arial" w:hAnsi="Arial"/>
          <w:color w:val="auto"/>
          <w:sz w:val="24"/>
          <w:szCs w:val="24"/>
        </w:rPr>
        <w:fldChar w:fldCharType="begin"/>
      </w:r>
      <w:r>
        <w:instrText>HYPERLINK "https://global.toyota/en/newsroom/"</w:instrText>
      </w:r>
      <w:r>
        <w:rPr>
          <w:rStyle w:val="19"/>
          <w:rFonts w:ascii="Arial" w:cs="Arial" w:hAnsi="Arial"/>
          <w:color w:val="auto"/>
          <w:sz w:val="24"/>
          <w:szCs w:val="24"/>
        </w:rPr>
        <w:fldChar w:fldCharType="separate"/>
      </w:r>
      <w:r>
        <w:rPr>
          <w:rStyle w:val="19"/>
          <w:rFonts w:ascii="Arial" w:cs="Arial" w:hAnsi="Arial"/>
          <w:color w:val="auto"/>
          <w:sz w:val="24"/>
          <w:szCs w:val="24"/>
        </w:rPr>
        <w:t>https://global.toyota/en/newsroom/</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(2026g) Annual reports and financial library. Available at: </w:t>
      </w:r>
      <w:r>
        <w:rPr>
          <w:rStyle w:val="19"/>
          <w:rFonts w:ascii="Arial" w:cs="Arial" w:hAnsi="Arial"/>
          <w:color w:val="auto"/>
          <w:sz w:val="24"/>
          <w:szCs w:val="24"/>
        </w:rPr>
        <w:fldChar w:fldCharType="begin"/>
      </w:r>
      <w:r>
        <w:instrText>HYPERLINK "https://global.toyota/en/ir/library/annual/"</w:instrText>
      </w:r>
      <w:r>
        <w:rPr>
          <w:rStyle w:val="19"/>
          <w:rFonts w:ascii="Arial" w:cs="Arial" w:hAnsi="Arial"/>
          <w:color w:val="auto"/>
          <w:sz w:val="24"/>
          <w:szCs w:val="24"/>
        </w:rPr>
        <w:fldChar w:fldCharType="separate"/>
      </w:r>
      <w:r>
        <w:rPr>
          <w:rStyle w:val="19"/>
          <w:rFonts w:ascii="Arial" w:cs="Arial" w:hAnsi="Arial"/>
          <w:color w:val="auto"/>
          <w:sz w:val="24"/>
          <w:szCs w:val="24"/>
        </w:rPr>
        <w:t>https://global.toyota/en/ir/library/annual/</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Motor Corporation (2026h) Investor presentations. Available at: </w:t>
      </w:r>
      <w:r>
        <w:rPr>
          <w:rStyle w:val="19"/>
          <w:rFonts w:ascii="Arial" w:cs="Arial" w:hAnsi="Arial"/>
          <w:color w:val="auto"/>
          <w:sz w:val="24"/>
          <w:szCs w:val="24"/>
        </w:rPr>
        <w:fldChar w:fldCharType="begin"/>
      </w:r>
      <w:r>
        <w:instrText>HYPERLINK "https://global.toyota/en/ir/library/presentation/"</w:instrText>
      </w:r>
      <w:r>
        <w:rPr>
          <w:rStyle w:val="19"/>
          <w:rFonts w:ascii="Arial" w:cs="Arial" w:hAnsi="Arial"/>
          <w:color w:val="auto"/>
          <w:sz w:val="24"/>
          <w:szCs w:val="24"/>
        </w:rPr>
        <w:fldChar w:fldCharType="separate"/>
      </w:r>
      <w:r>
        <w:rPr>
          <w:rStyle w:val="19"/>
          <w:rFonts w:ascii="Arial" w:cs="Arial" w:hAnsi="Arial"/>
          <w:color w:val="auto"/>
          <w:sz w:val="24"/>
          <w:szCs w:val="24"/>
        </w:rPr>
        <w:t>https://global.toyota/en/ir/library/presentation/</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Toyota Times (2025) Toyota financial results and business performance. Available at: </w:t>
      </w:r>
      <w:r>
        <w:rPr>
          <w:rStyle w:val="19"/>
          <w:rFonts w:ascii="Arial" w:cs="Arial" w:hAnsi="Arial"/>
          <w:color w:val="auto"/>
          <w:sz w:val="24"/>
          <w:szCs w:val="24"/>
        </w:rPr>
        <w:fldChar w:fldCharType="begin"/>
      </w:r>
      <w:r>
        <w:instrText>HYPERLINK "https://toyotatimes.jp/en/toyota_news/financial_results_2025/?utm_source=chatgpt.com"</w:instrText>
      </w:r>
      <w:r>
        <w:rPr>
          <w:rStyle w:val="19"/>
          <w:rFonts w:ascii="Arial" w:cs="Arial" w:hAnsi="Arial"/>
          <w:color w:val="auto"/>
          <w:sz w:val="24"/>
          <w:szCs w:val="24"/>
        </w:rPr>
        <w:fldChar w:fldCharType="separate"/>
      </w:r>
      <w:r>
        <w:rPr>
          <w:rStyle w:val="19"/>
          <w:rFonts w:ascii="Arial" w:cs="Arial" w:hAnsi="Arial"/>
          <w:color w:val="auto"/>
          <w:sz w:val="24"/>
          <w:szCs w:val="24"/>
        </w:rPr>
        <w:t>https://toyotatimes.jp/en/toyota_news/financial_results_2025/</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United Nations (2025) Climate change and sustainability initiatives. Available at: </w:t>
      </w:r>
      <w:r>
        <w:rPr>
          <w:rStyle w:val="19"/>
          <w:rFonts w:ascii="Arial" w:cs="Arial" w:hAnsi="Arial"/>
          <w:color w:val="auto"/>
          <w:sz w:val="24"/>
          <w:szCs w:val="24"/>
        </w:rPr>
        <w:fldChar w:fldCharType="begin"/>
      </w:r>
      <w:r>
        <w:instrText>HYPERLINK "https://www.un.org/en/climatechange"</w:instrText>
      </w:r>
      <w:r>
        <w:rPr>
          <w:rStyle w:val="19"/>
          <w:rFonts w:ascii="Arial" w:cs="Arial" w:hAnsi="Arial"/>
          <w:color w:val="auto"/>
          <w:sz w:val="24"/>
          <w:szCs w:val="24"/>
        </w:rPr>
        <w:fldChar w:fldCharType="separate"/>
      </w:r>
      <w:r>
        <w:rPr>
          <w:rStyle w:val="19"/>
          <w:rFonts w:ascii="Arial" w:cs="Arial" w:hAnsi="Arial"/>
          <w:color w:val="auto"/>
          <w:sz w:val="24"/>
          <w:szCs w:val="24"/>
        </w:rPr>
        <w:t>https://www.un.org/en/climatechange</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World Bank (2025) Transport sector and sustainable development. Available at: </w:t>
      </w:r>
      <w:r>
        <w:rPr>
          <w:rStyle w:val="19"/>
          <w:rFonts w:ascii="Arial" w:cs="Arial" w:hAnsi="Arial"/>
          <w:color w:val="auto"/>
          <w:sz w:val="24"/>
          <w:szCs w:val="24"/>
        </w:rPr>
        <w:fldChar w:fldCharType="begin"/>
      </w:r>
      <w:r>
        <w:instrText>HYPERLINK "https://www.worldbank.org/en/topic/transport"</w:instrText>
      </w:r>
      <w:r>
        <w:rPr>
          <w:rStyle w:val="19"/>
          <w:rFonts w:ascii="Arial" w:cs="Arial" w:hAnsi="Arial"/>
          <w:color w:val="auto"/>
          <w:sz w:val="24"/>
          <w:szCs w:val="24"/>
        </w:rPr>
        <w:fldChar w:fldCharType="separate"/>
      </w:r>
      <w:r>
        <w:rPr>
          <w:rStyle w:val="19"/>
          <w:rFonts w:ascii="Arial" w:cs="Arial" w:hAnsi="Arial"/>
          <w:color w:val="auto"/>
          <w:sz w:val="24"/>
          <w:szCs w:val="24"/>
        </w:rPr>
        <w:t>https://www.worldbank.org/en/topic/transport</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World Economic Forum (2025) Electric vehicle transition and sustainable mobility. Available at: </w:t>
      </w:r>
      <w:r>
        <w:rPr>
          <w:rStyle w:val="19"/>
          <w:rFonts w:ascii="Arial" w:cs="Arial" w:hAnsi="Arial"/>
          <w:color w:val="auto"/>
          <w:sz w:val="24"/>
          <w:szCs w:val="24"/>
        </w:rPr>
        <w:fldChar w:fldCharType="begin"/>
      </w:r>
      <w:r>
        <w:instrText>HYPERLINK "https://www.weforum.org/agenda/archive/electric-vehicles/"</w:instrText>
      </w:r>
      <w:r>
        <w:rPr>
          <w:rStyle w:val="19"/>
          <w:rFonts w:ascii="Arial" w:cs="Arial" w:hAnsi="Arial"/>
          <w:color w:val="auto"/>
          <w:sz w:val="24"/>
          <w:szCs w:val="24"/>
        </w:rPr>
        <w:fldChar w:fldCharType="separate"/>
      </w:r>
      <w:r>
        <w:rPr>
          <w:rStyle w:val="19"/>
          <w:rFonts w:ascii="Arial" w:cs="Arial" w:hAnsi="Arial"/>
          <w:color w:val="auto"/>
          <w:sz w:val="24"/>
          <w:szCs w:val="24"/>
        </w:rPr>
        <w:t>https://www.weforum.org/agenda/archive/electric-vehicles/</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cs="Arial" w:hAnsi="Arial"/>
          <w:sz w:val="24"/>
          <w:szCs w:val="24"/>
        </w:rPr>
      </w:pPr>
      <w:r>
        <w:rPr>
          <w:rFonts w:ascii="Arial" w:cs="Arial" w:hAnsi="Arial"/>
          <w:sz w:val="24"/>
          <w:szCs w:val="24"/>
        </w:rPr>
        <w:t xml:space="preserve">Yahoo Finance (2026) Toyota Motor Corporation stock profile. Available at: </w:t>
      </w:r>
      <w:r>
        <w:rPr>
          <w:rStyle w:val="19"/>
          <w:rFonts w:ascii="Arial" w:cs="Arial" w:hAnsi="Arial"/>
          <w:color w:val="auto"/>
          <w:sz w:val="24"/>
          <w:szCs w:val="24"/>
        </w:rPr>
        <w:fldChar w:fldCharType="begin"/>
      </w:r>
      <w:r>
        <w:instrText>HYPERLINK "https://finance.yahoo.com/quote/TM/"</w:instrText>
      </w:r>
      <w:r>
        <w:rPr>
          <w:rStyle w:val="19"/>
          <w:rFonts w:ascii="Arial" w:cs="Arial" w:hAnsi="Arial"/>
          <w:color w:val="auto"/>
          <w:sz w:val="24"/>
          <w:szCs w:val="24"/>
        </w:rPr>
        <w:fldChar w:fldCharType="separate"/>
      </w:r>
      <w:r>
        <w:rPr>
          <w:rStyle w:val="19"/>
          <w:rFonts w:ascii="Arial" w:cs="Arial" w:hAnsi="Arial"/>
          <w:color w:val="auto"/>
          <w:sz w:val="24"/>
          <w:szCs w:val="24"/>
        </w:rPr>
        <w:t>https://finance.yahoo.com/quote/TM/</w:t>
      </w:r>
      <w:r>
        <w:rPr>
          <w:rStyle w:val="19"/>
          <w:rFonts w:ascii="Arial" w:cs="Arial" w:hAnsi="Arial"/>
          <w:color w:val="auto"/>
          <w:sz w:val="24"/>
          <w:szCs w:val="24"/>
        </w:rPr>
        <w:fldChar w:fldCharType="end"/>
      </w:r>
      <w:r>
        <w:rPr>
          <w:rFonts w:ascii="Arial" w:cs="Arial" w:hAnsi="Arial"/>
          <w:sz w:val="24"/>
          <w:szCs w:val="24"/>
        </w:rPr>
        <w:t xml:space="preserve"> </w:t>
      </w:r>
    </w:p>
    <w:p>
      <w:pPr>
        <w:spacing w:line="360" w:lineRule="auto"/>
        <w:jc w:val="both"/>
        <w:rPr>
          <w:rFonts w:ascii="Arial" w:eastAsia="宋体" w:cs="Arial" w:hAnsi="Arial"/>
          <w:b/>
          <w:sz w:val="24"/>
          <w:szCs w:val="24"/>
        </w:rPr>
      </w:pPr>
      <w:r>
        <w:rPr>
          <w:rFonts w:ascii="Arial" w:cs="Arial" w:hAnsi="Arial"/>
          <w:b/>
          <w:sz w:val="24"/>
          <w:szCs w:val="24"/>
        </w:rPr>
        <w:br w:type="page"/>
      </w:r>
    </w:p>
    <w:p>
      <w:pPr>
        <w:pStyle w:val="1"/>
        <w:spacing w:line="360" w:lineRule="auto"/>
        <w:jc w:val="both"/>
        <w:rPr>
          <w:rFonts w:ascii="Arial" w:cs="Arial" w:hAnsi="Arial"/>
          <w:b/>
          <w:color w:val="auto"/>
          <w:sz w:val="24"/>
          <w:szCs w:val="24"/>
        </w:rPr>
      </w:pPr>
      <w:bookmarkStart w:id="21" w:name="_Toc224037907"/>
      <w:r>
        <w:rPr>
          <w:rFonts w:ascii="Arial" w:cs="Arial" w:hAnsi="Arial"/>
          <w:b/>
          <w:color w:val="auto"/>
          <w:sz w:val="24"/>
          <w:szCs w:val="24"/>
        </w:rPr>
        <w:t>Appendices</w:t>
      </w:r>
      <w:bookmarkEnd w:id="21"/>
    </w:p>
    <w:p>
      <w:pPr>
        <w:spacing w:line="360" w:lineRule="auto"/>
        <w:jc w:val="both"/>
        <w:rPr>
          <w:rFonts w:ascii="Arial" w:cs="Arial" w:hAnsi="Arial"/>
          <w:b/>
          <w:sz w:val="24"/>
          <w:szCs w:val="24"/>
        </w:rPr>
      </w:pPr>
      <w:r>
        <w:rPr>
          <w:rFonts w:ascii="Arial" w:cs="Arial" w:hAnsi="Arial"/>
          <w:b/>
          <w:sz w:val="24"/>
          <w:szCs w:val="24"/>
        </w:rPr>
        <w:t>Ratio tables and graphs</w:t>
      </w:r>
    </w:p>
    <w:p>
      <w:pPr>
        <w:pStyle w:val="2"/>
        <w:spacing w:line="360" w:lineRule="auto"/>
        <w:jc w:val="both"/>
        <w:rPr>
          <w:rFonts w:ascii="Arial" w:cs="Arial" w:hAnsi="Arial"/>
          <w:b/>
          <w:color w:val="auto"/>
          <w:sz w:val="24"/>
          <w:szCs w:val="24"/>
        </w:rPr>
      </w:pPr>
      <w:bookmarkStart w:id="22" w:name="_Toc224037908"/>
      <w:r>
        <w:rPr>
          <w:rFonts w:ascii="Arial" w:cs="Arial" w:hAnsi="Arial"/>
          <w:b/>
          <w:color w:val="auto"/>
          <w:sz w:val="24"/>
          <w:szCs w:val="24"/>
        </w:rPr>
        <w:t>Firm’s past five-year financial statements</w:t>
      </w:r>
      <w:bookmarkEnd w:id="22"/>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54"/>
        <w:gridCol w:w="1590"/>
        <w:gridCol w:w="1771"/>
        <w:gridCol w:w="1404"/>
        <w:gridCol w:w="1457"/>
        <w:gridCol w:w="2040"/>
      </w:tblGrid>
      <w:t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Sales Revenue (¥ million)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Operating Income (¥ million)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Net Income (¥ million)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Total Assets (¥ million)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Shareholders’ Equity (¥ million)</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27,214,594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2,197,748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2,282,378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62,267,140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24,288,329</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31,379,507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2,995,697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2,874,614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67,688,771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27,154,820</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37,154,298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2,725,025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2,492,967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74,303,180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29,264,213</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45,095,325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5,352,934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5,071,421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90,114,296</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35,239,338</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48,036,704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4,795,586</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4,789,755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93,601,350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36,878,913</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1:</w:t>
      </w:r>
      <w:r>
        <w:rPr>
          <w:rFonts w:ascii="Arial" w:cs="Arial" w:hAnsi="Arial"/>
          <w:b/>
          <w:sz w:val="24"/>
          <w:szCs w:val="24"/>
        </w:rPr>
        <w:t xml:space="preserve"> Five-year financial statements</w:t>
      </w:r>
    </w:p>
    <w:p>
      <w:pPr>
        <w:spacing w:line="360" w:lineRule="auto"/>
        <w:jc w:val="center"/>
        <w:rPr>
          <w:rFonts w:ascii="Arial" w:cs="Arial" w:hAnsi="Arial"/>
          <w:sz w:val="24"/>
          <w:szCs w:val="24"/>
        </w:rPr>
      </w:pPr>
      <w:r>
        <w:rPr>
          <w:rFonts w:ascii="Arial" w:cs="Arial" w:hAnsi="Arial"/>
          <w:sz w:val="24"/>
          <w:szCs w:val="24"/>
          <w:lang w:val="en-IN" w:eastAsia="en-IN"/>
        </w:rPr>
        <w:drawing>
          <wp:inline distT="0" distB="0" distL="0" distR="0">
            <wp:extent cx="4572000" cy="2743200"/>
            <wp:effectExtent l="0" t="0" r="0" b="0"/>
            <wp:docPr id="11" name="图表 11"/>
            <wp:cNvGraphicFramePr>
              <a:graphicFrameLocks noChangeAspect="0"/>
            </wp:cNvGraphicFramePr>
            <a:graphic>
              <a:graphicData uri="http://schemas.openxmlformats.org/drawingml/2006/chart">
                <c:chart xmlns:c="http://schemas.openxmlformats.org/drawingml/2006/chart" r:id="rId11"/>
              </a:graphicData>
            </a:graphic>
          </wp:inline>
        </w:drawing>
      </w:r>
    </w:p>
    <w:p>
      <w:pPr>
        <w:spacing w:line="360" w:lineRule="auto"/>
        <w:jc w:val="center"/>
        <w:rPr>
          <w:rFonts w:ascii="Arial" w:cs="Arial" w:hAnsi="Arial"/>
          <w:b/>
          <w:sz w:val="24"/>
          <w:szCs w:val="24"/>
        </w:rPr>
      </w:pPr>
      <w:r>
        <w:rPr>
          <w:rFonts w:ascii="Arial" w:cs="Arial" w:hAnsi="Arial"/>
          <w:b/>
          <w:sz w:val="24"/>
          <w:szCs w:val="24"/>
        </w:rPr>
        <w:t>Graph 1: Financial Statement</w:t>
      </w:r>
    </w:p>
    <w:p>
      <w:pPr>
        <w:spacing w:line="360" w:lineRule="auto"/>
        <w:jc w:val="both"/>
        <w:rPr>
          <w:rFonts w:ascii="Arial" w:cs="Arial" w:hAnsi="Arial"/>
          <w:b/>
          <w:sz w:val="24"/>
          <w:szCs w:val="24"/>
        </w:rPr>
      </w:pPr>
      <w:r>
        <w:rPr>
          <w:rFonts w:ascii="Arial" w:cs="Arial" w:hAnsi="Arial"/>
          <w:b/>
          <w:sz w:val="24"/>
          <w:szCs w:val="24"/>
        </w:rPr>
        <w:t>Profitability</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54"/>
        <w:gridCol w:w="2440"/>
        <w:gridCol w:w="2421"/>
        <w:gridCol w:w="2350"/>
      </w:tblGrid>
      <w:t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Operating Margin (%)</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Net Profit Margin (%)</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Return on Equity (%)</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8.1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8.4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10.2</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11.5</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9.0</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11.9</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11.2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15.8</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10.0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10.0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13.6</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2: Profitabilty</w:t>
      </w:r>
    </w:p>
    <w:p>
      <w:pPr>
        <w:spacing w:line="360" w:lineRule="auto"/>
        <w:jc w:val="center"/>
        <w:rPr>
          <w:rFonts w:ascii="Arial" w:cs="Arial" w:hAnsi="Arial"/>
          <w:b/>
          <w:sz w:val="24"/>
          <w:szCs w:val="24"/>
        </w:rPr>
      </w:pPr>
      <w:r>
        <w:rPr>
          <w:rFonts w:ascii="Arial" w:cs="Arial" w:hAnsi="Arial"/>
          <w:sz w:val="24"/>
          <w:szCs w:val="24"/>
          <w:lang w:val="en-IN" w:eastAsia="en-IN"/>
        </w:rPr>
        <w:drawing>
          <wp:inline distT="0" distB="0" distL="0" distR="0">
            <wp:extent cx="4572000" cy="2743200"/>
            <wp:effectExtent l="0" t="0" r="0" b="0"/>
            <wp:docPr id="12" name="图表 12"/>
            <wp:cNvGraphicFramePr>
              <a:graphicFrameLocks noChangeAspect="0"/>
            </wp:cNvGraphicFramePr>
            <a:graphic>
              <a:graphicData uri="http://schemas.openxmlformats.org/drawingml/2006/chart">
                <c:chart xmlns:c="http://schemas.openxmlformats.org/drawingml/2006/chart" r:id="rId12"/>
              </a:graphicData>
            </a:graphic>
          </wp:inline>
        </w:drawing>
      </w:r>
    </w:p>
    <w:p>
      <w:pPr>
        <w:spacing w:line="360" w:lineRule="auto"/>
        <w:jc w:val="center"/>
        <w:rPr>
          <w:rFonts w:ascii="Arial" w:cs="Arial" w:hAnsi="Arial"/>
          <w:b/>
          <w:sz w:val="24"/>
          <w:szCs w:val="24"/>
        </w:rPr>
      </w:pPr>
      <w:r>
        <w:rPr>
          <w:rFonts w:ascii="Arial" w:cs="Arial" w:hAnsi="Arial"/>
          <w:b/>
          <w:sz w:val="24"/>
          <w:szCs w:val="24"/>
        </w:rPr>
        <w:t>Graph 2: Profitability Ratios</w:t>
      </w:r>
    </w:p>
    <w:p>
      <w:pPr>
        <w:spacing w:line="360" w:lineRule="auto"/>
        <w:jc w:val="both"/>
        <w:rPr>
          <w:rFonts w:ascii="Arial" w:cs="Arial" w:hAnsi="Arial"/>
          <w:b/>
          <w:sz w:val="24"/>
          <w:szCs w:val="24"/>
        </w:rPr>
      </w:pPr>
      <w:r>
        <w:rPr>
          <w:rFonts w:ascii="Arial" w:cs="Arial" w:hAnsi="Arial"/>
          <w:b/>
          <w:sz w:val="24"/>
          <w:szCs w:val="24"/>
        </w:rPr>
        <w:t>Liquidity</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54"/>
        <w:gridCol w:w="3889"/>
        <w:gridCol w:w="3462"/>
      </w:tblGrid>
      <w:t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Cash &amp; Cash Equivalents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Operating Cash Flow (¥ trillion)</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5.10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2.73</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6.11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3.72</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7.52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2.96</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9.41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4.21</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8.98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3.70</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3: Liquidity</w:t>
      </w:r>
    </w:p>
    <w:p>
      <w:pPr>
        <w:spacing w:line="360" w:lineRule="auto"/>
        <w:jc w:val="center"/>
        <w:rPr>
          <w:rFonts w:ascii="Arial" w:cs="Arial" w:hAnsi="Arial"/>
          <w:b/>
          <w:sz w:val="24"/>
          <w:szCs w:val="24"/>
        </w:rPr>
      </w:pPr>
      <w:r>
        <w:rPr>
          <w:rFonts w:ascii="Arial" w:cs="Arial" w:hAnsi="Arial"/>
          <w:sz w:val="24"/>
          <w:szCs w:val="24"/>
          <w:lang w:val="en-IN" w:eastAsia="en-IN"/>
        </w:rPr>
        <w:drawing>
          <wp:inline distT="0" distB="0" distL="0" distR="0">
            <wp:extent cx="4572000" cy="2743200"/>
            <wp:effectExtent l="0" t="0" r="0" b="0"/>
            <wp:docPr id="13" name="图表 13"/>
            <wp:cNvGraphicFramePr>
              <a:graphicFrameLocks noChangeAspect="0"/>
            </wp:cNvGraphicFramePr>
            <a:graphic>
              <a:graphicData uri="http://schemas.openxmlformats.org/drawingml/2006/chart">
                <c:chart xmlns:c="http://schemas.openxmlformats.org/drawingml/2006/chart" r:id="rId13"/>
              </a:graphicData>
            </a:graphic>
          </wp:inline>
        </w:drawing>
      </w:r>
    </w:p>
    <w:p>
      <w:pPr>
        <w:spacing w:line="360" w:lineRule="auto"/>
        <w:jc w:val="center"/>
        <w:rPr>
          <w:rFonts w:ascii="Arial" w:cs="Arial" w:hAnsi="Arial"/>
          <w:b/>
          <w:sz w:val="24"/>
          <w:szCs w:val="24"/>
        </w:rPr>
      </w:pPr>
      <w:r>
        <w:rPr>
          <w:rFonts w:ascii="Arial" w:cs="Arial" w:hAnsi="Arial"/>
          <w:b/>
          <w:sz w:val="24"/>
          <w:szCs w:val="24"/>
        </w:rPr>
        <w:t>Graph 3: Liquidity Ratio</w:t>
      </w:r>
    </w:p>
    <w:p>
      <w:pPr>
        <w:spacing w:line="360" w:lineRule="auto"/>
        <w:jc w:val="both"/>
        <w:rPr>
          <w:rFonts w:ascii="Arial" w:cs="Arial" w:hAnsi="Arial"/>
          <w:b/>
          <w:sz w:val="24"/>
          <w:szCs w:val="24"/>
        </w:rPr>
      </w:pPr>
      <w:r>
        <w:rPr>
          <w:rFonts w:ascii="Arial" w:cs="Arial" w:hAnsi="Arial"/>
          <w:b/>
          <w:sz w:val="24"/>
          <w:szCs w:val="24"/>
        </w:rPr>
        <w:t>Efficiency</w:t>
      </w:r>
    </w:p>
    <w:tbl>
      <w:tblPr>
        <w:jc w:val="left"/>
        <w:tblInd w:w="0" w:type="dxa"/>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90"/>
        <w:gridCol w:w="2983"/>
        <w:gridCol w:w="2729"/>
        <w:gridCol w:w="1921"/>
      </w:tblGrid>
      <w:tr>
        <w:trPr>
          <w:trHeight w:val="283"/>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Sales Revenue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Total Assets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Asset Turnover</w:t>
            </w:r>
          </w:p>
        </w:tc>
      </w:tr>
      <w:tr>
        <w:trPr>
          <w:trHeight w:val="28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62.27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0.44</w:t>
            </w:r>
          </w:p>
        </w:tc>
      </w:tr>
      <w:tr>
        <w:trPr>
          <w:trHeight w:val="271"/>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31.38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67.69</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0.46</w:t>
            </w:r>
          </w:p>
        </w:tc>
      </w:tr>
      <w:tr>
        <w:trPr>
          <w:trHeight w:val="28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37.15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74.30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0.50</w:t>
            </w:r>
          </w:p>
        </w:tc>
      </w:tr>
      <w:tr>
        <w:trPr>
          <w:trHeight w:val="28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45.10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90.11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0.50</w:t>
            </w:r>
          </w:p>
        </w:tc>
      </w:tr>
      <w:tr>
        <w:trPr>
          <w:trHeight w:val="28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48.04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93.60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0.51</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4: Efficiency</w:t>
      </w:r>
    </w:p>
    <w:p>
      <w:pPr>
        <w:spacing w:line="360" w:lineRule="auto"/>
        <w:jc w:val="center"/>
        <w:rPr>
          <w:rFonts w:ascii="Arial" w:cs="Arial" w:hAnsi="Arial"/>
          <w:sz w:val="24"/>
          <w:szCs w:val="24"/>
        </w:rPr>
      </w:pPr>
      <w:r>
        <w:rPr>
          <w:rFonts w:ascii="Arial" w:cs="Arial" w:hAnsi="Arial"/>
          <w:sz w:val="24"/>
          <w:szCs w:val="24"/>
          <w:lang w:val="en-IN" w:eastAsia="en-IN"/>
        </w:rPr>
        <w:drawing>
          <wp:inline distT="0" distB="0" distL="0" distR="0">
            <wp:extent cx="4572000" cy="2743200"/>
            <wp:effectExtent l="0" t="0" r="0" b="0"/>
            <wp:docPr id="14" name="图表 14"/>
            <wp:cNvGraphicFramePr>
              <a:graphicFrameLocks noChangeAspect="0"/>
            </wp:cNvGraphicFramePr>
            <a:graphic>
              <a:graphicData uri="http://schemas.openxmlformats.org/drawingml/2006/chart">
                <c:chart xmlns:c="http://schemas.openxmlformats.org/drawingml/2006/chart" r:id="rId14"/>
              </a:graphicData>
            </a:graphic>
          </wp:inline>
        </w:drawing>
      </w:r>
    </w:p>
    <w:p>
      <w:pPr>
        <w:spacing w:line="360" w:lineRule="auto"/>
        <w:jc w:val="center"/>
        <w:rPr>
          <w:rFonts w:ascii="Arial" w:cs="Arial" w:hAnsi="Arial"/>
          <w:b/>
          <w:sz w:val="24"/>
          <w:szCs w:val="24"/>
        </w:rPr>
      </w:pPr>
      <w:r>
        <w:rPr>
          <w:rFonts w:ascii="Arial" w:cs="Arial" w:hAnsi="Arial"/>
          <w:b/>
          <w:sz w:val="24"/>
          <w:szCs w:val="24"/>
        </w:rPr>
        <w:t>Graph 4: Efficiency Ratios</w:t>
      </w:r>
    </w:p>
    <w:p>
      <w:pPr>
        <w:spacing w:line="360" w:lineRule="auto"/>
        <w:jc w:val="both"/>
        <w:rPr>
          <w:rFonts w:ascii="Arial" w:cs="Arial" w:hAnsi="Arial"/>
          <w:b/>
          <w:sz w:val="24"/>
          <w:szCs w:val="24"/>
        </w:rPr>
      </w:pPr>
      <w:r>
        <w:rPr>
          <w:rFonts w:ascii="Arial" w:cs="Arial" w:hAnsi="Arial"/>
          <w:b/>
          <w:sz w:val="24"/>
          <w:szCs w:val="24"/>
        </w:rPr>
        <w:t>Gearing</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754"/>
        <w:gridCol w:w="2602"/>
        <w:gridCol w:w="3660"/>
        <w:gridCol w:w="1865"/>
      </w:tblGrid>
      <w:t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Total Assets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Shareholders’ Equity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Equity Ratio (%)</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62.27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24.29</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37.6</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67.69</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27.15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38.8</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74.30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29.26</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38.1</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90.11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35.24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38.0</w:t>
            </w:r>
          </w:p>
        </w:tc>
      </w:tr>
      <w:t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93.60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36.88</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38.4</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5: Gearing Ratio</w:t>
      </w:r>
    </w:p>
    <w:p>
      <w:pPr>
        <w:spacing w:line="360" w:lineRule="auto"/>
        <w:jc w:val="center"/>
        <w:rPr>
          <w:rFonts w:ascii="Arial" w:cs="Arial" w:hAnsi="Arial"/>
          <w:sz w:val="24"/>
          <w:szCs w:val="24"/>
          <w:lang w:val="en-IN" w:eastAsia="en-IN"/>
        </w:rPr>
      </w:pPr>
      <w:r>
        <w:rPr>
          <w:rFonts w:ascii="Arial" w:cs="Arial" w:hAnsi="Arial"/>
          <w:sz w:val="24"/>
          <w:szCs w:val="24"/>
          <w:lang w:val="en-IN" w:eastAsia="en-IN"/>
        </w:rPr>
        <w:drawing>
          <wp:inline distT="0" distB="0" distL="0" distR="0">
            <wp:extent cx="4572000" cy="2743200"/>
            <wp:effectExtent l="0" t="0" r="0" b="0"/>
            <wp:docPr id="15" name="图表 15"/>
            <wp:cNvGraphicFramePr>
              <a:graphicFrameLocks noChangeAspect="0"/>
            </wp:cNvGraphicFramePr>
            <a:graphic>
              <a:graphicData uri="http://schemas.openxmlformats.org/drawingml/2006/chart">
                <c:chart xmlns:c="http://schemas.openxmlformats.org/drawingml/2006/chart" r:id="rId15"/>
              </a:graphicData>
            </a:graphic>
          </wp:inline>
        </w:drawing>
      </w:r>
    </w:p>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Graph 5: Gearing Ratio</w:t>
      </w:r>
    </w:p>
    <w:p>
      <w:pPr>
        <w:spacing w:line="360" w:lineRule="auto"/>
        <w:jc w:val="both"/>
        <w:rPr>
          <w:rFonts w:ascii="Arial" w:cs="Arial" w:hAnsi="Arial"/>
          <w:b/>
          <w:sz w:val="24"/>
          <w:szCs w:val="24"/>
        </w:rPr>
      </w:pPr>
      <w:r>
        <w:rPr>
          <w:rFonts w:ascii="Arial" w:cs="Arial" w:hAnsi="Arial"/>
          <w:b/>
          <w:sz w:val="24"/>
          <w:szCs w:val="24"/>
        </w:rPr>
        <w:t>Investment</w:t>
      </w:r>
    </w:p>
    <w:tbl>
      <w:tblPr>
        <w:jc w:val="left"/>
        <w:tblInd w:w="0" w:type="dxa"/>
        <w:tblW w:w="89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1149"/>
        <w:gridCol w:w="3894"/>
        <w:gridCol w:w="3894"/>
      </w:tblGrid>
      <w:tr>
        <w:trPr>
          <w:trHeight w:val="254"/>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Earnings per Share (¥)</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Dividend per Share (¥)</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160.65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240</w:t>
            </w:r>
          </w:p>
        </w:tc>
      </w:tr>
      <w:tr>
        <w:trPr>
          <w:trHeight w:val="24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205.23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260*</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179.47</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60</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365.94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75</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359.56</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90</w:t>
            </w:r>
          </w:p>
        </w:tc>
      </w:tr>
    </w:tbl>
    <w:p>
      <w:pPr>
        <w:spacing w:line="360" w:lineRule="auto"/>
        <w:jc w:val="center"/>
        <w:rPr>
          <w:rFonts w:ascii="Arial" w:cs="Arial" w:hAnsi="Arial"/>
          <w:b/>
          <w:sz w:val="24"/>
          <w:szCs w:val="24"/>
          <w:lang w:val="en-IN" w:eastAsia="en-IN"/>
        </w:rPr>
      </w:pPr>
      <w:r>
        <w:rPr>
          <w:rFonts w:ascii="Arial" w:cs="Arial" w:hAnsi="Arial"/>
          <w:b/>
          <w:sz w:val="24"/>
          <w:szCs w:val="24"/>
          <w:lang w:val="en-IN" w:eastAsia="en-IN"/>
        </w:rPr>
        <w:t>Table 6: Investment</w:t>
      </w:r>
    </w:p>
    <w:p>
      <w:pPr>
        <w:spacing w:line="360" w:lineRule="auto"/>
        <w:jc w:val="center"/>
        <w:rPr>
          <w:rFonts w:ascii="Arial" w:cs="Arial" w:hAnsi="Arial"/>
          <w:b/>
          <w:sz w:val="24"/>
          <w:szCs w:val="24"/>
        </w:rPr>
      </w:pPr>
      <w:r>
        <w:rPr>
          <w:rFonts w:ascii="Arial" w:cs="Arial" w:hAnsi="Arial"/>
          <w:b/>
          <w:sz w:val="24"/>
          <w:szCs w:val="24"/>
          <w:lang w:val="en-IN" w:eastAsia="en-IN"/>
        </w:rPr>
        <w:drawing>
          <wp:inline distT="0" distB="0" distL="0" distR="0">
            <wp:extent cx="4572000" cy="2743200"/>
            <wp:effectExtent l="0" t="0" r="0" b="0"/>
            <wp:docPr id="16" name="图表 16"/>
            <wp:cNvGraphicFramePr>
              <a:graphicFrameLocks noChangeAspect="0"/>
            </wp:cNvGraphicFramePr>
            <a:graphic>
              <a:graphicData uri="http://schemas.openxmlformats.org/drawingml/2006/chart">
                <c:chart xmlns:c="http://schemas.openxmlformats.org/drawingml/2006/chart" r:id="rId16"/>
              </a:graphicData>
            </a:graphic>
          </wp:inline>
        </w:drawing>
      </w:r>
    </w:p>
    <w:p>
      <w:pPr>
        <w:spacing w:line="360" w:lineRule="auto"/>
        <w:jc w:val="center"/>
        <w:rPr>
          <w:rFonts w:ascii="Arial" w:cs="Arial" w:hAnsi="Arial"/>
          <w:b/>
          <w:sz w:val="24"/>
          <w:szCs w:val="24"/>
        </w:rPr>
      </w:pPr>
      <w:r>
        <w:rPr>
          <w:rFonts w:ascii="Arial" w:cs="Arial" w:hAnsi="Arial"/>
          <w:b/>
          <w:sz w:val="24"/>
          <w:szCs w:val="24"/>
        </w:rPr>
        <w:t>Graph 6: Investment</w:t>
      </w:r>
    </w:p>
    <w:p>
      <w:pPr>
        <w:spacing w:line="360" w:lineRule="auto"/>
        <w:jc w:val="both"/>
        <w:rPr>
          <w:rFonts w:ascii="Arial" w:cs="Arial" w:hAnsi="Arial"/>
          <w:b/>
          <w:sz w:val="24"/>
          <w:szCs w:val="24"/>
        </w:rPr>
      </w:pPr>
      <w:r>
        <w:rPr>
          <w:rFonts w:ascii="Arial" w:cs="Arial" w:hAnsi="Arial"/>
          <w:b/>
          <w:sz w:val="24"/>
          <w:szCs w:val="24"/>
        </w:rPr>
        <w:t>Cash flow</w:t>
      </w:r>
    </w:p>
    <w:tbl>
      <w:tblPr>
        <w:jc w:val="left"/>
        <w:tblInd w:w="0" w:type="dxa"/>
        <w:tblW w:w="8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888"/>
        <w:gridCol w:w="4079"/>
        <w:gridCol w:w="4001"/>
      </w:tblGrid>
      <w:tr>
        <w:trPr>
          <w:trHeight w:val="484"/>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Year</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Operating Cash Flow (¥ trillion)</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Investing Cash Flow (¥ trillion)</w:t>
            </w:r>
          </w:p>
        </w:tc>
      </w:tr>
      <w:tr>
        <w:trPr>
          <w:trHeight w:val="219"/>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2.73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-4.68</w:t>
            </w:r>
          </w:p>
        </w:tc>
      </w:tr>
      <w:tr>
        <w:trPr>
          <w:trHeight w:val="27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3.72</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-0.58</w:t>
            </w:r>
          </w:p>
        </w:tc>
      </w:tr>
      <w:tr>
        <w:trPr>
          <w:trHeight w:val="27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2023</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2.96</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-1.60</w:t>
            </w:r>
          </w:p>
        </w:tc>
      </w:tr>
      <w:tr>
        <w:trPr>
          <w:trHeight w:val="26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2024</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4.21</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-5.00</w:t>
            </w:r>
          </w:p>
        </w:tc>
      </w:tr>
      <w:tr>
        <w:trPr>
          <w:trHeight w:val="268"/>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2025</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3.70</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-4.19</w:t>
            </w:r>
          </w:p>
        </w:tc>
      </w:tr>
    </w:tbl>
    <w:p>
      <w:pPr>
        <w:spacing w:line="360" w:lineRule="auto"/>
        <w:jc w:val="center"/>
        <w:rPr>
          <w:rFonts w:ascii="Arial" w:cs="Arial" w:hAnsi="Arial"/>
          <w:b/>
          <w:sz w:val="24"/>
          <w:szCs w:val="24"/>
        </w:rPr>
      </w:pPr>
      <w:r>
        <w:rPr>
          <w:rFonts w:ascii="Arial" w:cs="Arial" w:hAnsi="Arial"/>
          <w:b/>
          <w:sz w:val="24"/>
          <w:szCs w:val="24"/>
        </w:rPr>
        <w:t>Table 7: Cash Flow</w:t>
      </w:r>
    </w:p>
    <w:p>
      <w:pPr>
        <w:spacing w:line="360" w:lineRule="auto"/>
        <w:jc w:val="center"/>
        <w:rPr>
          <w:rFonts w:ascii="Arial" w:cs="Arial" w:hAnsi="Arial"/>
          <w:b/>
          <w:sz w:val="24"/>
          <w:szCs w:val="24"/>
        </w:rPr>
      </w:pPr>
      <w:r>
        <w:rPr>
          <w:rFonts w:ascii="Arial" w:cs="Arial" w:hAnsi="Arial"/>
          <w:sz w:val="24"/>
          <w:szCs w:val="24"/>
          <w:lang w:val="en-IN" w:eastAsia="en-IN"/>
        </w:rPr>
        <w:drawing>
          <wp:inline distT="0" distB="0" distL="0" distR="0">
            <wp:extent cx="4572000" cy="2743200"/>
            <wp:effectExtent l="0" t="0" r="0" b="0"/>
            <wp:docPr id="17" name="图表 17"/>
            <wp:cNvGraphicFramePr>
              <a:graphicFrameLocks noChangeAspect="0"/>
            </wp:cNvGraphicFramePr>
            <a:graphic>
              <a:graphicData uri="http://schemas.openxmlformats.org/drawingml/2006/chart">
                <c:chart xmlns:c="http://schemas.openxmlformats.org/drawingml/2006/chart" r:id="rId17"/>
              </a:graphicData>
            </a:graphic>
          </wp:inline>
        </w:drawing>
      </w:r>
    </w:p>
    <w:p>
      <w:pPr>
        <w:spacing w:line="360" w:lineRule="auto"/>
        <w:jc w:val="center"/>
        <w:rPr>
          <w:rFonts w:ascii="Arial" w:cs="Arial" w:hAnsi="Arial"/>
          <w:b/>
          <w:sz w:val="24"/>
          <w:szCs w:val="24"/>
        </w:rPr>
      </w:pPr>
      <w:r>
        <w:rPr>
          <w:rFonts w:ascii="Arial" w:cs="Arial" w:hAnsi="Arial"/>
          <w:b/>
          <w:sz w:val="24"/>
          <w:szCs w:val="24"/>
        </w:rPr>
        <w:t>Graph 7: Cash Flow</w:t>
      </w:r>
    </w:p>
    <w:p>
      <w:pPr>
        <w:spacing w:line="360" w:lineRule="auto"/>
        <w:jc w:val="both"/>
        <w:rPr>
          <w:rFonts w:ascii="Arial" w:cs="Arial" w:hAnsi="Arial"/>
          <w:b/>
          <w:sz w:val="24"/>
          <w:szCs w:val="24"/>
        </w:rPr>
      </w:pPr>
    </w:p>
    <w:p>
      <w:pPr>
        <w:spacing w:line="360" w:lineRule="auto"/>
        <w:jc w:val="both"/>
        <w:rPr>
          <w:rFonts w:ascii="Arial" w:cs="Arial" w:hAnsi="Arial"/>
          <w:b/>
          <w:sz w:val="24"/>
          <w:szCs w:val="24"/>
        </w:rPr>
      </w:pPr>
      <w:r>
        <w:rPr>
          <w:rFonts w:ascii="Arial" w:cs="Arial" w:hAnsi="Arial"/>
          <w:b/>
          <w:sz w:val="24"/>
          <w:szCs w:val="24"/>
        </w:rPr>
        <w:t>Investment appraisal calculations</w:t>
      </w:r>
    </w:p>
    <w:p>
      <w:pPr>
        <w:spacing w:line="360" w:lineRule="auto"/>
        <w:jc w:val="both"/>
        <w:rPr>
          <w:rFonts w:ascii="Arial" w:cs="Arial" w:hAnsi="Arial"/>
          <w:b/>
          <w:sz w:val="24"/>
          <w:szCs w:val="24"/>
        </w:rPr>
      </w:pPr>
      <w:r>
        <w:rPr>
          <w:rFonts w:ascii="Arial" w:cs="Arial" w:hAnsi="Arial"/>
          <w:b/>
          <w:sz w:val="24"/>
          <w:szCs w:val="24"/>
        </w:rPr>
        <w:t>Project A</w:t>
      </w:r>
    </w:p>
    <w:tbl>
      <w:tblPr>
        <w:jc w:val="left"/>
        <w:tblInd w:w="0" w:type="dxa"/>
        <w:tblW w:w="88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6577"/>
        <w:gridCol w:w="2316"/>
      </w:tblGrid>
      <w:tr>
        <w:trPr>
          <w:trHeight w:val="287"/>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Method</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Result</w:t>
            </w:r>
          </w:p>
        </w:tc>
      </w:tr>
      <w:tr>
        <w:trPr>
          <w:trHeight w:val="287"/>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Payback Period (PBP)</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4.5 years</w:t>
            </w:r>
          </w:p>
        </w:tc>
      </w:tr>
      <w:tr>
        <w:trPr>
          <w:trHeight w:val="275"/>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Accounting Rate of Return (ARR)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3.2%</w:t>
            </w:r>
          </w:p>
        </w:tc>
      </w:tr>
      <w:tr>
        <w:trPr>
          <w:trHeight w:val="287"/>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Net Present Value (NPV)</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–£8.68m</w:t>
            </w:r>
          </w:p>
        </w:tc>
      </w:tr>
      <w:tr>
        <w:trPr>
          <w:trHeight w:val="287"/>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Profitability Index (PI)</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0.83</w:t>
            </w:r>
          </w:p>
        </w:tc>
      </w:tr>
      <w:tr>
        <w:trPr>
          <w:trHeight w:val="287"/>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Internal Rate of Return (IRR)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2.72%</w:t>
            </w:r>
          </w:p>
        </w:tc>
      </w:tr>
    </w:tbl>
    <w:p>
      <w:pPr>
        <w:spacing w:line="360" w:lineRule="auto"/>
        <w:jc w:val="center"/>
        <w:rPr>
          <w:rFonts w:ascii="Arial" w:cs="Arial" w:hAnsi="Arial"/>
          <w:b/>
          <w:sz w:val="24"/>
          <w:szCs w:val="24"/>
        </w:rPr>
      </w:pPr>
      <w:r>
        <w:rPr>
          <w:rFonts w:ascii="Arial" w:cs="Arial" w:hAnsi="Arial"/>
          <w:b/>
          <w:sz w:val="24"/>
          <w:szCs w:val="24"/>
        </w:rPr>
        <w:t>Table 8: Project A Calculations</w:t>
      </w:r>
    </w:p>
    <w:p>
      <w:pPr>
        <w:spacing w:line="360" w:lineRule="auto"/>
        <w:jc w:val="both"/>
        <w:rPr>
          <w:rFonts w:ascii="Arial" w:cs="Arial" w:hAnsi="Arial"/>
          <w:b/>
          <w:sz w:val="24"/>
          <w:szCs w:val="24"/>
        </w:rPr>
      </w:pPr>
      <w:r>
        <w:rPr>
          <w:rFonts w:ascii="Arial" w:cs="Arial" w:hAnsi="Arial"/>
          <w:b/>
          <w:sz w:val="24"/>
          <w:szCs w:val="24"/>
        </w:rPr>
        <w:t>Project B</w:t>
      </w:r>
    </w:p>
    <w:tbl>
      <w:tblPr>
        <w:jc w:val="left"/>
        <w:tblInd w:w="0" w:type="dxa"/>
        <w:tblW w:w="89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6569"/>
        <w:gridCol w:w="2384"/>
      </w:tblGrid>
      <w:tr>
        <w:trPr>
          <w:trHeight w:val="266"/>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Method</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Result</w:t>
            </w:r>
          </w:p>
        </w:tc>
      </w:tr>
      <w:tr>
        <w:trPr>
          <w:trHeight w:val="266"/>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Payback Period (PBP)</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4.55 years</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Accounting Rate of Return (ARR)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4%</w:t>
            </w:r>
          </w:p>
        </w:tc>
      </w:tr>
      <w:tr>
        <w:trPr>
          <w:trHeight w:val="266"/>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Net Present Value (NPV)</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–£8.30m</w:t>
            </w:r>
          </w:p>
        </w:tc>
      </w:tr>
      <w:tr>
        <w:trPr>
          <w:trHeight w:val="266"/>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Profitability Index (PI)</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0.83</w:t>
            </w:r>
          </w:p>
        </w:tc>
      </w:tr>
      <w:tr>
        <w:trPr>
          <w:trHeight w:val="266"/>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Internal Rate of Return (IRR)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3.26%</w:t>
            </w:r>
          </w:p>
        </w:tc>
      </w:tr>
    </w:tbl>
    <w:p>
      <w:pPr>
        <w:spacing w:line="360" w:lineRule="auto"/>
        <w:jc w:val="center"/>
        <w:rPr>
          <w:rFonts w:ascii="Arial" w:cs="Arial" w:hAnsi="Arial"/>
          <w:b/>
          <w:sz w:val="24"/>
          <w:szCs w:val="24"/>
        </w:rPr>
      </w:pPr>
      <w:r>
        <w:rPr>
          <w:rFonts w:ascii="Arial" w:cs="Arial" w:hAnsi="Arial"/>
          <w:b/>
          <w:sz w:val="24"/>
          <w:szCs w:val="24"/>
        </w:rPr>
        <w:t>Table 9: Project B Calculations</w:t>
      </w:r>
    </w:p>
    <w:p>
      <w:pPr>
        <w:spacing w:line="360" w:lineRule="auto"/>
        <w:jc w:val="both"/>
        <w:rPr>
          <w:rFonts w:ascii="Arial" w:cs="Arial" w:hAnsi="Arial"/>
          <w:b/>
          <w:sz w:val="24"/>
          <w:szCs w:val="24"/>
        </w:rPr>
      </w:pPr>
      <w:r>
        <w:rPr>
          <w:rFonts w:ascii="Arial" w:cs="Arial" w:hAnsi="Arial"/>
          <w:b/>
          <w:sz w:val="24"/>
          <w:szCs w:val="24"/>
        </w:rPr>
        <w:t>Project C</w:t>
      </w:r>
    </w:p>
    <w:tbl>
      <w:tblPr>
        <w:jc w:val="left"/>
        <w:tblInd w:w="0" w:type="dxa"/>
        <w:tblW w:w="89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6595"/>
        <w:gridCol w:w="2322"/>
      </w:tblGrid>
      <w:tr>
        <w:trPr>
          <w:trHeight w:val="254"/>
        </w:trPr>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Method</w:t>
            </w:r>
          </w:p>
        </w:tc>
        <w:tc>
          <w:tcPr/>
          <w:p>
            <w:pPr>
              <w:spacing w:after="0" w:line="360" w:lineRule="auto"/>
              <w:jc w:val="both"/>
              <w:rPr>
                <w:rFonts w:ascii="Arial" w:eastAsia="Times New Roman" w:cs="Arial" w:hAnsi="Arial"/>
                <w:b/>
                <w:bCs/>
                <w:sz w:val="24"/>
                <w:szCs w:val="24"/>
                <w:lang w:val="en-IN" w:eastAsia="en-IN"/>
              </w:rPr>
            </w:pPr>
            <w:r>
              <w:rPr>
                <w:rFonts w:ascii="Arial" w:eastAsia="Times New Roman" w:cs="Arial" w:hAnsi="Arial"/>
                <w:b/>
                <w:bCs/>
                <w:sz w:val="24"/>
                <w:szCs w:val="24"/>
                <w:lang w:val="en-IN" w:eastAsia="en-IN"/>
              </w:rPr>
              <w:t>Result</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Payback Period (PBP)</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3.6 years</w:t>
            </w:r>
          </w:p>
        </w:tc>
      </w:tr>
      <w:tr>
        <w:trPr>
          <w:trHeight w:val="243"/>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Accounting Rate of Return (ARR)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12%</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Net Present Value (NPV)</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–£1.98m</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Profitability Index (PI)</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0.96</w:t>
            </w:r>
          </w:p>
        </w:tc>
      </w:tr>
      <w:tr>
        <w:trPr>
          <w:trHeight w:val="254"/>
        </w:trPr>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sz w:val="24"/>
                <w:szCs w:val="24"/>
                <w:lang w:val="en-IN" w:eastAsia="en-IN"/>
              </w:rPr>
              <w:t>Internal Rate of Return (IRR)</w:t>
            </w:r>
          </w:p>
        </w:tc>
        <w:tc>
          <w:tcPr/>
          <w:p>
            <w:pPr>
              <w:spacing w:after="0" w:line="360" w:lineRule="auto"/>
              <w:jc w:val="both"/>
              <w:rPr>
                <w:rFonts w:ascii="Arial" w:eastAsia="Times New Roman" w:cs="Arial" w:hAnsi="Arial"/>
                <w:sz w:val="24"/>
                <w:szCs w:val="24"/>
                <w:lang w:val="en-IN" w:eastAsia="en-IN"/>
              </w:rPr>
            </w:pPr>
            <w:r>
              <w:rPr>
                <w:rFonts w:ascii="Arial" w:eastAsia="Times New Roman" w:cs="Arial" w:hAnsi="Arial"/>
                <w:b/>
                <w:bCs/>
                <w:sz w:val="24"/>
                <w:szCs w:val="24"/>
                <w:lang w:val="en-IN" w:eastAsia="en-IN"/>
              </w:rPr>
              <w:t>8.59%</w:t>
            </w:r>
          </w:p>
        </w:tc>
      </w:tr>
    </w:tbl>
    <w:p>
      <w:pPr>
        <w:spacing w:line="360" w:lineRule="auto"/>
        <w:jc w:val="center"/>
        <w:rPr>
          <w:rFonts w:ascii="Arial" w:cs="Arial" w:hAnsi="Arial"/>
          <w:b/>
          <w:sz w:val="24"/>
          <w:szCs w:val="24"/>
        </w:rPr>
      </w:pPr>
      <w:r>
        <w:rPr>
          <w:rFonts w:ascii="Arial" w:cs="Arial" w:hAnsi="Arial"/>
          <w:b/>
          <w:sz w:val="24"/>
          <w:szCs w:val="24"/>
        </w:rPr>
        <w:t>Table 10: Project C Calculations</w:t>
      </w:r>
    </w:p>
    <w:p/>
    <w:p>
      <w:pPr>
        <w:spacing w:line="360" w:lineRule="auto"/>
        <w:jc w:val="both"/>
        <w:rPr>
          <w:rFonts w:ascii="Arial" w:cs="Arial" w:hAnsi="Arial"/>
          <w:sz w:val="24"/>
          <w:szCs w:val="24"/>
        </w:rPr>
      </w:pPr>
    </w:p>
    <w:sectPr>
      <w:headerReference w:type="default" r:id="rId2"/>
      <w:footerReference w:type="default" r:id="rId3"/>
      <w:pgSz w:w="11906" w:h="16838"/>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1"/>
      <w:tabs>
        <w:tab w:val="center" w:pos="4513"/>
        <w:tab w:val="right" w:pos="9026"/>
      </w:tabs>
      <w:jc w:val="center"/>
    </w:pPr>
    <w:r>
      <w:rPr>
        <w:rFonts w:ascii="Arial" w:cs="Arial" w:hAnsi="Arial"/>
        <w:sz w:val="24"/>
        <w:szCs w:val="24"/>
      </w:rPr>
      <w:fldChar w:fldCharType="begin"/>
    </w:r>
    <w:r>
      <w:rPr>
        <w:rFonts w:ascii="Arial" w:cs="Arial" w:hAnsi="Arial"/>
        <w:sz w:val="24"/>
        <w:szCs w:val="24"/>
      </w:rPr>
      <w:instrText xml:space="preserve"> PAGE   \* MERGEFORMAT </w:instrText>
    </w:r>
    <w:r>
      <w:rPr>
        <w:rFonts w:ascii="Arial" w:cs="Arial" w:hAnsi="Arial"/>
        <w:sz w:val="24"/>
        <w:szCs w:val="24"/>
      </w:rPr>
      <w:fldChar w:fldCharType="separate"/>
    </w:r>
    <w:r>
      <w:rPr>
        <w:rFonts w:ascii="Arial" w:cs="Arial" w:hAnsi="Arial"/>
        <w:sz w:val="24"/>
        <w:szCs w:val="24"/>
      </w:rPr>
      <w:t>4</w:t>
    </w:r>
    <w:r>
      <w:rPr>
        <w:rFonts w:ascii="Arial" w:cs="Arial" w:hAnsi="Arial"/>
        <w:sz w:val="24"/>
        <w:szCs w:val="24"/>
      </w:rPr>
      <w:fldChar w:fldCharType="end"/>
    </w:r>
  </w:p>
  <w:p>
    <w:pPr>
      <w:pStyle w:val="21"/>
      <w:tabs>
        <w:tab w:val="center" w:pos="4513"/>
        <w:tab w:val="right" w:pos="9026"/>
      </w:tabs>
    </w:pP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0"/>
      <w:tabs>
        <w:tab w:val="center" w:pos="4513"/>
        <w:tab w:val="right" w:pos="9026"/>
      </w:tabs>
    </w:pPr>
    <w:r>
      <w:drawing>
        <wp:inline distT="0" distB="0" distL="0" distR="0">
          <wp:extent cx="1562100" cy="576490"/>
          <wp:effectExtent l="0" t="0" r="0" b="0"/>
          <wp:docPr id="1" name="图片 1"/>
          <wp:cNvGraphicFramePr>
            <a:graphicFrameLocks noChangeAspect="1"/>
          </wp:cNvGraphicFramePr>
          <a:graphic>
            <a:graphicData uri="http://schemas.openxmlformats.org/drawingml/2006/picture">
              <pic:pic>
                <pic:nvPicPr>
                  <pic:cNvPr id="3" name="图片 3"/>
                  <pic:cNvPicPr/>
                </pic:nvPicPr>
                <pic:blipFill>
                  <a:blip r:embed="rId1"/>
                  <a:stretch>
                    <a:fillRect/>
                  </a:stretch>
                </pic:blipFill>
                <pic:spPr>
                  <a:xfrm rot="0">
                    <a:off x="0" y="0"/>
                    <a:ext cx="1562100" cy="576490"/>
                  </a:xfrm>
                  <a:prstGeom prst="rect"/>
                  <a:noFill/>
                  <a:ln w="12700" cmpd="sng" cap="flat">
                    <a:noFill/>
                    <a:prstDash val="solid"/>
                    <a:miter/>
                  </a:ln>
                </pic:spPr>
              </pic:pic>
            </a:graphicData>
          </a:graphic>
        </wp:inline>
      </w:drawing>
    </w:r>
  </w:p>
</w:hd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5"/>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pPr>
    <w:rPr>
      <w:rFonts w:ascii="Calibri" w:eastAsia="Calibri" w:cs="Arial" w:hAnsi="Calibri"/>
      <w:sz w:val="22"/>
      <w:szCs w:val="22"/>
      <w:lang w:val="en-GB" w:eastAsia="en-US" w:bidi="ar-SA"/>
    </w:rPr>
  </w:style>
  <w:style w:type="paragraph" w:styleId="1">
    <w:name w:val="heading 1"/>
    <w:basedOn w:val="0"/>
    <w:next w:val="0"/>
    <w:pPr>
      <w:keepNext/>
      <w:keepLines/>
      <w:spacing w:before="240" w:after="0"/>
      <w:outlineLvl w:val="0"/>
    </w:pPr>
    <w:rPr>
      <w:rFonts w:ascii="Calibri Light" w:eastAsia="宋体" w:cs="Times New Roman" w:hAnsi="Calibri Light"/>
      <w:color w:val="2E74B5"/>
      <w:sz w:val="32"/>
      <w:szCs w:val="32"/>
    </w:rPr>
  </w:style>
  <w:style w:type="paragraph" w:styleId="2">
    <w:name w:val="heading 2"/>
    <w:basedOn w:val="0"/>
    <w:next w:val="0"/>
    <w:pPr>
      <w:keepNext/>
      <w:keepLines/>
      <w:spacing w:before="40" w:after="0"/>
      <w:outlineLvl w:val="1"/>
    </w:pPr>
    <w:rPr>
      <w:rFonts w:ascii="Calibri Light" w:eastAsia="宋体" w:cs="Times New Roman" w:hAnsi="Calibri Light"/>
      <w:color w:val="2E74B5"/>
      <w:sz w:val="26"/>
      <w:szCs w:val="26"/>
    </w:rPr>
  </w:style>
  <w:style w:type="paragraph" w:styleId="3">
    <w:name w:val="heading 3"/>
    <w:basedOn w:val="0"/>
    <w:next w:val="0"/>
    <w:pPr>
      <w:keepNext/>
      <w:keepLines/>
      <w:spacing w:before="40" w:after="0"/>
      <w:outlineLvl w:val="2"/>
    </w:pPr>
    <w:rPr>
      <w:rFonts w:ascii="Calibri Light" w:eastAsia="宋体" w:cs="Times New Roman" w:hAnsi="Calibri Light"/>
      <w:color w:val="1F4D78"/>
      <w:sz w:val="24"/>
      <w:szCs w:val="24"/>
    </w:rPr>
  </w:style>
  <w:style w:type="character" w:default="1" w:styleId="10">
    <w:name w:val="Default Paragraph Font"/>
  </w:style>
  <w:style w:type="paragraph" w:styleId="15">
    <w:name w:val="Normal (Web)"/>
    <w:basedOn w:val="0"/>
    <w:pPr>
      <w:spacing w:before="100" w:beforeAutospacing="1" w:after="100" w:afterAutospacing="1" w:line="240" w:lineRule="auto"/>
    </w:pPr>
    <w:rPr>
      <w:rFonts w:ascii="Times New Roman" w:eastAsia="Times New Roman" w:cs="Times New Roman" w:hAnsi="Times New Roman"/>
      <w:sz w:val="24"/>
      <w:szCs w:val="24"/>
      <w:lang w:val="en-IN" w:eastAsia="en-IN"/>
    </w:rPr>
  </w:style>
  <w:style w:type="character" w:styleId="16">
    <w:name w:val="Strong"/>
    <w:basedOn w:val="10"/>
    <w:rPr>
      <w:b/>
      <w:bCs/>
    </w:rPr>
  </w:style>
  <w:style w:type="character" w:customStyle="1" w:styleId="17">
    <w:name w:val="relative"/>
    <w:basedOn w:val="10"/>
  </w:style>
  <w:style w:type="paragraph" w:customStyle="1" w:styleId="18">
    <w:name w:val="not-prose"/>
    <w:basedOn w:val="0"/>
    <w:pPr>
      <w:spacing w:before="100" w:beforeAutospacing="1" w:after="100" w:afterAutospacing="1" w:line="240" w:lineRule="auto"/>
    </w:pPr>
    <w:rPr>
      <w:rFonts w:ascii="Times New Roman" w:eastAsia="Times New Roman" w:cs="Times New Roman" w:hAnsi="Times New Roman"/>
      <w:sz w:val="24"/>
      <w:szCs w:val="24"/>
      <w:lang w:val="en-IN" w:eastAsia="en-IN"/>
    </w:rPr>
  </w:style>
  <w:style w:type="character" w:styleId="19">
    <w:name w:val="Hyperlink"/>
    <w:basedOn w:val="10"/>
    <w:rPr>
      <w:color w:val="0000FF"/>
      <w:u w:val="single"/>
    </w:rPr>
  </w:style>
  <w:style w:type="paragraph" w:styleId="20">
    <w:name w:val="header"/>
    <w:basedOn w:val="0"/>
    <w:pPr>
      <w:tabs>
        <w:tab w:val="center" w:pos="4513"/>
        <w:tab w:val="right" w:pos="9026"/>
      </w:tabs>
      <w:spacing w:after="0" w:line="240" w:lineRule="auto"/>
    </w:pPr>
  </w:style>
  <w:style w:type="paragraph" w:styleId="21">
    <w:name w:val="footer"/>
    <w:basedOn w:val="0"/>
    <w:pPr>
      <w:tabs>
        <w:tab w:val="center" w:pos="4513"/>
        <w:tab w:val="right" w:pos="9026"/>
      </w:tabs>
      <w:spacing w:after="0" w:line="240" w:lineRule="auto"/>
    </w:pPr>
  </w:style>
  <w:style w:type="paragraph" w:customStyle="1" w:styleId="22">
    <w:name w:val="TOC Heading"/>
    <w:basedOn w:val="1"/>
    <w:next w:val="0"/>
    <w:pPr>
      <w:outlineLvl w:val="9"/>
    </w:pPr>
    <w:rPr>
      <w:lang w:val="en-US"/>
    </w:rPr>
  </w:style>
  <w:style w:type="paragraph" w:styleId="23">
    <w:name w:val="toc 1"/>
    <w:basedOn w:val="0"/>
    <w:autoRedefine/>
    <w:next w:val="0"/>
    <w:pPr>
      <w:spacing w:after="100"/>
    </w:pPr>
  </w:style>
  <w:style w:type="paragraph" w:styleId="24">
    <w:name w:val="toc 2"/>
    <w:basedOn w:val="0"/>
    <w:autoRedefine/>
    <w:next w:val="0"/>
    <w:pPr>
      <w:spacing w:after="100"/>
      <w:ind w:left="220"/>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chart" Target="charts/chart1.xml"/><Relationship Id="rId5" Type="http://schemas.openxmlformats.org/officeDocument/2006/relationships/chart" Target="charts/chart2.xml"/><Relationship Id="rId6" Type="http://schemas.openxmlformats.org/officeDocument/2006/relationships/chart" Target="charts/chart3.xml"/><Relationship Id="rId7" Type="http://schemas.openxmlformats.org/officeDocument/2006/relationships/chart" Target="charts/chart4.xml"/><Relationship Id="rId8" Type="http://schemas.openxmlformats.org/officeDocument/2006/relationships/chart" Target="charts/chart5.xml"/><Relationship Id="rId9" Type="http://schemas.openxmlformats.org/officeDocument/2006/relationships/chart" Target="charts/chart6.xml"/><Relationship Id="rId10" Type="http://schemas.openxmlformats.org/officeDocument/2006/relationships/chart" Target="charts/chart7.xml"/><Relationship Id="rId11" Type="http://schemas.openxmlformats.org/officeDocument/2006/relationships/chart" Target="charts/chart8.xml"/><Relationship Id="rId12" Type="http://schemas.openxmlformats.org/officeDocument/2006/relationships/chart" Target="charts/chart9.xml"/><Relationship Id="rId13" Type="http://schemas.openxmlformats.org/officeDocument/2006/relationships/chart" Target="charts/chart10.xml"/><Relationship Id="rId14" Type="http://schemas.openxmlformats.org/officeDocument/2006/relationships/chart" Target="charts/chart11.xml"/><Relationship Id="rId15" Type="http://schemas.openxmlformats.org/officeDocument/2006/relationships/chart" Target="charts/chart12.xml"/><Relationship Id="rId16" Type="http://schemas.openxmlformats.org/officeDocument/2006/relationships/chart" Target="charts/chart13.xml"/><Relationship Id="rId17" Type="http://schemas.openxmlformats.org/officeDocument/2006/relationships/chart" Target="charts/chart14.xml"/><Relationship Id="rId18" Type="http://schemas.openxmlformats.org/officeDocument/2006/relationships/styles" Target="styles.xml"/><Relationship Id="rId1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2.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___1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___1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___1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___1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___1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___1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Office_Excel____1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Office_Excel____1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Office_Excel____1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Office_Excel____20.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Office_Excel____21.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Office_Excel____22.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Office_Excel____23.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Microsoft_Office_Excel____2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Sales Revenue (¥ million)</c:v>
          </c:tx>
          <c:spPr>
            <a:solidFill>
              <a:srgbClr val="5B9BD5"/>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#,##0</c:formatCode>
                <c:ptCount val="5"/>
                <c:pt idx="0">
                  <c:v>2.7214594E7</c:v>
                </c:pt>
                <c:pt idx="1">
                  <c:v>3.1379507E7</c:v>
                </c:pt>
                <c:pt idx="2">
                  <c:v>3.7154298E7</c:v>
                </c:pt>
                <c:pt idx="3">
                  <c:v>4.5095325E7</c:v>
                </c:pt>
                <c:pt idx="4">
                  <c:v>4.8036704E7</c:v>
                </c:pt>
              </c:numCache>
            </c:numRef>
          </c:val>
        </c:ser>
        <c:ser>
          <c:idx val="1"/>
          <c:order val="1"/>
          <c:tx>
            <c:v>Operating Income (¥ million)</c:v>
          </c:tx>
          <c:spPr>
            <a:solidFill>
              <a:srgbClr val="ED7D31"/>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#,##0</c:formatCode>
                <c:ptCount val="5"/>
                <c:pt idx="0">
                  <c:v>2197748.0</c:v>
                </c:pt>
                <c:pt idx="1">
                  <c:v>2995697.0</c:v>
                </c:pt>
                <c:pt idx="2">
                  <c:v>2725025.0</c:v>
                </c:pt>
                <c:pt idx="3">
                  <c:v>5352934.0</c:v>
                </c:pt>
                <c:pt idx="4">
                  <c:v>4795586.0</c:v>
                </c:pt>
              </c:numCache>
            </c:numRef>
          </c:val>
        </c:ser>
        <c:ser>
          <c:idx val="2"/>
          <c:order val="2"/>
          <c:tx>
            <c:v>Net Income (¥ million)</c:v>
          </c:tx>
          <c:spPr>
            <a:solidFill>
              <a:srgbClr val="A5A5A5"/>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#,##0</c:formatCode>
                <c:ptCount val="5"/>
                <c:pt idx="0">
                  <c:v>2282378.0</c:v>
                </c:pt>
                <c:pt idx="1">
                  <c:v>2874614.0</c:v>
                </c:pt>
                <c:pt idx="2">
                  <c:v>2492967.0</c:v>
                </c:pt>
                <c:pt idx="3">
                  <c:v>5071421.0</c:v>
                </c:pt>
                <c:pt idx="4">
                  <c:v>4789755.0</c:v>
                </c:pt>
              </c:numCache>
            </c:numRef>
          </c:val>
        </c:ser>
        <c:ser>
          <c:idx val="3"/>
          <c:order val="3"/>
          <c:tx>
            <c:v>Total Assets (¥ million)</c:v>
          </c:tx>
          <c:spPr>
            <a:solidFill>
              <a:srgbClr val="FFC000"/>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#,##0</c:formatCode>
                <c:ptCount val="5"/>
                <c:pt idx="0">
                  <c:v>6.226714E7</c:v>
                </c:pt>
                <c:pt idx="1">
                  <c:v>6.7688771E7</c:v>
                </c:pt>
                <c:pt idx="2">
                  <c:v>7.430318E7</c:v>
                </c:pt>
                <c:pt idx="3">
                  <c:v>9.0114296E7</c:v>
                </c:pt>
                <c:pt idx="4">
                  <c:v>9.360135E7</c:v>
                </c:pt>
              </c:numCache>
            </c:numRef>
          </c:val>
        </c:ser>
        <c:ser>
          <c:idx val="4"/>
          <c:order val="4"/>
          <c:tx>
            <c:v>Shareholders’ Equity (¥ million)</c:v>
          </c:tx>
          <c:spPr>
            <a:solidFill>
              <a:srgbClr val="4472C4"/>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#,##0</c:formatCode>
                <c:ptCount val="5"/>
                <c:pt idx="0">
                  <c:v>2.4288329E7</c:v>
                </c:pt>
                <c:pt idx="1">
                  <c:v>2.715482E7</c:v>
                </c:pt>
                <c:pt idx="2">
                  <c:v>2.9264213E7</c:v>
                </c:pt>
                <c:pt idx="3">
                  <c:v>3.5239338E7</c:v>
                </c:pt>
                <c:pt idx="4">
                  <c:v>3.6878913E7</c:v>
                </c:pt>
              </c:numCache>
            </c:numRef>
          </c:val>
        </c:ser>
        <c:overlap val="-27"/>
        <c:gapWidth val="219"/>
        <c:axId val="0"/>
        <c:axId val="1"/>
      </c:barChart>
      <c:catAx>
        <c:axId val="0"/>
        <c:scaling>
          <c:orientation val="minMax"/>
        </c:scaling>
        <c:delete val="0"/>
        <c:axPos val="b"/>
        <c:numFmt formatCode="General" sourceLinked="0"/>
        <c:majorTickMark val="none"/>
        <c:minorTickMark val="none"/>
        <c:tickLblPos val="nextTo"/>
        <c:spPr>
          <a:ln w="12700">
            <a:solidFill>
              <a:srgbClr val="D9D9D9"/>
            </a:solidFill>
            <a:prstDash val="solid"/>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0"/>
        <c:axPos val="l"/>
        <c:majorGridlines>
          <c:spPr>
            <a:ln w="12700">
              <a:solidFill>
                <a:srgbClr val="D9D9D9"/>
              </a:solidFill>
              <a:prstDash val="solid"/>
            </a:ln>
          </c:spPr>
        </c:majorGridlines>
        <c:numFmt formatCode="#,##0" sourceLinked="0"/>
        <c:majorTickMark val="none"/>
        <c:minorTickMark val="none"/>
        <c:tickLblPos val="nextTo"/>
        <c:spPr>
          <a:ln>
            <a:noFill/>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noFill/>
        <a:ln>
          <a:noFill/>
        </a:ln>
      </c:spPr>
      <c:txPr>
        <a:bodyPr/>
        <a:lstStyle/>
        <a:p>
          <a:pPr>
            <a:defRPr sz="900" b="0" i="0" u="none" strike="noStrike" baseline="0">
              <a:solidFill>
                <a:srgbClr val="595959"/>
              </a:solidFill>
              <a:latin typeface="Droid Sans"/>
              <a:ea typeface="Droid Sans"/>
              <a:cs typeface="Lucida Sans"/>
            </a:defRPr>
          </a:pPr>
          <a:endParaRPr lang="zh-CN"/>
        </a:p>
      </c:txPr>
    </c:legend>
    <c:plotVisOnly val="1"/>
    <c:dispBlanksAs val="gap"/>
    <c:showDLblsOverMax val="0"/>
  </c:chart>
  <c:spPr>
    <a:solidFill>
      <a:srgbClr val="FFFFFF"/>
    </a:solidFill>
    <a:ln w="12700">
      <a:solidFill>
        <a:srgbClr val="D9D9D9"/>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Operating Margin (%)</c:v>
          </c:tx>
          <c:spPr>
            <a:solidFill>
              <a:srgbClr val="5B9BD5">
                <a:alpha val="85000"/>
              </a:srgbClr>
            </a:solidFill>
            <a:ln w="12700">
              <a:solidFill>
                <a:srgbClr val="FFFFFF"/>
              </a:solidFill>
              <a:prstDash val="solid"/>
            </a:ln>
          </c:spPr>
          <c:invertIfNegative val="0"/>
          <c:dLbls>
            <c:spPr>
              <a:noFill/>
              <a:ln>
                <a:noFill/>
              </a:ln>
            </c:spPr>
            <c:txPr>
              <a:bodyPr vert="horz"/>
              <a:lstStyle/>
              <a:p>
                <a:pPr>
                  <a:defRPr sz="900" b="1" i="0" u="none" strike="noStrike" baseline="0">
                    <a:solidFill>
                      <a:srgbClr val="FFFFFF"/>
                    </a:solidFill>
                    <a:latin typeface="Droid Sans"/>
                    <a:ea typeface="Droid Sans"/>
                    <a:cs typeface="Lucida Sans"/>
                  </a:defRPr>
                </a:pPr>
                <a:endParaRPr lang="zh-CN"/>
              </a:p>
            </c:txPr>
            <c:numFmt formatCode="General" sourceLinked="0"/>
            <c:dLblPos val="inEnd"/>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8.1</c:v>
                </c:pt>
                <c:pt idx="1">
                  <c:v>9.5</c:v>
                </c:pt>
                <c:pt idx="2">
                  <c:v>7.3</c:v>
                </c:pt>
                <c:pt idx="3">
                  <c:v>11.9</c:v>
                </c:pt>
                <c:pt idx="4">
                  <c:v>10.0</c:v>
                </c:pt>
              </c:numCache>
            </c:numRef>
          </c:val>
        </c:ser>
        <c:ser>
          <c:idx val="1"/>
          <c:order val="1"/>
          <c:tx>
            <c:v>Net Profit Margin (%)</c:v>
          </c:tx>
          <c:spPr>
            <a:solidFill>
              <a:srgbClr val="ED7D31">
                <a:alpha val="85000"/>
              </a:srgbClr>
            </a:solidFill>
            <a:ln w="12700">
              <a:solidFill>
                <a:srgbClr val="FFFFFF"/>
              </a:solidFill>
              <a:prstDash val="solid"/>
            </a:ln>
          </c:spPr>
          <c:invertIfNegative val="0"/>
          <c:dLbls>
            <c:spPr>
              <a:noFill/>
              <a:ln>
                <a:noFill/>
              </a:ln>
            </c:spPr>
            <c:txPr>
              <a:bodyPr vert="horz"/>
              <a:lstStyle/>
              <a:p>
                <a:pPr>
                  <a:defRPr sz="900" b="1" i="0" u="none" strike="noStrike" baseline="0">
                    <a:solidFill>
                      <a:srgbClr val="FFFFFF"/>
                    </a:solidFill>
                    <a:latin typeface="Droid Sans"/>
                    <a:ea typeface="Droid Sans"/>
                    <a:cs typeface="Lucida Sans"/>
                  </a:defRPr>
                </a:pPr>
                <a:endParaRPr lang="zh-CN"/>
              </a:p>
            </c:txPr>
            <c:numFmt formatCode="General" sourceLinked="0"/>
            <c:dLblPos val="inEnd"/>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8.4</c:v>
                </c:pt>
                <c:pt idx="1">
                  <c:v>9.2</c:v>
                </c:pt>
                <c:pt idx="2">
                  <c:v>6.7</c:v>
                </c:pt>
                <c:pt idx="3">
                  <c:v>11.2</c:v>
                </c:pt>
                <c:pt idx="4">
                  <c:v>10.0</c:v>
                </c:pt>
              </c:numCache>
            </c:numRef>
          </c:val>
        </c:ser>
        <c:ser>
          <c:idx val="2"/>
          <c:order val="2"/>
          <c:tx>
            <c:v>Return on Equity (%)</c:v>
          </c:tx>
          <c:spPr>
            <a:solidFill>
              <a:srgbClr val="A5A5A5">
                <a:alpha val="85000"/>
              </a:srgbClr>
            </a:solidFill>
            <a:ln w="12700">
              <a:solidFill>
                <a:srgbClr val="FFFFFF"/>
              </a:solidFill>
              <a:prstDash val="solid"/>
            </a:ln>
          </c:spPr>
          <c:invertIfNegative val="0"/>
          <c:dLbls>
            <c:spPr>
              <a:noFill/>
              <a:ln>
                <a:noFill/>
              </a:ln>
            </c:spPr>
            <c:txPr>
              <a:bodyPr vert="horz"/>
              <a:lstStyle/>
              <a:p>
                <a:pPr>
                  <a:defRPr sz="900" b="1" i="0" u="none" strike="noStrike" baseline="0">
                    <a:solidFill>
                      <a:srgbClr val="FFFFFF"/>
                    </a:solidFill>
                    <a:latin typeface="Droid Sans"/>
                    <a:ea typeface="Droid Sans"/>
                    <a:cs typeface="Lucida Sans"/>
                  </a:defRPr>
                </a:pPr>
                <a:endParaRPr lang="zh-CN"/>
              </a:p>
            </c:txPr>
            <c:numFmt formatCode="General" sourceLinked="0"/>
            <c:dLblPos val="inEnd"/>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10.2</c:v>
                </c:pt>
                <c:pt idx="1">
                  <c:v>11.5</c:v>
                </c:pt>
                <c:pt idx="2">
                  <c:v>9.0</c:v>
                </c:pt>
                <c:pt idx="3">
                  <c:v>15.8</c:v>
                </c:pt>
                <c:pt idx="4">
                  <c:v>13.6</c:v>
                </c:pt>
              </c:numCache>
            </c:numRef>
          </c:val>
        </c:ser>
        <c:gapWidth val="65"/>
        <c:axId val="0"/>
        <c:axId val="1"/>
      </c:barChart>
      <c:catAx>
        <c:axId val="0"/>
        <c:scaling>
          <c:orientation val="minMax"/>
        </c:scaling>
        <c:delete val="0"/>
        <c:axPos val="b"/>
        <c:numFmt formatCode="General" sourceLinked="0"/>
        <c:majorTickMark val="none"/>
        <c:minorTickMark val="none"/>
        <c:tickLblPos val="nextTo"/>
        <c:spPr>
          <a:ln w="12700">
            <a:solidFill>
              <a:srgbClr val="404040"/>
            </a:solidFill>
            <a:prstDash val="solid"/>
          </a:ln>
        </c:spPr>
        <c:txPr>
          <a:bodyPr rot="0" vert="horz" anchor="t" anchorCtr="0"/>
          <a:lstStyle/>
          <a:p>
            <a:pPr>
              <a:defRPr sz="900" b="0" i="0" u="none" strike="noStrike" cap="all" baseline="0">
                <a:solidFill>
                  <a:srgbClr val="404040"/>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1"/>
        <c:axPos val="l"/>
        <c:majorGridlines>
          <c:spPr>
            <a:ln w="12700">
              <a:solidFill>
                <a:srgbClr val="868686"/>
              </a:solidFill>
              <a:prstDash val="solid"/>
            </a:ln>
          </c:spPr>
        </c:majorGridlines>
        <c:numFmt formatCode="General" sourceLinked="0"/>
        <c:majorTickMark val="none"/>
        <c:minorTickMark val="none"/>
        <c:tickLblPos val="nextTo"/>
        <c:txPr>
          <a:bodyPr/>
          <a:lstStyle/>
          <a:p>
            <a:pPr>
              <a:defRPr sz="1000" b="0" i="0" u="none" strike="noStrike" baseline="0">
                <a:solidFill>
                  <a:srgbClr val="000000"/>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solidFill>
          <a:srgbClr val="F2F2F2">
            <a:alpha val="39000"/>
          </a:srgbClr>
        </a:solidFill>
        <a:ln>
          <a:noFill/>
        </a:ln>
      </c:spPr>
      <c:txPr>
        <a:bodyPr/>
        <a:lstStyle/>
        <a:p>
          <a:pPr>
            <a:defRPr sz="900" b="0" i="0" u="none" strike="noStrike" baseline="0">
              <a:solidFill>
                <a:srgbClr val="404040"/>
              </a:solidFill>
              <a:latin typeface="Droid Sans"/>
              <a:ea typeface="Droid Sans"/>
              <a:cs typeface="Lucida Sans"/>
            </a:defRPr>
          </a:pPr>
          <a:endParaRPr lang="zh-CN"/>
        </a:p>
      </c:txPr>
    </c:legend>
    <c:plotVisOnly val="1"/>
    <c:dispBlanksAs val="gap"/>
    <c:showDLblsOverMax val="0"/>
  </c:chart>
  <c:spPr>
    <a:gradFill>
      <a:gsLst>
        <a:gs pos="0">
          <a:srgbClr val="FFFFFF"/>
        </a:gs>
        <a:gs pos="39000">
          <a:srgbClr val="FFFFFF"/>
        </a:gs>
        <a:gs pos="100000">
          <a:srgbClr val="BFBFBF"/>
        </a:gs>
      </a:gsLst>
      <a:path path="shape">
        <a:fillToRect l="50000" t="50000" r="50000" b="50000"/>
      </a:path>
    </a:gradFill>
    <a:ln w="12700">
      <a:solidFill>
        <a:srgbClr val="BFBFBF"/>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Cash &amp; Cash Equivalents (¥ trillion)</c:v>
          </c:tx>
          <c:spPr>
            <a:gradFill>
              <a:gsLst>
                <a:gs pos="0">
                  <a:srgbClr val="71A6DB"/>
                </a:gs>
                <a:gs pos="50000">
                  <a:srgbClr val="559BDB"/>
                </a:gs>
                <a:gs pos="100000">
                  <a:srgbClr val="4389C9"/>
                </a:gs>
              </a:gsLst>
              <a:lin ang="5400000" scaled="1"/>
            </a:gradFill>
            <a:ln>
              <a:noFill/>
            </a:ln>
            <a:effectLst>
              <a:outerShdw dist="35921" dir="2700000" algn="br">
                <a:srgbClr val="000000"/>
              </a:outerShdw>
            </a:effectLst>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5.1</c:v>
                </c:pt>
                <c:pt idx="1">
                  <c:v>6.11</c:v>
                </c:pt>
                <c:pt idx="2">
                  <c:v>7.52</c:v>
                </c:pt>
                <c:pt idx="3">
                  <c:v>9.41</c:v>
                </c:pt>
                <c:pt idx="4">
                  <c:v>8.98</c:v>
                </c:pt>
              </c:numCache>
            </c:numRef>
          </c:val>
        </c:ser>
        <c:ser>
          <c:idx val="1"/>
          <c:order val="1"/>
          <c:tx>
            <c:v>Operating Cash Flow (¥ trillion)</c:v>
          </c:tx>
          <c:spPr>
            <a:gradFill>
              <a:gsLst>
                <a:gs pos="0">
                  <a:srgbClr val="F18B54"/>
                </a:gs>
                <a:gs pos="50000">
                  <a:srgbClr val="F67B28"/>
                </a:gs>
                <a:gs pos="100000">
                  <a:srgbClr val="E5630A"/>
                </a:gs>
              </a:gsLst>
              <a:lin ang="5400000" scaled="1"/>
            </a:gradFill>
            <a:ln>
              <a:noFill/>
            </a:ln>
            <a:effectLst>
              <a:outerShdw dist="35921" dir="2700000" algn="br">
                <a:srgbClr val="000000"/>
              </a:outerShdw>
            </a:effectLst>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2.73</c:v>
                </c:pt>
                <c:pt idx="1">
                  <c:v>3.72</c:v>
                </c:pt>
                <c:pt idx="2">
                  <c:v>2.96</c:v>
                </c:pt>
                <c:pt idx="3">
                  <c:v>4.21</c:v>
                </c:pt>
                <c:pt idx="4">
                  <c:v>3.7</c:v>
                </c:pt>
              </c:numCache>
            </c:numRef>
          </c:val>
        </c:ser>
        <c:overlap val="-24"/>
        <c:gapWidth val="100"/>
        <c:axId val="0"/>
        <c:axId val="1"/>
      </c:barChart>
      <c:catAx>
        <c:axId val="0"/>
        <c:scaling>
          <c:orientation val="minMax"/>
        </c:scaling>
        <c:delete val="0"/>
        <c:axPos val="b"/>
        <c:numFmt formatCode="General" sourceLinked="0"/>
        <c:majorTickMark val="none"/>
        <c:minorTickMark val="none"/>
        <c:tickLblPos val="nextTo"/>
        <c:spPr>
          <a:ln w="12700">
            <a:solidFill>
              <a:srgbClr val="F2F2F2"/>
            </a:solidFill>
            <a:prstDash val="solid"/>
          </a:ln>
        </c:spPr>
        <c:txPr>
          <a:bodyPr rot="0" vert="horz" anchor="t" anchorCtr="0"/>
          <a:lstStyle/>
          <a:p>
            <a:pPr>
              <a:defRPr sz="900" b="0" i="0" u="none" strike="noStrike" baseline="0">
                <a:solidFill>
                  <a:srgbClr val="D8D8D8"/>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0"/>
        <c:axPos val="l"/>
        <c:majorGridlines>
          <c:spPr>
            <a:ln w="12700">
              <a:solidFill>
                <a:srgbClr val="F2F2F2"/>
              </a:solidFill>
              <a:prstDash val="solid"/>
            </a:ln>
          </c:spPr>
        </c:majorGridlines>
        <c:numFmt formatCode="General" sourceLinked="0"/>
        <c:majorTickMark val="none"/>
        <c:minorTickMark val="none"/>
        <c:tickLblPos val="nextTo"/>
        <c:spPr>
          <a:ln>
            <a:noFill/>
          </a:ln>
        </c:spPr>
        <c:txPr>
          <a:bodyPr rot="0" vert="horz" anchor="t" anchorCtr="0"/>
          <a:lstStyle/>
          <a:p>
            <a:pPr>
              <a:defRPr sz="900" b="0" i="0" u="none" strike="noStrike" baseline="0">
                <a:solidFill>
                  <a:srgbClr val="D8D8D8"/>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noFill/>
        <a:ln>
          <a:noFill/>
        </a:ln>
      </c:spPr>
      <c:txPr>
        <a:bodyPr/>
        <a:lstStyle/>
        <a:p>
          <a:pPr>
            <a:defRPr sz="900" b="0" i="0" u="none" strike="noStrike" baseline="0">
              <a:solidFill>
                <a:srgbClr val="D8D8D8"/>
              </a:solidFill>
              <a:latin typeface="Droid Sans"/>
              <a:ea typeface="Droid Sans"/>
              <a:cs typeface="Lucida Sans"/>
            </a:defRPr>
          </a:pPr>
          <a:endParaRPr lang="zh-CN"/>
        </a:p>
      </c:txPr>
    </c:legend>
    <c:plotVisOnly val="1"/>
    <c:dispBlanksAs val="gap"/>
    <c:showDLblsOverMax val="0"/>
  </c:chart>
  <c:spPr>
    <a:gradFill>
      <a:gsLst>
        <a:gs pos="0">
          <a:srgbClr val="262626"/>
        </a:gs>
        <a:gs pos="100000">
          <a:srgbClr val="595959"/>
        </a:gs>
      </a:gsLst>
      <a:path path="shape">
        <a:fillToRect l="50000" t="50000" r="50000" b="50000"/>
      </a:path>
    </a:gradFill>
    <a:ln>
      <a:noFill/>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Sales Revenue (¥ trillion)</c:v>
          </c:tx>
          <c:spPr>
            <a:solidFill>
              <a:srgbClr val="5B9BD5"/>
            </a:solidFill>
            <a:ln>
              <a:noFill/>
            </a:ln>
          </c:spPr>
          <c:invertIfNegative val="0"/>
          <c:dLbls>
            <c:spPr>
              <a:noFill/>
              <a:ln>
                <a:noFill/>
              </a:ln>
            </c:spPr>
            <c:txPr>
              <a:bodyPr rot="-5400000" vert="horz"/>
              <a:lstStyle/>
              <a:p>
                <a:pPr>
                  <a:defRPr sz="800" b="0" i="0" u="none" strike="noStrike" baseline="0">
                    <a:solidFill>
                      <a:srgbClr val="808080"/>
                    </a:solidFill>
                    <a:latin typeface="Droid Sans"/>
                    <a:ea typeface="Droid Sans"/>
                    <a:cs typeface="Lucida Sans"/>
                  </a:defRPr>
                </a:pPr>
                <a:endParaRPr lang="zh-CN"/>
              </a:p>
            </c:txPr>
            <c:numFmt formatCode="General" sourceLinked="0"/>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27.21</c:v>
                </c:pt>
                <c:pt idx="1">
                  <c:v>31.38</c:v>
                </c:pt>
                <c:pt idx="2">
                  <c:v>37.15</c:v>
                </c:pt>
                <c:pt idx="3">
                  <c:v>45.1</c:v>
                </c:pt>
                <c:pt idx="4">
                  <c:v>48.04</c:v>
                </c:pt>
              </c:numCache>
            </c:numRef>
          </c:val>
        </c:ser>
        <c:ser>
          <c:idx val="1"/>
          <c:order val="1"/>
          <c:tx>
            <c:v>Total Assets (¥ trillion)</c:v>
          </c:tx>
          <c:spPr>
            <a:solidFill>
              <a:srgbClr val="ED7D31"/>
            </a:solidFill>
            <a:ln>
              <a:noFill/>
            </a:ln>
          </c:spPr>
          <c:invertIfNegative val="0"/>
          <c:dLbls>
            <c:spPr>
              <a:noFill/>
              <a:ln>
                <a:noFill/>
              </a:ln>
            </c:spPr>
            <c:txPr>
              <a:bodyPr rot="-5400000" vert="horz"/>
              <a:lstStyle/>
              <a:p>
                <a:pPr>
                  <a:defRPr sz="800" b="0" i="0" u="none" strike="noStrike" baseline="0">
                    <a:solidFill>
                      <a:srgbClr val="808080"/>
                    </a:solidFill>
                    <a:latin typeface="Droid Sans"/>
                    <a:ea typeface="Droid Sans"/>
                    <a:cs typeface="Lucida Sans"/>
                  </a:defRPr>
                </a:pPr>
                <a:endParaRPr lang="zh-CN"/>
              </a:p>
            </c:txPr>
            <c:numFmt formatCode="General" sourceLinked="0"/>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62.27</c:v>
                </c:pt>
                <c:pt idx="1">
                  <c:v>67.69</c:v>
                </c:pt>
                <c:pt idx="2">
                  <c:v>74.3</c:v>
                </c:pt>
                <c:pt idx="3">
                  <c:v>90.11</c:v>
                </c:pt>
                <c:pt idx="4">
                  <c:v>93.6</c:v>
                </c:pt>
              </c:numCache>
            </c:numRef>
          </c:val>
        </c:ser>
        <c:ser>
          <c:idx val="2"/>
          <c:order val="2"/>
          <c:tx>
            <c:v>Asset Turnover</c:v>
          </c:tx>
          <c:spPr>
            <a:solidFill>
              <a:srgbClr val="A5A5A5"/>
            </a:solidFill>
            <a:ln>
              <a:noFill/>
            </a:ln>
          </c:spPr>
          <c:invertIfNegative val="0"/>
          <c:dLbls>
            <c:spPr>
              <a:noFill/>
              <a:ln>
                <a:noFill/>
              </a:ln>
            </c:spPr>
            <c:txPr>
              <a:bodyPr rot="-5400000" vert="horz"/>
              <a:lstStyle/>
              <a:p>
                <a:pPr>
                  <a:defRPr sz="800" b="0" i="0" u="none" strike="noStrike" baseline="0">
                    <a:solidFill>
                      <a:srgbClr val="808080"/>
                    </a:solidFill>
                    <a:latin typeface="Droid Sans"/>
                    <a:ea typeface="Droid Sans"/>
                    <a:cs typeface="Lucida Sans"/>
                  </a:defRPr>
                </a:pPr>
                <a:endParaRPr lang="zh-CN"/>
              </a:p>
            </c:txPr>
            <c:numFmt formatCode="General" sourceLinked="0"/>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0.44</c:v>
                </c:pt>
                <c:pt idx="1">
                  <c:v>0.46</c:v>
                </c:pt>
                <c:pt idx="2">
                  <c:v>0.5</c:v>
                </c:pt>
                <c:pt idx="3">
                  <c:v>0.5</c:v>
                </c:pt>
                <c:pt idx="4">
                  <c:v>0.51</c:v>
                </c:pt>
              </c:numCache>
            </c:numRef>
          </c:val>
        </c:ser>
        <c:overlap val="-90"/>
        <c:gapWidth val="444"/>
        <c:axId val="0"/>
        <c:axId val="1"/>
      </c:barChart>
      <c:catAx>
        <c:axId val="0"/>
        <c:scaling>
          <c:orientation val="minMax"/>
        </c:scaling>
        <c:delete val="0"/>
        <c:axPos val="b"/>
        <c:numFmt formatCode="General" sourceLinked="0"/>
        <c:majorGridlines>
          <c:spPr>
            <a:ln w="12700">
              <a:solidFill>
                <a:srgbClr val="D9D9D9"/>
              </a:solidFill>
              <a:prstDash val="solid"/>
            </a:ln>
          </c:spPr>
        </c:majorGridlines>
        <c:majorTickMark val="none"/>
        <c:minorTickMark val="none"/>
        <c:tickLblPos val="nextTo"/>
        <c:spPr>
          <a:ln w="12700">
            <a:solidFill>
              <a:srgbClr val="D9D9D9"/>
            </a:solidFill>
            <a:prstDash val="solid"/>
          </a:ln>
        </c:spPr>
        <c:txPr>
          <a:bodyPr rot="0" vert="horz" anchor="t" anchorCtr="0"/>
          <a:lstStyle/>
          <a:p>
            <a:pPr>
              <a:defRPr sz="800" b="0" i="0" u="none" strike="noStrike" cap="all" baseline="0">
                <a:solidFill>
                  <a:srgbClr val="595959"/>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1"/>
        <c:axPos val="l"/>
        <c:numFmt formatCode="General" sourceLinked="0"/>
        <c:majorTickMark val="none"/>
        <c:minorTickMark val="none"/>
        <c:tickLblPos val="nextTo"/>
        <c:txPr>
          <a:bodyPr/>
          <a:lstStyle/>
          <a:p>
            <a:pPr>
              <a:defRPr sz="1000" b="0" i="0" u="none" strike="noStrike" baseline="0">
                <a:solidFill>
                  <a:srgbClr val="000000"/>
                </a:solidFill>
                <a:latin typeface="Droid Sans"/>
                <a:ea typeface="Droid Sans"/>
                <a:cs typeface="Lucida Sans"/>
              </a:defRPr>
            </a:pPr>
            <a:endParaRPr lang="zh-CN"/>
          </a:p>
        </c:txPr>
        <c:crosses val="autoZero"/>
        <c:crossBetween val="between"/>
        <c:crossAx val="0"/>
      </c:valAx>
      <c:spPr>
        <a:noFill/>
        <a:ln>
          <a:noFill/>
        </a:ln>
      </c:spPr>
    </c:plotArea>
    <c:legend>
      <c:legendPos val="t"/>
      <c:layout/>
      <c:overlay val="0"/>
      <c:spPr>
        <a:noFill/>
        <a:ln>
          <a:noFill/>
        </a:ln>
      </c:spPr>
      <c:txPr>
        <a:bodyPr/>
        <a:lstStyle/>
        <a:p>
          <a:pPr>
            <a:defRPr sz="900" b="0" i="0" u="none" strike="noStrike" baseline="0">
              <a:solidFill>
                <a:srgbClr val="595959"/>
              </a:solidFill>
              <a:latin typeface="Droid Sans"/>
              <a:ea typeface="Droid Sans"/>
              <a:cs typeface="Lucida Sans"/>
            </a:defRPr>
          </a:pPr>
          <a:endParaRPr lang="zh-CN"/>
        </a:p>
      </c:txPr>
    </c:legend>
    <c:plotVisOnly val="1"/>
    <c:dispBlanksAs val="gap"/>
    <c:showDLblsOverMax val="0"/>
  </c:chart>
  <c:spPr>
    <a:solidFill>
      <a:srgbClr val="FFFFFF"/>
    </a:solidFill>
    <a:ln w="12700">
      <a:solidFill>
        <a:srgbClr val="D9D9D9"/>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Total Assets (¥ trillion)</c:v>
          </c:tx>
          <c:spPr>
            <a:solidFill>
              <a:srgbClr val="5B9BD5"/>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62.27</c:v>
                </c:pt>
                <c:pt idx="1">
                  <c:v>67.69</c:v>
                </c:pt>
                <c:pt idx="2">
                  <c:v>74.3</c:v>
                </c:pt>
                <c:pt idx="3">
                  <c:v>90.11</c:v>
                </c:pt>
                <c:pt idx="4">
                  <c:v>93.6</c:v>
                </c:pt>
              </c:numCache>
            </c:numRef>
          </c:val>
        </c:ser>
        <c:ser>
          <c:idx val="1"/>
          <c:order val="1"/>
          <c:tx>
            <c:v>Shareholders’ Equity (¥ trillion)</c:v>
          </c:tx>
          <c:spPr>
            <a:solidFill>
              <a:srgbClr val="ED7D31"/>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24.29</c:v>
                </c:pt>
                <c:pt idx="1">
                  <c:v>27.15</c:v>
                </c:pt>
                <c:pt idx="2">
                  <c:v>29.26</c:v>
                </c:pt>
                <c:pt idx="3">
                  <c:v>35.24</c:v>
                </c:pt>
                <c:pt idx="4">
                  <c:v>36.88</c:v>
                </c:pt>
              </c:numCache>
            </c:numRef>
          </c:val>
        </c:ser>
        <c:ser>
          <c:idx val="2"/>
          <c:order val="2"/>
          <c:tx>
            <c:v>Equity Ratio (%)</c:v>
          </c:tx>
          <c:spPr>
            <a:solidFill>
              <a:srgbClr val="A5A5A5"/>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37.6</c:v>
                </c:pt>
                <c:pt idx="1">
                  <c:v>38.8</c:v>
                </c:pt>
                <c:pt idx="2">
                  <c:v>38.1</c:v>
                </c:pt>
                <c:pt idx="3">
                  <c:v>38.0</c:v>
                </c:pt>
                <c:pt idx="4">
                  <c:v>38.4</c:v>
                </c:pt>
              </c:numCache>
            </c:numRef>
          </c:val>
        </c:ser>
        <c:overlap val="-27"/>
        <c:gapWidth val="219"/>
        <c:axId val="0"/>
        <c:axId val="1"/>
      </c:barChart>
      <c:catAx>
        <c:axId val="0"/>
        <c:scaling>
          <c:orientation val="minMax"/>
        </c:scaling>
        <c:delete val="0"/>
        <c:axPos val="b"/>
        <c:numFmt formatCode="General" sourceLinked="0"/>
        <c:majorTickMark val="none"/>
        <c:minorTickMark val="none"/>
        <c:tickLblPos val="nextTo"/>
        <c:spPr>
          <a:ln w="12700">
            <a:solidFill>
              <a:srgbClr val="D9D9D9"/>
            </a:solidFill>
            <a:prstDash val="solid"/>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0"/>
        <c:axPos val="l"/>
        <c:majorGridlines>
          <c:spPr>
            <a:ln w="12700">
              <a:solidFill>
                <a:srgbClr val="D9D9D9"/>
              </a:solidFill>
              <a:prstDash val="solid"/>
            </a:ln>
          </c:spPr>
        </c:majorGridlines>
        <c:numFmt formatCode="General" sourceLinked="0"/>
        <c:majorTickMark val="none"/>
        <c:minorTickMark val="none"/>
        <c:tickLblPos val="nextTo"/>
        <c:spPr>
          <a:ln>
            <a:noFill/>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noFill/>
        <a:ln>
          <a:noFill/>
        </a:ln>
      </c:spPr>
      <c:txPr>
        <a:bodyPr/>
        <a:lstStyle/>
        <a:p>
          <a:pPr>
            <a:defRPr sz="900" b="0" i="0" u="none" strike="noStrike" baseline="0">
              <a:solidFill>
                <a:srgbClr val="595959"/>
              </a:solidFill>
              <a:latin typeface="Droid Sans"/>
              <a:ea typeface="Droid Sans"/>
              <a:cs typeface="Lucida Sans"/>
            </a:defRPr>
          </a:pPr>
          <a:endParaRPr lang="zh-CN"/>
        </a:p>
      </c:txPr>
    </c:legend>
    <c:plotVisOnly val="1"/>
    <c:dispBlanksAs val="gap"/>
    <c:showDLblsOverMax val="0"/>
  </c:chart>
  <c:spPr>
    <a:solidFill>
      <a:srgbClr val="FFFFFF"/>
    </a:solidFill>
    <a:ln w="12700">
      <a:solidFill>
        <a:srgbClr val="D9D9D9"/>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Earnings per Share (¥)</c:v>
          </c:tx>
          <c:spPr>
            <a:solidFill>
              <a:srgbClr val="5B9BD5">
                <a:alpha val="70000"/>
              </a:srgbClr>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160.65</c:v>
                </c:pt>
                <c:pt idx="1">
                  <c:v>205.23</c:v>
                </c:pt>
                <c:pt idx="2">
                  <c:v>179.47</c:v>
                </c:pt>
                <c:pt idx="3">
                  <c:v>365.94</c:v>
                </c:pt>
                <c:pt idx="4">
                  <c:v>359.56</c:v>
                </c:pt>
              </c:numCache>
            </c:numRef>
          </c:val>
        </c:ser>
        <c:ser>
          <c:idx val="1"/>
          <c:order val="1"/>
          <c:tx>
            <c:v>Dividend per Share (¥)</c:v>
          </c:tx>
          <c:spPr>
            <a:solidFill>
              <a:srgbClr val="ED7D31">
                <a:alpha val="70000"/>
              </a:srgbClr>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240.0</c:v>
                </c:pt>
                <c:pt idx="1">
                  <c:v>0.0</c:v>
                </c:pt>
                <c:pt idx="2">
                  <c:v>60.0</c:v>
                </c:pt>
                <c:pt idx="3">
                  <c:v>75.0</c:v>
                </c:pt>
                <c:pt idx="4">
                  <c:v>90.0</c:v>
                </c:pt>
              </c:numCache>
            </c:numRef>
          </c:val>
        </c:ser>
        <c:overlap val="25"/>
        <c:gapWidth val="80"/>
        <c:axId val="0"/>
        <c:axId val="1"/>
      </c:barChart>
      <c:catAx>
        <c:axId val="0"/>
        <c:scaling>
          <c:orientation val="minMax"/>
        </c:scaling>
        <c:delete val="0"/>
        <c:axPos val="b"/>
        <c:numFmt formatCode="General" sourceLinked="0"/>
        <c:majorTickMark val="none"/>
        <c:minorTickMark val="none"/>
        <c:tickLblPos val="nextTo"/>
        <c:spPr>
          <a:ln w="12700">
            <a:solidFill>
              <a:srgbClr val="BFBFBF"/>
            </a:solidFill>
            <a:prstDash val="solid"/>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0"/>
        <c:axPos val="l"/>
        <c:majorGridlines>
          <c:spPr>
            <a:ln w="12700">
              <a:solidFill>
                <a:srgbClr val="F2F2F2"/>
              </a:solidFill>
              <a:prstDash val="solid"/>
            </a:ln>
          </c:spPr>
        </c:majorGridlines>
        <c:numFmt formatCode="General" sourceLinked="0"/>
        <c:majorTickMark val="none"/>
        <c:minorTickMark val="none"/>
        <c:tickLblPos val="nextTo"/>
        <c:spPr>
          <a:ln>
            <a:noFill/>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noFill/>
        <a:ln>
          <a:noFill/>
        </a:ln>
      </c:spPr>
      <c:txPr>
        <a:bodyPr/>
        <a:lstStyle/>
        <a:p>
          <a:pPr>
            <a:defRPr sz="900" b="0" i="0" u="none" strike="noStrike" baseline="0">
              <a:solidFill>
                <a:srgbClr val="595959"/>
              </a:solidFill>
              <a:latin typeface="Droid Sans"/>
              <a:ea typeface="Droid Sans"/>
              <a:cs typeface="Lucida Sans"/>
            </a:defRPr>
          </a:pPr>
          <a:endParaRPr lang="zh-CN"/>
        </a:p>
      </c:txPr>
    </c:legend>
    <c:plotVisOnly val="1"/>
    <c:dispBlanksAs val="gap"/>
    <c:showDLblsOverMax val="0"/>
  </c:chart>
  <c:spPr>
    <a:solidFill>
      <a:srgbClr val="FFFFFF"/>
    </a:solidFill>
    <a:ln w="12700">
      <a:solidFill>
        <a:srgbClr val="D9D9D9"/>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Operating Cash Flow (¥ trillion)</c:v>
          </c:tx>
          <c:spPr>
            <a:solidFill>
              <a:srgbClr val="5B9BD5"/>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2.73</c:v>
                </c:pt>
                <c:pt idx="1">
                  <c:v>3.72</c:v>
                </c:pt>
                <c:pt idx="2">
                  <c:v>2.96</c:v>
                </c:pt>
                <c:pt idx="3">
                  <c:v>4.21</c:v>
                </c:pt>
                <c:pt idx="4">
                  <c:v>3.7</c:v>
                </c:pt>
              </c:numCache>
            </c:numRef>
          </c:val>
        </c:ser>
        <c:ser>
          <c:idx val="1"/>
          <c:order val="1"/>
          <c:tx>
            <c:v>Investing Cash Flow (¥ trillion)</c:v>
          </c:tx>
          <c:spPr>
            <a:solidFill>
              <a:srgbClr val="ED7D31"/>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-4.68</c:v>
                </c:pt>
                <c:pt idx="1">
                  <c:v>-0.58</c:v>
                </c:pt>
                <c:pt idx="2">
                  <c:v>-1.6</c:v>
                </c:pt>
                <c:pt idx="3">
                  <c:v>-5.0</c:v>
                </c:pt>
                <c:pt idx="4">
                  <c:v>-4.19</c:v>
                </c:pt>
              </c:numCache>
            </c:numRef>
          </c:val>
        </c:ser>
        <c:overlap val="-27"/>
        <c:gapWidth val="219"/>
        <c:axId val="0"/>
        <c:axId val="1"/>
      </c:barChart>
      <c:catAx>
        <c:axId val="0"/>
        <c:scaling>
          <c:orientation val="minMax"/>
        </c:scaling>
        <c:delete val="0"/>
        <c:axPos val="b"/>
        <c:numFmt formatCode="General" sourceLinked="0"/>
        <c:majorTickMark val="none"/>
        <c:minorTickMark val="none"/>
        <c:tickLblPos val="nextTo"/>
        <c:spPr>
          <a:ln w="12700">
            <a:solidFill>
              <a:srgbClr val="D9D9D9"/>
            </a:solidFill>
            <a:prstDash val="solid"/>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0"/>
        <c:axPos val="l"/>
        <c:majorGridlines>
          <c:spPr>
            <a:ln w="12700">
              <a:solidFill>
                <a:srgbClr val="D9D9D9"/>
              </a:solidFill>
              <a:prstDash val="solid"/>
            </a:ln>
          </c:spPr>
        </c:majorGridlines>
        <c:numFmt formatCode="General" sourceLinked="0"/>
        <c:majorTickMark val="none"/>
        <c:minorTickMark val="none"/>
        <c:tickLblPos val="nextTo"/>
        <c:spPr>
          <a:ln>
            <a:noFill/>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noFill/>
        <a:ln>
          <a:noFill/>
        </a:ln>
      </c:spPr>
      <c:txPr>
        <a:bodyPr/>
        <a:lstStyle/>
        <a:p>
          <a:pPr>
            <a:defRPr sz="900" b="0" i="0" u="none" strike="noStrike" baseline="0">
              <a:solidFill>
                <a:srgbClr val="595959"/>
              </a:solidFill>
              <a:latin typeface="Droid Sans"/>
              <a:ea typeface="Droid Sans"/>
              <a:cs typeface="Lucida Sans"/>
            </a:defRPr>
          </a:pPr>
          <a:endParaRPr lang="zh-CN"/>
        </a:p>
      </c:txPr>
    </c:legend>
    <c:plotVisOnly val="1"/>
    <c:dispBlanksAs val="gap"/>
    <c:showDLblsOverMax val="0"/>
  </c:chart>
  <c:spPr>
    <a:solidFill>
      <a:srgbClr val="FFFFFF"/>
    </a:solidFill>
    <a:ln w="12700">
      <a:solidFill>
        <a:srgbClr val="D9D9D9"/>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Sales Revenue (¥ million)</c:v>
          </c:tx>
          <c:spPr>
            <a:solidFill>
              <a:srgbClr val="5B9BD5"/>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#,##0</c:formatCode>
                <c:ptCount val="5"/>
                <c:pt idx="0">
                  <c:v>2.7214594E7</c:v>
                </c:pt>
                <c:pt idx="1">
                  <c:v>3.1379507E7</c:v>
                </c:pt>
                <c:pt idx="2">
                  <c:v>3.7154298E7</c:v>
                </c:pt>
                <c:pt idx="3">
                  <c:v>4.5095325E7</c:v>
                </c:pt>
                <c:pt idx="4">
                  <c:v>4.8036704E7</c:v>
                </c:pt>
              </c:numCache>
            </c:numRef>
          </c:val>
        </c:ser>
        <c:ser>
          <c:idx val="1"/>
          <c:order val="1"/>
          <c:tx>
            <c:v>Operating Income (¥ million)</c:v>
          </c:tx>
          <c:spPr>
            <a:solidFill>
              <a:srgbClr val="ED7D31"/>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#,##0</c:formatCode>
                <c:ptCount val="5"/>
                <c:pt idx="0">
                  <c:v>2197748.0</c:v>
                </c:pt>
                <c:pt idx="1">
                  <c:v>2995697.0</c:v>
                </c:pt>
                <c:pt idx="2">
                  <c:v>2725025.0</c:v>
                </c:pt>
                <c:pt idx="3">
                  <c:v>5352934.0</c:v>
                </c:pt>
                <c:pt idx="4">
                  <c:v>4795586.0</c:v>
                </c:pt>
              </c:numCache>
            </c:numRef>
          </c:val>
        </c:ser>
        <c:ser>
          <c:idx val="2"/>
          <c:order val="2"/>
          <c:tx>
            <c:v>Net Income (¥ million)</c:v>
          </c:tx>
          <c:spPr>
            <a:solidFill>
              <a:srgbClr val="A5A5A5"/>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#,##0</c:formatCode>
                <c:ptCount val="5"/>
                <c:pt idx="0">
                  <c:v>2282378.0</c:v>
                </c:pt>
                <c:pt idx="1">
                  <c:v>2874614.0</c:v>
                </c:pt>
                <c:pt idx="2">
                  <c:v>2492967.0</c:v>
                </c:pt>
                <c:pt idx="3">
                  <c:v>5071421.0</c:v>
                </c:pt>
                <c:pt idx="4">
                  <c:v>4789755.0</c:v>
                </c:pt>
              </c:numCache>
            </c:numRef>
          </c:val>
        </c:ser>
        <c:ser>
          <c:idx val="3"/>
          <c:order val="3"/>
          <c:tx>
            <c:v>Total Assets (¥ million)</c:v>
          </c:tx>
          <c:spPr>
            <a:solidFill>
              <a:srgbClr val="FFC000"/>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#,##0</c:formatCode>
                <c:ptCount val="5"/>
                <c:pt idx="0">
                  <c:v>6.226714E7</c:v>
                </c:pt>
                <c:pt idx="1">
                  <c:v>6.7688771E7</c:v>
                </c:pt>
                <c:pt idx="2">
                  <c:v>7.430318E7</c:v>
                </c:pt>
                <c:pt idx="3">
                  <c:v>9.0114296E7</c:v>
                </c:pt>
                <c:pt idx="4">
                  <c:v>9.360135E7</c:v>
                </c:pt>
              </c:numCache>
            </c:numRef>
          </c:val>
        </c:ser>
        <c:ser>
          <c:idx val="4"/>
          <c:order val="4"/>
          <c:tx>
            <c:v>Shareholders’ Equity (¥ million)</c:v>
          </c:tx>
          <c:spPr>
            <a:solidFill>
              <a:srgbClr val="4472C4"/>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#,##0</c:formatCode>
                <c:ptCount val="5"/>
                <c:pt idx="0">
                  <c:v>2.4288329E7</c:v>
                </c:pt>
                <c:pt idx="1">
                  <c:v>2.715482E7</c:v>
                </c:pt>
                <c:pt idx="2">
                  <c:v>2.9264213E7</c:v>
                </c:pt>
                <c:pt idx="3">
                  <c:v>3.5239338E7</c:v>
                </c:pt>
                <c:pt idx="4">
                  <c:v>3.6878913E7</c:v>
                </c:pt>
              </c:numCache>
            </c:numRef>
          </c:val>
        </c:ser>
        <c:overlap val="-27"/>
        <c:gapWidth val="219"/>
        <c:axId val="0"/>
        <c:axId val="1"/>
      </c:barChart>
      <c:catAx>
        <c:axId val="0"/>
        <c:scaling>
          <c:orientation val="minMax"/>
        </c:scaling>
        <c:delete val="0"/>
        <c:axPos val="b"/>
        <c:numFmt formatCode="General" sourceLinked="0"/>
        <c:majorTickMark val="none"/>
        <c:minorTickMark val="none"/>
        <c:tickLblPos val="nextTo"/>
        <c:spPr>
          <a:ln w="12700">
            <a:solidFill>
              <a:srgbClr val="D9D9D9"/>
            </a:solidFill>
            <a:prstDash val="solid"/>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0"/>
        <c:axPos val="l"/>
        <c:majorGridlines>
          <c:spPr>
            <a:ln w="12700">
              <a:solidFill>
                <a:srgbClr val="D9D9D9"/>
              </a:solidFill>
              <a:prstDash val="solid"/>
            </a:ln>
          </c:spPr>
        </c:majorGridlines>
        <c:numFmt formatCode="#,##0" sourceLinked="0"/>
        <c:majorTickMark val="none"/>
        <c:minorTickMark val="none"/>
        <c:tickLblPos val="nextTo"/>
        <c:spPr>
          <a:ln>
            <a:noFill/>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noFill/>
        <a:ln>
          <a:noFill/>
        </a:ln>
      </c:spPr>
      <c:txPr>
        <a:bodyPr/>
        <a:lstStyle/>
        <a:p>
          <a:pPr>
            <a:defRPr sz="900" b="0" i="0" u="none" strike="noStrike" baseline="0">
              <a:solidFill>
                <a:srgbClr val="595959"/>
              </a:solidFill>
              <a:latin typeface="Droid Sans"/>
              <a:ea typeface="Droid Sans"/>
              <a:cs typeface="Lucida Sans"/>
            </a:defRPr>
          </a:pPr>
          <a:endParaRPr lang="zh-CN"/>
        </a:p>
      </c:txPr>
    </c:legend>
    <c:plotVisOnly val="1"/>
    <c:dispBlanksAs val="gap"/>
    <c:showDLblsOverMax val="0"/>
  </c:chart>
  <c:spPr>
    <a:solidFill>
      <a:srgbClr val="FFFFFF"/>
    </a:solidFill>
    <a:ln w="12700">
      <a:solidFill>
        <a:srgbClr val="D9D9D9"/>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Operating Margin (%)</c:v>
          </c:tx>
          <c:spPr>
            <a:solidFill>
              <a:srgbClr val="5B9BD5">
                <a:alpha val="85000"/>
              </a:srgbClr>
            </a:solidFill>
            <a:ln w="12700">
              <a:solidFill>
                <a:srgbClr val="FFFFFF"/>
              </a:solidFill>
              <a:prstDash val="solid"/>
            </a:ln>
          </c:spPr>
          <c:invertIfNegative val="0"/>
          <c:dLbls>
            <c:spPr>
              <a:noFill/>
              <a:ln>
                <a:noFill/>
              </a:ln>
            </c:spPr>
            <c:txPr>
              <a:bodyPr vert="horz"/>
              <a:lstStyle/>
              <a:p>
                <a:pPr>
                  <a:defRPr sz="900" b="1" i="0" u="none" strike="noStrike" baseline="0">
                    <a:solidFill>
                      <a:srgbClr val="FFFFFF"/>
                    </a:solidFill>
                    <a:latin typeface="Droid Sans"/>
                    <a:ea typeface="Droid Sans"/>
                    <a:cs typeface="Lucida Sans"/>
                  </a:defRPr>
                </a:pPr>
                <a:endParaRPr lang="zh-CN"/>
              </a:p>
            </c:txPr>
            <c:numFmt formatCode="General" sourceLinked="0"/>
            <c:dLblPos val="inEnd"/>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8.1</c:v>
                </c:pt>
                <c:pt idx="1">
                  <c:v>9.5</c:v>
                </c:pt>
                <c:pt idx="2">
                  <c:v>7.3</c:v>
                </c:pt>
                <c:pt idx="3">
                  <c:v>11.9</c:v>
                </c:pt>
                <c:pt idx="4">
                  <c:v>10.0</c:v>
                </c:pt>
              </c:numCache>
            </c:numRef>
          </c:val>
        </c:ser>
        <c:ser>
          <c:idx val="1"/>
          <c:order val="1"/>
          <c:tx>
            <c:v>Net Profit Margin (%)</c:v>
          </c:tx>
          <c:spPr>
            <a:solidFill>
              <a:srgbClr val="ED7D31">
                <a:alpha val="85000"/>
              </a:srgbClr>
            </a:solidFill>
            <a:ln w="12700">
              <a:solidFill>
                <a:srgbClr val="FFFFFF"/>
              </a:solidFill>
              <a:prstDash val="solid"/>
            </a:ln>
          </c:spPr>
          <c:invertIfNegative val="0"/>
          <c:dLbls>
            <c:spPr>
              <a:noFill/>
              <a:ln>
                <a:noFill/>
              </a:ln>
            </c:spPr>
            <c:txPr>
              <a:bodyPr vert="horz"/>
              <a:lstStyle/>
              <a:p>
                <a:pPr>
                  <a:defRPr sz="900" b="1" i="0" u="none" strike="noStrike" baseline="0">
                    <a:solidFill>
                      <a:srgbClr val="FFFFFF"/>
                    </a:solidFill>
                    <a:latin typeface="Droid Sans"/>
                    <a:ea typeface="Droid Sans"/>
                    <a:cs typeface="Lucida Sans"/>
                  </a:defRPr>
                </a:pPr>
                <a:endParaRPr lang="zh-CN"/>
              </a:p>
            </c:txPr>
            <c:numFmt formatCode="General" sourceLinked="0"/>
            <c:dLblPos val="inEnd"/>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8.4</c:v>
                </c:pt>
                <c:pt idx="1">
                  <c:v>9.2</c:v>
                </c:pt>
                <c:pt idx="2">
                  <c:v>6.7</c:v>
                </c:pt>
                <c:pt idx="3">
                  <c:v>11.2</c:v>
                </c:pt>
                <c:pt idx="4">
                  <c:v>10.0</c:v>
                </c:pt>
              </c:numCache>
            </c:numRef>
          </c:val>
        </c:ser>
        <c:ser>
          <c:idx val="2"/>
          <c:order val="2"/>
          <c:tx>
            <c:v>Return on Equity (%)</c:v>
          </c:tx>
          <c:spPr>
            <a:solidFill>
              <a:srgbClr val="A5A5A5">
                <a:alpha val="85000"/>
              </a:srgbClr>
            </a:solidFill>
            <a:ln w="12700">
              <a:solidFill>
                <a:srgbClr val="FFFFFF"/>
              </a:solidFill>
              <a:prstDash val="solid"/>
            </a:ln>
          </c:spPr>
          <c:invertIfNegative val="0"/>
          <c:dLbls>
            <c:spPr>
              <a:noFill/>
              <a:ln>
                <a:noFill/>
              </a:ln>
            </c:spPr>
            <c:txPr>
              <a:bodyPr vert="horz"/>
              <a:lstStyle/>
              <a:p>
                <a:pPr>
                  <a:defRPr sz="900" b="1" i="0" u="none" strike="noStrike" baseline="0">
                    <a:solidFill>
                      <a:srgbClr val="FFFFFF"/>
                    </a:solidFill>
                    <a:latin typeface="Droid Sans"/>
                    <a:ea typeface="Droid Sans"/>
                    <a:cs typeface="Lucida Sans"/>
                  </a:defRPr>
                </a:pPr>
                <a:endParaRPr lang="zh-CN"/>
              </a:p>
            </c:txPr>
            <c:numFmt formatCode="General" sourceLinked="0"/>
            <c:dLblPos val="inEnd"/>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10.2</c:v>
                </c:pt>
                <c:pt idx="1">
                  <c:v>11.5</c:v>
                </c:pt>
                <c:pt idx="2">
                  <c:v>9.0</c:v>
                </c:pt>
                <c:pt idx="3">
                  <c:v>15.8</c:v>
                </c:pt>
                <c:pt idx="4">
                  <c:v>13.6</c:v>
                </c:pt>
              </c:numCache>
            </c:numRef>
          </c:val>
        </c:ser>
        <c:gapWidth val="65"/>
        <c:axId val="0"/>
        <c:axId val="1"/>
      </c:barChart>
      <c:catAx>
        <c:axId val="0"/>
        <c:scaling>
          <c:orientation val="minMax"/>
        </c:scaling>
        <c:delete val="0"/>
        <c:axPos val="b"/>
        <c:numFmt formatCode="General" sourceLinked="0"/>
        <c:majorTickMark val="none"/>
        <c:minorTickMark val="none"/>
        <c:tickLblPos val="nextTo"/>
        <c:spPr>
          <a:ln w="12700">
            <a:solidFill>
              <a:srgbClr val="404040"/>
            </a:solidFill>
            <a:prstDash val="solid"/>
          </a:ln>
        </c:spPr>
        <c:txPr>
          <a:bodyPr rot="0" vert="horz" anchor="t" anchorCtr="0"/>
          <a:lstStyle/>
          <a:p>
            <a:pPr>
              <a:defRPr sz="900" b="0" i="0" u="none" strike="noStrike" cap="all" baseline="0">
                <a:solidFill>
                  <a:srgbClr val="404040"/>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1"/>
        <c:axPos val="l"/>
        <c:majorGridlines>
          <c:spPr>
            <a:ln w="12700">
              <a:solidFill>
                <a:srgbClr val="868686"/>
              </a:solidFill>
              <a:prstDash val="solid"/>
            </a:ln>
          </c:spPr>
        </c:majorGridlines>
        <c:numFmt formatCode="General" sourceLinked="0"/>
        <c:majorTickMark val="none"/>
        <c:minorTickMark val="none"/>
        <c:tickLblPos val="nextTo"/>
        <c:txPr>
          <a:bodyPr/>
          <a:lstStyle/>
          <a:p>
            <a:pPr>
              <a:defRPr sz="1000" b="0" i="0" u="none" strike="noStrike" baseline="0">
                <a:solidFill>
                  <a:srgbClr val="000000"/>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solidFill>
          <a:srgbClr val="F2F2F2">
            <a:alpha val="39000"/>
          </a:srgbClr>
        </a:solidFill>
        <a:ln>
          <a:noFill/>
        </a:ln>
      </c:spPr>
      <c:txPr>
        <a:bodyPr/>
        <a:lstStyle/>
        <a:p>
          <a:pPr>
            <a:defRPr sz="900" b="0" i="0" u="none" strike="noStrike" baseline="0">
              <a:solidFill>
                <a:srgbClr val="404040"/>
              </a:solidFill>
              <a:latin typeface="Droid Sans"/>
              <a:ea typeface="Droid Sans"/>
              <a:cs typeface="Lucida Sans"/>
            </a:defRPr>
          </a:pPr>
          <a:endParaRPr lang="zh-CN"/>
        </a:p>
      </c:txPr>
    </c:legend>
    <c:plotVisOnly val="1"/>
    <c:dispBlanksAs val="gap"/>
    <c:showDLblsOverMax val="0"/>
  </c:chart>
  <c:spPr>
    <a:gradFill>
      <a:gsLst>
        <a:gs pos="0">
          <a:srgbClr val="FFFFFF"/>
        </a:gs>
        <a:gs pos="39000">
          <a:srgbClr val="FFFFFF"/>
        </a:gs>
        <a:gs pos="100000">
          <a:srgbClr val="BFBFBF"/>
        </a:gs>
      </a:gsLst>
      <a:path path="shape">
        <a:fillToRect l="50000" t="50000" r="50000" b="50000"/>
      </a:path>
    </a:gradFill>
    <a:ln w="12700">
      <a:solidFill>
        <a:srgbClr val="BFBFBF"/>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Cash &amp; Cash Equivalents (¥ trillion)</c:v>
          </c:tx>
          <c:spPr>
            <a:gradFill>
              <a:gsLst>
                <a:gs pos="0">
                  <a:srgbClr val="71A6DB"/>
                </a:gs>
                <a:gs pos="50000">
                  <a:srgbClr val="559BDB"/>
                </a:gs>
                <a:gs pos="100000">
                  <a:srgbClr val="4389C9"/>
                </a:gs>
              </a:gsLst>
              <a:lin ang="5400000" scaled="1"/>
            </a:gradFill>
            <a:ln>
              <a:noFill/>
            </a:ln>
            <a:effectLst>
              <a:outerShdw dist="35921" dir="2700000" algn="br">
                <a:srgbClr val="000000"/>
              </a:outerShdw>
            </a:effectLst>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5.1</c:v>
                </c:pt>
                <c:pt idx="1">
                  <c:v>6.11</c:v>
                </c:pt>
                <c:pt idx="2">
                  <c:v>7.52</c:v>
                </c:pt>
                <c:pt idx="3">
                  <c:v>9.41</c:v>
                </c:pt>
                <c:pt idx="4">
                  <c:v>8.98</c:v>
                </c:pt>
              </c:numCache>
            </c:numRef>
          </c:val>
        </c:ser>
        <c:ser>
          <c:idx val="1"/>
          <c:order val="1"/>
          <c:tx>
            <c:v>Operating Cash Flow (¥ trillion)</c:v>
          </c:tx>
          <c:spPr>
            <a:gradFill>
              <a:gsLst>
                <a:gs pos="0">
                  <a:srgbClr val="F18B54"/>
                </a:gs>
                <a:gs pos="50000">
                  <a:srgbClr val="F67B28"/>
                </a:gs>
                <a:gs pos="100000">
                  <a:srgbClr val="E5630A"/>
                </a:gs>
              </a:gsLst>
              <a:lin ang="5400000" scaled="1"/>
            </a:gradFill>
            <a:ln>
              <a:noFill/>
            </a:ln>
            <a:effectLst>
              <a:outerShdw dist="35921" dir="2700000" algn="br">
                <a:srgbClr val="000000"/>
              </a:outerShdw>
            </a:effectLst>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2.73</c:v>
                </c:pt>
                <c:pt idx="1">
                  <c:v>3.72</c:v>
                </c:pt>
                <c:pt idx="2">
                  <c:v>2.96</c:v>
                </c:pt>
                <c:pt idx="3">
                  <c:v>4.21</c:v>
                </c:pt>
                <c:pt idx="4">
                  <c:v>3.7</c:v>
                </c:pt>
              </c:numCache>
            </c:numRef>
          </c:val>
        </c:ser>
        <c:overlap val="-24"/>
        <c:gapWidth val="100"/>
        <c:axId val="0"/>
        <c:axId val="1"/>
      </c:barChart>
      <c:catAx>
        <c:axId val="0"/>
        <c:scaling>
          <c:orientation val="minMax"/>
        </c:scaling>
        <c:delete val="0"/>
        <c:axPos val="b"/>
        <c:numFmt formatCode="General" sourceLinked="0"/>
        <c:majorTickMark val="none"/>
        <c:minorTickMark val="none"/>
        <c:tickLblPos val="nextTo"/>
        <c:spPr>
          <a:ln w="12700">
            <a:solidFill>
              <a:srgbClr val="F2F2F2"/>
            </a:solidFill>
            <a:prstDash val="solid"/>
          </a:ln>
        </c:spPr>
        <c:txPr>
          <a:bodyPr rot="0" vert="horz" anchor="t" anchorCtr="0"/>
          <a:lstStyle/>
          <a:p>
            <a:pPr>
              <a:defRPr sz="900" b="0" i="0" u="none" strike="noStrike" baseline="0">
                <a:solidFill>
                  <a:srgbClr val="D8D8D8"/>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0"/>
        <c:axPos val="l"/>
        <c:majorGridlines>
          <c:spPr>
            <a:ln w="12700">
              <a:solidFill>
                <a:srgbClr val="F2F2F2"/>
              </a:solidFill>
              <a:prstDash val="solid"/>
            </a:ln>
          </c:spPr>
        </c:majorGridlines>
        <c:numFmt formatCode="General" sourceLinked="0"/>
        <c:majorTickMark val="none"/>
        <c:minorTickMark val="none"/>
        <c:tickLblPos val="nextTo"/>
        <c:spPr>
          <a:ln>
            <a:noFill/>
          </a:ln>
        </c:spPr>
        <c:txPr>
          <a:bodyPr rot="0" vert="horz" anchor="t" anchorCtr="0"/>
          <a:lstStyle/>
          <a:p>
            <a:pPr>
              <a:defRPr sz="900" b="0" i="0" u="none" strike="noStrike" baseline="0">
                <a:solidFill>
                  <a:srgbClr val="D8D8D8"/>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noFill/>
        <a:ln>
          <a:noFill/>
        </a:ln>
      </c:spPr>
      <c:txPr>
        <a:bodyPr/>
        <a:lstStyle/>
        <a:p>
          <a:pPr>
            <a:defRPr sz="900" b="0" i="0" u="none" strike="noStrike" baseline="0">
              <a:solidFill>
                <a:srgbClr val="D8D8D8"/>
              </a:solidFill>
              <a:latin typeface="Droid Sans"/>
              <a:ea typeface="Droid Sans"/>
              <a:cs typeface="Lucida Sans"/>
            </a:defRPr>
          </a:pPr>
          <a:endParaRPr lang="zh-CN"/>
        </a:p>
      </c:txPr>
    </c:legend>
    <c:plotVisOnly val="1"/>
    <c:dispBlanksAs val="gap"/>
    <c:showDLblsOverMax val="0"/>
  </c:chart>
  <c:spPr>
    <a:gradFill>
      <a:gsLst>
        <a:gs pos="0">
          <a:srgbClr val="262626"/>
        </a:gs>
        <a:gs pos="100000">
          <a:srgbClr val="595959"/>
        </a:gs>
      </a:gsLst>
      <a:path path="shape">
        <a:fillToRect l="50000" t="50000" r="50000" b="50000"/>
      </a:path>
    </a:gradFill>
    <a:ln>
      <a:noFill/>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Sales Revenue (¥ trillion)</c:v>
          </c:tx>
          <c:spPr>
            <a:solidFill>
              <a:srgbClr val="5B9BD5"/>
            </a:solidFill>
            <a:ln>
              <a:noFill/>
            </a:ln>
          </c:spPr>
          <c:invertIfNegative val="0"/>
          <c:dLbls>
            <c:spPr>
              <a:noFill/>
              <a:ln>
                <a:noFill/>
              </a:ln>
            </c:spPr>
            <c:txPr>
              <a:bodyPr rot="-5400000" vert="horz"/>
              <a:lstStyle/>
              <a:p>
                <a:pPr>
                  <a:defRPr sz="800" b="0" i="0" u="none" strike="noStrike" baseline="0">
                    <a:solidFill>
                      <a:srgbClr val="808080"/>
                    </a:solidFill>
                    <a:latin typeface="Droid Sans"/>
                    <a:ea typeface="Droid Sans"/>
                    <a:cs typeface="Lucida Sans"/>
                  </a:defRPr>
                </a:pPr>
                <a:endParaRPr lang="zh-CN"/>
              </a:p>
            </c:txPr>
            <c:numFmt formatCode="General" sourceLinked="0"/>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27.21</c:v>
                </c:pt>
                <c:pt idx="1">
                  <c:v>31.38</c:v>
                </c:pt>
                <c:pt idx="2">
                  <c:v>37.15</c:v>
                </c:pt>
                <c:pt idx="3">
                  <c:v>45.1</c:v>
                </c:pt>
                <c:pt idx="4">
                  <c:v>48.04</c:v>
                </c:pt>
              </c:numCache>
            </c:numRef>
          </c:val>
        </c:ser>
        <c:ser>
          <c:idx val="1"/>
          <c:order val="1"/>
          <c:tx>
            <c:v>Total Assets (¥ trillion)</c:v>
          </c:tx>
          <c:spPr>
            <a:solidFill>
              <a:srgbClr val="ED7D31"/>
            </a:solidFill>
            <a:ln>
              <a:noFill/>
            </a:ln>
          </c:spPr>
          <c:invertIfNegative val="0"/>
          <c:dLbls>
            <c:spPr>
              <a:noFill/>
              <a:ln>
                <a:noFill/>
              </a:ln>
            </c:spPr>
            <c:txPr>
              <a:bodyPr rot="-5400000" vert="horz"/>
              <a:lstStyle/>
              <a:p>
                <a:pPr>
                  <a:defRPr sz="800" b="0" i="0" u="none" strike="noStrike" baseline="0">
                    <a:solidFill>
                      <a:srgbClr val="808080"/>
                    </a:solidFill>
                    <a:latin typeface="Droid Sans"/>
                    <a:ea typeface="Droid Sans"/>
                    <a:cs typeface="Lucida Sans"/>
                  </a:defRPr>
                </a:pPr>
                <a:endParaRPr lang="zh-CN"/>
              </a:p>
            </c:txPr>
            <c:numFmt formatCode="General" sourceLinked="0"/>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62.27</c:v>
                </c:pt>
                <c:pt idx="1">
                  <c:v>67.69</c:v>
                </c:pt>
                <c:pt idx="2">
                  <c:v>74.3</c:v>
                </c:pt>
                <c:pt idx="3">
                  <c:v>90.11</c:v>
                </c:pt>
                <c:pt idx="4">
                  <c:v>93.6</c:v>
                </c:pt>
              </c:numCache>
            </c:numRef>
          </c:val>
        </c:ser>
        <c:ser>
          <c:idx val="2"/>
          <c:order val="2"/>
          <c:tx>
            <c:v>Asset Turnover</c:v>
          </c:tx>
          <c:spPr>
            <a:solidFill>
              <a:srgbClr val="A5A5A5"/>
            </a:solidFill>
            <a:ln>
              <a:noFill/>
            </a:ln>
          </c:spPr>
          <c:invertIfNegative val="0"/>
          <c:dLbls>
            <c:spPr>
              <a:noFill/>
              <a:ln>
                <a:noFill/>
              </a:ln>
            </c:spPr>
            <c:txPr>
              <a:bodyPr rot="-5400000" vert="horz"/>
              <a:lstStyle/>
              <a:p>
                <a:pPr>
                  <a:defRPr sz="800" b="0" i="0" u="none" strike="noStrike" baseline="0">
                    <a:solidFill>
                      <a:srgbClr val="808080"/>
                    </a:solidFill>
                    <a:latin typeface="Droid Sans"/>
                    <a:ea typeface="Droid Sans"/>
                    <a:cs typeface="Lucida Sans"/>
                  </a:defRPr>
                </a:pPr>
                <a:endParaRPr lang="zh-CN"/>
              </a:p>
            </c:txPr>
            <c:numFmt formatCode="General" sourceLinked="0"/>
            <c:showLegendKey val="0"/>
            <c:showVal val="1"/>
            <c:showCatName val="0"/>
            <c:showSerName val="0"/>
            <c:showPercent val="0"/>
            <c:showBubbleSize val="0"/>
            <c:showLeaderLines val="0"/>
          </c:dLbls>
          <c:cat>
            <c:strLit>
              <c:ptCount val="5"/>
              <c:pt idx="0">
                <c:v>2021</c:v>
              </c:pt>
              <c:pt idx="1">
                <c:v>2022</c:v>
              </c:pt>
              <c:pt idx="2">
                <c:v>2023</c:v>
              </c:pt>
              <c:pt idx="3">
                <c:v>2024</c:v>
              </c:pt>
              <c:pt idx="4">
                <c:v>2025</c:v>
              </c:pt>
            </c:strLit>
          </c:cat>
          <c:val>
            <c:numRef>
              <c:f/>
              <c:numCache>
                <c:formatCode>General</c:formatCode>
                <c:ptCount val="5"/>
                <c:pt idx="0">
                  <c:v>0.44</c:v>
                </c:pt>
                <c:pt idx="1">
                  <c:v>0.46</c:v>
                </c:pt>
                <c:pt idx="2">
                  <c:v>0.5</c:v>
                </c:pt>
                <c:pt idx="3">
                  <c:v>0.5</c:v>
                </c:pt>
                <c:pt idx="4">
                  <c:v>0.51</c:v>
                </c:pt>
              </c:numCache>
            </c:numRef>
          </c:val>
        </c:ser>
        <c:overlap val="-90"/>
        <c:gapWidth val="444"/>
        <c:axId val="0"/>
        <c:axId val="1"/>
      </c:barChart>
      <c:catAx>
        <c:axId val="0"/>
        <c:scaling>
          <c:orientation val="minMax"/>
        </c:scaling>
        <c:delete val="0"/>
        <c:axPos val="b"/>
        <c:numFmt formatCode="General" sourceLinked="0"/>
        <c:majorGridlines>
          <c:spPr>
            <a:ln w="12700">
              <a:solidFill>
                <a:srgbClr val="D9D9D9"/>
              </a:solidFill>
              <a:prstDash val="solid"/>
            </a:ln>
          </c:spPr>
        </c:majorGridlines>
        <c:majorTickMark val="none"/>
        <c:minorTickMark val="none"/>
        <c:tickLblPos val="nextTo"/>
        <c:spPr>
          <a:ln w="12700">
            <a:solidFill>
              <a:srgbClr val="D9D9D9"/>
            </a:solidFill>
            <a:prstDash val="solid"/>
          </a:ln>
        </c:spPr>
        <c:txPr>
          <a:bodyPr rot="0" vert="horz" anchor="t" anchorCtr="0"/>
          <a:lstStyle/>
          <a:p>
            <a:pPr>
              <a:defRPr sz="800" b="0" i="0" u="none" strike="noStrike" cap="all" baseline="0">
                <a:solidFill>
                  <a:srgbClr val="595959"/>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1"/>
        <c:axPos val="l"/>
        <c:numFmt formatCode="General" sourceLinked="0"/>
        <c:majorTickMark val="none"/>
        <c:minorTickMark val="none"/>
        <c:tickLblPos val="nextTo"/>
        <c:txPr>
          <a:bodyPr/>
          <a:lstStyle/>
          <a:p>
            <a:pPr>
              <a:defRPr sz="1000" b="0" i="0" u="none" strike="noStrike" baseline="0">
                <a:solidFill>
                  <a:srgbClr val="000000"/>
                </a:solidFill>
                <a:latin typeface="Droid Sans"/>
                <a:ea typeface="Droid Sans"/>
                <a:cs typeface="Lucida Sans"/>
              </a:defRPr>
            </a:pPr>
            <a:endParaRPr lang="zh-CN"/>
          </a:p>
        </c:txPr>
        <c:crosses val="autoZero"/>
        <c:crossBetween val="between"/>
        <c:crossAx val="0"/>
      </c:valAx>
      <c:spPr>
        <a:noFill/>
        <a:ln>
          <a:noFill/>
        </a:ln>
      </c:spPr>
    </c:plotArea>
    <c:legend>
      <c:legendPos val="t"/>
      <c:layout/>
      <c:overlay val="0"/>
      <c:spPr>
        <a:noFill/>
        <a:ln>
          <a:noFill/>
        </a:ln>
      </c:spPr>
      <c:txPr>
        <a:bodyPr/>
        <a:lstStyle/>
        <a:p>
          <a:pPr>
            <a:defRPr sz="900" b="0" i="0" u="none" strike="noStrike" baseline="0">
              <a:solidFill>
                <a:srgbClr val="595959"/>
              </a:solidFill>
              <a:latin typeface="Droid Sans"/>
              <a:ea typeface="Droid Sans"/>
              <a:cs typeface="Lucida Sans"/>
            </a:defRPr>
          </a:pPr>
          <a:endParaRPr lang="zh-CN"/>
        </a:p>
      </c:txPr>
    </c:legend>
    <c:plotVisOnly val="1"/>
    <c:dispBlanksAs val="gap"/>
    <c:showDLblsOverMax val="0"/>
  </c:chart>
  <c:spPr>
    <a:solidFill>
      <a:srgbClr val="FFFFFF"/>
    </a:solidFill>
    <a:ln w="12700">
      <a:solidFill>
        <a:srgbClr val="D9D9D9"/>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Total Assets (¥ trillion)</c:v>
          </c:tx>
          <c:spPr>
            <a:solidFill>
              <a:srgbClr val="5B9BD5"/>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62.27</c:v>
                </c:pt>
                <c:pt idx="1">
                  <c:v>67.69</c:v>
                </c:pt>
                <c:pt idx="2">
                  <c:v>74.3</c:v>
                </c:pt>
                <c:pt idx="3">
                  <c:v>90.11</c:v>
                </c:pt>
                <c:pt idx="4">
                  <c:v>93.6</c:v>
                </c:pt>
              </c:numCache>
            </c:numRef>
          </c:val>
        </c:ser>
        <c:ser>
          <c:idx val="1"/>
          <c:order val="1"/>
          <c:tx>
            <c:v>Shareholders’ Equity (¥ trillion)</c:v>
          </c:tx>
          <c:spPr>
            <a:solidFill>
              <a:srgbClr val="ED7D31"/>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24.29</c:v>
                </c:pt>
                <c:pt idx="1">
                  <c:v>27.15</c:v>
                </c:pt>
                <c:pt idx="2">
                  <c:v>29.26</c:v>
                </c:pt>
                <c:pt idx="3">
                  <c:v>35.24</c:v>
                </c:pt>
                <c:pt idx="4">
                  <c:v>36.88</c:v>
                </c:pt>
              </c:numCache>
            </c:numRef>
          </c:val>
        </c:ser>
        <c:ser>
          <c:idx val="2"/>
          <c:order val="2"/>
          <c:tx>
            <c:v>Equity Ratio (%)</c:v>
          </c:tx>
          <c:spPr>
            <a:solidFill>
              <a:srgbClr val="A5A5A5"/>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37.6</c:v>
                </c:pt>
                <c:pt idx="1">
                  <c:v>38.8</c:v>
                </c:pt>
                <c:pt idx="2">
                  <c:v>38.1</c:v>
                </c:pt>
                <c:pt idx="3">
                  <c:v>38.0</c:v>
                </c:pt>
                <c:pt idx="4">
                  <c:v>38.4</c:v>
                </c:pt>
              </c:numCache>
            </c:numRef>
          </c:val>
        </c:ser>
        <c:overlap val="-27"/>
        <c:gapWidth val="219"/>
        <c:axId val="0"/>
        <c:axId val="1"/>
      </c:barChart>
      <c:catAx>
        <c:axId val="0"/>
        <c:scaling>
          <c:orientation val="minMax"/>
        </c:scaling>
        <c:delete val="0"/>
        <c:axPos val="b"/>
        <c:numFmt formatCode="General" sourceLinked="0"/>
        <c:majorTickMark val="none"/>
        <c:minorTickMark val="none"/>
        <c:tickLblPos val="nextTo"/>
        <c:spPr>
          <a:ln w="12700">
            <a:solidFill>
              <a:srgbClr val="D9D9D9"/>
            </a:solidFill>
            <a:prstDash val="solid"/>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0"/>
        <c:axPos val="l"/>
        <c:majorGridlines>
          <c:spPr>
            <a:ln w="12700">
              <a:solidFill>
                <a:srgbClr val="D9D9D9"/>
              </a:solidFill>
              <a:prstDash val="solid"/>
            </a:ln>
          </c:spPr>
        </c:majorGridlines>
        <c:numFmt formatCode="General" sourceLinked="0"/>
        <c:majorTickMark val="none"/>
        <c:minorTickMark val="none"/>
        <c:tickLblPos val="nextTo"/>
        <c:spPr>
          <a:ln>
            <a:noFill/>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noFill/>
        <a:ln>
          <a:noFill/>
        </a:ln>
      </c:spPr>
      <c:txPr>
        <a:bodyPr/>
        <a:lstStyle/>
        <a:p>
          <a:pPr>
            <a:defRPr sz="900" b="0" i="0" u="none" strike="noStrike" baseline="0">
              <a:solidFill>
                <a:srgbClr val="595959"/>
              </a:solidFill>
              <a:latin typeface="Droid Sans"/>
              <a:ea typeface="Droid Sans"/>
              <a:cs typeface="Lucida Sans"/>
            </a:defRPr>
          </a:pPr>
          <a:endParaRPr lang="zh-CN"/>
        </a:p>
      </c:txPr>
    </c:legend>
    <c:plotVisOnly val="1"/>
    <c:dispBlanksAs val="gap"/>
    <c:showDLblsOverMax val="0"/>
  </c:chart>
  <c:spPr>
    <a:solidFill>
      <a:srgbClr val="FFFFFF"/>
    </a:solidFill>
    <a:ln w="12700">
      <a:solidFill>
        <a:srgbClr val="D9D9D9"/>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Earnings per Share (¥)</c:v>
          </c:tx>
          <c:spPr>
            <a:solidFill>
              <a:srgbClr val="5B9BD5">
                <a:alpha val="70000"/>
              </a:srgbClr>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160.65</c:v>
                </c:pt>
                <c:pt idx="1">
                  <c:v>205.23</c:v>
                </c:pt>
                <c:pt idx="2">
                  <c:v>179.47</c:v>
                </c:pt>
                <c:pt idx="3">
                  <c:v>365.94</c:v>
                </c:pt>
                <c:pt idx="4">
                  <c:v>359.56</c:v>
                </c:pt>
              </c:numCache>
            </c:numRef>
          </c:val>
        </c:ser>
        <c:ser>
          <c:idx val="1"/>
          <c:order val="1"/>
          <c:tx>
            <c:v>Dividend per Share (¥)</c:v>
          </c:tx>
          <c:spPr>
            <a:solidFill>
              <a:srgbClr val="ED7D31">
                <a:alpha val="70000"/>
              </a:srgbClr>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240.0</c:v>
                </c:pt>
                <c:pt idx="1">
                  <c:v>0.0</c:v>
                </c:pt>
                <c:pt idx="2">
                  <c:v>60.0</c:v>
                </c:pt>
                <c:pt idx="3">
                  <c:v>75.0</c:v>
                </c:pt>
                <c:pt idx="4">
                  <c:v>90.0</c:v>
                </c:pt>
              </c:numCache>
            </c:numRef>
          </c:val>
        </c:ser>
        <c:overlap val="25"/>
        <c:gapWidth val="80"/>
        <c:axId val="0"/>
        <c:axId val="1"/>
      </c:barChart>
      <c:catAx>
        <c:axId val="0"/>
        <c:scaling>
          <c:orientation val="minMax"/>
        </c:scaling>
        <c:delete val="0"/>
        <c:axPos val="b"/>
        <c:numFmt formatCode="General" sourceLinked="0"/>
        <c:majorTickMark val="none"/>
        <c:minorTickMark val="none"/>
        <c:tickLblPos val="nextTo"/>
        <c:spPr>
          <a:ln w="12700">
            <a:solidFill>
              <a:srgbClr val="BFBFBF"/>
            </a:solidFill>
            <a:prstDash val="solid"/>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0"/>
        <c:axPos val="l"/>
        <c:majorGridlines>
          <c:spPr>
            <a:ln w="12700">
              <a:solidFill>
                <a:srgbClr val="F2F2F2"/>
              </a:solidFill>
              <a:prstDash val="solid"/>
            </a:ln>
          </c:spPr>
        </c:majorGridlines>
        <c:numFmt formatCode="General" sourceLinked="0"/>
        <c:majorTickMark val="none"/>
        <c:minorTickMark val="none"/>
        <c:tickLblPos val="nextTo"/>
        <c:spPr>
          <a:ln>
            <a:noFill/>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noFill/>
        <a:ln>
          <a:noFill/>
        </a:ln>
      </c:spPr>
      <c:txPr>
        <a:bodyPr/>
        <a:lstStyle/>
        <a:p>
          <a:pPr>
            <a:defRPr sz="900" b="0" i="0" u="none" strike="noStrike" baseline="0">
              <a:solidFill>
                <a:srgbClr val="595959"/>
              </a:solidFill>
              <a:latin typeface="Droid Sans"/>
              <a:ea typeface="Droid Sans"/>
              <a:cs typeface="Lucida Sans"/>
            </a:defRPr>
          </a:pPr>
          <a:endParaRPr lang="zh-CN"/>
        </a:p>
      </c:txPr>
    </c:legend>
    <c:plotVisOnly val="1"/>
    <c:dispBlanksAs val="gap"/>
    <c:showDLblsOverMax val="0"/>
  </c:chart>
  <c:spPr>
    <a:solidFill>
      <a:srgbClr val="FFFFFF"/>
    </a:solidFill>
    <a:ln w="12700">
      <a:solidFill>
        <a:srgbClr val="D9D9D9"/>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Operating Cash Flow (¥ trillion)</c:v>
          </c:tx>
          <c:spPr>
            <a:solidFill>
              <a:srgbClr val="5B9BD5"/>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2.73</c:v>
                </c:pt>
                <c:pt idx="1">
                  <c:v>3.72</c:v>
                </c:pt>
                <c:pt idx="2">
                  <c:v>2.96</c:v>
                </c:pt>
                <c:pt idx="3">
                  <c:v>4.21</c:v>
                </c:pt>
                <c:pt idx="4">
                  <c:v>3.7</c:v>
                </c:pt>
              </c:numCache>
            </c:numRef>
          </c:val>
        </c:ser>
        <c:ser>
          <c:idx val="1"/>
          <c:order val="1"/>
          <c:tx>
            <c:v>Investing Cash Flow (¥ trillion)</c:v>
          </c:tx>
          <c:spPr>
            <a:solidFill>
              <a:srgbClr val="ED7D31"/>
            </a:solidFill>
            <a:ln>
              <a:noFill/>
            </a:ln>
          </c:spPr>
          <c:invertIfNegative val="0"/>
          <c:dLbls>
            <c:showLegendKey val="0"/>
            <c:showVal val="0"/>
            <c:showCatName val="0"/>
            <c:showSerName val="0"/>
            <c:showPercent val="0"/>
            <c:showBubbleSize val="0"/>
            <c:showLeaderLines val="1"/>
          </c:dLbls>
          <c:cat>
            <c:strLit>
              <c:ptCount val="5"/>
              <c:pt idx="0">
                <c:v>2021</c:v>
              </c:pt>
              <c:pt idx="1">
                <c:v>2022</c:v>
              </c:pt>
              <c:pt idx="2">
                <c:v>2023</c:v>
              </c:pt>
              <c:pt idx="3">
                <c:v>2024</c:v>
              </c:pt>
              <c:pt idx="4">
                <c:v>2025</c:v>
              </c:pt>
            </c:strLit>
          </c:cat>
          <c:val>
            <c:numRef>
              <c:f/>
              <c:numCache>
                <c:formatCode>General</c:formatCode>
                <c:ptCount val="5"/>
                <c:pt idx="0">
                  <c:v>-4.68</c:v>
                </c:pt>
                <c:pt idx="1">
                  <c:v>-0.58</c:v>
                </c:pt>
                <c:pt idx="2">
                  <c:v>-1.6</c:v>
                </c:pt>
                <c:pt idx="3">
                  <c:v>-5.0</c:v>
                </c:pt>
                <c:pt idx="4">
                  <c:v>-4.19</c:v>
                </c:pt>
              </c:numCache>
            </c:numRef>
          </c:val>
        </c:ser>
        <c:overlap val="-27"/>
        <c:gapWidth val="219"/>
        <c:axId val="0"/>
        <c:axId val="1"/>
      </c:barChart>
      <c:catAx>
        <c:axId val="0"/>
        <c:scaling>
          <c:orientation val="minMax"/>
        </c:scaling>
        <c:delete val="0"/>
        <c:axPos val="b"/>
        <c:numFmt formatCode="General" sourceLinked="0"/>
        <c:majorTickMark val="none"/>
        <c:minorTickMark val="none"/>
        <c:tickLblPos val="nextTo"/>
        <c:spPr>
          <a:ln w="12700">
            <a:solidFill>
              <a:srgbClr val="D9D9D9"/>
            </a:solidFill>
            <a:prstDash val="solid"/>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auto val="1"/>
        <c:lblOffset val="100"/>
        <c:lblAlgn val="ctr"/>
        <c:noMultiLvlLbl val="0"/>
        <c:crossAx val="1"/>
      </c:catAx>
      <c:valAx>
        <c:axId val="1"/>
        <c:scaling>
          <c:orientation val="minMax"/>
        </c:scaling>
        <c:delete val="0"/>
        <c:axPos val="l"/>
        <c:majorGridlines>
          <c:spPr>
            <a:ln w="12700">
              <a:solidFill>
                <a:srgbClr val="D9D9D9"/>
              </a:solidFill>
              <a:prstDash val="solid"/>
            </a:ln>
          </c:spPr>
        </c:majorGridlines>
        <c:numFmt formatCode="General" sourceLinked="0"/>
        <c:majorTickMark val="none"/>
        <c:minorTickMark val="none"/>
        <c:tickLblPos val="nextTo"/>
        <c:spPr>
          <a:ln>
            <a:noFill/>
          </a:ln>
        </c:spPr>
        <c:txPr>
          <a:bodyPr rot="0" vert="horz" anchor="t" anchorCtr="0"/>
          <a:lstStyle/>
          <a:p>
            <a:pPr>
              <a:defRPr sz="900" b="0" i="0" u="none" strike="noStrike" baseline="0">
                <a:solidFill>
                  <a:srgbClr val="595959"/>
                </a:solidFill>
                <a:latin typeface="Droid Sans"/>
                <a:ea typeface="Droid Sans"/>
                <a:cs typeface="Lucida Sans"/>
              </a:defRPr>
            </a:pPr>
            <a:endParaRPr lang="zh-CN"/>
          </a:p>
        </c:txPr>
        <c:crosses val="autoZero"/>
        <c:crossBetween val="between"/>
        <c:crossAx val="0"/>
      </c:valAx>
      <c:spPr>
        <a:noFill/>
        <a:ln>
          <a:noFill/>
        </a:ln>
      </c:spPr>
    </c:plotArea>
    <c:legend>
      <c:legendPos val="b"/>
      <c:layout/>
      <c:overlay val="0"/>
      <c:spPr>
        <a:noFill/>
        <a:ln>
          <a:noFill/>
        </a:ln>
      </c:spPr>
      <c:txPr>
        <a:bodyPr/>
        <a:lstStyle/>
        <a:p>
          <a:pPr>
            <a:defRPr sz="900" b="0" i="0" u="none" strike="noStrike" baseline="0">
              <a:solidFill>
                <a:srgbClr val="595959"/>
              </a:solidFill>
              <a:latin typeface="Droid Sans"/>
              <a:ea typeface="Droid Sans"/>
              <a:cs typeface="Lucida Sans"/>
            </a:defRPr>
          </a:pPr>
          <a:endParaRPr lang="zh-CN"/>
        </a:p>
      </c:txPr>
    </c:legend>
    <c:plotVisOnly val="1"/>
    <c:dispBlanksAs val="gap"/>
    <c:showDLblsOverMax val="0"/>
  </c:chart>
  <c:spPr>
    <a:solidFill>
      <a:srgbClr val="FFFFFF"/>
    </a:solidFill>
    <a:ln w="12700">
      <a:solidFill>
        <a:srgbClr val="D9D9D9"/>
      </a:solidFill>
      <a:prstDash val="solid"/>
    </a:ln>
  </c:spPr>
  <c:txPr>
    <a:bodyPr/>
    <a:lstStyle/>
    <a:p>
      <a:pPr>
        <a:defRPr sz="1000" b="0" i="0" u="none" strike="noStrike" baseline="0">
          <a:solidFill>
            <a:srgbClr val="000000"/>
          </a:solidFill>
          <a:latin typeface="Droid Sans"/>
          <a:ea typeface="Droid Sans"/>
          <a:cs typeface="Lucida Sans"/>
        </a:defRPr>
      </a:pPr>
      <a:endParaRPr lang="zh-CN"/>
    </a:p>
  </c:txPr>
  <c:printSettings>
    <c:headerFooter/>
    <c:pageMargins b="0.75" l="0.7" r="0.7" t="0.75" header="0.3" footer="0.3"/>
    <c:pageSetup/>
  </c:printSettings>
  <c:externalData r:id="rId1">
    <c:autoUpdate val="0"/>
  </c:externalData>
</c:chartSpace>
</file>

<file path=docProps/app.xml><?xml version="1.0" encoding="utf-8"?>
<Properties xmlns="http://schemas.openxmlformats.org/officeDocument/2006/extended-properties">
  <Template>Normal.eit</Template>
  <TotalTime>181</TotalTime>
  <Application>Yozo_Office</Application>
  <Pages>40</Pages>
  <Words>6138</Words>
  <Characters>36811</Characters>
  <Lines>1045</Lines>
  <Paragraphs>606</Paragraphs>
  <CharactersWithSpaces>42436</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HP</dc:creator>
  <cp:lastModifiedBy>vivo user</cp:lastModifiedBy>
  <cp:revision>3</cp:revision>
  <dcterms:created xsi:type="dcterms:W3CDTF">2026-03-10T03:55:00Z</dcterms:created>
  <dcterms:modified xsi:type="dcterms:W3CDTF">2026-03-26T12:23:41Z</dcterms:modified>
</cp:coreProperties>
</file>