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FCBCA5" w14:textId="23D2F445" w:rsidR="003C5608" w:rsidRDefault="003C5608" w:rsidP="003C5608">
      <w:pPr>
        <w:spacing w:line="360" w:lineRule="auto"/>
        <w:jc w:val="both"/>
        <w:rPr>
          <w:b/>
          <w:bCs/>
          <w:color w:val="auto"/>
          <w:sz w:val="24"/>
          <w:szCs w:val="24"/>
          <w:u w:val="single"/>
        </w:rPr>
      </w:pPr>
      <w:r>
        <w:rPr>
          <w:b/>
          <w:bCs/>
          <w:color w:val="auto"/>
          <w:sz w:val="24"/>
          <w:szCs w:val="24"/>
          <w:u w:val="single"/>
        </w:rPr>
        <w:t xml:space="preserve"> </w:t>
      </w:r>
    </w:p>
    <w:p w14:paraId="44A4765D" w14:textId="534164AD" w:rsidR="003C5608" w:rsidRDefault="003C5608" w:rsidP="003C5608">
      <w:pPr>
        <w:spacing w:line="360" w:lineRule="auto"/>
        <w:jc w:val="both"/>
        <w:rPr>
          <w:b/>
          <w:bCs/>
          <w:color w:val="auto"/>
          <w:sz w:val="24"/>
          <w:szCs w:val="24"/>
          <w:u w:val="single"/>
        </w:rPr>
      </w:pPr>
      <w:r>
        <w:rPr>
          <w:b/>
          <w:bCs/>
          <w:color w:val="auto"/>
          <w:sz w:val="24"/>
          <w:szCs w:val="24"/>
          <w:u w:val="single"/>
        </w:rPr>
        <w:t>Resubmission</w:t>
      </w:r>
      <w:r>
        <w:rPr>
          <w:b/>
          <w:bCs/>
          <w:color w:val="auto"/>
          <w:sz w:val="24"/>
          <w:szCs w:val="24"/>
          <w:u w:val="single"/>
        </w:rPr>
        <w:t xml:space="preserve"> Task 3 BMPF6044</w:t>
      </w:r>
    </w:p>
    <w:p w14:paraId="0471D53B" w14:textId="283DD208" w:rsidR="003C5608" w:rsidRPr="00790F08" w:rsidRDefault="003C5608" w:rsidP="003C5608">
      <w:pPr>
        <w:spacing w:line="360" w:lineRule="auto"/>
        <w:jc w:val="both"/>
        <w:rPr>
          <w:b/>
          <w:bCs/>
          <w:color w:val="auto"/>
          <w:sz w:val="24"/>
          <w:szCs w:val="24"/>
          <w:u w:val="single"/>
        </w:rPr>
      </w:pPr>
      <w:r w:rsidRPr="00790F08">
        <w:rPr>
          <w:b/>
          <w:bCs/>
          <w:color w:val="auto"/>
          <w:sz w:val="24"/>
          <w:szCs w:val="24"/>
          <w:u w:val="single"/>
        </w:rPr>
        <w:t xml:space="preserve">Reference List </w:t>
      </w:r>
    </w:p>
    <w:p w14:paraId="1E0DFE32" w14:textId="77777777" w:rsidR="003C5608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Bronfenbrenner, U. (1979) The Ecology of Human Development: Experiments by Nature and Design. Cambridge, MA: Harvard University Press.</w:t>
      </w:r>
    </w:p>
    <w:p w14:paraId="19DD7BC3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C770BC">
        <w:rPr>
          <w:color w:val="auto"/>
          <w:sz w:val="24"/>
          <w:szCs w:val="24"/>
        </w:rPr>
        <w:t>The Centre for Parenting Education (n.d.) I</w:t>
      </w:r>
      <w:r w:rsidRPr="00C770BC">
        <w:rPr>
          <w:rFonts w:ascii="Cambria Math" w:hAnsi="Cambria Math" w:cs="Cambria Math"/>
          <w:color w:val="auto"/>
          <w:sz w:val="24"/>
          <w:szCs w:val="24"/>
        </w:rPr>
        <w:t>‑</w:t>
      </w:r>
      <w:r w:rsidRPr="00C770BC">
        <w:rPr>
          <w:color w:val="auto"/>
          <w:sz w:val="24"/>
          <w:szCs w:val="24"/>
        </w:rPr>
        <w:t>messages: A tool for communication. Available at: [</w:t>
      </w:r>
      <w:hyperlink r:id="rId4" w:history="1">
        <w:r>
          <w:rPr>
            <w:rStyle w:val="Hyperlink"/>
            <w:rFonts w:eastAsiaTheme="majorEastAsia"/>
          </w:rPr>
          <w:t xml:space="preserve">The Skill of I </w:t>
        </w:r>
        <w:proofErr w:type="spellStart"/>
        <w:r>
          <w:rPr>
            <w:rStyle w:val="Hyperlink"/>
            <w:rFonts w:eastAsiaTheme="majorEastAsia"/>
          </w:rPr>
          <w:t>MessagesThe</w:t>
        </w:r>
        <w:proofErr w:type="spellEnd"/>
        <w:r>
          <w:rPr>
            <w:rStyle w:val="Hyperlink"/>
            <w:rFonts w:eastAsiaTheme="majorEastAsia"/>
          </w:rPr>
          <w:t xml:space="preserve"> </w:t>
        </w:r>
        <w:proofErr w:type="spellStart"/>
        <w:r>
          <w:rPr>
            <w:rStyle w:val="Hyperlink"/>
            <w:rFonts w:eastAsiaTheme="majorEastAsia"/>
          </w:rPr>
          <w:t>Center</w:t>
        </w:r>
        <w:proofErr w:type="spellEnd"/>
        <w:r>
          <w:rPr>
            <w:rStyle w:val="Hyperlink"/>
            <w:rFonts w:eastAsiaTheme="majorEastAsia"/>
          </w:rPr>
          <w:t xml:space="preserve"> for Parenting Education</w:t>
        </w:r>
      </w:hyperlink>
      <w:r w:rsidRPr="00C770BC">
        <w:rPr>
          <w:color w:val="auto"/>
          <w:sz w:val="24"/>
          <w:szCs w:val="24"/>
        </w:rPr>
        <w:t xml:space="preserve">] (Accessed: </w:t>
      </w:r>
      <w:r>
        <w:rPr>
          <w:color w:val="auto"/>
          <w:sz w:val="24"/>
          <w:szCs w:val="24"/>
        </w:rPr>
        <w:t>06.02.2026</w:t>
      </w:r>
      <w:r w:rsidRPr="00C770BC">
        <w:rPr>
          <w:color w:val="auto"/>
          <w:sz w:val="24"/>
          <w:szCs w:val="24"/>
        </w:rPr>
        <w:t>).</w:t>
      </w:r>
    </w:p>
    <w:p w14:paraId="60E1B923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Collingwood, A. (2005) Theory and Practice: Three</w:t>
      </w:r>
      <w:r w:rsidRPr="00895560">
        <w:rPr>
          <w:rFonts w:ascii="Cambria Math" w:hAnsi="Cambria Math" w:cs="Cambria Math"/>
          <w:color w:val="auto"/>
          <w:sz w:val="24"/>
          <w:szCs w:val="24"/>
        </w:rPr>
        <w:t>‑</w:t>
      </w:r>
      <w:r w:rsidRPr="00895560">
        <w:rPr>
          <w:color w:val="auto"/>
          <w:sz w:val="24"/>
          <w:szCs w:val="24"/>
        </w:rPr>
        <w:t>Stage Theory for Social Work Students. Exeter: Learning Matters.</w:t>
      </w:r>
    </w:p>
    <w:p w14:paraId="4E8850A0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Cowie, H. (2019) Understanding Children’s Emotional Wellbeing. London: Sage.</w:t>
      </w:r>
    </w:p>
    <w:p w14:paraId="5E89ECF4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De Bono, E. (2017) Six Thinking Hats. London: Penguin.</w:t>
      </w:r>
    </w:p>
    <w:p w14:paraId="6C543CE1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De Shazer, S. and Dolan, Y. (2007) More Than Miracles: The State of the Art of Solution</w:t>
      </w:r>
      <w:r w:rsidRPr="00895560">
        <w:rPr>
          <w:rFonts w:ascii="Cambria Math" w:hAnsi="Cambria Math" w:cs="Cambria Math"/>
          <w:color w:val="auto"/>
          <w:sz w:val="24"/>
          <w:szCs w:val="24"/>
        </w:rPr>
        <w:t>‑</w:t>
      </w:r>
      <w:r w:rsidRPr="00895560">
        <w:rPr>
          <w:color w:val="auto"/>
          <w:sz w:val="24"/>
          <w:szCs w:val="24"/>
        </w:rPr>
        <w:t>Focused Brief Therapy. New York: Routledge.</w:t>
      </w:r>
    </w:p>
    <w:p w14:paraId="76B087AF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Felitti, V.J. et al. (1998) ‘Relationship of childhood abuse and household dysfunction to many of the leading causes of death in adults’, American Journal of Preventive Medicine, 14(4), pp. 245–258.</w:t>
      </w:r>
    </w:p>
    <w:p w14:paraId="6D523FD4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George, E., Iveson, C. and Ratner, H. (1999) Problem to Solution: Brief Therapy with Individuals and Families. London: BT Press.</w:t>
      </w:r>
    </w:p>
    <w:p w14:paraId="0767A094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 xml:space="preserve">Howe, D. (2011) Attachment Across the </w:t>
      </w:r>
      <w:proofErr w:type="spellStart"/>
      <w:r w:rsidRPr="00895560">
        <w:rPr>
          <w:color w:val="auto"/>
          <w:sz w:val="24"/>
          <w:szCs w:val="24"/>
        </w:rPr>
        <w:t>Lifecourse</w:t>
      </w:r>
      <w:proofErr w:type="spellEnd"/>
      <w:r w:rsidRPr="00895560">
        <w:rPr>
          <w:color w:val="auto"/>
          <w:sz w:val="24"/>
          <w:szCs w:val="24"/>
        </w:rPr>
        <w:t>: A Brief Introduction. Basingstoke: Palgrave Macmillan.</w:t>
      </w:r>
    </w:p>
    <w:p w14:paraId="2D880B49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Hughes, D., Golding, K. and Hudson, J. (2016) Dyadic Developmental Practice: A Framework for Trauma</w:t>
      </w:r>
      <w:r w:rsidRPr="00895560">
        <w:rPr>
          <w:rFonts w:ascii="Cambria Math" w:hAnsi="Cambria Math" w:cs="Cambria Math"/>
          <w:color w:val="auto"/>
          <w:sz w:val="24"/>
          <w:szCs w:val="24"/>
        </w:rPr>
        <w:t>‑</w:t>
      </w:r>
      <w:r w:rsidRPr="00895560">
        <w:rPr>
          <w:color w:val="auto"/>
          <w:sz w:val="24"/>
          <w:szCs w:val="24"/>
        </w:rPr>
        <w:t>Informed Practice. London: Jessica Kingsley Publishers.</w:t>
      </w:r>
    </w:p>
    <w:p w14:paraId="5725A7DD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Information Commissioner’s Office (2021) Guide to the UK General Data Protection Regulation (UK GDPR). Wilmslow: ICO.</w:t>
      </w:r>
    </w:p>
    <w:p w14:paraId="5AA5B9E7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Liddle, M., Boswell, G. and Wright, S. (2016) Trauma, Adversity and Young People: The Evidence Base. London: NCB.</w:t>
      </w:r>
    </w:p>
    <w:p w14:paraId="22D9ACFC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Maclean, S. (2017) What, Why and How: A Framework for Reflective Social Work Practice. London: Palgrave Macmillan.</w:t>
      </w:r>
    </w:p>
    <w:p w14:paraId="13CDFFC3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Ministry of Social Development (2011) The Impact of Negative Labelling on Children and Young People. Wellington: MSD.</w:t>
      </w:r>
    </w:p>
    <w:p w14:paraId="60D9A8DD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 xml:space="preserve">Payne, M. (2014) Modern Social Work Theory. 4th </w:t>
      </w:r>
      <w:proofErr w:type="spellStart"/>
      <w:r w:rsidRPr="00895560">
        <w:rPr>
          <w:color w:val="auto"/>
          <w:sz w:val="24"/>
          <w:szCs w:val="24"/>
        </w:rPr>
        <w:t>edn</w:t>
      </w:r>
      <w:proofErr w:type="spellEnd"/>
      <w:r w:rsidRPr="00895560">
        <w:rPr>
          <w:color w:val="auto"/>
          <w:sz w:val="24"/>
          <w:szCs w:val="24"/>
        </w:rPr>
        <w:t>. Basingstoke: Palgrave Macmillan.</w:t>
      </w:r>
    </w:p>
    <w:p w14:paraId="19301C00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lastRenderedPageBreak/>
        <w:t>Prochaska, J.O. and DiClemente, C.C. (1983) ‘Stages and processes of self</w:t>
      </w:r>
      <w:r w:rsidRPr="00895560">
        <w:rPr>
          <w:rFonts w:ascii="Cambria Math" w:hAnsi="Cambria Math" w:cs="Cambria Math"/>
          <w:color w:val="auto"/>
          <w:sz w:val="24"/>
          <w:szCs w:val="24"/>
        </w:rPr>
        <w:t>‑</w:t>
      </w:r>
      <w:r w:rsidRPr="00895560">
        <w:rPr>
          <w:color w:val="auto"/>
          <w:sz w:val="24"/>
          <w:szCs w:val="24"/>
        </w:rPr>
        <w:t>change of smoking: Toward an integrative model of change’, Journal of Consulting and Clinical Psychology, 51(3), pp. 390–395.</w:t>
      </w:r>
    </w:p>
    <w:p w14:paraId="65AEED30" w14:textId="77777777" w:rsidR="003C5608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Public Health Wales (2020) Cannabis and Health: Key Information for Professionals. Cardiff: Public Health Wales.</w:t>
      </w:r>
    </w:p>
    <w:p w14:paraId="02CE2554" w14:textId="77777777" w:rsidR="003C5608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9B297C">
        <w:rPr>
          <w:color w:val="auto"/>
          <w:sz w:val="24"/>
          <w:szCs w:val="24"/>
        </w:rPr>
        <w:t>Rhys, M. and Thomas, E.M. (2012) ‘Bilingual Welsh</w:t>
      </w:r>
      <w:r w:rsidRPr="009B297C">
        <w:rPr>
          <w:rFonts w:ascii="Cambria Math" w:hAnsi="Cambria Math" w:cs="Cambria Math"/>
          <w:color w:val="auto"/>
          <w:sz w:val="24"/>
          <w:szCs w:val="24"/>
        </w:rPr>
        <w:t>‑</w:t>
      </w:r>
      <w:r w:rsidRPr="009B297C">
        <w:rPr>
          <w:color w:val="auto"/>
          <w:sz w:val="24"/>
          <w:szCs w:val="24"/>
        </w:rPr>
        <w:t>English children’s acquisition of vocabulary and reading: implications for bilingual education’, International Journal of Bilingual Education and Bilingualism, 16(6), pp. 633–656</w:t>
      </w:r>
    </w:p>
    <w:p w14:paraId="397AC7A8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proofErr w:type="spellStart"/>
      <w:r w:rsidRPr="00E34898">
        <w:rPr>
          <w:color w:val="auto"/>
          <w:sz w:val="24"/>
          <w:szCs w:val="24"/>
        </w:rPr>
        <w:t>Saleebey</w:t>
      </w:r>
      <w:proofErr w:type="spellEnd"/>
      <w:r w:rsidRPr="00E34898">
        <w:rPr>
          <w:color w:val="auto"/>
          <w:sz w:val="24"/>
          <w:szCs w:val="24"/>
        </w:rPr>
        <w:t xml:space="preserve">, D. (2013) The strengths perspective in social work practice. 6th </w:t>
      </w:r>
      <w:proofErr w:type="spellStart"/>
      <w:r w:rsidRPr="00E34898">
        <w:rPr>
          <w:color w:val="auto"/>
          <w:sz w:val="24"/>
          <w:szCs w:val="24"/>
        </w:rPr>
        <w:t>edn</w:t>
      </w:r>
      <w:proofErr w:type="spellEnd"/>
      <w:r w:rsidRPr="00E34898">
        <w:rPr>
          <w:color w:val="auto"/>
          <w:sz w:val="24"/>
          <w:szCs w:val="24"/>
        </w:rPr>
        <w:t>. Boston: Pearson.</w:t>
      </w:r>
    </w:p>
    <w:p w14:paraId="364A3E18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SCW (Social Care Wales) (2017) Code of Professional Practice for Social Care. Cardiff: Social Care Wales.</w:t>
      </w:r>
    </w:p>
    <w:p w14:paraId="593CE2D4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Social Services and Well</w:t>
      </w:r>
      <w:r w:rsidRPr="00895560">
        <w:rPr>
          <w:rFonts w:ascii="Cambria Math" w:hAnsi="Cambria Math" w:cs="Cambria Math"/>
          <w:color w:val="auto"/>
          <w:sz w:val="24"/>
          <w:szCs w:val="24"/>
        </w:rPr>
        <w:t>‑</w:t>
      </w:r>
      <w:r w:rsidRPr="00895560">
        <w:rPr>
          <w:color w:val="auto"/>
          <w:sz w:val="24"/>
          <w:szCs w:val="24"/>
        </w:rPr>
        <w:t>being (Wales) Act 2014. Cardiff: Welsh Government.</w:t>
      </w:r>
    </w:p>
    <w:p w14:paraId="0FD6BD21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The Centre for Parenting Education (n.d.) I</w:t>
      </w:r>
      <w:r w:rsidRPr="00895560">
        <w:rPr>
          <w:rFonts w:ascii="Cambria Math" w:hAnsi="Cambria Math" w:cs="Cambria Math"/>
          <w:color w:val="auto"/>
          <w:sz w:val="24"/>
          <w:szCs w:val="24"/>
        </w:rPr>
        <w:t>‑</w:t>
      </w:r>
      <w:r w:rsidRPr="00895560">
        <w:rPr>
          <w:color w:val="auto"/>
          <w:sz w:val="24"/>
          <w:szCs w:val="24"/>
        </w:rPr>
        <w:t>Messages: A Communication Tool for Families. Available at: https://centerforparentingeducation.org (Accessed: [insert date]).</w:t>
      </w:r>
    </w:p>
    <w:p w14:paraId="3C2253DC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Thomas, N. (2012) Children, Family and the State: Decision</w:t>
      </w:r>
      <w:r w:rsidRPr="00895560">
        <w:rPr>
          <w:rFonts w:ascii="Cambria Math" w:hAnsi="Cambria Math" w:cs="Cambria Math"/>
          <w:color w:val="auto"/>
          <w:sz w:val="24"/>
          <w:szCs w:val="24"/>
        </w:rPr>
        <w:t>‑</w:t>
      </w:r>
      <w:r w:rsidRPr="00895560">
        <w:rPr>
          <w:color w:val="auto"/>
          <w:sz w:val="24"/>
          <w:szCs w:val="24"/>
        </w:rPr>
        <w:t>Making and Child Participation. Bristol: Policy Press.</w:t>
      </w:r>
    </w:p>
    <w:p w14:paraId="0BF7F398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Wales Safeguarding</w:t>
      </w:r>
      <w:r>
        <w:rPr>
          <w:color w:val="auto"/>
          <w:sz w:val="24"/>
          <w:szCs w:val="24"/>
        </w:rPr>
        <w:t xml:space="preserve"> </w:t>
      </w:r>
      <w:r w:rsidRPr="00895560">
        <w:rPr>
          <w:color w:val="auto"/>
          <w:sz w:val="24"/>
          <w:szCs w:val="24"/>
        </w:rPr>
        <w:t>(2019) Wales Safeguarding Procedures. Cardiff: Welsh Government.</w:t>
      </w:r>
    </w:p>
    <w:p w14:paraId="4248CB6F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Welsh Government (2011) Rights of Children and Young Persons (Wales) Measure 2011: Statutory Guidance. Cardiff: Welsh Government.</w:t>
      </w:r>
    </w:p>
    <w:p w14:paraId="7DB14A85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Welsh Government (2014) Working Together to Safeguard People: Volume 1 – Introduction and Overview. Cardiff: Welsh Government.</w:t>
      </w:r>
    </w:p>
    <w:p w14:paraId="1584D16C" w14:textId="77777777" w:rsidR="003C5608" w:rsidRPr="00895560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Welsh Government (2014) Social Services and Well</w:t>
      </w:r>
      <w:r w:rsidRPr="00895560">
        <w:rPr>
          <w:rFonts w:ascii="Cambria Math" w:hAnsi="Cambria Math" w:cs="Cambria Math"/>
          <w:color w:val="auto"/>
          <w:sz w:val="24"/>
          <w:szCs w:val="24"/>
        </w:rPr>
        <w:t>‑</w:t>
      </w:r>
      <w:r w:rsidRPr="00895560">
        <w:rPr>
          <w:color w:val="auto"/>
          <w:sz w:val="24"/>
          <w:szCs w:val="24"/>
        </w:rPr>
        <w:t>being (Wales) Act 2014: Part 4 – Care and Support. Cardiff: Welsh Government.</w:t>
      </w:r>
    </w:p>
    <w:p w14:paraId="2362CE83" w14:textId="77777777" w:rsidR="003C5608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Welsh Government (2016) More Than Just Words: Follow</w:t>
      </w:r>
      <w:r w:rsidRPr="00895560">
        <w:rPr>
          <w:rFonts w:ascii="Cambria Math" w:hAnsi="Cambria Math" w:cs="Cambria Math"/>
          <w:color w:val="auto"/>
          <w:sz w:val="24"/>
          <w:szCs w:val="24"/>
        </w:rPr>
        <w:t>‑</w:t>
      </w:r>
      <w:r w:rsidRPr="00895560">
        <w:rPr>
          <w:color w:val="auto"/>
          <w:sz w:val="24"/>
          <w:szCs w:val="24"/>
        </w:rPr>
        <w:t>On Strategic Framework. Cardiff: Welsh Government.</w:t>
      </w:r>
    </w:p>
    <w:p w14:paraId="20994CDC" w14:textId="77777777" w:rsidR="003C5608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895560">
        <w:rPr>
          <w:color w:val="auto"/>
          <w:sz w:val="24"/>
          <w:szCs w:val="24"/>
        </w:rPr>
        <w:t>Wales Safeguarding Procedures (2019) Wales Safeguarding Procedures. Cardiff: Welsh Government.</w:t>
      </w:r>
    </w:p>
    <w:p w14:paraId="34266286" w14:textId="77777777" w:rsidR="003C5608" w:rsidRDefault="003C5608" w:rsidP="003C5608">
      <w:pPr>
        <w:spacing w:line="360" w:lineRule="auto"/>
        <w:jc w:val="both"/>
        <w:rPr>
          <w:color w:val="auto"/>
          <w:sz w:val="24"/>
          <w:szCs w:val="24"/>
        </w:rPr>
      </w:pPr>
      <w:r w:rsidRPr="00A912E1">
        <w:rPr>
          <w:color w:val="auto"/>
          <w:sz w:val="24"/>
          <w:szCs w:val="24"/>
        </w:rPr>
        <w:t>United Nations (1989) United Nations Convention on the Rights of the Child. New York: United Nations.</w:t>
      </w:r>
    </w:p>
    <w:p w14:paraId="4BA83317" w14:textId="77777777" w:rsidR="00EC234F" w:rsidRDefault="00EC234F"/>
    <w:sectPr w:rsidR="00EC23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5608"/>
    <w:rsid w:val="003C5608"/>
    <w:rsid w:val="00484407"/>
    <w:rsid w:val="00626805"/>
    <w:rsid w:val="00A05BCC"/>
    <w:rsid w:val="00D25999"/>
    <w:rsid w:val="00EC23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03493"/>
  <w15:chartTrackingRefBased/>
  <w15:docId w15:val="{83392FFD-71D6-4098-A234-0E23BEC867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Times New Roman"/>
        <w:color w:val="000000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before="100" w:beforeAutospacing="1" w:after="100" w:afterAutospacing="1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5608"/>
    <w:pPr>
      <w:overflowPunct w:val="0"/>
      <w:autoSpaceDE w:val="0"/>
      <w:autoSpaceDN w:val="0"/>
      <w:adjustRightInd w:val="0"/>
      <w:spacing w:before="0" w:beforeAutospacing="0" w:after="0" w:afterAutospacing="0" w:line="240" w:lineRule="auto"/>
      <w:jc w:val="left"/>
      <w:textAlignment w:val="baseline"/>
    </w:pPr>
    <w:rPr>
      <w:rFonts w:eastAsia="Times New Roman" w:cs="Arial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C5608"/>
    <w:pPr>
      <w:keepNext/>
      <w:keepLines/>
      <w:overflowPunct/>
      <w:autoSpaceDE/>
      <w:autoSpaceDN/>
      <w:adjustRightInd/>
      <w:spacing w:before="360" w:beforeAutospacing="1" w:after="80" w:afterAutospacing="1" w:line="360" w:lineRule="auto"/>
      <w:jc w:val="both"/>
      <w:textAlignment w:val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5608"/>
    <w:pPr>
      <w:keepNext/>
      <w:keepLines/>
      <w:overflowPunct/>
      <w:autoSpaceDE/>
      <w:autoSpaceDN/>
      <w:adjustRightInd/>
      <w:spacing w:before="160" w:beforeAutospacing="1" w:after="80" w:afterAutospacing="1" w:line="360" w:lineRule="auto"/>
      <w:jc w:val="both"/>
      <w:textAlignment w:val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5608"/>
    <w:pPr>
      <w:keepNext/>
      <w:keepLines/>
      <w:overflowPunct/>
      <w:autoSpaceDE/>
      <w:autoSpaceDN/>
      <w:adjustRightInd/>
      <w:spacing w:before="160" w:beforeAutospacing="1" w:after="80" w:afterAutospacing="1" w:line="360" w:lineRule="auto"/>
      <w:jc w:val="both"/>
      <w:textAlignment w:val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5608"/>
    <w:pPr>
      <w:keepNext/>
      <w:keepLines/>
      <w:overflowPunct/>
      <w:autoSpaceDE/>
      <w:autoSpaceDN/>
      <w:adjustRightInd/>
      <w:spacing w:before="80" w:beforeAutospacing="1" w:after="40" w:afterAutospacing="1" w:line="360" w:lineRule="auto"/>
      <w:jc w:val="both"/>
      <w:textAlignment w:val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5608"/>
    <w:pPr>
      <w:keepNext/>
      <w:keepLines/>
      <w:overflowPunct/>
      <w:autoSpaceDE/>
      <w:autoSpaceDN/>
      <w:adjustRightInd/>
      <w:spacing w:before="80" w:beforeAutospacing="1" w:after="40" w:afterAutospacing="1" w:line="360" w:lineRule="auto"/>
      <w:jc w:val="both"/>
      <w:textAlignment w:val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5608"/>
    <w:pPr>
      <w:keepNext/>
      <w:keepLines/>
      <w:overflowPunct/>
      <w:autoSpaceDE/>
      <w:autoSpaceDN/>
      <w:adjustRightInd/>
      <w:spacing w:before="40" w:beforeAutospacing="1" w:afterAutospacing="1" w:line="360" w:lineRule="auto"/>
      <w:jc w:val="both"/>
      <w:textAlignment w:val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5608"/>
    <w:pPr>
      <w:keepNext/>
      <w:keepLines/>
      <w:overflowPunct/>
      <w:autoSpaceDE/>
      <w:autoSpaceDN/>
      <w:adjustRightInd/>
      <w:spacing w:before="40" w:beforeAutospacing="1" w:afterAutospacing="1" w:line="360" w:lineRule="auto"/>
      <w:jc w:val="both"/>
      <w:textAlignment w:val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5608"/>
    <w:pPr>
      <w:keepNext/>
      <w:keepLines/>
      <w:overflowPunct/>
      <w:autoSpaceDE/>
      <w:autoSpaceDN/>
      <w:adjustRightInd/>
      <w:spacing w:beforeAutospacing="1" w:afterAutospacing="1" w:line="360" w:lineRule="auto"/>
      <w:jc w:val="both"/>
      <w:textAlignment w:val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5608"/>
    <w:pPr>
      <w:keepNext/>
      <w:keepLines/>
      <w:overflowPunct/>
      <w:autoSpaceDE/>
      <w:autoSpaceDN/>
      <w:adjustRightInd/>
      <w:spacing w:beforeAutospacing="1" w:afterAutospacing="1" w:line="360" w:lineRule="auto"/>
      <w:jc w:val="both"/>
      <w:textAlignment w:val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56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56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5608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5608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5608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5608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5608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5608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5608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5608"/>
    <w:pPr>
      <w:overflowPunct/>
      <w:autoSpaceDE/>
      <w:autoSpaceDN/>
      <w:adjustRightInd/>
      <w:spacing w:beforeAutospacing="1" w:after="80" w:afterAutospacing="1"/>
      <w:contextualSpacing/>
      <w:jc w:val="both"/>
      <w:textAlignment w:val="auto"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C5608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5608"/>
    <w:pPr>
      <w:numPr>
        <w:ilvl w:val="1"/>
      </w:numPr>
      <w:overflowPunct/>
      <w:autoSpaceDE/>
      <w:autoSpaceDN/>
      <w:adjustRightInd/>
      <w:spacing w:before="100" w:beforeAutospacing="1" w:after="160" w:afterAutospacing="1" w:line="360" w:lineRule="auto"/>
      <w:jc w:val="both"/>
      <w:textAlignment w:val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C5608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5608"/>
    <w:pPr>
      <w:overflowPunct/>
      <w:autoSpaceDE/>
      <w:autoSpaceDN/>
      <w:adjustRightInd/>
      <w:spacing w:before="160" w:beforeAutospacing="1" w:after="160" w:afterAutospacing="1" w:line="360" w:lineRule="auto"/>
      <w:jc w:val="center"/>
      <w:textAlignment w:val="auto"/>
    </w:pPr>
    <w:rPr>
      <w:rFonts w:eastAsiaTheme="minorHAnsi" w:cs="Times New Roman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C56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5608"/>
    <w:pPr>
      <w:overflowPunct/>
      <w:autoSpaceDE/>
      <w:autoSpaceDN/>
      <w:adjustRightInd/>
      <w:spacing w:before="100" w:beforeAutospacing="1" w:after="100" w:afterAutospacing="1" w:line="360" w:lineRule="auto"/>
      <w:ind w:left="720"/>
      <w:contextualSpacing/>
      <w:jc w:val="both"/>
      <w:textAlignment w:val="auto"/>
    </w:pPr>
    <w:rPr>
      <w:rFonts w:eastAsiaTheme="minorHAnsi" w:cs="Times New Roman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C56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56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overflowPunct/>
      <w:autoSpaceDE/>
      <w:autoSpaceDN/>
      <w:adjustRightInd/>
      <w:spacing w:before="360" w:beforeAutospacing="1" w:after="360" w:afterAutospacing="1" w:line="360" w:lineRule="auto"/>
      <w:ind w:left="864" w:right="864"/>
      <w:jc w:val="center"/>
      <w:textAlignment w:val="auto"/>
    </w:pPr>
    <w:rPr>
      <w:rFonts w:eastAsiaTheme="minorHAnsi" w:cs="Times New Roman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56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560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3C560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enterforparentingeducation.org/library-of-articles/healthy-communication/the-skill-of-i-messages-what-to-say-when-we-are-ups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532</Words>
  <Characters>3374</Characters>
  <Application>Microsoft Office Word</Application>
  <DocSecurity>0</DocSecurity>
  <Lines>66</Lines>
  <Paragraphs>37</Paragraphs>
  <ScaleCrop>false</ScaleCrop>
  <Company/>
  <LinksUpToDate>false</LinksUpToDate>
  <CharactersWithSpaces>3869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turner</dc:creator>
  <cp:keywords/>
  <dc:description/>
  <cp:lastModifiedBy>kevin turner</cp:lastModifiedBy>
  <cp:revision>1</cp:revision>
  <dcterms:created xsi:type="dcterms:W3CDTF">2026-02-20T09:39:00Z</dcterms:created>
  <dcterms:modified xsi:type="dcterms:W3CDTF">2026-02-20T09:42:00Z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01185c3f-37bf-41a8-ade0-803f3bc1fec6</vt:lpwstr>
  </property>
</Properties>
</file>