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B1234" w14:textId="77777777" w:rsidR="003A2B65" w:rsidRDefault="00000000">
      <w:r>
        <w:rPr>
          <w:rFonts w:ascii="Times New Roman" w:hAnsi="Times New Roman"/>
          <w:b/>
          <w:bCs/>
          <w:noProof/>
        </w:rPr>
        <w:drawing>
          <wp:anchor distT="0" distB="0" distL="114300" distR="114300" simplePos="0" relativeHeight="251658240" behindDoc="0" locked="0" layoutInCell="1" allowOverlap="1" wp14:anchorId="7360BF8D" wp14:editId="61A171B1">
            <wp:simplePos x="0" y="0"/>
            <wp:positionH relativeFrom="column">
              <wp:posOffset>5346697</wp:posOffset>
            </wp:positionH>
            <wp:positionV relativeFrom="paragraph">
              <wp:posOffset>-165104</wp:posOffset>
            </wp:positionV>
            <wp:extent cx="996952" cy="893268"/>
            <wp:effectExtent l="38100" t="38100" r="69848" b="78282"/>
            <wp:wrapNone/>
            <wp:docPr id="57846707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996952" cy="893268"/>
                    </a:xfrm>
                    <a:prstGeom prst="rect">
                      <a:avLst/>
                    </a:prstGeom>
                    <a:noFill/>
                    <a:ln w="38103">
                      <a:solidFill>
                        <a:srgbClr val="000000"/>
                      </a:solidFill>
                      <a:prstDash val="solid"/>
                    </a:ln>
                    <a:effectLst>
                      <a:outerShdw dist="38096" dir="2700000" algn="tl">
                        <a:srgbClr val="000000"/>
                      </a:outerShdw>
                    </a:effectLst>
                  </pic:spPr>
                </pic:pic>
              </a:graphicData>
            </a:graphic>
          </wp:anchor>
        </w:drawing>
      </w:r>
    </w:p>
    <w:p w14:paraId="6E86243D" w14:textId="77777777" w:rsidR="003A2B65" w:rsidRDefault="003A2B65">
      <w:pPr>
        <w:rPr>
          <w:rFonts w:ascii="Times New Roman" w:hAnsi="Times New Roman"/>
          <w:b/>
          <w:bCs/>
        </w:rPr>
      </w:pPr>
    </w:p>
    <w:p w14:paraId="2B291FB6" w14:textId="77777777" w:rsidR="003A2B65" w:rsidRDefault="003A2B65">
      <w:pPr>
        <w:rPr>
          <w:rFonts w:ascii="Times New Roman" w:hAnsi="Times New Roman"/>
          <w:b/>
          <w:bCs/>
        </w:rPr>
      </w:pPr>
    </w:p>
    <w:p w14:paraId="63B26427" w14:textId="77777777" w:rsidR="003A2B65" w:rsidRDefault="003A2B65">
      <w:pPr>
        <w:rPr>
          <w:rFonts w:ascii="Times New Roman" w:hAnsi="Times New Roman"/>
          <w:b/>
          <w:bCs/>
        </w:rPr>
      </w:pPr>
    </w:p>
    <w:p w14:paraId="4DB9209B" w14:textId="77777777" w:rsidR="003A2B65" w:rsidRDefault="003A2B65">
      <w:pPr>
        <w:rPr>
          <w:rFonts w:ascii="Times New Roman" w:hAnsi="Times New Roman"/>
          <w:b/>
          <w:bCs/>
        </w:rPr>
      </w:pPr>
    </w:p>
    <w:p w14:paraId="5224BE7D" w14:textId="77777777" w:rsidR="003A2B65" w:rsidRDefault="003A2B65">
      <w:pPr>
        <w:rPr>
          <w:rFonts w:ascii="Times New Roman" w:hAnsi="Times New Roman"/>
          <w:b/>
          <w:bCs/>
        </w:rPr>
      </w:pPr>
    </w:p>
    <w:p w14:paraId="66AC95A1" w14:textId="77777777" w:rsidR="003A2B65" w:rsidRDefault="003A2B65">
      <w:pPr>
        <w:rPr>
          <w:rFonts w:ascii="Times New Roman" w:hAnsi="Times New Roman"/>
          <w:b/>
          <w:bCs/>
        </w:rPr>
      </w:pPr>
    </w:p>
    <w:p w14:paraId="05F521A0" w14:textId="77777777" w:rsidR="003A2B65" w:rsidRDefault="003A2B65">
      <w:pPr>
        <w:rPr>
          <w:rFonts w:ascii="Times New Roman" w:hAnsi="Times New Roman"/>
          <w:b/>
          <w:bCs/>
        </w:rPr>
      </w:pPr>
    </w:p>
    <w:p w14:paraId="2817AC53" w14:textId="77777777" w:rsidR="003A2B65" w:rsidRDefault="003A2B65">
      <w:pPr>
        <w:jc w:val="center"/>
        <w:rPr>
          <w:rFonts w:ascii="Times New Roman" w:hAnsi="Times New Roman"/>
          <w:b/>
          <w:bCs/>
          <w:sz w:val="28"/>
          <w:szCs w:val="28"/>
        </w:rPr>
      </w:pPr>
    </w:p>
    <w:p w14:paraId="2F3AC4A5" w14:textId="77777777" w:rsidR="003A2B65" w:rsidRDefault="00000000">
      <w:pPr>
        <w:jc w:val="center"/>
      </w:pPr>
      <w:r>
        <w:rPr>
          <w:rFonts w:ascii="Times New Roman" w:hAnsi="Times New Roman"/>
          <w:b/>
          <w:bCs/>
          <w:sz w:val="36"/>
          <w:szCs w:val="36"/>
        </w:rPr>
        <w:t xml:space="preserve">International Business Communications </w:t>
      </w:r>
      <w:r>
        <w:rPr>
          <w:rFonts w:ascii="Times New Roman" w:hAnsi="Times New Roman"/>
          <w:b/>
          <w:bCs/>
          <w:sz w:val="28"/>
          <w:szCs w:val="28"/>
        </w:rPr>
        <w:br/>
      </w:r>
    </w:p>
    <w:p w14:paraId="7C96B545" w14:textId="77777777" w:rsidR="003A2B65" w:rsidRDefault="003A2B65">
      <w:pPr>
        <w:jc w:val="center"/>
        <w:rPr>
          <w:rFonts w:ascii="Times New Roman" w:hAnsi="Times New Roman"/>
          <w:b/>
          <w:bCs/>
          <w:sz w:val="28"/>
          <w:szCs w:val="28"/>
        </w:rPr>
      </w:pPr>
    </w:p>
    <w:p w14:paraId="3CB51546" w14:textId="77777777" w:rsidR="003A2B65" w:rsidRDefault="003A2B65">
      <w:pPr>
        <w:jc w:val="center"/>
        <w:rPr>
          <w:rFonts w:ascii="Times New Roman" w:hAnsi="Times New Roman"/>
          <w:b/>
          <w:bCs/>
          <w:sz w:val="28"/>
          <w:szCs w:val="28"/>
        </w:rPr>
      </w:pPr>
    </w:p>
    <w:p w14:paraId="09FDE5FD" w14:textId="77777777" w:rsidR="003A2B65" w:rsidRDefault="003A2B65">
      <w:pPr>
        <w:jc w:val="center"/>
        <w:rPr>
          <w:rFonts w:ascii="Times New Roman" w:hAnsi="Times New Roman"/>
          <w:b/>
          <w:bCs/>
          <w:sz w:val="28"/>
          <w:szCs w:val="28"/>
        </w:rPr>
      </w:pPr>
    </w:p>
    <w:p w14:paraId="6C6CE04B" w14:textId="77777777" w:rsidR="003A2B65" w:rsidRDefault="00000000">
      <w:pPr>
        <w:spacing w:line="600" w:lineRule="auto"/>
        <w:jc w:val="center"/>
      </w:pPr>
      <w:r>
        <w:rPr>
          <w:rFonts w:ascii="Times New Roman" w:hAnsi="Times New Roman"/>
          <w:b/>
          <w:bCs/>
          <w:sz w:val="28"/>
          <w:szCs w:val="28"/>
          <w:lang w:val="en-US"/>
        </w:rPr>
        <w:t>Student: Valentin Masala</w:t>
      </w:r>
    </w:p>
    <w:p w14:paraId="27E57EBB" w14:textId="77777777" w:rsidR="003A2B65" w:rsidRDefault="00000000">
      <w:pPr>
        <w:spacing w:line="600" w:lineRule="auto"/>
        <w:jc w:val="center"/>
      </w:pPr>
      <w:r>
        <w:rPr>
          <w:rFonts w:ascii="Times New Roman" w:hAnsi="Times New Roman"/>
          <w:b/>
          <w:bCs/>
          <w:sz w:val="28"/>
          <w:szCs w:val="28"/>
          <w:lang w:val="en-US"/>
        </w:rPr>
        <w:t>Id number:2236548</w:t>
      </w:r>
    </w:p>
    <w:p w14:paraId="2A3B8B8D" w14:textId="77777777" w:rsidR="003A2B65" w:rsidRDefault="00000000">
      <w:pPr>
        <w:spacing w:line="600" w:lineRule="auto"/>
        <w:jc w:val="center"/>
      </w:pPr>
      <w:r>
        <w:rPr>
          <w:rFonts w:ascii="Times New Roman" w:hAnsi="Times New Roman"/>
          <w:b/>
          <w:bCs/>
          <w:sz w:val="28"/>
          <w:szCs w:val="28"/>
          <w:lang w:val="en-US"/>
        </w:rPr>
        <w:t>Lecturer:</w:t>
      </w:r>
      <w:r>
        <w:rPr>
          <w:rFonts w:ascii="Times New Roman" w:hAnsi="Times New Roman"/>
          <w:b/>
          <w:bCs/>
          <w:sz w:val="28"/>
          <w:szCs w:val="28"/>
        </w:rPr>
        <w:t xml:space="preserve"> Mr Afzal Munna</w:t>
      </w:r>
    </w:p>
    <w:p w14:paraId="49655BDE" w14:textId="77777777" w:rsidR="003A2B65" w:rsidRDefault="003A2B65">
      <w:pPr>
        <w:rPr>
          <w:rFonts w:ascii="Times New Roman" w:hAnsi="Times New Roman"/>
          <w:b/>
          <w:bCs/>
          <w:sz w:val="28"/>
          <w:szCs w:val="28"/>
        </w:rPr>
      </w:pPr>
    </w:p>
    <w:p w14:paraId="50821D9A" w14:textId="77777777" w:rsidR="003A2B65" w:rsidRDefault="003A2B65">
      <w:pPr>
        <w:rPr>
          <w:rFonts w:ascii="Times New Roman" w:hAnsi="Times New Roman"/>
          <w:b/>
          <w:bCs/>
        </w:rPr>
      </w:pPr>
    </w:p>
    <w:p w14:paraId="2AB68180" w14:textId="77777777" w:rsidR="003A2B65" w:rsidRDefault="003A2B65">
      <w:pPr>
        <w:rPr>
          <w:rFonts w:ascii="Times New Roman" w:hAnsi="Times New Roman"/>
          <w:b/>
          <w:bCs/>
        </w:rPr>
      </w:pPr>
    </w:p>
    <w:p w14:paraId="3692DC33" w14:textId="77777777" w:rsidR="003A2B65" w:rsidRDefault="003A2B65">
      <w:pPr>
        <w:rPr>
          <w:rFonts w:ascii="Times New Roman" w:hAnsi="Times New Roman"/>
          <w:b/>
          <w:bCs/>
        </w:rPr>
      </w:pPr>
    </w:p>
    <w:p w14:paraId="3B165C0E" w14:textId="77777777" w:rsidR="003A2B65" w:rsidRDefault="003A2B65">
      <w:pPr>
        <w:rPr>
          <w:rFonts w:ascii="Times New Roman" w:hAnsi="Times New Roman"/>
          <w:b/>
          <w:bCs/>
        </w:rPr>
      </w:pPr>
    </w:p>
    <w:p w14:paraId="63D66285" w14:textId="77777777" w:rsidR="003A2B65" w:rsidRDefault="003A2B65">
      <w:pPr>
        <w:rPr>
          <w:rFonts w:ascii="Times New Roman" w:hAnsi="Times New Roman"/>
          <w:b/>
          <w:bCs/>
        </w:rPr>
      </w:pPr>
    </w:p>
    <w:p w14:paraId="328E7590" w14:textId="77777777" w:rsidR="003A2B65" w:rsidRDefault="003A2B65">
      <w:pPr>
        <w:rPr>
          <w:rFonts w:ascii="Times New Roman" w:hAnsi="Times New Roman"/>
          <w:b/>
          <w:bCs/>
        </w:rPr>
      </w:pPr>
    </w:p>
    <w:p w14:paraId="1E40E8B6" w14:textId="77777777" w:rsidR="003A2B65" w:rsidRDefault="00000000">
      <w:pPr>
        <w:rPr>
          <w:rFonts w:ascii="Times New Roman" w:hAnsi="Times New Roman"/>
          <w:b/>
          <w:bCs/>
        </w:rPr>
      </w:pPr>
      <w:r>
        <w:rPr>
          <w:rFonts w:ascii="Times New Roman" w:hAnsi="Times New Roman"/>
          <w:b/>
          <w:bCs/>
        </w:rPr>
        <w:t xml:space="preserve">                                                </w:t>
      </w:r>
    </w:p>
    <w:p w14:paraId="3B2C47F6" w14:textId="77777777" w:rsidR="003A2B65" w:rsidRDefault="003A2B65">
      <w:pPr>
        <w:rPr>
          <w:rFonts w:ascii="Times New Roman" w:hAnsi="Times New Roman"/>
          <w:b/>
          <w:bCs/>
        </w:rPr>
      </w:pPr>
    </w:p>
    <w:p w14:paraId="2CD18AE6" w14:textId="77777777" w:rsidR="003A2B65" w:rsidRDefault="00000000">
      <w:pPr>
        <w:jc w:val="center"/>
      </w:pPr>
      <w:r>
        <w:rPr>
          <w:rFonts w:ascii="Times New Roman" w:hAnsi="Times New Roman"/>
          <w:b/>
          <w:bCs/>
          <w:sz w:val="28"/>
          <w:szCs w:val="28"/>
        </w:rPr>
        <w:t>Table of Contents</w:t>
      </w:r>
    </w:p>
    <w:p w14:paraId="7DCA6DEC" w14:textId="77777777" w:rsidR="003A2B65" w:rsidRDefault="003A2B65">
      <w:pPr>
        <w:rPr>
          <w:rFonts w:ascii="Times New Roman" w:hAnsi="Times New Roman"/>
          <w:b/>
          <w:bCs/>
        </w:rPr>
      </w:pPr>
    </w:p>
    <w:p w14:paraId="59E7E4CE" w14:textId="77777777" w:rsidR="003A2B65" w:rsidRDefault="003A2B65">
      <w:pPr>
        <w:rPr>
          <w:rFonts w:ascii="Times New Roman" w:hAnsi="Times New Roman"/>
          <w:b/>
          <w:bCs/>
        </w:rPr>
      </w:pPr>
    </w:p>
    <w:p w14:paraId="3041863B" w14:textId="77777777" w:rsidR="003A2B65" w:rsidRDefault="003A2B65">
      <w:pPr>
        <w:rPr>
          <w:rFonts w:ascii="Times New Roman" w:hAnsi="Times New Roman"/>
          <w:b/>
          <w:bCs/>
        </w:rPr>
      </w:pPr>
    </w:p>
    <w:p w14:paraId="5CC765A4" w14:textId="68652950"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 xml:space="preserve">Introduction </w:t>
      </w:r>
      <w:r w:rsidR="00CB415C">
        <w:rPr>
          <w:rFonts w:ascii="Times New Roman" w:hAnsi="Times New Roman"/>
          <w:sz w:val="28"/>
          <w:szCs w:val="28"/>
        </w:rPr>
        <w:t>…………………………………………………………3</w:t>
      </w:r>
    </w:p>
    <w:p w14:paraId="6893271B" w14:textId="75E98061"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The background of Tesco Plc and Aeon Ltd</w:t>
      </w:r>
      <w:r w:rsidR="00CB415C">
        <w:rPr>
          <w:rFonts w:ascii="Times New Roman" w:hAnsi="Times New Roman"/>
          <w:sz w:val="28"/>
          <w:szCs w:val="28"/>
        </w:rPr>
        <w:t>……………………</w:t>
      </w:r>
      <w:r w:rsidR="00001ABF">
        <w:rPr>
          <w:rFonts w:ascii="Times New Roman" w:hAnsi="Times New Roman"/>
          <w:sz w:val="28"/>
          <w:szCs w:val="28"/>
        </w:rPr>
        <w:t>...</w:t>
      </w:r>
      <w:r w:rsidR="00CB415C">
        <w:rPr>
          <w:rFonts w:ascii="Times New Roman" w:hAnsi="Times New Roman"/>
          <w:sz w:val="28"/>
          <w:szCs w:val="28"/>
        </w:rPr>
        <w:t>…</w:t>
      </w:r>
      <w:r w:rsidR="00001ABF">
        <w:rPr>
          <w:rFonts w:ascii="Times New Roman" w:hAnsi="Times New Roman"/>
          <w:sz w:val="28"/>
          <w:szCs w:val="28"/>
        </w:rPr>
        <w:t>3</w:t>
      </w:r>
      <w:r>
        <w:rPr>
          <w:rFonts w:ascii="Times New Roman" w:hAnsi="Times New Roman"/>
          <w:sz w:val="28"/>
          <w:szCs w:val="28"/>
        </w:rPr>
        <w:t xml:space="preserve"> </w:t>
      </w:r>
    </w:p>
    <w:p w14:paraId="7050318A" w14:textId="747DF4FB"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 xml:space="preserve">Theoretical Frameworks </w:t>
      </w:r>
      <w:r w:rsidR="00001ABF">
        <w:rPr>
          <w:rFonts w:ascii="Times New Roman" w:hAnsi="Times New Roman"/>
          <w:sz w:val="28"/>
          <w:szCs w:val="28"/>
        </w:rPr>
        <w:t>……………………………………….…...4</w:t>
      </w:r>
    </w:p>
    <w:p w14:paraId="4F896934" w14:textId="3BD1DF29"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 xml:space="preserve">Communication and differences between UK and Japan </w:t>
      </w:r>
      <w:r w:rsidR="00001ABF">
        <w:rPr>
          <w:rFonts w:ascii="Times New Roman" w:hAnsi="Times New Roman"/>
          <w:sz w:val="28"/>
          <w:szCs w:val="28"/>
        </w:rPr>
        <w:t>…….…….5</w:t>
      </w:r>
    </w:p>
    <w:p w14:paraId="6595C349" w14:textId="627A8BCF"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Causes of Miscommunication</w:t>
      </w:r>
      <w:r w:rsidR="00001ABF">
        <w:rPr>
          <w:rFonts w:ascii="Times New Roman" w:hAnsi="Times New Roman"/>
          <w:sz w:val="28"/>
          <w:szCs w:val="28"/>
        </w:rPr>
        <w:t>…………………………………….…6</w:t>
      </w:r>
    </w:p>
    <w:p w14:paraId="3D71A7BA" w14:textId="70D31E47"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Communication Barriers in Tesco–Aeon Collaboration</w:t>
      </w:r>
      <w:r w:rsidR="00001ABF">
        <w:rPr>
          <w:rFonts w:ascii="Times New Roman" w:hAnsi="Times New Roman"/>
          <w:sz w:val="28"/>
          <w:szCs w:val="28"/>
        </w:rPr>
        <w:t>………….…6</w:t>
      </w:r>
      <w:r>
        <w:rPr>
          <w:rFonts w:ascii="Times New Roman" w:hAnsi="Times New Roman"/>
          <w:sz w:val="28"/>
          <w:szCs w:val="28"/>
        </w:rPr>
        <w:t xml:space="preserve"> </w:t>
      </w:r>
    </w:p>
    <w:p w14:paraId="4C3C6D1A" w14:textId="09B9E61A"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 xml:space="preserve">Critical Evaluation </w:t>
      </w:r>
      <w:r w:rsidR="00001ABF">
        <w:rPr>
          <w:rFonts w:ascii="Times New Roman" w:hAnsi="Times New Roman"/>
          <w:sz w:val="28"/>
          <w:szCs w:val="28"/>
        </w:rPr>
        <w:t>………………………………………………......8</w:t>
      </w:r>
    </w:p>
    <w:p w14:paraId="453252D1" w14:textId="3F5CB746"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 xml:space="preserve">Recommendations </w:t>
      </w:r>
      <w:r w:rsidR="00001ABF">
        <w:rPr>
          <w:rFonts w:ascii="Times New Roman" w:hAnsi="Times New Roman"/>
          <w:sz w:val="28"/>
          <w:szCs w:val="28"/>
        </w:rPr>
        <w:t>…………………………………………………...8</w:t>
      </w:r>
    </w:p>
    <w:p w14:paraId="369FE3A2" w14:textId="5C62DD9A" w:rsidR="003A2B65" w:rsidRDefault="00000000" w:rsidP="00001ABF">
      <w:pPr>
        <w:numPr>
          <w:ilvl w:val="0"/>
          <w:numId w:val="1"/>
        </w:numPr>
        <w:tabs>
          <w:tab w:val="center" w:leader="dot" w:pos="2835"/>
        </w:tabs>
        <w:spacing w:line="480" w:lineRule="auto"/>
        <w:rPr>
          <w:rFonts w:ascii="Times New Roman" w:hAnsi="Times New Roman"/>
          <w:sz w:val="28"/>
          <w:szCs w:val="28"/>
        </w:rPr>
      </w:pPr>
      <w:r>
        <w:rPr>
          <w:rFonts w:ascii="Times New Roman" w:hAnsi="Times New Roman"/>
          <w:sz w:val="28"/>
          <w:szCs w:val="28"/>
        </w:rPr>
        <w:t>Conclusion</w:t>
      </w:r>
      <w:r w:rsidR="00001ABF">
        <w:rPr>
          <w:rFonts w:ascii="Times New Roman" w:hAnsi="Times New Roman"/>
          <w:sz w:val="28"/>
          <w:szCs w:val="28"/>
        </w:rPr>
        <w:t>…………………………………………………………....9</w:t>
      </w:r>
      <w:r>
        <w:rPr>
          <w:rFonts w:ascii="Times New Roman" w:hAnsi="Times New Roman"/>
          <w:sz w:val="28"/>
          <w:szCs w:val="28"/>
        </w:rPr>
        <w:t xml:space="preserve"> </w:t>
      </w:r>
    </w:p>
    <w:p w14:paraId="2EEC912C" w14:textId="6684889A" w:rsidR="003A2B65" w:rsidRDefault="00000000" w:rsidP="00001ABF">
      <w:pPr>
        <w:tabs>
          <w:tab w:val="center" w:leader="dot" w:pos="2835"/>
        </w:tabs>
        <w:spacing w:line="480" w:lineRule="auto"/>
        <w:ind w:left="360"/>
        <w:rPr>
          <w:rFonts w:ascii="Times New Roman" w:hAnsi="Times New Roman"/>
          <w:sz w:val="28"/>
          <w:szCs w:val="28"/>
        </w:rPr>
      </w:pPr>
      <w:r>
        <w:rPr>
          <w:rFonts w:ascii="Times New Roman" w:hAnsi="Times New Roman"/>
          <w:sz w:val="28"/>
          <w:szCs w:val="28"/>
        </w:rPr>
        <w:t xml:space="preserve">10.References </w:t>
      </w:r>
      <w:r w:rsidR="00001ABF">
        <w:rPr>
          <w:rFonts w:ascii="Times New Roman" w:hAnsi="Times New Roman"/>
          <w:sz w:val="28"/>
          <w:szCs w:val="28"/>
        </w:rPr>
        <w:t>………………………………………………………...…11</w:t>
      </w:r>
    </w:p>
    <w:p w14:paraId="448A1E39" w14:textId="77777777" w:rsidR="003A2B65" w:rsidRDefault="003A2B65">
      <w:pPr>
        <w:rPr>
          <w:rFonts w:ascii="Times New Roman" w:hAnsi="Times New Roman"/>
          <w:sz w:val="36"/>
          <w:szCs w:val="36"/>
        </w:rPr>
      </w:pPr>
    </w:p>
    <w:p w14:paraId="01B6575D" w14:textId="77777777" w:rsidR="003A2B65" w:rsidRDefault="003A2B65">
      <w:pPr>
        <w:rPr>
          <w:rFonts w:ascii="Times New Roman" w:hAnsi="Times New Roman"/>
        </w:rPr>
      </w:pPr>
    </w:p>
    <w:p w14:paraId="4B42386B" w14:textId="77777777" w:rsidR="003A2B65" w:rsidRDefault="003A2B65">
      <w:pPr>
        <w:rPr>
          <w:rFonts w:ascii="Times New Roman" w:hAnsi="Times New Roman"/>
        </w:rPr>
      </w:pPr>
    </w:p>
    <w:p w14:paraId="467B2C1A" w14:textId="77777777" w:rsidR="003A2B65" w:rsidRDefault="003A2B65">
      <w:pPr>
        <w:rPr>
          <w:rFonts w:ascii="Times New Roman" w:hAnsi="Times New Roman"/>
        </w:rPr>
      </w:pPr>
    </w:p>
    <w:p w14:paraId="7E57BA02" w14:textId="77777777" w:rsidR="003A2B65" w:rsidRDefault="003A2B65">
      <w:pPr>
        <w:rPr>
          <w:rFonts w:ascii="Times New Roman" w:hAnsi="Times New Roman"/>
        </w:rPr>
      </w:pPr>
    </w:p>
    <w:p w14:paraId="0687D365" w14:textId="77777777" w:rsidR="003A2B65" w:rsidRDefault="003A2B65">
      <w:pPr>
        <w:rPr>
          <w:rFonts w:ascii="Times New Roman" w:hAnsi="Times New Roman"/>
        </w:rPr>
      </w:pPr>
    </w:p>
    <w:p w14:paraId="23C57620" w14:textId="77777777" w:rsidR="003A2B65" w:rsidRDefault="003A2B65">
      <w:pPr>
        <w:rPr>
          <w:rFonts w:ascii="Times New Roman" w:hAnsi="Times New Roman"/>
        </w:rPr>
      </w:pPr>
    </w:p>
    <w:p w14:paraId="69517873" w14:textId="77777777" w:rsidR="003A2B65" w:rsidRDefault="00000000">
      <w:pPr>
        <w:spacing w:line="360" w:lineRule="auto"/>
        <w:rPr>
          <w:rFonts w:ascii="Times New Roman" w:hAnsi="Times New Roman"/>
          <w:b/>
          <w:bCs/>
          <w:sz w:val="28"/>
          <w:szCs w:val="28"/>
        </w:rPr>
      </w:pPr>
      <w:r>
        <w:rPr>
          <w:rFonts w:ascii="Times New Roman" w:hAnsi="Times New Roman"/>
          <w:b/>
          <w:bCs/>
          <w:sz w:val="28"/>
          <w:szCs w:val="28"/>
        </w:rPr>
        <w:t>1. Introduction</w:t>
      </w:r>
    </w:p>
    <w:p w14:paraId="7586B0E9" w14:textId="77777777" w:rsidR="003A2B65" w:rsidRDefault="00000000">
      <w:pPr>
        <w:spacing w:line="360" w:lineRule="auto"/>
        <w:rPr>
          <w:rFonts w:ascii="Times New Roman" w:hAnsi="Times New Roman"/>
        </w:rPr>
      </w:pPr>
      <w:r>
        <w:rPr>
          <w:rFonts w:ascii="Times New Roman" w:hAnsi="Times New Roman"/>
        </w:rPr>
        <w:t xml:space="preserve">This essay looks at how Tesco plc, a major store in the UK, and Aeon Co., Ltd., one of Japan's biggest retail companies, work together to see how different ways of communicating between teams in the UK and Japan could cause misunderstandings and inefficient operations. Effective cross-cultural communication is now an important part of running a successful business, especially as companies grow into culturally diverse markets like Asia. This is because multinational companies are forming partnerships with companies in other countries more. </w:t>
      </w:r>
    </w:p>
    <w:p w14:paraId="4B3DD261" w14:textId="77777777" w:rsidR="003A2B65" w:rsidRDefault="00000000">
      <w:pPr>
        <w:spacing w:line="360" w:lineRule="auto"/>
        <w:rPr>
          <w:rFonts w:ascii="Times New Roman" w:hAnsi="Times New Roman"/>
        </w:rPr>
      </w:pPr>
      <w:r>
        <w:rPr>
          <w:rFonts w:ascii="Times New Roman" w:hAnsi="Times New Roman"/>
        </w:rPr>
        <w:t>The relationship between the two companies shows why understanding different cultures is essential when leading global teams (</w:t>
      </w:r>
      <w:proofErr w:type="spellStart"/>
      <w:r>
        <w:rPr>
          <w:rFonts w:ascii="Times New Roman" w:hAnsi="Times New Roman"/>
        </w:rPr>
        <w:t>Deresky</w:t>
      </w:r>
      <w:proofErr w:type="spellEnd"/>
      <w:r>
        <w:rPr>
          <w:rFonts w:ascii="Times New Roman" w:hAnsi="Times New Roman"/>
        </w:rPr>
        <w:t>, 2017). People from different countries grow up with their own values, norms, and expectations, which influence how they speak, behave, and make decisions in business. Communication becomes even harder because it depends on how messages are perceived and interpreted. As Hall (1976) explains, cultural differences often create “noise” that changes the meaning of a message and makes communication less effective. This is why leaders must be aware of cultural differences to avoid misunderstandings and work more smoothly across borders.</w:t>
      </w:r>
    </w:p>
    <w:p w14:paraId="1DBCB745" w14:textId="77777777" w:rsidR="003A2B65" w:rsidRDefault="00000000">
      <w:pPr>
        <w:spacing w:line="360" w:lineRule="auto"/>
        <w:rPr>
          <w:rFonts w:ascii="Times New Roman" w:hAnsi="Times New Roman"/>
        </w:rPr>
      </w:pPr>
      <w:r>
        <w:rPr>
          <w:rFonts w:ascii="Times New Roman" w:hAnsi="Times New Roman"/>
        </w:rPr>
        <w:t>Differences in communication style, hierarchy, and situational awareness between the UK and Japan can easily lead to misunderstandings if they are not managed effectively. To explore these challenges, this discussion applies two key cultural frameworks: Hofstede’s cultural dimensions, which explain variations in power distance, individualism, and uncertainty avoidance, and Hall’s high</w:t>
      </w:r>
      <w:r>
        <w:rPr>
          <w:rFonts w:ascii="Times New Roman" w:hAnsi="Times New Roman"/>
        </w:rPr>
        <w:noBreakHyphen/>
        <w:t xml:space="preserve"> and low</w:t>
      </w:r>
      <w:r>
        <w:rPr>
          <w:rFonts w:ascii="Times New Roman" w:hAnsi="Times New Roman"/>
        </w:rPr>
        <w:noBreakHyphen/>
        <w:t>context theory, which highlights how much meaning is communicated through context rather than words. Using these theories helps identify why communication problems may occur between Tesco and Aeon and suggests practical ways to improve collaboration across their global teams (Hofstede, 2011; Hall, 1976).</w:t>
      </w:r>
    </w:p>
    <w:p w14:paraId="6BCF9859" w14:textId="77777777" w:rsidR="003A2B65" w:rsidRDefault="00000000">
      <w:pPr>
        <w:spacing w:line="360" w:lineRule="auto"/>
      </w:pPr>
      <w:r>
        <w:rPr>
          <w:rFonts w:ascii="Times New Roman" w:hAnsi="Times New Roman"/>
          <w:sz w:val="28"/>
          <w:szCs w:val="28"/>
        </w:rPr>
        <w:br/>
      </w:r>
      <w:r>
        <w:rPr>
          <w:rFonts w:ascii="Times New Roman" w:hAnsi="Times New Roman"/>
          <w:b/>
          <w:bCs/>
          <w:sz w:val="28"/>
          <w:szCs w:val="28"/>
        </w:rPr>
        <w:t xml:space="preserve">2. The background of Tesco Plc and Aeon Ltd. </w:t>
      </w:r>
    </w:p>
    <w:p w14:paraId="161476B6" w14:textId="77777777" w:rsidR="003A2B65" w:rsidRDefault="00000000">
      <w:pPr>
        <w:spacing w:line="360" w:lineRule="auto"/>
      </w:pPr>
      <w:r>
        <w:rPr>
          <w:rFonts w:ascii="Times New Roman" w:hAnsi="Times New Roman"/>
        </w:rPr>
        <w:t xml:space="preserve">The partnership between Tesco plc and Aeon Co., Ltd. shows how Western and Eastern business environments are very different, especially when it comes to how people communicate, how organisations work, and how decisions are made. In the UK, where Tesco is based, there is a low power distance and a high level of individualism. Communication is clear, direct, and task-oriented, and workers are encouraged to say what they think in a constructive way (Hofstede, 2001). This approach promotes clarity and efficiency, which are very important in retail settings where things move quickly. </w:t>
      </w:r>
    </w:p>
    <w:p w14:paraId="2A1AD8A5" w14:textId="77777777" w:rsidR="003A2B65" w:rsidRDefault="00000000">
      <w:pPr>
        <w:spacing w:line="360" w:lineRule="auto"/>
      </w:pPr>
      <w:r>
        <w:rPr>
          <w:rFonts w:ascii="Times New Roman" w:hAnsi="Times New Roman"/>
        </w:rPr>
        <w:t xml:space="preserve">In contrast, Aeon Co., Ltd. works in the Japanese culture, which is marked by collectivism, a greater power distance, and a strong focus on harmony, less competition and long-term relationships. This means that communication is often indirect, implicit, and heavily dependent on understanding the context (Meyer, 2014). Japanese organisations often make decisions by consensus, and workers are expected to follow the hierarchy and not speak out against it. This is in line with larger societal values like social harmony and group cohesion (Nakane, 1970). When Tesco and Aeon work together on projects, they may have different ideas about how to communicate, which could lead to delays, misunderstandings, and even conflict if they are not handled well. </w:t>
      </w:r>
    </w:p>
    <w:p w14:paraId="62F5F214" w14:textId="77777777" w:rsidR="003A2B65" w:rsidRDefault="003A2B65">
      <w:pPr>
        <w:spacing w:line="360" w:lineRule="auto"/>
        <w:rPr>
          <w:rFonts w:ascii="Times New Roman" w:hAnsi="Times New Roman"/>
        </w:rPr>
      </w:pPr>
    </w:p>
    <w:p w14:paraId="1054D5B1" w14:textId="77777777" w:rsidR="003A2B65" w:rsidRDefault="00000000">
      <w:pPr>
        <w:spacing w:before="240" w:line="360" w:lineRule="auto"/>
      </w:pPr>
      <w:r>
        <w:rPr>
          <w:rFonts w:ascii="Times New Roman" w:hAnsi="Times New Roman"/>
        </w:rPr>
        <w:br/>
      </w:r>
      <w:r>
        <w:rPr>
          <w:rFonts w:ascii="Times New Roman" w:hAnsi="Times New Roman"/>
          <w:b/>
          <w:bCs/>
          <w:sz w:val="28"/>
          <w:szCs w:val="28"/>
        </w:rPr>
        <w:t>3. Theoretical frameworks</w:t>
      </w:r>
    </w:p>
    <w:p w14:paraId="21969469" w14:textId="77777777" w:rsidR="003A2B65" w:rsidRDefault="00000000">
      <w:pPr>
        <w:spacing w:before="240" w:line="360" w:lineRule="auto"/>
      </w:pPr>
      <w:r>
        <w:rPr>
          <w:rFonts w:ascii="Times New Roman" w:hAnsi="Times New Roman"/>
        </w:rPr>
        <w:t xml:space="preserve">Hofstede’s cultural dimensions are a useful way to understand communication differences between the UK and Japan, especially in areas such as individualism, power distance, and uncertainty avoidance (Hofstede, 2011). Furthermore, in the UK, individualism is high, which means that people communicate in a way that values personal expression, autonomy, and directness. In Japan, on the other hand, collectivism is high, which means that people communicate in a way that values group unity and indirect expression. Additionally, Japan's higher level of uncertainty avoidance shows a preference for structured communication, thorough preparation, and minimising risk, while the UK's approach is more pragmatic and open to change. </w:t>
      </w:r>
    </w:p>
    <w:p w14:paraId="28C840F6" w14:textId="4B1748D9" w:rsidR="003A2B65" w:rsidRDefault="00000000">
      <w:pPr>
        <w:spacing w:before="240" w:line="360" w:lineRule="auto"/>
        <w:rPr>
          <w:rFonts w:ascii="Times New Roman" w:hAnsi="Times New Roman"/>
        </w:rPr>
      </w:pPr>
      <w:r>
        <w:rPr>
          <w:rFonts w:ascii="Times New Roman" w:hAnsi="Times New Roman"/>
        </w:rPr>
        <w:t xml:space="preserve">Hall's (1976) high-context and low-context communication theory goes into more detail about these </w:t>
      </w:r>
      <w:r w:rsidR="00CB415C">
        <w:rPr>
          <w:rFonts w:ascii="Times New Roman" w:hAnsi="Times New Roman"/>
        </w:rPr>
        <w:t>differences,</w:t>
      </w:r>
      <w:r>
        <w:rPr>
          <w:rFonts w:ascii="Times New Roman" w:hAnsi="Times New Roman"/>
        </w:rPr>
        <w:t xml:space="preserve"> and he argue that the UK is a low-context culture, where messages are sent directly through words, and Japan is a high-context culture, where meaning is hidden in relationships, body language, and mutual understanding. This difference is very important for understanding why Japanese professionals may use tone, quiet, and other nonverbal cues, while UK professionals prefer to talk directly and directly. </w:t>
      </w:r>
    </w:p>
    <w:p w14:paraId="2570D56A" w14:textId="77777777" w:rsidR="003A2B65" w:rsidRDefault="00000000">
      <w:pPr>
        <w:spacing w:line="360" w:lineRule="auto"/>
        <w:rPr>
          <w:rFonts w:ascii="Times New Roman" w:hAnsi="Times New Roman"/>
        </w:rPr>
      </w:pPr>
      <w:r>
        <w:rPr>
          <w:rFonts w:ascii="Times New Roman" w:hAnsi="Times New Roman"/>
        </w:rPr>
        <w:t>The GLOBE study builds on these cultural theories by showing that communication and leadership styles differ widely across societies. It highlights that behaviours viewed as positive or effective in one culture may be interpreted negatively in another (House et al., 2004). Applying these ideas helps explain why employees at Tesco and Aeon may understand and respond to communication in different ways, based on their cultural expectations and norms.</w:t>
      </w:r>
    </w:p>
    <w:p w14:paraId="74B81840" w14:textId="77777777" w:rsidR="003A2B65" w:rsidRDefault="00000000">
      <w:pPr>
        <w:spacing w:line="480" w:lineRule="auto"/>
      </w:pPr>
      <w:r>
        <w:rPr>
          <w:rFonts w:ascii="Times New Roman" w:hAnsi="Times New Roman"/>
        </w:rPr>
        <w:br/>
      </w:r>
      <w:r>
        <w:rPr>
          <w:rFonts w:ascii="Times New Roman" w:hAnsi="Times New Roman"/>
          <w:b/>
          <w:bCs/>
          <w:sz w:val="28"/>
          <w:szCs w:val="28"/>
        </w:rPr>
        <w:t>4. Communication and differences between UK and Japan</w:t>
      </w:r>
      <w:r>
        <w:rPr>
          <w:rFonts w:ascii="Times New Roman" w:hAnsi="Times New Roman"/>
          <w:sz w:val="28"/>
          <w:szCs w:val="28"/>
        </w:rPr>
        <w:t xml:space="preserve"> </w:t>
      </w:r>
    </w:p>
    <w:p w14:paraId="558739CC" w14:textId="77777777" w:rsidR="003A2B65" w:rsidRDefault="00000000">
      <w:pPr>
        <w:spacing w:line="360" w:lineRule="auto"/>
      </w:pPr>
      <w:r>
        <w:rPr>
          <w:rFonts w:ascii="Times New Roman" w:hAnsi="Times New Roman"/>
        </w:rPr>
        <w:t>Differences in communication transparency are a major source of misunderstanding between Aeon and Tesco. Japanese professionals often rely on indirect language and subtle cues to maintain harmony and avoid open conflict, which is typical of high</w:t>
      </w:r>
      <w:r>
        <w:rPr>
          <w:rFonts w:ascii="Times New Roman" w:hAnsi="Times New Roman"/>
        </w:rPr>
        <w:noBreakHyphen/>
        <w:t xml:space="preserve">context cultures (Hall, 1976; </w:t>
      </w:r>
      <w:proofErr w:type="spellStart"/>
      <w:r>
        <w:rPr>
          <w:rFonts w:ascii="Times New Roman" w:hAnsi="Times New Roman"/>
        </w:rPr>
        <w:t>Gudykunst</w:t>
      </w:r>
      <w:proofErr w:type="spellEnd"/>
      <w:r>
        <w:rPr>
          <w:rFonts w:ascii="Times New Roman" w:hAnsi="Times New Roman"/>
        </w:rPr>
        <w:t xml:space="preserve"> &amp; Nishida, 1994). In contrast, British professionals tend to communicate more directly and explicitly, reflecting the low</w:t>
      </w:r>
      <w:r>
        <w:rPr>
          <w:rFonts w:ascii="Times New Roman" w:hAnsi="Times New Roman"/>
        </w:rPr>
        <w:noBreakHyphen/>
        <w:t>context norms of the UK (Lewis, 2006). These contrasting styles can easily lead to misinterpretation. For example, Aeon employees may express disagreement through silence or vague responses, while Tesco managers—accustomed to direct feedback—may interpret this as agreement. As Meyer (2014) notes, when indirect communication is read through a direct cultural lens, it often results in confusion and poor decision</w:t>
      </w:r>
      <w:r>
        <w:rPr>
          <w:rFonts w:ascii="Times New Roman" w:hAnsi="Times New Roman"/>
        </w:rPr>
        <w:noBreakHyphen/>
        <w:t>making.</w:t>
      </w:r>
    </w:p>
    <w:p w14:paraId="3FC12C56" w14:textId="77777777" w:rsidR="003A2B65" w:rsidRDefault="00000000">
      <w:pPr>
        <w:spacing w:line="360" w:lineRule="auto"/>
        <w:rPr>
          <w:rFonts w:ascii="Times New Roman" w:hAnsi="Times New Roman"/>
        </w:rPr>
      </w:pPr>
      <w:r>
        <w:rPr>
          <w:rFonts w:ascii="Times New Roman" w:hAnsi="Times New Roman"/>
        </w:rPr>
        <w:t xml:space="preserve">The nonverbal communication is far more important in Japanese corporate culture, where facial expressions, pauses, and tone of voice transmit meaning, whereas communication in the United Kingdom is mainly reliant on verbal content. Furthermore, this mismatch can lead to confusion, especially in virtual communication situations where nonverbal indicators are limited. In addition, Japanese professionals place a larger focus on listening and reflection, whereas UK professionals stress active debate and speedy response, which might lead to divergent expectations for meeting dynamics and decision speed (Hall, 1976). </w:t>
      </w:r>
    </w:p>
    <w:p w14:paraId="70CEC84A" w14:textId="77777777" w:rsidR="003A2B65" w:rsidRDefault="00000000">
      <w:pPr>
        <w:spacing w:line="360" w:lineRule="auto"/>
        <w:rPr>
          <w:rFonts w:ascii="Times New Roman" w:hAnsi="Times New Roman"/>
        </w:rPr>
      </w:pPr>
      <w:r>
        <w:rPr>
          <w:rFonts w:ascii="Times New Roman" w:hAnsi="Times New Roman"/>
        </w:rPr>
        <w:t>Another significant distinction is the role of hierarchy in decision</w:t>
      </w:r>
      <w:r>
        <w:rPr>
          <w:rFonts w:ascii="Times New Roman" w:hAnsi="Times New Roman"/>
        </w:rPr>
        <w:noBreakHyphen/>
        <w:t>making, as cultures vary in how authority, status, and leadership influence workplace behaviour and communication (Hampden</w:t>
      </w:r>
      <w:r>
        <w:rPr>
          <w:rFonts w:ascii="Times New Roman" w:hAnsi="Times New Roman"/>
        </w:rPr>
        <w:noBreakHyphen/>
        <w:t xml:space="preserve">Turner &amp; Trompenaars, 1997). Tesco operates in a relatively egalitarian structure in which employees are encouraged to contribute ideas, whereas Aeon takes a more hierarchical and consensus-based approach in which decisions are made collectively and require approval from multiple levels. While this method improves long-term alignment and decreases risk, it may hinder communication and upset UK managers who want speedier decision-making processes (Nakane, 1970). </w:t>
      </w:r>
    </w:p>
    <w:p w14:paraId="47E6B20C" w14:textId="77777777" w:rsidR="003A2B65" w:rsidRDefault="003A2B65">
      <w:pPr>
        <w:spacing w:line="360" w:lineRule="auto"/>
        <w:rPr>
          <w:rFonts w:ascii="Times New Roman" w:hAnsi="Times New Roman"/>
        </w:rPr>
      </w:pPr>
    </w:p>
    <w:p w14:paraId="7849573D" w14:textId="77777777" w:rsidR="003A2B65" w:rsidRDefault="00000000">
      <w:pPr>
        <w:spacing w:line="360" w:lineRule="auto"/>
      </w:pPr>
      <w:r>
        <w:rPr>
          <w:rFonts w:ascii="Times New Roman" w:hAnsi="Times New Roman"/>
          <w:b/>
          <w:bCs/>
          <w:sz w:val="28"/>
          <w:szCs w:val="28"/>
        </w:rPr>
        <w:t>5. Causes of Miscommunication</w:t>
      </w:r>
    </w:p>
    <w:p w14:paraId="30A4BA0B" w14:textId="77777777" w:rsidR="003A2B65" w:rsidRDefault="00000000">
      <w:pPr>
        <w:spacing w:line="360" w:lineRule="auto"/>
        <w:rPr>
          <w:rFonts w:ascii="Times New Roman" w:hAnsi="Times New Roman"/>
        </w:rPr>
      </w:pPr>
      <w:r>
        <w:rPr>
          <w:rFonts w:ascii="Times New Roman" w:hAnsi="Times New Roman"/>
        </w:rPr>
        <w:t>Miscommunication between Tesco and Aeon teams is typically caused by cultural noise, which occurs when people interpret messages based on their own cultural assumptions rather than the sender's intended meaning (</w:t>
      </w:r>
      <w:proofErr w:type="spellStart"/>
      <w:r>
        <w:rPr>
          <w:rFonts w:ascii="Times New Roman" w:hAnsi="Times New Roman"/>
        </w:rPr>
        <w:t>Deresky</w:t>
      </w:r>
      <w:proofErr w:type="spellEnd"/>
      <w:r>
        <w:rPr>
          <w:rFonts w:ascii="Times New Roman" w:hAnsi="Times New Roman"/>
        </w:rPr>
        <w:t>, 2017). For example, UK managers may see Japanese indirectness as a lack of confidence or transparency, whilst Japanese staff may consider UK directness as confrontational or disrespectful, resulting in decreased trust and collaboration.</w:t>
      </w:r>
    </w:p>
    <w:p w14:paraId="3A820DA4" w14:textId="77777777" w:rsidR="003A2B65" w:rsidRDefault="00000000">
      <w:pPr>
        <w:spacing w:before="240" w:line="360" w:lineRule="auto"/>
        <w:rPr>
          <w:rFonts w:ascii="Times New Roman" w:hAnsi="Times New Roman"/>
        </w:rPr>
      </w:pPr>
      <w:r>
        <w:rPr>
          <w:rFonts w:ascii="Times New Roman" w:hAnsi="Times New Roman"/>
        </w:rPr>
        <w:t xml:space="preserve">Language differences also add to communication hurdles, even when English is the primary business language, because cultural nuances, tone, and inferred meanings may not be fully grasped as Hall (1967) argue. Furthermore, differences in views regarding silence can lead to misconceptions, as silence is frequently employed in Japan as a sign of reflection and respect, whilst in the UK it may be seen as disengagement or a lack of input. Also, stereotyping and ethnocentrism may make communication less clear by making individuals judge others based on their own cultural standards instead of attempting to see things from other people's points of view. As Northouse (2007) states, different teams that do not understand much about other cultures can misunderstand each other's actions and work together in ways that cannot be helpful. </w:t>
      </w:r>
    </w:p>
    <w:p w14:paraId="2A5217A8" w14:textId="77777777" w:rsidR="003A2B65" w:rsidRDefault="003A2B65">
      <w:pPr>
        <w:spacing w:before="240" w:line="360" w:lineRule="auto"/>
        <w:rPr>
          <w:rFonts w:ascii="Times New Roman" w:hAnsi="Times New Roman"/>
        </w:rPr>
      </w:pPr>
    </w:p>
    <w:p w14:paraId="2A626206" w14:textId="77777777" w:rsidR="003A2B65" w:rsidRDefault="00000000">
      <w:pPr>
        <w:spacing w:line="360" w:lineRule="auto"/>
        <w:rPr>
          <w:rFonts w:ascii="Times New Roman" w:hAnsi="Times New Roman"/>
          <w:b/>
          <w:bCs/>
          <w:sz w:val="28"/>
          <w:szCs w:val="28"/>
        </w:rPr>
      </w:pPr>
      <w:r>
        <w:rPr>
          <w:rFonts w:ascii="Times New Roman" w:hAnsi="Times New Roman"/>
          <w:b/>
          <w:bCs/>
          <w:sz w:val="28"/>
          <w:szCs w:val="28"/>
        </w:rPr>
        <w:t>6.Communication Barriers in Tesco–Aeon Collaboration</w:t>
      </w:r>
    </w:p>
    <w:p w14:paraId="1B57396D" w14:textId="77777777" w:rsidR="003A2B65" w:rsidRDefault="00000000">
      <w:pPr>
        <w:spacing w:line="360" w:lineRule="auto"/>
        <w:rPr>
          <w:rFonts w:ascii="Times New Roman" w:hAnsi="Times New Roman"/>
        </w:rPr>
      </w:pPr>
      <w:r>
        <w:rPr>
          <w:rFonts w:ascii="Times New Roman" w:hAnsi="Times New Roman"/>
        </w:rPr>
        <w:t>Language, perception, organisational structure, and cultural norms all create barriers that can make communication between Tesco plc and Aeon Co., Ltd. challenging. If these barriers are not managed, they can distort meaning and weaken trust, efficiency, and collaboration across teams (</w:t>
      </w:r>
      <w:proofErr w:type="spellStart"/>
      <w:r>
        <w:rPr>
          <w:rFonts w:ascii="Times New Roman" w:hAnsi="Times New Roman"/>
        </w:rPr>
        <w:t>Deresky</w:t>
      </w:r>
      <w:proofErr w:type="spellEnd"/>
      <w:r>
        <w:rPr>
          <w:rFonts w:ascii="Times New Roman" w:hAnsi="Times New Roman"/>
        </w:rPr>
        <w:t>, 2017).</w:t>
      </w:r>
    </w:p>
    <w:p w14:paraId="7C42DBBE" w14:textId="77777777" w:rsidR="003A2B65" w:rsidRDefault="00000000">
      <w:pPr>
        <w:spacing w:before="240" w:line="360" w:lineRule="auto"/>
        <w:rPr>
          <w:rFonts w:ascii="Times New Roman" w:hAnsi="Times New Roman"/>
        </w:rPr>
      </w:pPr>
      <w:r>
        <w:rPr>
          <w:rFonts w:ascii="Times New Roman" w:hAnsi="Times New Roman"/>
        </w:rPr>
        <w:t>One major issue is language and semantic differences. Even when English is used as the shared business language, cultural background, tone, and context can influence how messages are understood. For example, Japanese employees at Aeon may use subtle or polite expressions that signal respect rather than agreement. However, Tesco managers may interpret these responses as a clear “yes,” which can lead to incorrect assumptions and poor decisions. Hall (1976) explains that high</w:t>
      </w:r>
      <w:r>
        <w:rPr>
          <w:rFonts w:ascii="Times New Roman" w:hAnsi="Times New Roman"/>
        </w:rPr>
        <w:noBreakHyphen/>
        <w:t>context cultures, such as Japan, rely heavily on indirect communication and shared understanding, increasing the risk of misinterpretation when interacting with low</w:t>
      </w:r>
      <w:r>
        <w:rPr>
          <w:rFonts w:ascii="Times New Roman" w:hAnsi="Times New Roman"/>
        </w:rPr>
        <w:noBreakHyphen/>
        <w:t>context cultures like the UK.</w:t>
      </w:r>
    </w:p>
    <w:p w14:paraId="2BF4FD5D" w14:textId="77777777" w:rsidR="003A2B65" w:rsidRDefault="00000000">
      <w:pPr>
        <w:spacing w:before="240" w:line="360" w:lineRule="auto"/>
        <w:rPr>
          <w:rFonts w:ascii="Times New Roman" w:hAnsi="Times New Roman"/>
        </w:rPr>
      </w:pPr>
      <w:r>
        <w:rPr>
          <w:rFonts w:ascii="Times New Roman" w:hAnsi="Times New Roman"/>
        </w:rPr>
        <w:t>Cultural perception and ethnocentrism create significant challenges in cross</w:t>
      </w:r>
      <w:r>
        <w:rPr>
          <w:rFonts w:ascii="Times New Roman" w:hAnsi="Times New Roman"/>
        </w:rPr>
        <w:noBreakHyphen/>
        <w:t>cultural communication, as individuals tend to interpret messages through the lens of their own cultural norms and beliefs rather than those of others (Northouse, 2007). For example, Tesco managers may view Japanese communication as unclear or overly indirect, while Aeon employees may perceive British communication as too direct or impolite. These contrasting interpretations can lead to conflict, reduced cooperation, and a breakdown in mutual respect. Ethnocentrism—where individuals assume that their own cultural approach is superior—can intensify these misunderstandings and further hinder effective collaboration.</w:t>
      </w:r>
    </w:p>
    <w:p w14:paraId="70A89DA4" w14:textId="77777777" w:rsidR="003A2B65" w:rsidRDefault="00000000">
      <w:pPr>
        <w:spacing w:before="240" w:line="360" w:lineRule="auto"/>
        <w:rPr>
          <w:rFonts w:ascii="Times New Roman" w:hAnsi="Times New Roman"/>
        </w:rPr>
      </w:pPr>
      <w:r>
        <w:rPr>
          <w:rFonts w:ascii="Times New Roman" w:hAnsi="Times New Roman"/>
        </w:rPr>
        <w:t>A further issue in Japanese culture is the significance of non</w:t>
      </w:r>
      <w:r>
        <w:rPr>
          <w:rFonts w:ascii="Times New Roman" w:hAnsi="Times New Roman"/>
        </w:rPr>
        <w:noBreakHyphen/>
        <w:t>verbal communication, as gestures, silence, facial expressions, and contextual cues often carry more meaning than spoken words (Burgoon, Guerrero &amp; Floyd, 2016). Additionally, silence, facial expressions, and body language are all important. Japanese professionals use silence to think and show respect, but UK professionals could interpret it as not being involved or not understanding. This misunderstanding can make meetings and agreements less clear, especially when people are talking to each other online and can't see each other's body language as Meyer (2014) argue.</w:t>
      </w:r>
    </w:p>
    <w:p w14:paraId="0FB49A03" w14:textId="77777777" w:rsidR="003A2B65" w:rsidRDefault="00000000">
      <w:pPr>
        <w:spacing w:before="240" w:line="360" w:lineRule="auto"/>
        <w:rPr>
          <w:rFonts w:ascii="Times New Roman" w:hAnsi="Times New Roman"/>
        </w:rPr>
      </w:pPr>
      <w:r>
        <w:rPr>
          <w:rFonts w:ascii="Times New Roman" w:hAnsi="Times New Roman"/>
        </w:rPr>
        <w:t xml:space="preserve">Aeon's structure is based on hierarchy and consensus, whereas Tesco's is flat and decentralised. This makes communication harder since there are organisational and hierarchical boundaries. Even though Aeon has a lot of red tape and slow information sharing, Tesco's management wants quick answers and solutions. This difference could make things that need to be done quickly frustrating, slow, and make it seem like they aren't working (Hofstede, 2001). </w:t>
      </w:r>
    </w:p>
    <w:p w14:paraId="1E851B44" w14:textId="77777777" w:rsidR="003A2B65" w:rsidRDefault="00000000">
      <w:pPr>
        <w:spacing w:before="240" w:line="360" w:lineRule="auto"/>
        <w:rPr>
          <w:rFonts w:ascii="Times New Roman" w:hAnsi="Times New Roman"/>
        </w:rPr>
      </w:pPr>
      <w:r>
        <w:rPr>
          <w:rFonts w:ascii="Times New Roman" w:hAnsi="Times New Roman"/>
        </w:rPr>
        <w:t>UK organisations generally place strong emphasis on deadlines, schedules, and rapid task completion, whereas Japanese organisations prioritise long</w:t>
      </w:r>
      <w:r>
        <w:rPr>
          <w:rFonts w:ascii="Times New Roman" w:hAnsi="Times New Roman"/>
        </w:rPr>
        <w:noBreakHyphen/>
        <w:t>term outcomes and careful, collective decision</w:t>
      </w:r>
      <w:r>
        <w:rPr>
          <w:rFonts w:ascii="Times New Roman" w:hAnsi="Times New Roman"/>
        </w:rPr>
        <w:noBreakHyphen/>
        <w:t>making. This contrast creates another significant communication challenge. Tesco managers may perceive Aeon’s decision</w:t>
      </w:r>
      <w:r>
        <w:rPr>
          <w:rFonts w:ascii="Times New Roman" w:hAnsi="Times New Roman"/>
        </w:rPr>
        <w:noBreakHyphen/>
        <w:t>making process as slow or overly cautious, while Aeon employees may view Tesco’s approach as rushed and insufficiently considered. As Hall (1976) notes, cultures differ in their orientation toward time and pace, which can lead to frustration and misunderstandings when teams with contrasting expectations work together.</w:t>
      </w:r>
    </w:p>
    <w:p w14:paraId="7373BFB0" w14:textId="77777777" w:rsidR="003A2B65" w:rsidRDefault="00000000">
      <w:pPr>
        <w:spacing w:line="360" w:lineRule="auto"/>
        <w:rPr>
          <w:rFonts w:ascii="Times New Roman" w:hAnsi="Times New Roman"/>
        </w:rPr>
      </w:pPr>
      <w:r>
        <w:rPr>
          <w:rFonts w:ascii="Times New Roman" w:hAnsi="Times New Roman"/>
        </w:rPr>
        <w:t>Lastly, technology and communication channels can also create barriers, particularly for international teams that depend heavily on email and video conferencing. While these tools enable rapid information exchange, they often limit opportunities to interpret tone, emotion, and non</w:t>
      </w:r>
      <w:r>
        <w:rPr>
          <w:rFonts w:ascii="Times New Roman" w:hAnsi="Times New Roman"/>
        </w:rPr>
        <w:noBreakHyphen/>
        <w:t>verbal cues—elements that are especially important in high</w:t>
      </w:r>
      <w:r>
        <w:rPr>
          <w:rFonts w:ascii="Times New Roman" w:hAnsi="Times New Roman"/>
        </w:rPr>
        <w:noBreakHyphen/>
        <w:t>context cultures such as Japan. As a result, excessive reliance on digital communication may reduce mutual understanding and hinder effective collaboration between Tesco and Aeon teams, as key contextual signals can be lost or misunderstood (Daft and Lengel, 1986).</w:t>
      </w:r>
    </w:p>
    <w:p w14:paraId="3A8DC7C9" w14:textId="77777777" w:rsidR="003A2B65" w:rsidRDefault="00000000">
      <w:pPr>
        <w:spacing w:line="360" w:lineRule="auto"/>
      </w:pPr>
      <w:r>
        <w:rPr>
          <w:rFonts w:ascii="Times New Roman" w:hAnsi="Times New Roman"/>
          <w:b/>
          <w:bCs/>
        </w:rPr>
        <w:br/>
      </w:r>
      <w:r>
        <w:rPr>
          <w:rFonts w:ascii="Times New Roman" w:hAnsi="Times New Roman"/>
          <w:b/>
          <w:bCs/>
          <w:sz w:val="28"/>
          <w:szCs w:val="28"/>
        </w:rPr>
        <w:t>7.Critical Evaluation</w:t>
      </w:r>
    </w:p>
    <w:p w14:paraId="6C3645CE" w14:textId="77777777" w:rsidR="003A2B65" w:rsidRDefault="00000000">
      <w:pPr>
        <w:spacing w:line="360" w:lineRule="auto"/>
        <w:rPr>
          <w:rFonts w:ascii="Times New Roman" w:hAnsi="Times New Roman"/>
        </w:rPr>
      </w:pPr>
      <w:r>
        <w:rPr>
          <w:rFonts w:ascii="Times New Roman" w:hAnsi="Times New Roman"/>
        </w:rPr>
        <w:t>Although cultural frameworks such as those proposed by Hofstede and Hall offer valuable insights into communication differences, they have been criticised for oversimplifying culture and assuming uniformity within national groups. In practice, individual behaviour is shaped not only by national culture but also by organisational culture, personal experience, and global exposure. As a result, employees at Tesco and Aeon will not necessarily conform to cultural stereotypes or behave in predictable ways (McSweeney, 2002).</w:t>
      </w:r>
    </w:p>
    <w:p w14:paraId="7920DD3A" w14:textId="77777777" w:rsidR="003A2B65" w:rsidRDefault="00000000">
      <w:pPr>
        <w:spacing w:line="360" w:lineRule="auto"/>
        <w:rPr>
          <w:rFonts w:ascii="Times New Roman" w:hAnsi="Times New Roman"/>
        </w:rPr>
      </w:pPr>
      <w:r>
        <w:rPr>
          <w:rFonts w:ascii="Times New Roman" w:hAnsi="Times New Roman"/>
        </w:rPr>
        <w:t>In addition, the increasing reliance on digital communication technologies has transformed how organisations interact. These tools often reduce the visibility of non</w:t>
      </w:r>
      <w:r>
        <w:rPr>
          <w:rFonts w:ascii="Times New Roman" w:hAnsi="Times New Roman"/>
        </w:rPr>
        <w:noBreakHyphen/>
        <w:t>verbal cues and contextual signals, requiring new communication strategies that operate across traditional cultural boundaries. For instance, virtual meetings may limit the effectiveness of high</w:t>
      </w:r>
      <w:r>
        <w:rPr>
          <w:rFonts w:ascii="Times New Roman" w:hAnsi="Times New Roman"/>
        </w:rPr>
        <w:noBreakHyphen/>
        <w:t>context communication, prompting Japanese professionals to adopt more explicit communication styles, while UK professionals may need to develop greater sensitivity to indirect cues.</w:t>
      </w:r>
    </w:p>
    <w:p w14:paraId="7CD401C3" w14:textId="77777777" w:rsidR="003A2B65" w:rsidRDefault="00000000">
      <w:pPr>
        <w:spacing w:line="360" w:lineRule="auto"/>
        <w:rPr>
          <w:rFonts w:ascii="Times New Roman" w:hAnsi="Times New Roman"/>
        </w:rPr>
      </w:pPr>
      <w:r>
        <w:rPr>
          <w:rFonts w:ascii="Times New Roman" w:hAnsi="Times New Roman"/>
        </w:rPr>
        <w:t>Given these complexities, managers should avoid relying solely on generalised cultural models. Instead, they should adopt a flexible and adaptive approach that considers both cultural and situational factors when facilitating communication and collaboration.</w:t>
      </w:r>
    </w:p>
    <w:p w14:paraId="6C54943E" w14:textId="77777777" w:rsidR="003A2B65" w:rsidRDefault="00000000">
      <w:pPr>
        <w:spacing w:line="360" w:lineRule="auto"/>
      </w:pPr>
      <w:r>
        <w:rPr>
          <w:rFonts w:ascii="Times New Roman" w:hAnsi="Times New Roman"/>
        </w:rPr>
        <w:t xml:space="preserve"> </w:t>
      </w:r>
      <w:r>
        <w:rPr>
          <w:rFonts w:ascii="Times New Roman" w:hAnsi="Times New Roman"/>
        </w:rPr>
        <w:br/>
      </w:r>
      <w:r>
        <w:rPr>
          <w:rFonts w:ascii="Times New Roman" w:hAnsi="Times New Roman"/>
          <w:b/>
          <w:bCs/>
          <w:sz w:val="28"/>
          <w:szCs w:val="28"/>
        </w:rPr>
        <w:t>8. Recommendations</w:t>
      </w:r>
    </w:p>
    <w:p w14:paraId="03C7F8DA" w14:textId="77777777" w:rsidR="003A2B65" w:rsidRDefault="00000000">
      <w:pPr>
        <w:spacing w:line="360" w:lineRule="auto"/>
        <w:rPr>
          <w:rFonts w:ascii="Times New Roman" w:hAnsi="Times New Roman"/>
        </w:rPr>
      </w:pPr>
      <w:r>
        <w:rPr>
          <w:rFonts w:ascii="Times New Roman" w:hAnsi="Times New Roman"/>
        </w:rPr>
        <w:t>To strengthen communication between Tesco and Aeon, both organisations should prioritise the development of cultural intelligence, enabling employees to understand, adapt to, and work effectively across different cultural environments (Earley and Ang, 2003). Managers should benefit from adopting a hybrid communication style that combines clarity with cultural sensitivity, ensuring messages remain explicit while still respecting norms of politeness, hierarchy, and indirect expression common in Japanese business settings. Implementing structured cross</w:t>
      </w:r>
      <w:r>
        <w:rPr>
          <w:rFonts w:ascii="Times New Roman" w:hAnsi="Times New Roman"/>
        </w:rPr>
        <w:noBreakHyphen/>
        <w:t>cultural training programmes can further raise awareness of communication differences and reduce the likelihood of misinterpretation.</w:t>
      </w:r>
    </w:p>
    <w:p w14:paraId="29A26D15" w14:textId="77777777" w:rsidR="003A2B65" w:rsidRDefault="00000000">
      <w:pPr>
        <w:spacing w:line="360" w:lineRule="auto"/>
        <w:rPr>
          <w:rFonts w:ascii="Times New Roman" w:hAnsi="Times New Roman"/>
        </w:rPr>
      </w:pPr>
      <w:r>
        <w:rPr>
          <w:rFonts w:ascii="Times New Roman" w:hAnsi="Times New Roman"/>
        </w:rPr>
        <w:t>In addition, establishing clear communication protocols—such as agreed meeting formats, decision</w:t>
      </w:r>
      <w:r>
        <w:rPr>
          <w:rFonts w:ascii="Times New Roman" w:hAnsi="Times New Roman"/>
        </w:rPr>
        <w:noBreakHyphen/>
        <w:t>making procedures, and feedback expectations—can help create shared understanding across teams. Using multiple communication channels, including written summaries, visual aids, and follow</w:t>
      </w:r>
      <w:r>
        <w:rPr>
          <w:rFonts w:ascii="Times New Roman" w:hAnsi="Times New Roman"/>
        </w:rPr>
        <w:noBreakHyphen/>
        <w:t>up discussions, can also enhance clarity and reduce ambiguity. Because trust and long</w:t>
      </w:r>
      <w:r>
        <w:rPr>
          <w:rFonts w:ascii="Times New Roman" w:hAnsi="Times New Roman"/>
        </w:rPr>
        <w:noBreakHyphen/>
        <w:t>term relationship</w:t>
      </w:r>
      <w:r>
        <w:rPr>
          <w:rFonts w:ascii="Times New Roman" w:hAnsi="Times New Roman"/>
        </w:rPr>
        <w:noBreakHyphen/>
        <w:t>building are central to Japanese organisational culture, Tesco managers should invest time in regular engagement and informal interactions to strengthen collaboration with Aeon colleagues.</w:t>
      </w:r>
    </w:p>
    <w:p w14:paraId="573F86B5" w14:textId="77777777" w:rsidR="003A2B65" w:rsidRDefault="00000000">
      <w:pPr>
        <w:spacing w:line="360" w:lineRule="auto"/>
        <w:rPr>
          <w:rFonts w:ascii="Times New Roman" w:hAnsi="Times New Roman"/>
        </w:rPr>
      </w:pPr>
      <w:r>
        <w:rPr>
          <w:rFonts w:ascii="Times New Roman" w:hAnsi="Times New Roman"/>
        </w:rPr>
        <w:t>To support more effective collaboration, organisations may also introduce cultural liaison roles or bilingual coordinators who can bridge communication gaps and facilitate smoother exchanges. Finally, leaders must adopt a global mindset that values openness, adaptability, and strong interpersonal skills, enabling them to navigate cultural complexity and manage diverse teams more effectively (House et al., 2004).</w:t>
      </w:r>
    </w:p>
    <w:p w14:paraId="3B1FC3EB" w14:textId="77777777" w:rsidR="003A2B65" w:rsidRDefault="003A2B65">
      <w:pPr>
        <w:spacing w:line="360" w:lineRule="auto"/>
        <w:rPr>
          <w:rFonts w:ascii="Times New Roman" w:hAnsi="Times New Roman"/>
        </w:rPr>
      </w:pPr>
    </w:p>
    <w:p w14:paraId="4CABD301" w14:textId="77777777" w:rsidR="003A2B65" w:rsidRDefault="00000000">
      <w:pPr>
        <w:spacing w:line="360" w:lineRule="auto"/>
      </w:pPr>
      <w:r>
        <w:rPr>
          <w:rFonts w:ascii="Times New Roman" w:hAnsi="Times New Roman"/>
        </w:rPr>
        <w:br/>
      </w:r>
      <w:r>
        <w:rPr>
          <w:rFonts w:ascii="Times New Roman" w:hAnsi="Times New Roman"/>
          <w:b/>
          <w:bCs/>
          <w:sz w:val="28"/>
          <w:szCs w:val="28"/>
        </w:rPr>
        <w:t>9. Conclusion</w:t>
      </w:r>
    </w:p>
    <w:p w14:paraId="76CAB5E3" w14:textId="77777777" w:rsidR="003A2B65" w:rsidRDefault="00000000">
      <w:pPr>
        <w:spacing w:line="360" w:lineRule="auto"/>
        <w:rPr>
          <w:rFonts w:ascii="Times New Roman" w:hAnsi="Times New Roman"/>
        </w:rPr>
      </w:pPr>
      <w:r>
        <w:rPr>
          <w:rFonts w:ascii="Times New Roman" w:hAnsi="Times New Roman"/>
        </w:rPr>
        <w:t>The communication challenges between Tesco and Aeon highlight the complexity of cross</w:t>
      </w:r>
      <w:r>
        <w:rPr>
          <w:rFonts w:ascii="Times New Roman" w:hAnsi="Times New Roman"/>
        </w:rPr>
        <w:noBreakHyphen/>
        <w:t>cultural collaboration and the importance of understanding how cultural values shape organisational behaviour. Differences in communication style, hierarchy, decision</w:t>
      </w:r>
      <w:r>
        <w:rPr>
          <w:rFonts w:ascii="Times New Roman" w:hAnsi="Times New Roman"/>
        </w:rPr>
        <w:noBreakHyphen/>
        <w:t>making, and time orientation create significant barriers that can lead to misunderstanding, reduced efficiency, and weakened trust if not carefully managed. The analysis shows that UK communication tends to be direct, task</w:t>
      </w:r>
      <w:r>
        <w:rPr>
          <w:rFonts w:ascii="Times New Roman" w:hAnsi="Times New Roman"/>
        </w:rPr>
        <w:noBreakHyphen/>
        <w:t>focused, and individualistic, while Japanese communication relies more on context, non</w:t>
      </w:r>
      <w:r>
        <w:rPr>
          <w:rFonts w:ascii="Times New Roman" w:hAnsi="Times New Roman"/>
        </w:rPr>
        <w:noBreakHyphen/>
        <w:t>verbal cues, and collective harmony. These contrasting expectations influence how messages are interpreted, how decisions are made, and how relationships are formed across the two organisations.</w:t>
      </w:r>
    </w:p>
    <w:p w14:paraId="59B0AE37" w14:textId="77777777" w:rsidR="003A2B65" w:rsidRDefault="00000000">
      <w:pPr>
        <w:spacing w:line="360" w:lineRule="auto"/>
        <w:rPr>
          <w:rFonts w:ascii="Times New Roman" w:hAnsi="Times New Roman"/>
        </w:rPr>
      </w:pPr>
      <w:r>
        <w:rPr>
          <w:rFonts w:ascii="Times New Roman" w:hAnsi="Times New Roman"/>
        </w:rPr>
        <w:t>To collaborate effectively, Tesco and Aeon must adopt flexible, culturally informed communication strategies that promote clarity, sensitivity, and mutual respect. Developing cultural intelligence, strengthening trust, and implementing structured communication practices will enable both organisations to navigate cultural differences more effectively and build stronger, more productive international partnerships.</w:t>
      </w:r>
    </w:p>
    <w:p w14:paraId="6A184B6B" w14:textId="77777777" w:rsidR="003A2B65" w:rsidRDefault="00000000">
      <w:pPr>
        <w:spacing w:line="360" w:lineRule="auto"/>
        <w:rPr>
          <w:rFonts w:ascii="Times New Roman" w:hAnsi="Times New Roman"/>
        </w:rPr>
      </w:pPr>
      <w:r>
        <w:rPr>
          <w:rFonts w:ascii="Times New Roman" w:hAnsi="Times New Roman"/>
        </w:rPr>
        <w:br/>
      </w:r>
    </w:p>
    <w:p w14:paraId="41124719" w14:textId="77777777" w:rsidR="003A2B65" w:rsidRDefault="003A2B65">
      <w:pPr>
        <w:spacing w:line="360" w:lineRule="auto"/>
        <w:rPr>
          <w:rFonts w:ascii="Times New Roman" w:hAnsi="Times New Roman"/>
        </w:rPr>
      </w:pPr>
    </w:p>
    <w:p w14:paraId="753E7441" w14:textId="77777777" w:rsidR="003A2B65" w:rsidRDefault="003A2B65">
      <w:pPr>
        <w:spacing w:line="360" w:lineRule="auto"/>
        <w:rPr>
          <w:rFonts w:ascii="Times New Roman" w:hAnsi="Times New Roman"/>
        </w:rPr>
      </w:pPr>
    </w:p>
    <w:p w14:paraId="77FECA36" w14:textId="77777777" w:rsidR="003A2B65" w:rsidRDefault="003A2B65">
      <w:pPr>
        <w:spacing w:line="360" w:lineRule="auto"/>
        <w:rPr>
          <w:rFonts w:ascii="Times New Roman" w:hAnsi="Times New Roman"/>
        </w:rPr>
      </w:pPr>
    </w:p>
    <w:p w14:paraId="04A06957" w14:textId="77777777" w:rsidR="003A2B65" w:rsidRDefault="003A2B65">
      <w:pPr>
        <w:spacing w:line="360" w:lineRule="auto"/>
        <w:rPr>
          <w:rFonts w:ascii="Times New Roman" w:hAnsi="Times New Roman"/>
        </w:rPr>
      </w:pPr>
    </w:p>
    <w:p w14:paraId="18F5DB7D" w14:textId="77777777" w:rsidR="003A2B65" w:rsidRDefault="003A2B65">
      <w:pPr>
        <w:spacing w:line="360" w:lineRule="auto"/>
        <w:rPr>
          <w:rFonts w:ascii="Times New Roman" w:hAnsi="Times New Roman"/>
        </w:rPr>
      </w:pPr>
    </w:p>
    <w:p w14:paraId="2AF21CAF" w14:textId="77777777" w:rsidR="003A2B65" w:rsidRDefault="003A2B65">
      <w:pPr>
        <w:spacing w:line="360" w:lineRule="auto"/>
        <w:rPr>
          <w:rFonts w:ascii="Times New Roman" w:hAnsi="Times New Roman"/>
        </w:rPr>
      </w:pPr>
    </w:p>
    <w:p w14:paraId="254329FC" w14:textId="77777777" w:rsidR="003A2B65" w:rsidRDefault="003A2B65">
      <w:pPr>
        <w:spacing w:line="360" w:lineRule="auto"/>
        <w:rPr>
          <w:rFonts w:ascii="Times New Roman" w:hAnsi="Times New Roman"/>
        </w:rPr>
      </w:pPr>
    </w:p>
    <w:p w14:paraId="1CAE7C2B" w14:textId="77777777" w:rsidR="003A2B65" w:rsidRDefault="003A2B65">
      <w:pPr>
        <w:spacing w:line="360" w:lineRule="auto"/>
        <w:rPr>
          <w:rFonts w:ascii="Times New Roman" w:hAnsi="Times New Roman"/>
        </w:rPr>
      </w:pPr>
    </w:p>
    <w:p w14:paraId="6CDE4C5E" w14:textId="77777777" w:rsidR="003A2B65" w:rsidRDefault="003A2B65">
      <w:pPr>
        <w:spacing w:line="360" w:lineRule="auto"/>
        <w:rPr>
          <w:rFonts w:ascii="Times New Roman" w:hAnsi="Times New Roman"/>
        </w:rPr>
      </w:pPr>
    </w:p>
    <w:p w14:paraId="2724AEAE" w14:textId="77777777" w:rsidR="003A2B65" w:rsidRDefault="003A2B65">
      <w:pPr>
        <w:spacing w:line="360" w:lineRule="auto"/>
        <w:rPr>
          <w:rFonts w:ascii="Times New Roman" w:hAnsi="Times New Roman"/>
        </w:rPr>
      </w:pPr>
    </w:p>
    <w:p w14:paraId="454E1EDB" w14:textId="77777777" w:rsidR="003A2B65" w:rsidRDefault="003A2B65">
      <w:pPr>
        <w:spacing w:line="360" w:lineRule="auto"/>
        <w:rPr>
          <w:rFonts w:ascii="Times New Roman" w:hAnsi="Times New Roman"/>
        </w:rPr>
      </w:pPr>
    </w:p>
    <w:p w14:paraId="610282A3" w14:textId="77777777" w:rsidR="003A2B65" w:rsidRDefault="003A2B65">
      <w:pPr>
        <w:spacing w:line="360" w:lineRule="auto"/>
        <w:rPr>
          <w:rFonts w:ascii="Times New Roman" w:hAnsi="Times New Roman"/>
        </w:rPr>
      </w:pPr>
    </w:p>
    <w:p w14:paraId="385A8134" w14:textId="77777777" w:rsidR="003A2B65" w:rsidRDefault="003A2B65">
      <w:pPr>
        <w:spacing w:line="360" w:lineRule="auto"/>
        <w:rPr>
          <w:rFonts w:ascii="Times New Roman" w:hAnsi="Times New Roman"/>
        </w:rPr>
      </w:pPr>
    </w:p>
    <w:p w14:paraId="031B8781" w14:textId="77777777" w:rsidR="003A2B65" w:rsidRDefault="003A2B65">
      <w:pPr>
        <w:spacing w:line="360" w:lineRule="auto"/>
        <w:rPr>
          <w:rFonts w:ascii="Times New Roman" w:hAnsi="Times New Roman"/>
        </w:rPr>
      </w:pPr>
    </w:p>
    <w:p w14:paraId="522A0AA6" w14:textId="77777777" w:rsidR="003A2B65" w:rsidRDefault="003A2B65">
      <w:pPr>
        <w:spacing w:line="360" w:lineRule="auto"/>
        <w:rPr>
          <w:rFonts w:ascii="Times New Roman" w:hAnsi="Times New Roman"/>
        </w:rPr>
      </w:pPr>
    </w:p>
    <w:p w14:paraId="31E75148" w14:textId="77777777" w:rsidR="003A2B65" w:rsidRDefault="003A2B65">
      <w:pPr>
        <w:spacing w:line="360" w:lineRule="auto"/>
        <w:rPr>
          <w:rFonts w:ascii="Times New Roman" w:hAnsi="Times New Roman"/>
        </w:rPr>
      </w:pPr>
    </w:p>
    <w:p w14:paraId="122612DF" w14:textId="77777777" w:rsidR="003A2B65" w:rsidRDefault="003A2B65">
      <w:pPr>
        <w:spacing w:line="360" w:lineRule="auto"/>
        <w:rPr>
          <w:rFonts w:ascii="Times New Roman" w:hAnsi="Times New Roman"/>
        </w:rPr>
      </w:pPr>
    </w:p>
    <w:p w14:paraId="59AEB513" w14:textId="77777777" w:rsidR="003A2B65" w:rsidRDefault="003A2B65">
      <w:pPr>
        <w:spacing w:line="360" w:lineRule="auto"/>
        <w:rPr>
          <w:rFonts w:ascii="Times New Roman" w:hAnsi="Times New Roman"/>
        </w:rPr>
      </w:pPr>
    </w:p>
    <w:p w14:paraId="1E657F5C" w14:textId="77777777" w:rsidR="003A2B65" w:rsidRDefault="003A2B65">
      <w:pPr>
        <w:spacing w:line="360" w:lineRule="auto"/>
        <w:rPr>
          <w:rFonts w:ascii="Times New Roman" w:hAnsi="Times New Roman"/>
        </w:rPr>
      </w:pPr>
    </w:p>
    <w:p w14:paraId="36D39DA7" w14:textId="77777777" w:rsidR="003A2B65" w:rsidRDefault="00000000">
      <w:pPr>
        <w:rPr>
          <w:rFonts w:ascii="Times New Roman" w:hAnsi="Times New Roman"/>
          <w:b/>
          <w:bCs/>
          <w:sz w:val="28"/>
          <w:szCs w:val="28"/>
        </w:rPr>
      </w:pPr>
      <w:r>
        <w:rPr>
          <w:rFonts w:ascii="Times New Roman" w:hAnsi="Times New Roman"/>
          <w:b/>
          <w:bCs/>
          <w:sz w:val="28"/>
          <w:szCs w:val="28"/>
        </w:rPr>
        <w:t xml:space="preserve">References </w:t>
      </w:r>
    </w:p>
    <w:p w14:paraId="6F53D01B" w14:textId="77777777" w:rsidR="003A2B65" w:rsidRDefault="003A2B65">
      <w:pPr>
        <w:rPr>
          <w:rFonts w:ascii="Times New Roman" w:hAnsi="Times New Roman"/>
          <w:sz w:val="28"/>
          <w:szCs w:val="28"/>
        </w:rPr>
      </w:pPr>
    </w:p>
    <w:p w14:paraId="7D637DBD" w14:textId="77777777" w:rsidR="003A2B65" w:rsidRDefault="00000000">
      <w:pPr>
        <w:spacing w:line="360" w:lineRule="auto"/>
      </w:pPr>
      <w:r>
        <w:rPr>
          <w:rFonts w:ascii="Times New Roman" w:eastAsia="Times New Roman" w:hAnsi="Times New Roman"/>
          <w:color w:val="000000"/>
          <w:kern w:val="0"/>
          <w:lang w:eastAsia="en-GB"/>
        </w:rPr>
        <w:t xml:space="preserve">Burgoon, J.K., Guerrero, L.K. and Floyd, K. (2016) </w:t>
      </w:r>
      <w:r>
        <w:rPr>
          <w:rFonts w:ascii="Times New Roman" w:eastAsia="Times New Roman" w:hAnsi="Times New Roman"/>
          <w:i/>
          <w:iCs/>
          <w:color w:val="000000"/>
          <w:kern w:val="0"/>
          <w:lang w:eastAsia="en-GB"/>
        </w:rPr>
        <w:t>Nonverbal Communication</w:t>
      </w:r>
      <w:r>
        <w:rPr>
          <w:rFonts w:ascii="Times New Roman" w:eastAsia="Times New Roman" w:hAnsi="Times New Roman"/>
          <w:color w:val="000000"/>
          <w:kern w:val="0"/>
          <w:lang w:eastAsia="en-GB"/>
        </w:rPr>
        <w:t xml:space="preserve">. 2nd </w:t>
      </w:r>
      <w:proofErr w:type="spellStart"/>
      <w:r>
        <w:rPr>
          <w:rFonts w:ascii="Times New Roman" w:eastAsia="Times New Roman" w:hAnsi="Times New Roman"/>
          <w:color w:val="000000"/>
          <w:kern w:val="0"/>
          <w:lang w:eastAsia="en-GB"/>
        </w:rPr>
        <w:t>edn</w:t>
      </w:r>
      <w:proofErr w:type="spellEnd"/>
      <w:r>
        <w:rPr>
          <w:rFonts w:ascii="Times New Roman" w:eastAsia="Times New Roman" w:hAnsi="Times New Roman"/>
          <w:color w:val="000000"/>
          <w:kern w:val="0"/>
          <w:lang w:eastAsia="en-GB"/>
        </w:rPr>
        <w:t>. New York: Routledge.</w:t>
      </w:r>
    </w:p>
    <w:p w14:paraId="6CDBA515" w14:textId="77777777" w:rsidR="003A2B65" w:rsidRDefault="00000000">
      <w:pPr>
        <w:spacing w:line="360" w:lineRule="auto"/>
      </w:pPr>
      <w:r>
        <w:rPr>
          <w:rFonts w:ascii="Times New Roman" w:eastAsia="Times New Roman" w:hAnsi="Times New Roman"/>
          <w:color w:val="000000"/>
          <w:kern w:val="0"/>
          <w:lang w:eastAsia="en-GB"/>
        </w:rPr>
        <w:t xml:space="preserve">Daft, R.L. and Lengel, R.H. (1986) ‘Organizational information requirements, media richness and structural design’, </w:t>
      </w:r>
      <w:r>
        <w:rPr>
          <w:rFonts w:ascii="Times New Roman" w:eastAsia="Times New Roman" w:hAnsi="Times New Roman"/>
          <w:i/>
          <w:iCs/>
          <w:color w:val="000000"/>
          <w:kern w:val="0"/>
          <w:lang w:eastAsia="en-GB"/>
        </w:rPr>
        <w:t>Management Science</w:t>
      </w:r>
      <w:r>
        <w:rPr>
          <w:rFonts w:ascii="Times New Roman" w:eastAsia="Times New Roman" w:hAnsi="Times New Roman"/>
          <w:color w:val="000000"/>
          <w:kern w:val="0"/>
          <w:lang w:eastAsia="en-GB"/>
        </w:rPr>
        <w:t>, 32(5), pp. 554–571.</w:t>
      </w:r>
    </w:p>
    <w:p w14:paraId="41590659" w14:textId="77777777" w:rsidR="003A2B65" w:rsidRDefault="00000000">
      <w:pPr>
        <w:spacing w:line="360" w:lineRule="auto"/>
      </w:pPr>
      <w:r>
        <w:rPr>
          <w:rFonts w:ascii="Times New Roman" w:eastAsia="Times New Roman" w:hAnsi="Times New Roman"/>
          <w:color w:val="000000"/>
          <w:kern w:val="0"/>
          <w:lang w:eastAsia="en-GB"/>
        </w:rPr>
        <w:t xml:space="preserve">Deresky, H. (2017) </w:t>
      </w:r>
      <w:r>
        <w:rPr>
          <w:rFonts w:ascii="Times New Roman" w:eastAsia="Times New Roman" w:hAnsi="Times New Roman"/>
          <w:i/>
          <w:iCs/>
          <w:color w:val="000000"/>
          <w:kern w:val="0"/>
          <w:lang w:eastAsia="en-GB"/>
        </w:rPr>
        <w:t>International Management: Managing Across Borders and Cultures</w:t>
      </w:r>
      <w:r>
        <w:rPr>
          <w:rFonts w:ascii="Times New Roman" w:eastAsia="Times New Roman" w:hAnsi="Times New Roman"/>
          <w:color w:val="000000"/>
          <w:kern w:val="0"/>
          <w:lang w:eastAsia="en-GB"/>
        </w:rPr>
        <w:t xml:space="preserve">. 9th </w:t>
      </w:r>
      <w:proofErr w:type="spellStart"/>
      <w:r>
        <w:rPr>
          <w:rFonts w:ascii="Times New Roman" w:eastAsia="Times New Roman" w:hAnsi="Times New Roman"/>
          <w:color w:val="000000"/>
          <w:kern w:val="0"/>
          <w:lang w:eastAsia="en-GB"/>
        </w:rPr>
        <w:t>edn</w:t>
      </w:r>
      <w:proofErr w:type="spellEnd"/>
      <w:r>
        <w:rPr>
          <w:rFonts w:ascii="Times New Roman" w:eastAsia="Times New Roman" w:hAnsi="Times New Roman"/>
          <w:color w:val="000000"/>
          <w:kern w:val="0"/>
          <w:lang w:eastAsia="en-GB"/>
        </w:rPr>
        <w:t>. Harlow: Pearson.</w:t>
      </w:r>
    </w:p>
    <w:p w14:paraId="0F555795" w14:textId="77777777" w:rsidR="003A2B65" w:rsidRDefault="00000000">
      <w:pPr>
        <w:spacing w:line="360" w:lineRule="auto"/>
      </w:pPr>
      <w:r>
        <w:rPr>
          <w:rFonts w:ascii="Times New Roman" w:eastAsia="Times New Roman" w:hAnsi="Times New Roman"/>
          <w:color w:val="000000"/>
          <w:kern w:val="0"/>
          <w:lang w:eastAsia="en-GB"/>
        </w:rPr>
        <w:t xml:space="preserve">Earley, P.C. and Ang, S. (2003) </w:t>
      </w:r>
      <w:r>
        <w:rPr>
          <w:rFonts w:ascii="Times New Roman" w:eastAsia="Times New Roman" w:hAnsi="Times New Roman"/>
          <w:i/>
          <w:iCs/>
          <w:color w:val="000000"/>
          <w:kern w:val="0"/>
          <w:lang w:eastAsia="en-GB"/>
        </w:rPr>
        <w:t>Cultural Intelligence: Individual Interactions Across Cultures</w:t>
      </w:r>
      <w:r>
        <w:rPr>
          <w:rFonts w:ascii="Times New Roman" w:eastAsia="Times New Roman" w:hAnsi="Times New Roman"/>
          <w:color w:val="000000"/>
          <w:kern w:val="0"/>
          <w:lang w:eastAsia="en-GB"/>
        </w:rPr>
        <w:t>. Stanford, CA: Stanford University Press.</w:t>
      </w:r>
    </w:p>
    <w:p w14:paraId="580D9B09" w14:textId="77777777" w:rsidR="003A2B65" w:rsidRDefault="00000000">
      <w:pPr>
        <w:spacing w:line="360" w:lineRule="auto"/>
      </w:pPr>
      <w:proofErr w:type="spellStart"/>
      <w:r>
        <w:rPr>
          <w:rFonts w:ascii="Times New Roman" w:eastAsia="Times New Roman" w:hAnsi="Times New Roman"/>
          <w:color w:val="000000"/>
          <w:kern w:val="0"/>
          <w:lang w:eastAsia="en-GB"/>
        </w:rPr>
        <w:t>Gudykunst</w:t>
      </w:r>
      <w:proofErr w:type="spellEnd"/>
      <w:r>
        <w:rPr>
          <w:rFonts w:ascii="Times New Roman" w:eastAsia="Times New Roman" w:hAnsi="Times New Roman"/>
          <w:color w:val="000000"/>
          <w:kern w:val="0"/>
          <w:lang w:eastAsia="en-GB"/>
        </w:rPr>
        <w:t xml:space="preserve">, W.B. and Nishida, T. (1994) </w:t>
      </w:r>
      <w:r>
        <w:rPr>
          <w:rFonts w:ascii="Times New Roman" w:eastAsia="Times New Roman" w:hAnsi="Times New Roman"/>
          <w:i/>
          <w:iCs/>
          <w:color w:val="000000"/>
          <w:kern w:val="0"/>
          <w:lang w:eastAsia="en-GB"/>
        </w:rPr>
        <w:t>Bridging Japanese/North American Differences</w:t>
      </w:r>
      <w:r>
        <w:rPr>
          <w:rFonts w:ascii="Times New Roman" w:eastAsia="Times New Roman" w:hAnsi="Times New Roman"/>
          <w:color w:val="000000"/>
          <w:kern w:val="0"/>
          <w:lang w:eastAsia="en-GB"/>
        </w:rPr>
        <w:t>. Thousand Oaks, CA: Sage.</w:t>
      </w:r>
    </w:p>
    <w:p w14:paraId="1D01930B" w14:textId="77777777" w:rsidR="003A2B65" w:rsidRDefault="00000000">
      <w:pPr>
        <w:spacing w:line="360" w:lineRule="auto"/>
      </w:pPr>
      <w:r>
        <w:rPr>
          <w:rFonts w:ascii="Times New Roman" w:eastAsia="Times New Roman" w:hAnsi="Times New Roman"/>
          <w:color w:val="000000"/>
          <w:kern w:val="0"/>
          <w:lang w:eastAsia="en-GB"/>
        </w:rPr>
        <w:t xml:space="preserve">Hall, E.T. (1976) </w:t>
      </w:r>
      <w:r>
        <w:rPr>
          <w:rFonts w:ascii="Times New Roman" w:eastAsia="Times New Roman" w:hAnsi="Times New Roman"/>
          <w:i/>
          <w:iCs/>
          <w:color w:val="000000"/>
          <w:kern w:val="0"/>
          <w:lang w:eastAsia="en-GB"/>
        </w:rPr>
        <w:t>Beyond Culture</w:t>
      </w:r>
      <w:r>
        <w:rPr>
          <w:rFonts w:ascii="Times New Roman" w:eastAsia="Times New Roman" w:hAnsi="Times New Roman"/>
          <w:color w:val="000000"/>
          <w:kern w:val="0"/>
          <w:lang w:eastAsia="en-GB"/>
        </w:rPr>
        <w:t>. New York: Anchor Books.</w:t>
      </w:r>
    </w:p>
    <w:p w14:paraId="6072E09D" w14:textId="77777777" w:rsidR="003A2B65" w:rsidRDefault="00000000">
      <w:pPr>
        <w:spacing w:line="360" w:lineRule="auto"/>
      </w:pPr>
      <w:r>
        <w:rPr>
          <w:rFonts w:ascii="Times New Roman" w:eastAsia="Times New Roman" w:hAnsi="Times New Roman"/>
          <w:color w:val="000000"/>
          <w:kern w:val="0"/>
          <w:lang w:eastAsia="en-GB"/>
        </w:rPr>
        <w:t xml:space="preserve">Hall, E.T. (1967) </w:t>
      </w:r>
      <w:r>
        <w:rPr>
          <w:rFonts w:ascii="Times New Roman" w:eastAsia="Times New Roman" w:hAnsi="Times New Roman"/>
          <w:i/>
          <w:iCs/>
          <w:color w:val="000000"/>
          <w:kern w:val="0"/>
          <w:lang w:eastAsia="en-GB"/>
        </w:rPr>
        <w:t>The Hidden Dimension</w:t>
      </w:r>
      <w:r>
        <w:rPr>
          <w:rFonts w:ascii="Times New Roman" w:eastAsia="Times New Roman" w:hAnsi="Times New Roman"/>
          <w:color w:val="000000"/>
          <w:kern w:val="0"/>
          <w:lang w:eastAsia="en-GB"/>
        </w:rPr>
        <w:t>. New York: Anchor Books.</w:t>
      </w:r>
    </w:p>
    <w:p w14:paraId="321FDC26" w14:textId="77777777" w:rsidR="003A2B65" w:rsidRDefault="00000000">
      <w:pPr>
        <w:spacing w:line="360" w:lineRule="auto"/>
      </w:pPr>
      <w:r>
        <w:rPr>
          <w:rFonts w:ascii="Times New Roman" w:eastAsia="Times New Roman" w:hAnsi="Times New Roman"/>
          <w:color w:val="000000"/>
          <w:kern w:val="0"/>
          <w:lang w:eastAsia="en-GB"/>
        </w:rPr>
        <w:t>Hampden</w:t>
      </w:r>
      <w:r>
        <w:rPr>
          <w:rFonts w:ascii="Times New Roman" w:eastAsia="Times New Roman" w:hAnsi="Times New Roman"/>
          <w:color w:val="000000"/>
          <w:kern w:val="0"/>
          <w:lang w:eastAsia="en-GB"/>
        </w:rPr>
        <w:noBreakHyphen/>
        <w:t xml:space="preserve">Turner, C. and Trompenaars, F. (1997) </w:t>
      </w:r>
      <w:r>
        <w:rPr>
          <w:rFonts w:ascii="Times New Roman" w:eastAsia="Times New Roman" w:hAnsi="Times New Roman"/>
          <w:i/>
          <w:iCs/>
          <w:color w:val="000000"/>
          <w:kern w:val="0"/>
          <w:lang w:eastAsia="en-GB"/>
        </w:rPr>
        <w:t>Riding the Waves of Culture: Understanding Diversity in Global Business</w:t>
      </w:r>
      <w:r>
        <w:rPr>
          <w:rFonts w:ascii="Times New Roman" w:eastAsia="Times New Roman" w:hAnsi="Times New Roman"/>
          <w:color w:val="000000"/>
          <w:kern w:val="0"/>
          <w:lang w:eastAsia="en-GB"/>
        </w:rPr>
        <w:t>. London: Nicholas Brealey Publishing.</w:t>
      </w:r>
    </w:p>
    <w:p w14:paraId="0B4D73FA" w14:textId="77777777" w:rsidR="003A2B65" w:rsidRDefault="00000000">
      <w:pPr>
        <w:spacing w:line="360" w:lineRule="auto"/>
      </w:pPr>
      <w:r>
        <w:rPr>
          <w:rFonts w:ascii="Times New Roman" w:eastAsia="Times New Roman" w:hAnsi="Times New Roman"/>
          <w:color w:val="000000"/>
          <w:kern w:val="0"/>
          <w:lang w:eastAsia="en-GB"/>
        </w:rPr>
        <w:t xml:space="preserve">Hofstede, G. (2001) </w:t>
      </w:r>
      <w:r>
        <w:rPr>
          <w:rFonts w:ascii="Times New Roman" w:eastAsia="Times New Roman" w:hAnsi="Times New Roman"/>
          <w:i/>
          <w:iCs/>
          <w:color w:val="000000"/>
          <w:kern w:val="0"/>
          <w:lang w:eastAsia="en-GB"/>
        </w:rPr>
        <w:t xml:space="preserve">Culture’s Consequences: Comparing Values, </w:t>
      </w:r>
      <w:proofErr w:type="spellStart"/>
      <w:r>
        <w:rPr>
          <w:rFonts w:ascii="Times New Roman" w:eastAsia="Times New Roman" w:hAnsi="Times New Roman"/>
          <w:i/>
          <w:iCs/>
          <w:color w:val="000000"/>
          <w:kern w:val="0"/>
          <w:lang w:eastAsia="en-GB"/>
        </w:rPr>
        <w:t>Behaviors</w:t>
      </w:r>
      <w:proofErr w:type="spellEnd"/>
      <w:r>
        <w:rPr>
          <w:rFonts w:ascii="Times New Roman" w:eastAsia="Times New Roman" w:hAnsi="Times New Roman"/>
          <w:i/>
          <w:iCs/>
          <w:color w:val="000000"/>
          <w:kern w:val="0"/>
          <w:lang w:eastAsia="en-GB"/>
        </w:rPr>
        <w:t>, Institutions and Organizations Across Nations</w:t>
      </w:r>
      <w:r>
        <w:rPr>
          <w:rFonts w:ascii="Times New Roman" w:eastAsia="Times New Roman" w:hAnsi="Times New Roman"/>
          <w:color w:val="000000"/>
          <w:kern w:val="0"/>
          <w:lang w:eastAsia="en-GB"/>
        </w:rPr>
        <w:t xml:space="preserve">. 2nd </w:t>
      </w:r>
      <w:proofErr w:type="spellStart"/>
      <w:r>
        <w:rPr>
          <w:rFonts w:ascii="Times New Roman" w:eastAsia="Times New Roman" w:hAnsi="Times New Roman"/>
          <w:color w:val="000000"/>
          <w:kern w:val="0"/>
          <w:lang w:eastAsia="en-GB"/>
        </w:rPr>
        <w:t>edn</w:t>
      </w:r>
      <w:proofErr w:type="spellEnd"/>
      <w:r>
        <w:rPr>
          <w:rFonts w:ascii="Times New Roman" w:eastAsia="Times New Roman" w:hAnsi="Times New Roman"/>
          <w:color w:val="000000"/>
          <w:kern w:val="0"/>
          <w:lang w:eastAsia="en-GB"/>
        </w:rPr>
        <w:t>. Thousand Oaks, CA: Sage.</w:t>
      </w:r>
    </w:p>
    <w:p w14:paraId="3566ECF4" w14:textId="77777777" w:rsidR="003A2B65" w:rsidRDefault="00000000">
      <w:pPr>
        <w:spacing w:line="360" w:lineRule="auto"/>
      </w:pPr>
      <w:r>
        <w:rPr>
          <w:rFonts w:ascii="Times New Roman" w:eastAsia="Times New Roman" w:hAnsi="Times New Roman"/>
          <w:color w:val="000000"/>
          <w:kern w:val="0"/>
          <w:lang w:eastAsia="en-GB"/>
        </w:rPr>
        <w:t xml:space="preserve">Hofstede, G. (2011) </w:t>
      </w:r>
      <w:proofErr w:type="spellStart"/>
      <w:r>
        <w:rPr>
          <w:rFonts w:ascii="Times New Roman" w:eastAsia="Times New Roman" w:hAnsi="Times New Roman"/>
          <w:i/>
          <w:iCs/>
          <w:color w:val="000000"/>
          <w:kern w:val="0"/>
          <w:lang w:eastAsia="en-GB"/>
        </w:rPr>
        <w:t>Dimensionalizing</w:t>
      </w:r>
      <w:proofErr w:type="spellEnd"/>
      <w:r>
        <w:rPr>
          <w:rFonts w:ascii="Times New Roman" w:eastAsia="Times New Roman" w:hAnsi="Times New Roman"/>
          <w:i/>
          <w:iCs/>
          <w:color w:val="000000"/>
          <w:kern w:val="0"/>
          <w:lang w:eastAsia="en-GB"/>
        </w:rPr>
        <w:t xml:space="preserve"> Cultures: The Hofstede Model in Context</w:t>
      </w:r>
      <w:r>
        <w:rPr>
          <w:rFonts w:ascii="Times New Roman" w:eastAsia="Times New Roman" w:hAnsi="Times New Roman"/>
          <w:color w:val="000000"/>
          <w:kern w:val="0"/>
          <w:lang w:eastAsia="en-GB"/>
        </w:rPr>
        <w:t>. Online Readings in Psychology and Culture, 2(1), pp. 1–26.</w:t>
      </w:r>
    </w:p>
    <w:p w14:paraId="489D09C8" w14:textId="77777777" w:rsidR="003A2B65" w:rsidRDefault="00000000">
      <w:pPr>
        <w:spacing w:line="360" w:lineRule="auto"/>
      </w:pPr>
      <w:r>
        <w:rPr>
          <w:rFonts w:ascii="Times New Roman" w:eastAsia="Times New Roman" w:hAnsi="Times New Roman"/>
          <w:color w:val="000000"/>
          <w:kern w:val="0"/>
          <w:lang w:eastAsia="en-GB"/>
        </w:rPr>
        <w:t xml:space="preserve">House, R.J., Hanges, P.J., Javidan, M., Dorfman, P.W. and Gupta, V. (2004) </w:t>
      </w:r>
      <w:r>
        <w:rPr>
          <w:rFonts w:ascii="Times New Roman" w:eastAsia="Times New Roman" w:hAnsi="Times New Roman"/>
          <w:i/>
          <w:iCs/>
          <w:color w:val="000000"/>
          <w:kern w:val="0"/>
          <w:lang w:eastAsia="en-GB"/>
        </w:rPr>
        <w:t>Culture, Leadership, and Organizations: The GLOBE Study of 62 Societies</w:t>
      </w:r>
      <w:r>
        <w:rPr>
          <w:rFonts w:ascii="Times New Roman" w:eastAsia="Times New Roman" w:hAnsi="Times New Roman"/>
          <w:color w:val="000000"/>
          <w:kern w:val="0"/>
          <w:lang w:eastAsia="en-GB"/>
        </w:rPr>
        <w:t>. Thousand Oaks, CA: Sage.</w:t>
      </w:r>
    </w:p>
    <w:p w14:paraId="4B8D1FE3" w14:textId="77777777" w:rsidR="003A2B65" w:rsidRDefault="00000000">
      <w:pPr>
        <w:spacing w:line="360" w:lineRule="auto"/>
      </w:pPr>
      <w:r>
        <w:rPr>
          <w:rFonts w:ascii="Times New Roman" w:eastAsia="Times New Roman" w:hAnsi="Times New Roman"/>
          <w:color w:val="000000"/>
          <w:kern w:val="0"/>
          <w:lang w:eastAsia="en-GB"/>
        </w:rPr>
        <w:t xml:space="preserve">Lewis, R.D. (2006) </w:t>
      </w:r>
      <w:r>
        <w:rPr>
          <w:rFonts w:ascii="Times New Roman" w:eastAsia="Times New Roman" w:hAnsi="Times New Roman"/>
          <w:i/>
          <w:iCs/>
          <w:color w:val="000000"/>
          <w:kern w:val="0"/>
          <w:lang w:eastAsia="en-GB"/>
        </w:rPr>
        <w:t>When Cultures Collide: Leading Across Cultures</w:t>
      </w:r>
      <w:r>
        <w:rPr>
          <w:rFonts w:ascii="Times New Roman" w:eastAsia="Times New Roman" w:hAnsi="Times New Roman"/>
          <w:color w:val="000000"/>
          <w:kern w:val="0"/>
          <w:lang w:eastAsia="en-GB"/>
        </w:rPr>
        <w:t xml:space="preserve">. 3rd </w:t>
      </w:r>
      <w:proofErr w:type="spellStart"/>
      <w:r>
        <w:rPr>
          <w:rFonts w:ascii="Times New Roman" w:eastAsia="Times New Roman" w:hAnsi="Times New Roman"/>
          <w:color w:val="000000"/>
          <w:kern w:val="0"/>
          <w:lang w:eastAsia="en-GB"/>
        </w:rPr>
        <w:t>edn</w:t>
      </w:r>
      <w:proofErr w:type="spellEnd"/>
      <w:r>
        <w:rPr>
          <w:rFonts w:ascii="Times New Roman" w:eastAsia="Times New Roman" w:hAnsi="Times New Roman"/>
          <w:color w:val="000000"/>
          <w:kern w:val="0"/>
          <w:lang w:eastAsia="en-GB"/>
        </w:rPr>
        <w:t>. Boston: Nicholas Brealey Publishing.</w:t>
      </w:r>
    </w:p>
    <w:p w14:paraId="000D2654" w14:textId="77777777" w:rsidR="003A2B65" w:rsidRDefault="00000000">
      <w:pPr>
        <w:spacing w:line="360" w:lineRule="auto"/>
      </w:pPr>
      <w:r>
        <w:rPr>
          <w:rFonts w:ascii="Times New Roman" w:eastAsia="Times New Roman" w:hAnsi="Times New Roman"/>
          <w:color w:val="000000"/>
          <w:kern w:val="0"/>
          <w:lang w:eastAsia="en-GB"/>
        </w:rPr>
        <w:t xml:space="preserve">McSweeney, B. (2002) ‘Hofstede’s model of national cultural differences and their consequences: A triumph of faith – a failure of analysis’, </w:t>
      </w:r>
      <w:r>
        <w:rPr>
          <w:rFonts w:ascii="Times New Roman" w:eastAsia="Times New Roman" w:hAnsi="Times New Roman"/>
          <w:i/>
          <w:iCs/>
          <w:color w:val="000000"/>
          <w:kern w:val="0"/>
          <w:lang w:eastAsia="en-GB"/>
        </w:rPr>
        <w:t>Human Relations</w:t>
      </w:r>
      <w:r>
        <w:rPr>
          <w:rFonts w:ascii="Times New Roman" w:eastAsia="Times New Roman" w:hAnsi="Times New Roman"/>
          <w:color w:val="000000"/>
          <w:kern w:val="0"/>
          <w:lang w:eastAsia="en-GB"/>
        </w:rPr>
        <w:t>, 55(1), pp. 89–118.</w:t>
      </w:r>
    </w:p>
    <w:p w14:paraId="13841659" w14:textId="77777777" w:rsidR="003A2B65" w:rsidRDefault="00000000">
      <w:pPr>
        <w:spacing w:line="360" w:lineRule="auto"/>
      </w:pPr>
      <w:r>
        <w:rPr>
          <w:rFonts w:ascii="Times New Roman" w:eastAsia="Times New Roman" w:hAnsi="Times New Roman"/>
          <w:color w:val="000000"/>
          <w:kern w:val="0"/>
          <w:lang w:eastAsia="en-GB"/>
        </w:rPr>
        <w:t xml:space="preserve">Meyer, E. (2014) </w:t>
      </w:r>
      <w:r>
        <w:rPr>
          <w:rFonts w:ascii="Times New Roman" w:eastAsia="Times New Roman" w:hAnsi="Times New Roman"/>
          <w:i/>
          <w:iCs/>
          <w:color w:val="000000"/>
          <w:kern w:val="0"/>
          <w:lang w:eastAsia="en-GB"/>
        </w:rPr>
        <w:t>The Culture Map: Breaking Through the Invisible Boundaries of Global Business</w:t>
      </w:r>
      <w:r>
        <w:rPr>
          <w:rFonts w:ascii="Times New Roman" w:eastAsia="Times New Roman" w:hAnsi="Times New Roman"/>
          <w:color w:val="000000"/>
          <w:kern w:val="0"/>
          <w:lang w:eastAsia="en-GB"/>
        </w:rPr>
        <w:t>. New York: PublicAffairs.</w:t>
      </w:r>
    </w:p>
    <w:p w14:paraId="4D59FFCB" w14:textId="77777777" w:rsidR="003A2B65" w:rsidRDefault="00000000">
      <w:pPr>
        <w:spacing w:line="360" w:lineRule="auto"/>
      </w:pPr>
      <w:r>
        <w:rPr>
          <w:rFonts w:ascii="Times New Roman" w:eastAsia="Times New Roman" w:hAnsi="Times New Roman"/>
          <w:color w:val="000000"/>
          <w:kern w:val="0"/>
          <w:lang w:eastAsia="en-GB"/>
        </w:rPr>
        <w:t xml:space="preserve">Nakane, C. (1970) </w:t>
      </w:r>
      <w:r>
        <w:rPr>
          <w:rFonts w:ascii="Times New Roman" w:eastAsia="Times New Roman" w:hAnsi="Times New Roman"/>
          <w:i/>
          <w:iCs/>
          <w:color w:val="000000"/>
          <w:kern w:val="0"/>
          <w:lang w:eastAsia="en-GB"/>
        </w:rPr>
        <w:t>Japanese Society</w:t>
      </w:r>
      <w:r>
        <w:rPr>
          <w:rFonts w:ascii="Times New Roman" w:eastAsia="Times New Roman" w:hAnsi="Times New Roman"/>
          <w:color w:val="000000"/>
          <w:kern w:val="0"/>
          <w:lang w:eastAsia="en-GB"/>
        </w:rPr>
        <w:t>. Berkeley, CA: University of California Press.</w:t>
      </w:r>
    </w:p>
    <w:p w14:paraId="10B6DD5E" w14:textId="77777777" w:rsidR="003A2B65" w:rsidRDefault="00000000">
      <w:pPr>
        <w:spacing w:line="360" w:lineRule="auto"/>
      </w:pPr>
      <w:r>
        <w:rPr>
          <w:rFonts w:ascii="Times New Roman" w:eastAsia="Times New Roman" w:hAnsi="Times New Roman"/>
          <w:color w:val="000000"/>
          <w:kern w:val="0"/>
          <w:lang w:eastAsia="en-GB"/>
        </w:rPr>
        <w:t xml:space="preserve">Northouse, P.G. (2007) </w:t>
      </w:r>
      <w:r>
        <w:rPr>
          <w:rFonts w:ascii="Times New Roman" w:eastAsia="Times New Roman" w:hAnsi="Times New Roman"/>
          <w:i/>
          <w:iCs/>
          <w:color w:val="000000"/>
          <w:kern w:val="0"/>
          <w:lang w:eastAsia="en-GB"/>
        </w:rPr>
        <w:t>Leadership: Theory and Practice</w:t>
      </w:r>
      <w:r>
        <w:rPr>
          <w:rFonts w:ascii="Times New Roman" w:eastAsia="Times New Roman" w:hAnsi="Times New Roman"/>
          <w:color w:val="000000"/>
          <w:kern w:val="0"/>
          <w:lang w:eastAsia="en-GB"/>
        </w:rPr>
        <w:t xml:space="preserve">. 4th </w:t>
      </w:r>
      <w:proofErr w:type="spellStart"/>
      <w:r>
        <w:rPr>
          <w:rFonts w:ascii="Times New Roman" w:eastAsia="Times New Roman" w:hAnsi="Times New Roman"/>
          <w:color w:val="000000"/>
          <w:kern w:val="0"/>
          <w:lang w:eastAsia="en-GB"/>
        </w:rPr>
        <w:t>edn</w:t>
      </w:r>
      <w:proofErr w:type="spellEnd"/>
      <w:r>
        <w:rPr>
          <w:rFonts w:ascii="Times New Roman" w:eastAsia="Times New Roman" w:hAnsi="Times New Roman"/>
          <w:color w:val="000000"/>
          <w:kern w:val="0"/>
          <w:lang w:eastAsia="en-GB"/>
        </w:rPr>
        <w:t>. Thousand Oaks, CA: Sage.</w:t>
      </w:r>
    </w:p>
    <w:p w14:paraId="52571F83" w14:textId="77777777" w:rsidR="003A2B65" w:rsidRDefault="003A2B65">
      <w:pPr>
        <w:spacing w:line="360" w:lineRule="auto"/>
        <w:rPr>
          <w:rFonts w:ascii="Times New Roman" w:hAnsi="Times New Roman"/>
        </w:rPr>
      </w:pPr>
    </w:p>
    <w:sectPr w:rsidR="003A2B65">
      <w:footerReference w:type="default" r:id="rId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8F946" w14:textId="77777777" w:rsidR="001F3048" w:rsidRDefault="001F3048">
      <w:pPr>
        <w:spacing w:after="0" w:line="240" w:lineRule="auto"/>
      </w:pPr>
      <w:r>
        <w:separator/>
      </w:r>
    </w:p>
  </w:endnote>
  <w:endnote w:type="continuationSeparator" w:id="0">
    <w:p w14:paraId="5206C576" w14:textId="77777777" w:rsidR="001F3048" w:rsidRDefault="001F3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9B3A4" w14:textId="77777777" w:rsidR="00000000" w:rsidRDefault="00000000">
    <w:pPr>
      <w:pStyle w:val="Footer"/>
      <w:jc w:val="center"/>
    </w:pPr>
    <w:r>
      <w:fldChar w:fldCharType="begin"/>
    </w:r>
    <w:r>
      <w:instrText xml:space="preserve"> PAGE </w:instrText>
    </w:r>
    <w:r>
      <w:fldChar w:fldCharType="separate"/>
    </w:r>
    <w:r>
      <w:t>2</w:t>
    </w:r>
    <w:r>
      <w:fldChar w:fldCharType="end"/>
    </w:r>
  </w:p>
  <w:p w14:paraId="440D5AB8"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EEF01" w14:textId="77777777" w:rsidR="001F3048" w:rsidRDefault="001F3048">
      <w:pPr>
        <w:spacing w:after="0" w:line="240" w:lineRule="auto"/>
      </w:pPr>
      <w:r>
        <w:rPr>
          <w:color w:val="000000"/>
        </w:rPr>
        <w:separator/>
      </w:r>
    </w:p>
  </w:footnote>
  <w:footnote w:type="continuationSeparator" w:id="0">
    <w:p w14:paraId="62C73207" w14:textId="77777777" w:rsidR="001F3048" w:rsidRDefault="001F30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FA5EA9"/>
    <w:multiLevelType w:val="multilevel"/>
    <w:tmpl w:val="89027846"/>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1262690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A2B65"/>
    <w:rsid w:val="00001ABF"/>
    <w:rsid w:val="001F3048"/>
    <w:rsid w:val="002D418D"/>
    <w:rsid w:val="003A2B65"/>
    <w:rsid w:val="00B11A8F"/>
    <w:rsid w:val="00CB4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6D77E"/>
  <w15:docId w15:val="{AD2B6A6F-EE82-4B9B-99F4-E80944DA7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pPr>
      <w:spacing w:before="100" w:after="100" w:line="240" w:lineRule="auto"/>
    </w:pPr>
    <w:rPr>
      <w:rFonts w:ascii="Times New Roman" w:eastAsia="Times New Roman" w:hAnsi="Times New Roman"/>
      <w:kern w:val="0"/>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2910</Words>
  <Characters>16590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Masala (2236548)</dc:creator>
  <dc:description/>
  <cp:lastModifiedBy>Alina Masala</cp:lastModifiedBy>
  <cp:revision>2</cp:revision>
  <dcterms:created xsi:type="dcterms:W3CDTF">2026-04-28T20:32:00Z</dcterms:created>
  <dcterms:modified xsi:type="dcterms:W3CDTF">2026-04-28T20:32:00Z</dcterms:modified>
</cp:coreProperties>
</file>