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AAC0" w14:textId="77777777" w:rsidR="00F677FE" w:rsidRDefault="00F677FE" w:rsidP="00C032BB">
      <w:pPr>
        <w:jc w:val="center"/>
        <w:rPr>
          <w:rFonts w:ascii="Arial" w:hAnsi="Arial" w:cs="Arial"/>
          <w:sz w:val="32"/>
          <w:szCs w:val="32"/>
        </w:rPr>
      </w:pPr>
    </w:p>
    <w:p w14:paraId="545CD6CA" w14:textId="77777777" w:rsidR="00F677FE" w:rsidRDefault="00F677FE" w:rsidP="00C032BB">
      <w:pPr>
        <w:jc w:val="center"/>
        <w:rPr>
          <w:rFonts w:ascii="Arial" w:hAnsi="Arial" w:cs="Arial"/>
          <w:sz w:val="32"/>
          <w:szCs w:val="32"/>
        </w:rPr>
      </w:pPr>
    </w:p>
    <w:p w14:paraId="3B066334" w14:textId="2660384E" w:rsidR="00D04F39" w:rsidRDefault="00D04F39" w:rsidP="00C032BB">
      <w:pPr>
        <w:jc w:val="center"/>
        <w:rPr>
          <w:rFonts w:ascii="Arial" w:hAnsi="Arial" w:cs="Arial"/>
          <w:sz w:val="32"/>
          <w:szCs w:val="32"/>
        </w:rPr>
      </w:pPr>
      <w:r>
        <w:rPr>
          <w:rFonts w:ascii="Arial" w:hAnsi="Arial" w:cs="Arial"/>
          <w:sz w:val="32"/>
          <w:szCs w:val="32"/>
        </w:rPr>
        <w:t>Ehis Tessy Masadey</w:t>
      </w:r>
    </w:p>
    <w:p w14:paraId="1C415DB0" w14:textId="77777777" w:rsidR="00D04F39" w:rsidRDefault="00D04F39" w:rsidP="00C032BB">
      <w:pPr>
        <w:jc w:val="center"/>
        <w:rPr>
          <w:rFonts w:ascii="Arial" w:hAnsi="Arial" w:cs="Arial"/>
          <w:sz w:val="32"/>
          <w:szCs w:val="32"/>
        </w:rPr>
      </w:pPr>
    </w:p>
    <w:p w14:paraId="188BF226" w14:textId="3E73017B" w:rsidR="00D04F39" w:rsidRDefault="00D04F39" w:rsidP="00C032BB">
      <w:pPr>
        <w:jc w:val="center"/>
        <w:rPr>
          <w:rFonts w:ascii="Arial" w:hAnsi="Arial" w:cs="Arial"/>
          <w:sz w:val="32"/>
          <w:szCs w:val="32"/>
        </w:rPr>
      </w:pPr>
      <w:r>
        <w:rPr>
          <w:rFonts w:ascii="Arial" w:hAnsi="Arial" w:cs="Arial"/>
          <w:sz w:val="32"/>
          <w:szCs w:val="32"/>
        </w:rPr>
        <w:t>Student ID: 22</w:t>
      </w:r>
      <w:r w:rsidR="00E652BF">
        <w:rPr>
          <w:rFonts w:ascii="Arial" w:hAnsi="Arial" w:cs="Arial"/>
          <w:sz w:val="32"/>
          <w:szCs w:val="32"/>
        </w:rPr>
        <w:t>44813</w:t>
      </w:r>
    </w:p>
    <w:p w14:paraId="46347A03" w14:textId="77777777" w:rsidR="00E652BF" w:rsidRDefault="00E652BF" w:rsidP="00C032BB">
      <w:pPr>
        <w:jc w:val="center"/>
        <w:rPr>
          <w:rFonts w:ascii="Arial" w:hAnsi="Arial" w:cs="Arial"/>
          <w:sz w:val="32"/>
          <w:szCs w:val="32"/>
        </w:rPr>
      </w:pPr>
    </w:p>
    <w:p w14:paraId="4A4B30E0" w14:textId="1190D355" w:rsidR="00E652BF" w:rsidRDefault="00E652BF" w:rsidP="00C032BB">
      <w:pPr>
        <w:jc w:val="center"/>
        <w:rPr>
          <w:rFonts w:ascii="Arial" w:hAnsi="Arial" w:cs="Arial"/>
          <w:sz w:val="32"/>
          <w:szCs w:val="32"/>
        </w:rPr>
      </w:pPr>
      <w:r w:rsidRPr="00E652BF">
        <w:rPr>
          <w:rFonts w:ascii="Arial" w:hAnsi="Arial" w:cs="Arial"/>
          <w:sz w:val="32"/>
          <w:szCs w:val="32"/>
        </w:rPr>
        <w:t>Module</w:t>
      </w:r>
      <w:r w:rsidRPr="00E652BF">
        <w:rPr>
          <w:rFonts w:ascii="Arial" w:hAnsi="Arial" w:cs="Arial"/>
          <w:b/>
          <w:bCs/>
          <w:sz w:val="32"/>
          <w:szCs w:val="32"/>
        </w:rPr>
        <w:t xml:space="preserve"> </w:t>
      </w:r>
      <w:r w:rsidRPr="00E652BF">
        <w:rPr>
          <w:rFonts w:ascii="Arial" w:hAnsi="Arial" w:cs="Arial"/>
          <w:sz w:val="32"/>
          <w:szCs w:val="32"/>
        </w:rPr>
        <w:t xml:space="preserve">Code: </w:t>
      </w:r>
      <w:r>
        <w:rPr>
          <w:rFonts w:ascii="Arial" w:hAnsi="Arial" w:cs="Arial"/>
          <w:sz w:val="32"/>
          <w:szCs w:val="32"/>
        </w:rPr>
        <w:t>BMPH5019</w:t>
      </w:r>
    </w:p>
    <w:p w14:paraId="31F1E987" w14:textId="710D5744" w:rsidR="00E652BF" w:rsidRPr="00E652BF" w:rsidRDefault="00E652BF" w:rsidP="00C032BB">
      <w:pPr>
        <w:jc w:val="center"/>
        <w:rPr>
          <w:rFonts w:ascii="Arial" w:hAnsi="Arial" w:cs="Arial"/>
          <w:sz w:val="32"/>
          <w:szCs w:val="32"/>
        </w:rPr>
      </w:pPr>
      <w:r>
        <w:rPr>
          <w:rFonts w:ascii="Arial" w:hAnsi="Arial" w:cs="Arial"/>
          <w:sz w:val="32"/>
          <w:szCs w:val="32"/>
        </w:rPr>
        <w:t>Module: Introduction to Independent Research Skills</w:t>
      </w:r>
    </w:p>
    <w:p w14:paraId="6DB96B00" w14:textId="77777777" w:rsidR="00D04F39" w:rsidRDefault="00D04F39" w:rsidP="00C032BB">
      <w:pPr>
        <w:jc w:val="center"/>
        <w:rPr>
          <w:rFonts w:ascii="Arial" w:hAnsi="Arial" w:cs="Arial"/>
          <w:b/>
          <w:bCs/>
        </w:rPr>
      </w:pPr>
    </w:p>
    <w:p w14:paraId="1D6BC720" w14:textId="27D9C29E" w:rsidR="00E652BF" w:rsidRDefault="00E652BF" w:rsidP="00C032BB">
      <w:pPr>
        <w:jc w:val="center"/>
        <w:rPr>
          <w:rFonts w:ascii="Arial" w:hAnsi="Arial" w:cs="Arial"/>
          <w:sz w:val="32"/>
          <w:szCs w:val="32"/>
        </w:rPr>
      </w:pPr>
      <w:r w:rsidRPr="00E652BF">
        <w:rPr>
          <w:rFonts w:ascii="Arial" w:hAnsi="Arial" w:cs="Arial"/>
          <w:sz w:val="32"/>
          <w:szCs w:val="32"/>
        </w:rPr>
        <w:t xml:space="preserve">Lecturer: </w:t>
      </w:r>
      <w:r>
        <w:rPr>
          <w:rFonts w:ascii="Arial" w:hAnsi="Arial" w:cs="Arial"/>
          <w:sz w:val="32"/>
          <w:szCs w:val="32"/>
        </w:rPr>
        <w:t>Philip Jones</w:t>
      </w:r>
    </w:p>
    <w:p w14:paraId="0BAE9705" w14:textId="77777777" w:rsidR="00E652BF" w:rsidRDefault="00E652BF" w:rsidP="00C032BB">
      <w:pPr>
        <w:jc w:val="center"/>
        <w:rPr>
          <w:rFonts w:ascii="Arial" w:hAnsi="Arial" w:cs="Arial"/>
          <w:sz w:val="32"/>
          <w:szCs w:val="32"/>
        </w:rPr>
      </w:pPr>
    </w:p>
    <w:p w14:paraId="2A17D3D9" w14:textId="22617440" w:rsidR="00E652BF" w:rsidRPr="00E652BF" w:rsidRDefault="00E652BF" w:rsidP="00C032BB">
      <w:pPr>
        <w:jc w:val="center"/>
        <w:rPr>
          <w:rFonts w:ascii="Arial" w:hAnsi="Arial" w:cs="Arial"/>
          <w:sz w:val="32"/>
          <w:szCs w:val="32"/>
        </w:rPr>
      </w:pPr>
      <w:r>
        <w:rPr>
          <w:rFonts w:ascii="Arial" w:hAnsi="Arial" w:cs="Arial"/>
          <w:sz w:val="32"/>
          <w:szCs w:val="32"/>
        </w:rPr>
        <w:t xml:space="preserve">Assignment </w:t>
      </w:r>
      <w:r w:rsidR="00C032BB">
        <w:rPr>
          <w:rFonts w:ascii="Arial" w:hAnsi="Arial" w:cs="Arial"/>
          <w:sz w:val="32"/>
          <w:szCs w:val="32"/>
        </w:rPr>
        <w:t>Title</w:t>
      </w:r>
      <w:r>
        <w:rPr>
          <w:rFonts w:ascii="Arial" w:hAnsi="Arial" w:cs="Arial"/>
          <w:sz w:val="32"/>
          <w:szCs w:val="32"/>
        </w:rPr>
        <w:t>:</w:t>
      </w:r>
      <w:r w:rsidR="0095672C">
        <w:rPr>
          <w:rFonts w:ascii="Arial" w:hAnsi="Arial" w:cs="Arial"/>
          <w:sz w:val="32"/>
          <w:szCs w:val="32"/>
        </w:rPr>
        <w:t xml:space="preserve"> Research </w:t>
      </w:r>
      <w:r w:rsidR="00F400E9">
        <w:rPr>
          <w:rFonts w:ascii="Arial" w:hAnsi="Arial" w:cs="Arial"/>
          <w:sz w:val="32"/>
          <w:szCs w:val="32"/>
        </w:rPr>
        <w:t>Report</w:t>
      </w:r>
      <w:r w:rsidR="0095672C">
        <w:rPr>
          <w:rFonts w:ascii="Arial" w:hAnsi="Arial" w:cs="Arial"/>
          <w:sz w:val="32"/>
          <w:szCs w:val="32"/>
        </w:rPr>
        <w:t>: A Scoping</w:t>
      </w:r>
      <w:r w:rsidR="00F400E9">
        <w:rPr>
          <w:rFonts w:ascii="Arial" w:hAnsi="Arial" w:cs="Arial"/>
          <w:sz w:val="32"/>
          <w:szCs w:val="32"/>
        </w:rPr>
        <w:t xml:space="preserve"> Review of Experiences of Staff Supporting People Living with Dementia in the UK Hospital Care Setting.</w:t>
      </w:r>
      <w:r w:rsidR="0095672C">
        <w:rPr>
          <w:rFonts w:ascii="Arial" w:hAnsi="Arial" w:cs="Arial"/>
          <w:sz w:val="32"/>
          <w:szCs w:val="32"/>
        </w:rPr>
        <w:t xml:space="preserve"> </w:t>
      </w:r>
    </w:p>
    <w:p w14:paraId="3E4FDC12" w14:textId="77777777" w:rsidR="00D04F39" w:rsidRPr="00E652BF" w:rsidRDefault="00D04F39" w:rsidP="00C032BB">
      <w:pPr>
        <w:jc w:val="center"/>
        <w:rPr>
          <w:rFonts w:ascii="Arial" w:hAnsi="Arial" w:cs="Arial"/>
          <w:b/>
          <w:bCs/>
          <w:sz w:val="32"/>
          <w:szCs w:val="32"/>
        </w:rPr>
      </w:pPr>
    </w:p>
    <w:p w14:paraId="415BD8EF" w14:textId="77777777" w:rsidR="00D04F39" w:rsidRDefault="00D04F39" w:rsidP="0083278E">
      <w:pPr>
        <w:rPr>
          <w:rFonts w:ascii="Arial" w:hAnsi="Arial" w:cs="Arial"/>
          <w:b/>
          <w:bCs/>
        </w:rPr>
      </w:pPr>
    </w:p>
    <w:p w14:paraId="7A2C41E1" w14:textId="77777777" w:rsidR="00D04F39" w:rsidRDefault="00D04F39" w:rsidP="0083278E">
      <w:pPr>
        <w:rPr>
          <w:rFonts w:ascii="Arial" w:hAnsi="Arial" w:cs="Arial"/>
          <w:b/>
          <w:bCs/>
        </w:rPr>
      </w:pPr>
    </w:p>
    <w:p w14:paraId="7FE78C20" w14:textId="77777777" w:rsidR="00D04F39" w:rsidRDefault="00D04F39" w:rsidP="0083278E">
      <w:pPr>
        <w:rPr>
          <w:rFonts w:ascii="Arial" w:hAnsi="Arial" w:cs="Arial"/>
          <w:b/>
          <w:bCs/>
        </w:rPr>
      </w:pPr>
    </w:p>
    <w:p w14:paraId="66C06F6A" w14:textId="77777777" w:rsidR="00D04F39" w:rsidRDefault="00D04F39" w:rsidP="0083278E">
      <w:pPr>
        <w:rPr>
          <w:rFonts w:ascii="Arial" w:hAnsi="Arial" w:cs="Arial"/>
          <w:b/>
          <w:bCs/>
        </w:rPr>
      </w:pPr>
    </w:p>
    <w:p w14:paraId="4C1FF11A" w14:textId="77777777" w:rsidR="00D04F39" w:rsidRDefault="00D04F39" w:rsidP="0083278E">
      <w:pPr>
        <w:rPr>
          <w:rFonts w:ascii="Arial" w:hAnsi="Arial" w:cs="Arial"/>
          <w:b/>
          <w:bCs/>
        </w:rPr>
      </w:pPr>
    </w:p>
    <w:p w14:paraId="169C51C7" w14:textId="77777777" w:rsidR="00D04F39" w:rsidRDefault="00D04F39" w:rsidP="0083278E">
      <w:pPr>
        <w:rPr>
          <w:rFonts w:ascii="Arial" w:hAnsi="Arial" w:cs="Arial"/>
          <w:b/>
          <w:bCs/>
        </w:rPr>
      </w:pPr>
    </w:p>
    <w:p w14:paraId="64C5DFFE" w14:textId="77777777" w:rsidR="00D04F39" w:rsidRDefault="00D04F39" w:rsidP="0083278E">
      <w:pPr>
        <w:rPr>
          <w:rFonts w:ascii="Arial" w:hAnsi="Arial" w:cs="Arial"/>
          <w:b/>
          <w:bCs/>
        </w:rPr>
      </w:pPr>
    </w:p>
    <w:p w14:paraId="2274C5DD" w14:textId="77777777" w:rsidR="00D04F39" w:rsidRDefault="00D04F39" w:rsidP="0083278E">
      <w:pPr>
        <w:rPr>
          <w:rFonts w:ascii="Arial" w:hAnsi="Arial" w:cs="Arial"/>
          <w:b/>
          <w:bCs/>
        </w:rPr>
      </w:pPr>
    </w:p>
    <w:p w14:paraId="05BB271A" w14:textId="77777777" w:rsidR="00D04F39" w:rsidRDefault="00D04F39" w:rsidP="0083278E">
      <w:pPr>
        <w:rPr>
          <w:rFonts w:ascii="Arial" w:hAnsi="Arial" w:cs="Arial"/>
          <w:b/>
          <w:bCs/>
        </w:rPr>
      </w:pPr>
    </w:p>
    <w:p w14:paraId="2C52FD19" w14:textId="77777777" w:rsidR="00D04F39" w:rsidRDefault="00D04F39" w:rsidP="0083278E">
      <w:pPr>
        <w:rPr>
          <w:rFonts w:ascii="Arial" w:hAnsi="Arial" w:cs="Arial"/>
          <w:b/>
          <w:bCs/>
        </w:rPr>
      </w:pPr>
    </w:p>
    <w:p w14:paraId="3774BD8D" w14:textId="77777777" w:rsidR="00D04F39" w:rsidRDefault="00D04F39" w:rsidP="0083278E">
      <w:pPr>
        <w:rPr>
          <w:rFonts w:ascii="Arial" w:hAnsi="Arial" w:cs="Arial"/>
          <w:b/>
          <w:bCs/>
        </w:rPr>
      </w:pPr>
    </w:p>
    <w:p w14:paraId="3DC11829" w14:textId="77777777" w:rsidR="00D04F39" w:rsidRDefault="00D04F39" w:rsidP="0083278E">
      <w:pPr>
        <w:rPr>
          <w:rFonts w:ascii="Arial" w:hAnsi="Arial" w:cs="Arial"/>
          <w:b/>
          <w:bCs/>
        </w:rPr>
      </w:pPr>
    </w:p>
    <w:p w14:paraId="334E3C0B" w14:textId="77777777" w:rsidR="00D04F39" w:rsidRDefault="00D04F39" w:rsidP="0083278E">
      <w:pPr>
        <w:rPr>
          <w:rFonts w:ascii="Arial" w:hAnsi="Arial" w:cs="Arial"/>
          <w:b/>
          <w:bCs/>
        </w:rPr>
      </w:pPr>
    </w:p>
    <w:p w14:paraId="62E1FAFC" w14:textId="77777777" w:rsidR="00D04F39" w:rsidRDefault="00D04F39" w:rsidP="0083278E">
      <w:pPr>
        <w:rPr>
          <w:rFonts w:ascii="Arial" w:hAnsi="Arial" w:cs="Arial"/>
          <w:b/>
          <w:bCs/>
        </w:rPr>
      </w:pPr>
    </w:p>
    <w:p w14:paraId="01166042" w14:textId="77777777" w:rsidR="00D04F39" w:rsidRDefault="00D04F39" w:rsidP="0083278E">
      <w:pPr>
        <w:rPr>
          <w:rFonts w:ascii="Arial" w:hAnsi="Arial" w:cs="Arial"/>
          <w:b/>
          <w:bCs/>
        </w:rPr>
      </w:pPr>
    </w:p>
    <w:p w14:paraId="1CB21F46" w14:textId="2A96E505" w:rsidR="00C032BB" w:rsidRPr="00C032BB" w:rsidRDefault="00C032BB" w:rsidP="0083278E">
      <w:pPr>
        <w:rPr>
          <w:rFonts w:ascii="Arial" w:hAnsi="Arial" w:cs="Arial"/>
        </w:rPr>
      </w:pPr>
    </w:p>
    <w:p w14:paraId="330E4D8E" w14:textId="49CD4EF9" w:rsidR="00D04F39" w:rsidRDefault="00C032BB" w:rsidP="0083278E">
      <w:pPr>
        <w:rPr>
          <w:rFonts w:ascii="Arial" w:hAnsi="Arial" w:cs="Arial"/>
          <w:b/>
          <w:bCs/>
        </w:rPr>
      </w:pPr>
      <w:r>
        <w:rPr>
          <w:rFonts w:ascii="Arial" w:hAnsi="Arial" w:cs="Arial"/>
          <w:b/>
          <w:bCs/>
        </w:rPr>
        <w:t>Table of Content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p>
    <w:p w14:paraId="24616047" w14:textId="723C1307" w:rsidR="00C032BB" w:rsidRDefault="00C032BB" w:rsidP="0083278E">
      <w:pPr>
        <w:rPr>
          <w:rFonts w:ascii="Arial" w:hAnsi="Arial" w:cs="Arial"/>
        </w:rPr>
      </w:pPr>
      <w:r>
        <w:rPr>
          <w:rFonts w:ascii="Arial" w:hAnsi="Arial" w:cs="Arial"/>
        </w:rPr>
        <w:t xml:space="preserve">Title </w:t>
      </w:r>
      <w:r w:rsidR="00F677FE">
        <w:rPr>
          <w:rFonts w:ascii="Arial" w:hAnsi="Arial" w:cs="Arial"/>
        </w:rPr>
        <w:t>Page --------------------------------------------------------------------------------------1</w:t>
      </w:r>
    </w:p>
    <w:p w14:paraId="3BAB4A3D" w14:textId="476B272A" w:rsidR="00F677FE" w:rsidRDefault="00F677FE" w:rsidP="0083278E">
      <w:pPr>
        <w:rPr>
          <w:rFonts w:ascii="Arial" w:hAnsi="Arial" w:cs="Arial"/>
        </w:rPr>
      </w:pPr>
      <w:r>
        <w:rPr>
          <w:rFonts w:ascii="Arial" w:hAnsi="Arial" w:cs="Arial"/>
        </w:rPr>
        <w:t>Introduction ……………………………………………………………………….3</w:t>
      </w:r>
    </w:p>
    <w:p w14:paraId="5CD09E01" w14:textId="4BE0178A" w:rsidR="00B669E5" w:rsidRDefault="00B669E5" w:rsidP="0083278E">
      <w:pPr>
        <w:rPr>
          <w:rFonts w:ascii="Arial" w:hAnsi="Arial" w:cs="Arial"/>
        </w:rPr>
      </w:pPr>
      <w:r>
        <w:rPr>
          <w:rFonts w:ascii="Arial" w:hAnsi="Arial" w:cs="Arial"/>
        </w:rPr>
        <w:t>Person-centred care in a hospital------------------------------------------------------4</w:t>
      </w:r>
    </w:p>
    <w:p w14:paraId="20063D39" w14:textId="12BC7B9A" w:rsidR="00B669E5" w:rsidRPr="00C032BB" w:rsidRDefault="00B669E5" w:rsidP="0083278E">
      <w:pPr>
        <w:rPr>
          <w:rFonts w:ascii="Arial" w:hAnsi="Arial" w:cs="Arial"/>
        </w:rPr>
      </w:pPr>
      <w:r>
        <w:rPr>
          <w:rFonts w:ascii="Arial" w:hAnsi="Arial" w:cs="Arial"/>
        </w:rPr>
        <w:t>Staff experiences and emotional labour--------------------------------------------</w:t>
      </w:r>
      <w:r w:rsidR="00EA3265">
        <w:rPr>
          <w:rFonts w:ascii="Arial" w:hAnsi="Arial" w:cs="Arial"/>
        </w:rPr>
        <w:t>5</w:t>
      </w:r>
    </w:p>
    <w:p w14:paraId="69964F8A" w14:textId="63DE7598" w:rsidR="00C032BB" w:rsidRDefault="00EA3265" w:rsidP="0083278E">
      <w:pPr>
        <w:rPr>
          <w:rFonts w:ascii="Arial" w:hAnsi="Arial" w:cs="Arial"/>
        </w:rPr>
      </w:pPr>
      <w:r>
        <w:rPr>
          <w:rFonts w:ascii="Arial" w:hAnsi="Arial" w:cs="Arial"/>
        </w:rPr>
        <w:t>Training and professional knowledge ------------------------------------------------5</w:t>
      </w:r>
    </w:p>
    <w:p w14:paraId="052F2FD1" w14:textId="733F593C" w:rsidR="00EA3265" w:rsidRDefault="00EA3265" w:rsidP="0083278E">
      <w:pPr>
        <w:rPr>
          <w:rFonts w:ascii="Arial" w:hAnsi="Arial" w:cs="Arial"/>
        </w:rPr>
      </w:pPr>
      <w:r w:rsidRPr="0095672C">
        <w:rPr>
          <w:rFonts w:ascii="Arial" w:hAnsi="Arial" w:cs="Arial"/>
          <w:b/>
          <w:bCs/>
        </w:rPr>
        <w:t>Methodology</w:t>
      </w:r>
      <w:r w:rsidR="00FF302F">
        <w:rPr>
          <w:rFonts w:ascii="Arial" w:hAnsi="Arial" w:cs="Arial"/>
        </w:rPr>
        <w:t>------------------------------------------------------------------------------------6</w:t>
      </w:r>
    </w:p>
    <w:p w14:paraId="67CAD93F" w14:textId="687E9941" w:rsidR="00EA3265" w:rsidRDefault="00EA3265" w:rsidP="0083278E">
      <w:pPr>
        <w:rPr>
          <w:rFonts w:ascii="Arial" w:hAnsi="Arial" w:cs="Arial"/>
        </w:rPr>
      </w:pPr>
      <w:r>
        <w:rPr>
          <w:rFonts w:ascii="Arial" w:hAnsi="Arial" w:cs="Arial"/>
        </w:rPr>
        <w:t xml:space="preserve">Research design </w:t>
      </w:r>
      <w:r w:rsidR="00FF302F">
        <w:rPr>
          <w:rFonts w:ascii="Arial" w:hAnsi="Arial" w:cs="Arial"/>
        </w:rPr>
        <w:t>-----------------------------------------------------------------------------6</w:t>
      </w:r>
    </w:p>
    <w:p w14:paraId="0FF62260" w14:textId="2F0ED413" w:rsidR="00EA3265" w:rsidRDefault="00EA3265" w:rsidP="0083278E">
      <w:pPr>
        <w:rPr>
          <w:rFonts w:ascii="Arial" w:hAnsi="Arial" w:cs="Arial"/>
        </w:rPr>
      </w:pPr>
      <w:r>
        <w:rPr>
          <w:rFonts w:ascii="Arial" w:hAnsi="Arial" w:cs="Arial"/>
        </w:rPr>
        <w:t>Data collection</w:t>
      </w:r>
      <w:r w:rsidR="00FF302F">
        <w:rPr>
          <w:rFonts w:ascii="Arial" w:hAnsi="Arial" w:cs="Arial"/>
        </w:rPr>
        <w:t>---------------------------------------------------------------------------------6</w:t>
      </w:r>
    </w:p>
    <w:p w14:paraId="12968506" w14:textId="66EAA009" w:rsidR="00EA3265" w:rsidRDefault="00EA3265" w:rsidP="0083278E">
      <w:pPr>
        <w:rPr>
          <w:rFonts w:ascii="Arial" w:hAnsi="Arial" w:cs="Arial"/>
        </w:rPr>
      </w:pPr>
      <w:r>
        <w:rPr>
          <w:rFonts w:ascii="Arial" w:hAnsi="Arial" w:cs="Arial"/>
        </w:rPr>
        <w:t>Inclusion and Exclusion criteria</w:t>
      </w:r>
      <w:r w:rsidR="00FF302F">
        <w:rPr>
          <w:rFonts w:ascii="Arial" w:hAnsi="Arial" w:cs="Arial"/>
        </w:rPr>
        <w:t>----------------------------------------------------------------7</w:t>
      </w:r>
    </w:p>
    <w:p w14:paraId="627A31E1" w14:textId="56CE4FDF" w:rsidR="00EA3265" w:rsidRDefault="00EA3265" w:rsidP="0083278E">
      <w:pPr>
        <w:rPr>
          <w:rFonts w:ascii="Arial" w:hAnsi="Arial" w:cs="Arial"/>
        </w:rPr>
      </w:pPr>
      <w:r>
        <w:rPr>
          <w:rFonts w:ascii="Arial" w:hAnsi="Arial" w:cs="Arial"/>
        </w:rPr>
        <w:t xml:space="preserve">Data analysis </w:t>
      </w:r>
      <w:r w:rsidR="00FF302F">
        <w:rPr>
          <w:rFonts w:ascii="Arial" w:hAnsi="Arial" w:cs="Arial"/>
        </w:rPr>
        <w:t>---------------------------------------------------------------------------------------8</w:t>
      </w:r>
    </w:p>
    <w:p w14:paraId="14C0865C" w14:textId="43DB0916" w:rsidR="00EA3265" w:rsidRDefault="00EA3265" w:rsidP="0083278E">
      <w:pPr>
        <w:rPr>
          <w:rFonts w:ascii="Arial" w:hAnsi="Arial" w:cs="Arial"/>
        </w:rPr>
      </w:pPr>
      <w:r>
        <w:rPr>
          <w:rFonts w:ascii="Arial" w:hAnsi="Arial" w:cs="Arial"/>
        </w:rPr>
        <w:t xml:space="preserve">Ethical consideration </w:t>
      </w:r>
      <w:r w:rsidR="00FF302F">
        <w:rPr>
          <w:rFonts w:ascii="Arial" w:hAnsi="Arial" w:cs="Arial"/>
        </w:rPr>
        <w:t>--------------------------------------------------------------------------8</w:t>
      </w:r>
    </w:p>
    <w:p w14:paraId="098CDC16" w14:textId="35A696F9" w:rsidR="0095672C" w:rsidRDefault="0095672C" w:rsidP="0083278E">
      <w:pPr>
        <w:rPr>
          <w:rFonts w:ascii="Arial" w:hAnsi="Arial" w:cs="Arial"/>
        </w:rPr>
      </w:pPr>
      <w:r>
        <w:rPr>
          <w:rFonts w:ascii="Arial" w:hAnsi="Arial" w:cs="Arial"/>
        </w:rPr>
        <w:t>Summary of included studies------------------------------------------------------------------9</w:t>
      </w:r>
    </w:p>
    <w:p w14:paraId="5EC4B9F6" w14:textId="44F85A1F" w:rsidR="00EA3265" w:rsidRDefault="00EA3265" w:rsidP="0083278E">
      <w:pPr>
        <w:rPr>
          <w:rFonts w:ascii="Arial" w:hAnsi="Arial" w:cs="Arial"/>
        </w:rPr>
      </w:pPr>
      <w:r w:rsidRPr="0095672C">
        <w:rPr>
          <w:rFonts w:ascii="Arial" w:hAnsi="Arial" w:cs="Arial"/>
          <w:b/>
          <w:bCs/>
        </w:rPr>
        <w:t>Results</w:t>
      </w:r>
      <w:r w:rsidR="00FF302F">
        <w:rPr>
          <w:rFonts w:ascii="Arial" w:hAnsi="Arial" w:cs="Arial"/>
        </w:rPr>
        <w:tab/>
      </w:r>
      <w:r w:rsidR="00FF302F">
        <w:rPr>
          <w:rFonts w:ascii="Arial" w:hAnsi="Arial" w:cs="Arial"/>
        </w:rPr>
        <w:tab/>
        <w:t>-----------------------------------------------------------------------------8</w:t>
      </w:r>
    </w:p>
    <w:p w14:paraId="1190FA68" w14:textId="689C1C13" w:rsidR="00EA3265" w:rsidRDefault="00EA3265" w:rsidP="0083278E">
      <w:pPr>
        <w:rPr>
          <w:rFonts w:ascii="Arial" w:hAnsi="Arial" w:cs="Arial"/>
        </w:rPr>
      </w:pPr>
      <w:r>
        <w:rPr>
          <w:rFonts w:ascii="Arial" w:hAnsi="Arial" w:cs="Arial"/>
        </w:rPr>
        <w:t>Theme 1: staff workload and difficulties in care</w:t>
      </w:r>
      <w:r w:rsidR="00FF302F">
        <w:rPr>
          <w:rFonts w:ascii="Arial" w:hAnsi="Arial" w:cs="Arial"/>
        </w:rPr>
        <w:t>-----------------------------------------</w:t>
      </w:r>
      <w:r w:rsidR="0095672C">
        <w:rPr>
          <w:rFonts w:ascii="Arial" w:hAnsi="Arial" w:cs="Arial"/>
        </w:rPr>
        <w:t>10</w:t>
      </w:r>
    </w:p>
    <w:p w14:paraId="48975129" w14:textId="0E5E2FFB" w:rsidR="00EA3265" w:rsidRDefault="00EA3265" w:rsidP="0083278E">
      <w:pPr>
        <w:rPr>
          <w:rFonts w:ascii="Arial" w:hAnsi="Arial" w:cs="Arial"/>
        </w:rPr>
      </w:pPr>
      <w:r>
        <w:rPr>
          <w:rFonts w:ascii="Arial" w:hAnsi="Arial" w:cs="Arial"/>
        </w:rPr>
        <w:t>Theme</w:t>
      </w:r>
      <w:r w:rsidR="00FF302F">
        <w:rPr>
          <w:rFonts w:ascii="Arial" w:hAnsi="Arial" w:cs="Arial"/>
        </w:rPr>
        <w:t xml:space="preserve"> </w:t>
      </w:r>
      <w:r>
        <w:rPr>
          <w:rFonts w:ascii="Arial" w:hAnsi="Arial" w:cs="Arial"/>
        </w:rPr>
        <w:t>2</w:t>
      </w:r>
      <w:r w:rsidR="00FF302F">
        <w:rPr>
          <w:rFonts w:ascii="Arial" w:hAnsi="Arial" w:cs="Arial"/>
        </w:rPr>
        <w:t>: Training and professional knowledge ------------------------------------------</w:t>
      </w:r>
      <w:r w:rsidR="0095672C">
        <w:rPr>
          <w:rFonts w:ascii="Arial" w:hAnsi="Arial" w:cs="Arial"/>
        </w:rPr>
        <w:t>10</w:t>
      </w:r>
    </w:p>
    <w:p w14:paraId="6D14B790" w14:textId="54DC489C" w:rsidR="00FF302F" w:rsidRDefault="00FF302F" w:rsidP="0083278E">
      <w:pPr>
        <w:rPr>
          <w:rFonts w:ascii="Arial" w:hAnsi="Arial" w:cs="Arial"/>
        </w:rPr>
      </w:pPr>
      <w:r>
        <w:rPr>
          <w:rFonts w:ascii="Arial" w:hAnsi="Arial" w:cs="Arial"/>
        </w:rPr>
        <w:t>Theme 3: Emotional impact on staff--------------------------------------------------------</w:t>
      </w:r>
      <w:r w:rsidR="0095672C">
        <w:rPr>
          <w:rFonts w:ascii="Arial" w:hAnsi="Arial" w:cs="Arial"/>
        </w:rPr>
        <w:t>11</w:t>
      </w:r>
    </w:p>
    <w:p w14:paraId="59D3D2B0" w14:textId="6867FBBA" w:rsidR="00FF302F" w:rsidRDefault="00FF302F" w:rsidP="0083278E">
      <w:pPr>
        <w:rPr>
          <w:rFonts w:ascii="Arial" w:hAnsi="Arial" w:cs="Arial"/>
        </w:rPr>
      </w:pPr>
      <w:r>
        <w:rPr>
          <w:rFonts w:ascii="Arial" w:hAnsi="Arial" w:cs="Arial"/>
        </w:rPr>
        <w:t>Theme 4: Organisational support and workplace environment-----------------</w:t>
      </w:r>
      <w:r w:rsidR="0095672C">
        <w:rPr>
          <w:rFonts w:ascii="Arial" w:hAnsi="Arial" w:cs="Arial"/>
        </w:rPr>
        <w:t>----11</w:t>
      </w:r>
    </w:p>
    <w:p w14:paraId="09351DCB" w14:textId="09C57285" w:rsidR="00FF302F" w:rsidRDefault="00FF302F" w:rsidP="0083278E">
      <w:pPr>
        <w:rPr>
          <w:rFonts w:ascii="Arial" w:hAnsi="Arial" w:cs="Arial"/>
        </w:rPr>
      </w:pPr>
      <w:r w:rsidRPr="0095672C">
        <w:rPr>
          <w:rFonts w:ascii="Arial" w:hAnsi="Arial" w:cs="Arial"/>
          <w:b/>
          <w:bCs/>
        </w:rPr>
        <w:t>Discussion-</w:t>
      </w:r>
      <w:r>
        <w:rPr>
          <w:rFonts w:ascii="Arial" w:hAnsi="Arial" w:cs="Arial"/>
        </w:rPr>
        <w:t>--------------------------------------------------------------------------------</w:t>
      </w:r>
      <w:r w:rsidR="0095672C">
        <w:rPr>
          <w:rFonts w:ascii="Arial" w:hAnsi="Arial" w:cs="Arial"/>
        </w:rPr>
        <w:t>12</w:t>
      </w:r>
    </w:p>
    <w:p w14:paraId="5EAB4C51" w14:textId="33A8FBCE" w:rsidR="00FF302F" w:rsidRDefault="00FF302F" w:rsidP="0083278E">
      <w:pPr>
        <w:rPr>
          <w:rFonts w:ascii="Arial" w:hAnsi="Arial" w:cs="Arial"/>
        </w:rPr>
      </w:pPr>
      <w:r>
        <w:rPr>
          <w:rFonts w:ascii="Arial" w:hAnsi="Arial" w:cs="Arial"/>
        </w:rPr>
        <w:t>Conclusion and recommendation ---------------------------------------------------</w:t>
      </w:r>
      <w:r w:rsidR="0095672C">
        <w:rPr>
          <w:rFonts w:ascii="Arial" w:hAnsi="Arial" w:cs="Arial"/>
        </w:rPr>
        <w:t>13</w:t>
      </w:r>
    </w:p>
    <w:p w14:paraId="6E9374BB" w14:textId="480EB3E1" w:rsidR="00FF302F" w:rsidRDefault="00FF302F" w:rsidP="0083278E">
      <w:pPr>
        <w:rPr>
          <w:rFonts w:ascii="Arial" w:hAnsi="Arial" w:cs="Arial"/>
        </w:rPr>
      </w:pPr>
      <w:r>
        <w:rPr>
          <w:rFonts w:ascii="Arial" w:hAnsi="Arial" w:cs="Arial"/>
        </w:rPr>
        <w:t>References----------------------------------------------------------------------------------------------</w:t>
      </w:r>
      <w:r w:rsidR="0095672C">
        <w:rPr>
          <w:rFonts w:ascii="Arial" w:hAnsi="Arial" w:cs="Arial"/>
        </w:rPr>
        <w:t>15</w:t>
      </w:r>
    </w:p>
    <w:p w14:paraId="7EBD7D95" w14:textId="77777777" w:rsidR="00FF302F" w:rsidRDefault="00FF302F" w:rsidP="0083278E">
      <w:pPr>
        <w:rPr>
          <w:rFonts w:ascii="Arial" w:hAnsi="Arial" w:cs="Arial"/>
        </w:rPr>
      </w:pPr>
    </w:p>
    <w:p w14:paraId="31DD58EA" w14:textId="77777777" w:rsidR="00FF302F" w:rsidRDefault="00FF302F" w:rsidP="0083278E">
      <w:pPr>
        <w:rPr>
          <w:rFonts w:ascii="Arial" w:hAnsi="Arial" w:cs="Arial"/>
        </w:rPr>
      </w:pPr>
    </w:p>
    <w:p w14:paraId="603378A6" w14:textId="77777777" w:rsidR="00FF302F" w:rsidRDefault="00FF302F" w:rsidP="0083278E">
      <w:pPr>
        <w:rPr>
          <w:rFonts w:ascii="Arial" w:hAnsi="Arial" w:cs="Arial"/>
        </w:rPr>
      </w:pPr>
    </w:p>
    <w:p w14:paraId="4E5098DD" w14:textId="77777777" w:rsidR="00D04F39" w:rsidRDefault="00D04F39" w:rsidP="0083278E">
      <w:pPr>
        <w:rPr>
          <w:rFonts w:ascii="Arial" w:hAnsi="Arial" w:cs="Arial"/>
          <w:b/>
          <w:bCs/>
        </w:rPr>
      </w:pPr>
    </w:p>
    <w:p w14:paraId="3D8287DA" w14:textId="7161C1B1" w:rsidR="00B13F89" w:rsidRPr="00D04F39" w:rsidRDefault="0083278E" w:rsidP="0083278E">
      <w:pPr>
        <w:rPr>
          <w:rFonts w:ascii="Arial" w:hAnsi="Arial" w:cs="Arial"/>
          <w:b/>
          <w:bCs/>
        </w:rPr>
      </w:pPr>
      <w:r w:rsidRPr="00D04F39">
        <w:rPr>
          <w:rFonts w:ascii="Arial" w:hAnsi="Arial" w:cs="Arial"/>
          <w:b/>
          <w:bCs/>
        </w:rPr>
        <w:lastRenderedPageBreak/>
        <w:t xml:space="preserve">Introduction </w:t>
      </w:r>
    </w:p>
    <w:p w14:paraId="53A27AAE" w14:textId="3BC81F66" w:rsidR="00B13F89" w:rsidRPr="00F677FE" w:rsidRDefault="00D04F39" w:rsidP="00F677FE">
      <w:pPr>
        <w:jc w:val="both"/>
        <w:rPr>
          <w:rFonts w:ascii="Arial" w:hAnsi="Arial" w:cs="Arial"/>
          <w:sz w:val="22"/>
          <w:szCs w:val="22"/>
        </w:rPr>
      </w:pPr>
      <w:r w:rsidRPr="00F677FE">
        <w:rPr>
          <w:rFonts w:ascii="Arial" w:hAnsi="Arial" w:cs="Arial"/>
          <w:sz w:val="22"/>
          <w:szCs w:val="22"/>
        </w:rPr>
        <w:t>Dementia is a progressive neurological disease characterised by cognitive decline, change in behaviour and impaired functioning, leading to a loss of independence in activities of daily living (WHO, 2023). Dementia poses a significant health challenge in the UK, with an estimated 900,000 people currently living with the condition and a rising demand for acute hospital care (Alzheimer's Society, 2023). As individuals with dementia often have multiple physical and psychiatric needs, they encounter challenges in hospital settings for both the patients and the staff (Prince et al 2016).</w:t>
      </w:r>
    </w:p>
    <w:p w14:paraId="1B493FCD" w14:textId="64659C32" w:rsidR="00B13F89" w:rsidRPr="002F4D7E" w:rsidRDefault="00B13F89" w:rsidP="00F677FE">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Hospital environments are commonly thought to be poorly</w:t>
      </w:r>
      <w:r w:rsidR="009A7E64">
        <w:rPr>
          <w:rFonts w:ascii="Arial" w:eastAsia="Calibri" w:hAnsi="Arial" w:cs="Arial"/>
          <w:kern w:val="0"/>
          <w:sz w:val="22"/>
          <w:szCs w:val="22"/>
        </w:rPr>
        <w:t xml:space="preserve"> </w:t>
      </w:r>
      <w:r w:rsidRPr="002F4D7E">
        <w:rPr>
          <w:rFonts w:ascii="Arial" w:eastAsia="Calibri" w:hAnsi="Arial" w:cs="Arial"/>
          <w:kern w:val="0"/>
          <w:sz w:val="22"/>
          <w:szCs w:val="22"/>
        </w:rPr>
        <w:t xml:space="preserve">designed for people living with dementia, as they often prioritise effective care ‌and treatment over developing person-centred </w:t>
      </w:r>
      <w:r w:rsidR="009A7E64">
        <w:rPr>
          <w:rFonts w:ascii="Arial" w:eastAsia="Calibri" w:hAnsi="Arial" w:cs="Arial"/>
          <w:kern w:val="0"/>
          <w:sz w:val="22"/>
          <w:szCs w:val="22"/>
        </w:rPr>
        <w:t>care</w:t>
      </w:r>
      <w:r w:rsidRPr="002F4D7E">
        <w:rPr>
          <w:rFonts w:ascii="Arial" w:eastAsia="Calibri" w:hAnsi="Arial" w:cs="Arial"/>
          <w:kern w:val="0"/>
          <w:sz w:val="22"/>
          <w:szCs w:val="22"/>
        </w:rPr>
        <w:t xml:space="preserve"> </w:t>
      </w:r>
      <w:r w:rsidR="00BA667B">
        <w:rPr>
          <w:rFonts w:ascii="Arial" w:eastAsia="Calibri" w:hAnsi="Arial" w:cs="Arial"/>
          <w:kern w:val="0"/>
          <w:sz w:val="22"/>
          <w:szCs w:val="22"/>
        </w:rPr>
        <w:t>(</w:t>
      </w:r>
      <w:r w:rsidRPr="002F4D7E">
        <w:rPr>
          <w:rFonts w:ascii="Arial" w:eastAsia="Calibri" w:hAnsi="Arial" w:cs="Arial"/>
          <w:kern w:val="0"/>
          <w:sz w:val="22"/>
          <w:szCs w:val="22"/>
        </w:rPr>
        <w:t>White</w:t>
      </w:r>
      <w:r w:rsidR="0083278E">
        <w:rPr>
          <w:rFonts w:ascii="Arial" w:eastAsia="Calibri" w:hAnsi="Arial" w:cs="Arial"/>
          <w:kern w:val="0"/>
          <w:sz w:val="22"/>
          <w:szCs w:val="22"/>
        </w:rPr>
        <w:t xml:space="preserve">, </w:t>
      </w:r>
      <w:r w:rsidRPr="002F4D7E">
        <w:rPr>
          <w:rFonts w:ascii="Arial" w:eastAsia="Calibri" w:hAnsi="Arial" w:cs="Arial"/>
          <w:kern w:val="0"/>
          <w:sz w:val="22"/>
          <w:szCs w:val="22"/>
        </w:rPr>
        <w:t>2022</w:t>
      </w:r>
      <w:r w:rsidR="009A7E64">
        <w:rPr>
          <w:rFonts w:ascii="Arial" w:eastAsia="Calibri" w:hAnsi="Arial" w:cs="Arial"/>
          <w:kern w:val="0"/>
          <w:sz w:val="22"/>
          <w:szCs w:val="22"/>
        </w:rPr>
        <w:t xml:space="preserve">). </w:t>
      </w:r>
      <w:r w:rsidRPr="002F4D7E">
        <w:rPr>
          <w:rFonts w:ascii="Arial" w:eastAsia="Calibri" w:hAnsi="Arial" w:cs="Arial"/>
          <w:kern w:val="0"/>
          <w:sz w:val="22"/>
          <w:szCs w:val="22"/>
        </w:rPr>
        <w:t xml:space="preserve">The number of unfamiliar items in a hospital and the overstimulating design may increase confusion and agitation for people living with dementia, as well as pose difficulties for healthcare </w:t>
      </w:r>
      <w:r w:rsidR="00DB2470" w:rsidRPr="002F4D7E">
        <w:rPr>
          <w:rFonts w:ascii="Arial" w:eastAsia="Calibri" w:hAnsi="Arial" w:cs="Arial"/>
          <w:kern w:val="0"/>
          <w:sz w:val="22"/>
          <w:szCs w:val="22"/>
        </w:rPr>
        <w:t xml:space="preserve">professionals </w:t>
      </w:r>
      <w:r w:rsidR="00BA667B">
        <w:rPr>
          <w:rFonts w:ascii="Arial" w:eastAsia="Calibri" w:hAnsi="Arial" w:cs="Arial"/>
          <w:kern w:val="0"/>
          <w:sz w:val="22"/>
          <w:szCs w:val="22"/>
        </w:rPr>
        <w:t>(</w:t>
      </w:r>
      <w:r w:rsidR="00DB2470" w:rsidRPr="002F4D7E">
        <w:rPr>
          <w:rFonts w:ascii="Arial" w:eastAsia="Calibri" w:hAnsi="Arial" w:cs="Arial"/>
          <w:kern w:val="0"/>
          <w:sz w:val="22"/>
          <w:szCs w:val="22"/>
        </w:rPr>
        <w:t>Featherstone</w:t>
      </w:r>
      <w:r w:rsidRPr="002F4D7E">
        <w:rPr>
          <w:rFonts w:ascii="Arial" w:eastAsia="Calibri" w:hAnsi="Arial" w:cs="Arial"/>
          <w:kern w:val="0"/>
          <w:sz w:val="22"/>
          <w:szCs w:val="22"/>
        </w:rPr>
        <w:t xml:space="preserve"> 2019</w:t>
      </w:r>
      <w:r w:rsidR="00DB2470">
        <w:rPr>
          <w:rFonts w:ascii="Arial" w:eastAsia="Calibri" w:hAnsi="Arial" w:cs="Arial"/>
          <w:kern w:val="0"/>
          <w:sz w:val="22"/>
          <w:szCs w:val="22"/>
        </w:rPr>
        <w:t>)</w:t>
      </w:r>
      <w:r w:rsidR="00BA667B">
        <w:rPr>
          <w:rFonts w:ascii="Arial" w:eastAsia="Calibri" w:hAnsi="Arial" w:cs="Arial"/>
          <w:kern w:val="0"/>
          <w:sz w:val="22"/>
          <w:szCs w:val="22"/>
        </w:rPr>
        <w:t>.</w:t>
      </w:r>
      <w:r w:rsidRPr="002F4D7E">
        <w:rPr>
          <w:rFonts w:ascii="Arial" w:eastAsia="Calibri" w:hAnsi="Arial" w:cs="Arial"/>
          <w:kern w:val="0"/>
          <w:sz w:val="22"/>
          <w:szCs w:val="22"/>
        </w:rPr>
        <w:t xml:space="preserve"> As a result, the experiences of staff supporting people living with dementia ‌are closely linked with patient outcomes and service quality</w:t>
      </w:r>
      <w:r w:rsidRPr="002F4D7E">
        <w:rPr>
          <w:rFonts w:ascii="MS Gothic" w:eastAsia="MS Gothic" w:hAnsi="MS Gothic" w:cs="MS Gothic" w:hint="eastAsia"/>
          <w:kern w:val="0"/>
          <w:sz w:val="22"/>
          <w:szCs w:val="22"/>
        </w:rPr>
        <w:t>․</w:t>
      </w:r>
    </w:p>
    <w:p w14:paraId="64216619" w14:textId="3D821503"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 xml:space="preserve">In general, nurses and </w:t>
      </w:r>
      <w:r w:rsidR="00DB2470">
        <w:rPr>
          <w:rFonts w:ascii="Arial" w:eastAsia="Calibri" w:hAnsi="Arial" w:cs="Arial"/>
          <w:kern w:val="0"/>
          <w:sz w:val="22"/>
          <w:szCs w:val="22"/>
        </w:rPr>
        <w:t>health care assistants</w:t>
      </w:r>
      <w:r w:rsidRPr="002F4D7E">
        <w:rPr>
          <w:rFonts w:ascii="Arial" w:eastAsia="Calibri" w:hAnsi="Arial" w:cs="Arial"/>
          <w:kern w:val="0"/>
          <w:sz w:val="22"/>
          <w:szCs w:val="22"/>
        </w:rPr>
        <w:t xml:space="preserve"> in hospitals have an important role in delivering care and support for people living with dementia</w:t>
      </w:r>
      <w:r w:rsidR="00F677FE">
        <w:rPr>
          <w:rFonts w:ascii="Arial" w:eastAsia="Calibri" w:hAnsi="Arial" w:cs="Arial"/>
          <w:kern w:val="0"/>
          <w:sz w:val="22"/>
          <w:szCs w:val="22"/>
        </w:rPr>
        <w:t>;</w:t>
      </w:r>
      <w:r w:rsidRPr="002F4D7E">
        <w:rPr>
          <w:rFonts w:ascii="Arial" w:eastAsia="Calibri" w:hAnsi="Arial" w:cs="Arial"/>
          <w:kern w:val="0"/>
          <w:sz w:val="22"/>
          <w:szCs w:val="22"/>
        </w:rPr>
        <w:t xml:space="preserve"> evidence shows that they face many difficulties in terms of providing ‌care, including heavy workloads, few training opportunities and experiences of emotional distress</w:t>
      </w:r>
      <w:r w:rsidR="00BA667B">
        <w:rPr>
          <w:rFonts w:ascii="Arial" w:eastAsia="Calibri" w:hAnsi="Arial" w:cs="Arial"/>
          <w:kern w:val="0"/>
          <w:sz w:val="22"/>
          <w:szCs w:val="22"/>
        </w:rPr>
        <w:t xml:space="preserve"> (</w:t>
      </w:r>
      <w:r w:rsidRPr="002F4D7E">
        <w:rPr>
          <w:rFonts w:ascii="Arial" w:eastAsia="Calibri" w:hAnsi="Arial" w:cs="Arial"/>
          <w:kern w:val="0"/>
          <w:sz w:val="22"/>
          <w:szCs w:val="22"/>
        </w:rPr>
        <w:t>Gwernan-Jones</w:t>
      </w:r>
      <w:r w:rsidR="00BA667B">
        <w:rPr>
          <w:rFonts w:ascii="Arial" w:eastAsia="Calibri" w:hAnsi="Arial" w:cs="Arial"/>
          <w:kern w:val="0"/>
          <w:sz w:val="22"/>
          <w:szCs w:val="22"/>
        </w:rPr>
        <w:t xml:space="preserve">, </w:t>
      </w:r>
      <w:r w:rsidR="00DB2470" w:rsidRPr="002F4D7E">
        <w:rPr>
          <w:rFonts w:ascii="Arial" w:eastAsia="Calibri" w:hAnsi="Arial" w:cs="Arial"/>
          <w:kern w:val="0"/>
          <w:sz w:val="22"/>
          <w:szCs w:val="22"/>
        </w:rPr>
        <w:t>2020</w:t>
      </w:r>
      <w:r w:rsidR="00DB2470">
        <w:rPr>
          <w:rFonts w:ascii="Arial" w:eastAsia="Calibri" w:hAnsi="Arial" w:cs="Arial"/>
          <w:kern w:val="0"/>
          <w:sz w:val="22"/>
          <w:szCs w:val="22"/>
        </w:rPr>
        <w:t xml:space="preserve">). </w:t>
      </w:r>
      <w:r w:rsidRPr="002F4D7E">
        <w:rPr>
          <w:rFonts w:ascii="Arial" w:eastAsia="Calibri" w:hAnsi="Arial" w:cs="Arial"/>
          <w:kern w:val="0"/>
          <w:sz w:val="22"/>
          <w:szCs w:val="22"/>
        </w:rPr>
        <w:t xml:space="preserve">Although ‌staff may be motivated to provide high-quality care, institutional constraints may limit </w:t>
      </w:r>
      <w:r w:rsidR="00BA667B">
        <w:rPr>
          <w:rFonts w:ascii="Arial" w:eastAsia="Calibri" w:hAnsi="Arial" w:cs="Arial"/>
          <w:kern w:val="0"/>
          <w:sz w:val="22"/>
          <w:szCs w:val="22"/>
        </w:rPr>
        <w:t xml:space="preserve">the </w:t>
      </w:r>
      <w:r w:rsidRPr="002F4D7E">
        <w:rPr>
          <w:rFonts w:ascii="Arial" w:eastAsia="Calibri" w:hAnsi="Arial" w:cs="Arial"/>
          <w:kern w:val="0"/>
          <w:sz w:val="22"/>
          <w:szCs w:val="22"/>
        </w:rPr>
        <w:t xml:space="preserve">performance of person-centred approaches </w:t>
      </w:r>
      <w:r w:rsidR="00BA667B">
        <w:rPr>
          <w:rFonts w:ascii="Arial" w:eastAsia="Calibri" w:hAnsi="Arial" w:cs="Arial"/>
          <w:kern w:val="0"/>
          <w:sz w:val="22"/>
          <w:szCs w:val="22"/>
        </w:rPr>
        <w:t>(</w:t>
      </w:r>
      <w:r w:rsidRPr="002F4D7E">
        <w:rPr>
          <w:rFonts w:ascii="Arial" w:eastAsia="Calibri" w:hAnsi="Arial" w:cs="Arial"/>
          <w:kern w:val="0"/>
          <w:sz w:val="22"/>
          <w:szCs w:val="22"/>
        </w:rPr>
        <w:t>White</w:t>
      </w:r>
      <w:r w:rsidR="00537B40">
        <w:rPr>
          <w:rFonts w:ascii="Arial" w:eastAsia="Calibri" w:hAnsi="Arial" w:cs="Arial"/>
          <w:kern w:val="0"/>
          <w:sz w:val="22"/>
          <w:szCs w:val="22"/>
        </w:rPr>
        <w:t xml:space="preserve">, </w:t>
      </w:r>
      <w:r w:rsidRPr="002F4D7E">
        <w:rPr>
          <w:rFonts w:ascii="Arial" w:eastAsia="Calibri" w:hAnsi="Arial" w:cs="Arial"/>
          <w:kern w:val="0"/>
          <w:sz w:val="22"/>
          <w:szCs w:val="22"/>
        </w:rPr>
        <w:t>2022).</w:t>
      </w:r>
    </w:p>
    <w:p w14:paraId="7056C9FC" w14:textId="0EA1EBB3"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Although there is important literature on staff perspectives of dementia care, these perspectives are not aggregated and are spread across multiple study designs and health care settings</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xml:space="preserve"> Furthermore, the emphasis of the literature tends to favour either organisational barriers to dementia care or knowledge and emotional labour of professionals</w:t>
      </w:r>
      <w:r w:rsidR="00DB2470">
        <w:rPr>
          <w:rFonts w:ascii="Arial" w:eastAsia="Calibri" w:hAnsi="Arial" w:cs="Arial"/>
          <w:kern w:val="0"/>
          <w:sz w:val="22"/>
          <w:szCs w:val="22"/>
        </w:rPr>
        <w:t xml:space="preserve">, </w:t>
      </w:r>
      <w:r w:rsidRPr="002F4D7E">
        <w:rPr>
          <w:rFonts w:ascii="Arial" w:eastAsia="Calibri" w:hAnsi="Arial" w:cs="Arial"/>
          <w:kern w:val="0"/>
          <w:sz w:val="22"/>
          <w:szCs w:val="22"/>
        </w:rPr>
        <w:t>White et al</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xml:space="preserve">, </w:t>
      </w:r>
      <w:r w:rsidR="00DB2470">
        <w:rPr>
          <w:rFonts w:ascii="Arial" w:eastAsia="Calibri" w:hAnsi="Arial" w:cs="Arial"/>
          <w:kern w:val="0"/>
          <w:sz w:val="22"/>
          <w:szCs w:val="22"/>
        </w:rPr>
        <w:t>(</w:t>
      </w:r>
      <w:r w:rsidRPr="002F4D7E">
        <w:rPr>
          <w:rFonts w:ascii="Arial" w:eastAsia="Calibri" w:hAnsi="Arial" w:cs="Arial"/>
          <w:kern w:val="0"/>
          <w:sz w:val="22"/>
          <w:szCs w:val="22"/>
        </w:rPr>
        <w:t xml:space="preserve">2022). Due to the fragmented </w:t>
      </w:r>
      <w:r w:rsidR="00DB2470" w:rsidRPr="002F4D7E">
        <w:rPr>
          <w:rFonts w:ascii="Arial" w:eastAsia="Calibri" w:hAnsi="Arial" w:cs="Arial"/>
          <w:kern w:val="0"/>
          <w:sz w:val="22"/>
          <w:szCs w:val="22"/>
        </w:rPr>
        <w:t>literature, staff</w:t>
      </w:r>
      <w:r w:rsidRPr="002F4D7E">
        <w:rPr>
          <w:rFonts w:ascii="Arial" w:eastAsia="Calibri" w:hAnsi="Arial" w:cs="Arial"/>
          <w:kern w:val="0"/>
          <w:sz w:val="22"/>
          <w:szCs w:val="22"/>
        </w:rPr>
        <w:t xml:space="preserve"> experiences overall cannot currently be understood, making a scoping review appropriate for mapping research and recognising patterns and gaps in the existing ‌literature (Arksey and O'Malley, ‌2005).</w:t>
      </w:r>
    </w:p>
    <w:p w14:paraId="4C8FC0E2" w14:textId="77777777"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The review question for this study is:</w:t>
      </w:r>
    </w:p>
    <w:p w14:paraId="41E76D27" w14:textId="77777777"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What are the common themes of the experiences of staff who work with and support people living with dementia in hospital settings in the UK, according to peer-reviewed literature?</w:t>
      </w:r>
    </w:p>
    <w:p w14:paraId="66533CD8" w14:textId="77777777"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This review would:</w:t>
      </w:r>
    </w:p>
    <w:p w14:paraId="225215D8" w14:textId="77777777" w:rsidR="00B13F89" w:rsidRPr="002F4D7E" w:rsidRDefault="00B13F89" w:rsidP="00B13F89">
      <w:pPr>
        <w:numPr>
          <w:ilvl w:val="0"/>
          <w:numId w:val="1"/>
        </w:numPr>
        <w:spacing w:line="360" w:lineRule="auto"/>
        <w:contextualSpacing/>
        <w:jc w:val="both"/>
        <w:rPr>
          <w:rFonts w:ascii="Arial" w:eastAsia="Calibri" w:hAnsi="Arial" w:cs="Arial"/>
          <w:kern w:val="0"/>
          <w:sz w:val="22"/>
          <w:szCs w:val="22"/>
        </w:rPr>
      </w:pPr>
      <w:r w:rsidRPr="002F4D7E">
        <w:rPr>
          <w:rFonts w:ascii="Arial" w:eastAsia="Calibri" w:hAnsi="Arial" w:cs="Arial"/>
          <w:kern w:val="0"/>
          <w:sz w:val="22"/>
          <w:szCs w:val="22"/>
        </w:rPr>
        <w:t>To examine the key themes of staff experiences of dementia care in hospitals</w:t>
      </w:r>
      <w:r w:rsidRPr="002F4D7E">
        <w:rPr>
          <w:rFonts w:ascii="MS Gothic" w:eastAsia="MS Gothic" w:hAnsi="MS Gothic" w:cs="MS Gothic" w:hint="eastAsia"/>
          <w:kern w:val="0"/>
          <w:sz w:val="22"/>
          <w:szCs w:val="22"/>
        </w:rPr>
        <w:t>․</w:t>
      </w:r>
    </w:p>
    <w:p w14:paraId="421CBE1C" w14:textId="77777777" w:rsidR="00B13F89" w:rsidRPr="002F4D7E" w:rsidRDefault="00B13F89" w:rsidP="00B13F89">
      <w:pPr>
        <w:numPr>
          <w:ilvl w:val="0"/>
          <w:numId w:val="1"/>
        </w:numPr>
        <w:spacing w:line="360" w:lineRule="auto"/>
        <w:contextualSpacing/>
        <w:jc w:val="both"/>
        <w:rPr>
          <w:rFonts w:ascii="Arial" w:eastAsia="Calibri" w:hAnsi="Arial" w:cs="Arial"/>
          <w:kern w:val="0"/>
          <w:sz w:val="22"/>
          <w:szCs w:val="22"/>
        </w:rPr>
      </w:pPr>
      <w:r w:rsidRPr="002F4D7E">
        <w:rPr>
          <w:rFonts w:ascii="Arial" w:eastAsia="Calibri" w:hAnsi="Arial" w:cs="Arial"/>
          <w:kern w:val="0"/>
          <w:sz w:val="22"/>
          <w:szCs w:val="22"/>
        </w:rPr>
        <w:t>To identify barriers and facilitators to person-centred dementia care</w:t>
      </w:r>
      <w:r w:rsidRPr="002F4D7E">
        <w:rPr>
          <w:rFonts w:ascii="MS Gothic" w:eastAsia="MS Gothic" w:hAnsi="MS Gothic" w:cs="MS Gothic" w:hint="eastAsia"/>
          <w:kern w:val="0"/>
          <w:sz w:val="22"/>
          <w:szCs w:val="22"/>
        </w:rPr>
        <w:t>․</w:t>
      </w:r>
    </w:p>
    <w:p w14:paraId="63B60C51" w14:textId="087AF1F6" w:rsidR="00B13F89" w:rsidRPr="002F4D7E" w:rsidRDefault="00B13F89" w:rsidP="00B13F89">
      <w:pPr>
        <w:numPr>
          <w:ilvl w:val="0"/>
          <w:numId w:val="1"/>
        </w:numPr>
        <w:spacing w:line="360" w:lineRule="auto"/>
        <w:contextualSpacing/>
        <w:jc w:val="both"/>
        <w:rPr>
          <w:rFonts w:ascii="Arial" w:eastAsia="Calibri" w:hAnsi="Arial" w:cs="Arial"/>
          <w:kern w:val="0"/>
          <w:sz w:val="22"/>
          <w:szCs w:val="22"/>
        </w:rPr>
      </w:pPr>
      <w:r w:rsidRPr="002F4D7E">
        <w:rPr>
          <w:rFonts w:ascii="Arial" w:eastAsia="Calibri" w:hAnsi="Arial" w:cs="Arial"/>
          <w:kern w:val="0"/>
          <w:sz w:val="22"/>
          <w:szCs w:val="22"/>
        </w:rPr>
        <w:lastRenderedPageBreak/>
        <w:t xml:space="preserve">To identify gaps in </w:t>
      </w:r>
      <w:r w:rsidR="0083278E">
        <w:rPr>
          <w:rFonts w:ascii="Arial" w:eastAsia="Calibri" w:hAnsi="Arial" w:cs="Arial"/>
          <w:kern w:val="0"/>
          <w:sz w:val="22"/>
          <w:szCs w:val="22"/>
        </w:rPr>
        <w:t xml:space="preserve">the </w:t>
      </w:r>
      <w:r w:rsidRPr="002F4D7E">
        <w:rPr>
          <w:rFonts w:ascii="Arial" w:eastAsia="Calibri" w:hAnsi="Arial" w:cs="Arial"/>
          <w:kern w:val="0"/>
          <w:sz w:val="22"/>
          <w:szCs w:val="22"/>
        </w:rPr>
        <w:t>literature relevant to UK practice</w:t>
      </w:r>
      <w:r w:rsidRPr="002F4D7E">
        <w:rPr>
          <w:rFonts w:ascii="MS Gothic" w:eastAsia="MS Gothic" w:hAnsi="MS Gothic" w:cs="MS Gothic" w:hint="eastAsia"/>
          <w:kern w:val="0"/>
          <w:sz w:val="22"/>
          <w:szCs w:val="22"/>
        </w:rPr>
        <w:t>․</w:t>
      </w:r>
    </w:p>
    <w:p w14:paraId="089F1E41" w14:textId="5406E6BC" w:rsidR="00B13F89" w:rsidRPr="001B2C38" w:rsidRDefault="001B2C38" w:rsidP="001B2C38">
      <w:pPr>
        <w:rPr>
          <w:rFonts w:ascii="Arial" w:hAnsi="Arial" w:cs="Arial"/>
          <w:b/>
          <w:bCs/>
          <w:sz w:val="22"/>
          <w:szCs w:val="22"/>
        </w:rPr>
      </w:pPr>
      <w:r w:rsidRPr="001B2C38">
        <w:rPr>
          <w:rFonts w:ascii="Arial" w:hAnsi="Arial" w:cs="Arial"/>
          <w:b/>
          <w:bCs/>
          <w:sz w:val="22"/>
          <w:szCs w:val="22"/>
        </w:rPr>
        <w:t>Dementia and hospital care</w:t>
      </w:r>
    </w:p>
    <w:p w14:paraId="5B58481A" w14:textId="0813C9AA"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 xml:space="preserve">Dementia is a leading cause of disability in older adults worldwide, with rates predicted to rise quickly as </w:t>
      </w:r>
      <w:r w:rsidR="00537B40">
        <w:rPr>
          <w:rFonts w:ascii="Arial" w:eastAsia="Calibri" w:hAnsi="Arial" w:cs="Arial"/>
          <w:kern w:val="0"/>
          <w:sz w:val="22"/>
          <w:szCs w:val="22"/>
        </w:rPr>
        <w:t xml:space="preserve">the </w:t>
      </w:r>
      <w:r w:rsidRPr="002F4D7E">
        <w:rPr>
          <w:rFonts w:ascii="Arial" w:eastAsia="Calibri" w:hAnsi="Arial" w:cs="Arial"/>
          <w:kern w:val="0"/>
          <w:sz w:val="22"/>
          <w:szCs w:val="22"/>
        </w:rPr>
        <w:t xml:space="preserve">population ages (World Health </w:t>
      </w:r>
      <w:r w:rsidR="00537B40">
        <w:rPr>
          <w:rFonts w:ascii="Arial" w:eastAsia="Calibri" w:hAnsi="Arial" w:cs="Arial"/>
          <w:kern w:val="0"/>
          <w:sz w:val="22"/>
          <w:szCs w:val="22"/>
        </w:rPr>
        <w:t>Organisation</w:t>
      </w:r>
      <w:r w:rsidRPr="002F4D7E">
        <w:rPr>
          <w:rFonts w:ascii="Arial" w:eastAsia="Calibri" w:hAnsi="Arial" w:cs="Arial"/>
          <w:kern w:val="0"/>
          <w:sz w:val="22"/>
          <w:szCs w:val="22"/>
        </w:rPr>
        <w:t>, 2023; Prince et al</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2016). In the UK, people with dementia account for a higher proportion of both total hospital and general hospital admissions and stay longer in hospital than people without cognitive impairment (Alzheimer's Society, 2023; Sampson et al</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2009).</w:t>
      </w:r>
    </w:p>
    <w:p w14:paraId="64D2F8E4" w14:textId="2254B278"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Research indicates that hospitalisation negatively impacts those living with dementia. Hospital environments increase risk for delirium, functional decline and distress (Featherstone et al</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2019; Pinkert et al, 2018)</w:t>
      </w:r>
      <w:r w:rsidR="00537B40">
        <w:rPr>
          <w:rFonts w:ascii="Arial" w:eastAsia="Calibri" w:hAnsi="Arial" w:cs="Arial"/>
          <w:kern w:val="0"/>
          <w:sz w:val="22"/>
          <w:szCs w:val="22"/>
        </w:rPr>
        <w:t>,</w:t>
      </w:r>
      <w:r w:rsidRPr="002F4D7E">
        <w:rPr>
          <w:rFonts w:ascii="Arial" w:eastAsia="Calibri" w:hAnsi="Arial" w:cs="Arial"/>
          <w:kern w:val="0"/>
          <w:sz w:val="22"/>
          <w:szCs w:val="22"/>
        </w:rPr>
        <w:t xml:space="preserve"> which complicates care</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xml:space="preserve"> As a result, staff need to adjust standard clinical practices to meet the needs of this patient population</w:t>
      </w:r>
      <w:r w:rsidRPr="002F4D7E">
        <w:rPr>
          <w:rFonts w:ascii="MS Gothic" w:eastAsia="MS Gothic" w:hAnsi="MS Gothic" w:cs="MS Gothic" w:hint="eastAsia"/>
          <w:kern w:val="0"/>
          <w:sz w:val="22"/>
          <w:szCs w:val="22"/>
        </w:rPr>
        <w:t>․</w:t>
      </w:r>
    </w:p>
    <w:p w14:paraId="0CA32ECE" w14:textId="2E6B1682" w:rsidR="00B13F89" w:rsidRPr="002F4D7E" w:rsidRDefault="00B13F89" w:rsidP="00B13F89">
      <w:pPr>
        <w:spacing w:line="360" w:lineRule="auto"/>
        <w:jc w:val="both"/>
        <w:rPr>
          <w:rFonts w:ascii="Arial" w:eastAsia="Calibri" w:hAnsi="Arial" w:cs="Arial"/>
          <w:kern w:val="0"/>
          <w:sz w:val="22"/>
          <w:szCs w:val="22"/>
        </w:rPr>
      </w:pPr>
      <w:r w:rsidRPr="002F4D7E">
        <w:rPr>
          <w:rFonts w:ascii="Arial" w:eastAsia="Calibri" w:hAnsi="Arial" w:cs="Arial"/>
          <w:kern w:val="0"/>
          <w:sz w:val="22"/>
          <w:szCs w:val="22"/>
        </w:rPr>
        <w:t>While many authors have argued that hospitals are unsuitable for people with dementia, some authors have disagreed</w:t>
      </w:r>
      <w:r w:rsidRPr="002F4D7E">
        <w:rPr>
          <w:rFonts w:ascii="MS Gothic" w:eastAsia="MS Gothic" w:hAnsi="MS Gothic" w:cs="MS Gothic" w:hint="eastAsia"/>
          <w:kern w:val="0"/>
          <w:sz w:val="22"/>
          <w:szCs w:val="22"/>
        </w:rPr>
        <w:t>․</w:t>
      </w:r>
      <w:r w:rsidR="00537B40">
        <w:rPr>
          <w:rFonts w:ascii="Arial" w:eastAsia="Calibri" w:hAnsi="Arial" w:cs="Arial"/>
          <w:kern w:val="0"/>
          <w:sz w:val="22"/>
          <w:szCs w:val="22"/>
        </w:rPr>
        <w:t xml:space="preserve">. </w:t>
      </w:r>
      <w:r w:rsidRPr="002F4D7E">
        <w:rPr>
          <w:rFonts w:ascii="Arial" w:eastAsia="Calibri" w:hAnsi="Arial" w:cs="Arial"/>
          <w:kern w:val="0"/>
          <w:sz w:val="22"/>
          <w:szCs w:val="22"/>
        </w:rPr>
        <w:t xml:space="preserve">Digby et </w:t>
      </w:r>
      <w:r w:rsidR="00537B40">
        <w:rPr>
          <w:rFonts w:ascii="Arial" w:eastAsia="Calibri" w:hAnsi="Arial" w:cs="Arial"/>
          <w:kern w:val="0"/>
          <w:sz w:val="22"/>
          <w:szCs w:val="22"/>
        </w:rPr>
        <w:t>al. (</w:t>
      </w:r>
      <w:r w:rsidRPr="002F4D7E">
        <w:rPr>
          <w:rFonts w:ascii="Arial" w:eastAsia="Calibri" w:hAnsi="Arial" w:cs="Arial"/>
          <w:kern w:val="0"/>
          <w:sz w:val="22"/>
          <w:szCs w:val="22"/>
        </w:rPr>
        <w:t xml:space="preserve">2017) conclude that how </w:t>
      </w:r>
      <w:r w:rsidR="00537B40">
        <w:rPr>
          <w:rFonts w:ascii="Arial" w:eastAsia="Calibri" w:hAnsi="Arial" w:cs="Arial"/>
          <w:kern w:val="0"/>
          <w:sz w:val="22"/>
          <w:szCs w:val="22"/>
        </w:rPr>
        <w:t>dementia care</w:t>
      </w:r>
      <w:r w:rsidRPr="002F4D7E">
        <w:rPr>
          <w:rFonts w:ascii="Arial" w:eastAsia="Calibri" w:hAnsi="Arial" w:cs="Arial"/>
          <w:kern w:val="0"/>
          <w:sz w:val="22"/>
          <w:szCs w:val="22"/>
        </w:rPr>
        <w:t xml:space="preserve"> is organised and staff support processes are more important factors than the physical environment </w:t>
      </w:r>
      <w:r w:rsidR="00537B40" w:rsidRPr="002F4D7E">
        <w:rPr>
          <w:rFonts w:ascii="Arial" w:eastAsia="Calibri" w:hAnsi="Arial" w:cs="Arial"/>
          <w:kern w:val="0"/>
          <w:sz w:val="22"/>
          <w:szCs w:val="22"/>
        </w:rPr>
        <w:t>itself</w:t>
      </w:r>
      <w:r w:rsidR="00537B40">
        <w:rPr>
          <w:rFonts w:ascii="Arial" w:eastAsia="Calibri" w:hAnsi="Arial" w:cs="Arial"/>
          <w:kern w:val="0"/>
          <w:sz w:val="22"/>
          <w:szCs w:val="22"/>
        </w:rPr>
        <w:t>.</w:t>
      </w:r>
      <w:r w:rsidR="00537B40" w:rsidRPr="002F4D7E">
        <w:rPr>
          <w:rFonts w:ascii="MS Gothic" w:eastAsia="MS Gothic" w:hAnsi="MS Gothic" w:cs="MS Gothic" w:hint="eastAsia"/>
          <w:kern w:val="0"/>
          <w:sz w:val="22"/>
          <w:szCs w:val="22"/>
        </w:rPr>
        <w:t xml:space="preserve"> </w:t>
      </w:r>
      <w:r w:rsidRPr="002F4D7E">
        <w:rPr>
          <w:rFonts w:ascii="Arial" w:eastAsia="Calibri" w:hAnsi="Arial" w:cs="Arial"/>
          <w:kern w:val="0"/>
          <w:sz w:val="22"/>
          <w:szCs w:val="22"/>
        </w:rPr>
        <w:t>Likewise, Abbott et al</w:t>
      </w:r>
      <w:r w:rsidRPr="002F4D7E">
        <w:rPr>
          <w:rFonts w:ascii="MS Gothic" w:eastAsia="MS Gothic" w:hAnsi="MS Gothic" w:cs="MS Gothic" w:hint="eastAsia"/>
          <w:kern w:val="0"/>
          <w:sz w:val="22"/>
          <w:szCs w:val="22"/>
        </w:rPr>
        <w:t>․</w:t>
      </w:r>
      <w:r w:rsidRPr="002F4D7E">
        <w:rPr>
          <w:rFonts w:ascii="Arial" w:eastAsia="Calibri" w:hAnsi="Arial" w:cs="Arial"/>
          <w:kern w:val="0"/>
          <w:sz w:val="22"/>
          <w:szCs w:val="22"/>
        </w:rPr>
        <w:t xml:space="preserve"> (2022) state that dementia-friendly initiatives and nursing education can help improve hospital environments</w:t>
      </w:r>
      <w:r w:rsidRPr="002F4D7E">
        <w:rPr>
          <w:rFonts w:ascii="Arial" w:eastAsia="MS Gothic" w:hAnsi="Arial" w:cs="Arial"/>
          <w:kern w:val="0"/>
          <w:sz w:val="22"/>
          <w:szCs w:val="22"/>
        </w:rPr>
        <w:t>.</w:t>
      </w:r>
    </w:p>
    <w:p w14:paraId="6BB42232" w14:textId="68D59529" w:rsidR="001B2C38" w:rsidRPr="00537B40" w:rsidRDefault="001B2C38" w:rsidP="001B2C38">
      <w:pPr>
        <w:rPr>
          <w:rFonts w:ascii="Arial" w:hAnsi="Arial" w:cs="Arial"/>
          <w:b/>
          <w:bCs/>
        </w:rPr>
      </w:pPr>
      <w:r w:rsidRPr="001B2C38">
        <w:rPr>
          <w:b/>
          <w:bCs/>
        </w:rPr>
        <w:t>P</w:t>
      </w:r>
      <w:r w:rsidRPr="001B2C38">
        <w:rPr>
          <w:rFonts w:ascii="Arial" w:hAnsi="Arial" w:cs="Arial"/>
          <w:b/>
          <w:bCs/>
        </w:rPr>
        <w:t>erson</w:t>
      </w:r>
      <w:r w:rsidR="00537B40">
        <w:rPr>
          <w:rFonts w:ascii="Arial" w:hAnsi="Arial" w:cs="Arial"/>
          <w:b/>
          <w:bCs/>
        </w:rPr>
        <w:t>-</w:t>
      </w:r>
      <w:r w:rsidRPr="001B2C38">
        <w:rPr>
          <w:rFonts w:ascii="Arial" w:hAnsi="Arial" w:cs="Arial"/>
          <w:b/>
          <w:bCs/>
        </w:rPr>
        <w:t xml:space="preserve">centred care in </w:t>
      </w:r>
      <w:r w:rsidR="00537B40">
        <w:rPr>
          <w:rFonts w:ascii="Arial" w:hAnsi="Arial" w:cs="Arial"/>
          <w:b/>
          <w:bCs/>
        </w:rPr>
        <w:t xml:space="preserve">a </w:t>
      </w:r>
      <w:r w:rsidRPr="001B2C38">
        <w:rPr>
          <w:rFonts w:ascii="Arial" w:hAnsi="Arial" w:cs="Arial"/>
          <w:b/>
          <w:bCs/>
        </w:rPr>
        <w:t>hospital</w:t>
      </w:r>
    </w:p>
    <w:p w14:paraId="2A783A96" w14:textId="7C743E2B"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Person-centred care is the foundation of good dementia care (Brooker and Latham, 2016). It is the use of healthcare interventions that are tailored to the individual needs, preferences</w:t>
      </w:r>
      <w:r w:rsidR="00537B40">
        <w:rPr>
          <w:rFonts w:ascii="Arial" w:hAnsi="Arial" w:cs="Arial"/>
          <w:sz w:val="22"/>
          <w:szCs w:val="22"/>
        </w:rPr>
        <w:t>,</w:t>
      </w:r>
      <w:r w:rsidRPr="00E8780D">
        <w:rPr>
          <w:rFonts w:ascii="Arial" w:hAnsi="Arial" w:cs="Arial"/>
          <w:sz w:val="22"/>
          <w:szCs w:val="22"/>
        </w:rPr>
        <w:t xml:space="preserve"> and past experiences of the person affected (</w:t>
      </w:r>
      <w:proofErr w:type="spellStart"/>
      <w:r w:rsidRPr="00E8780D">
        <w:rPr>
          <w:rFonts w:ascii="Arial" w:hAnsi="Arial" w:cs="Arial"/>
          <w:sz w:val="22"/>
          <w:szCs w:val="22"/>
        </w:rPr>
        <w:t>Kitwood</w:t>
      </w:r>
      <w:proofErr w:type="spellEnd"/>
      <w:r w:rsidRPr="00E8780D">
        <w:rPr>
          <w:rFonts w:ascii="Arial" w:hAnsi="Arial" w:cs="Arial"/>
          <w:sz w:val="22"/>
          <w:szCs w:val="22"/>
        </w:rPr>
        <w:t>, 1997). It has been associated with better well-being, lower levels of behavioural distress and a better experience of care (Alzheimer's Society, 2023; NICE, 2018). Despite a positive policy environment</w:t>
      </w:r>
      <w:r w:rsidR="00537B40">
        <w:rPr>
          <w:rFonts w:ascii="Arial" w:hAnsi="Arial" w:cs="Arial"/>
          <w:sz w:val="22"/>
          <w:szCs w:val="22"/>
        </w:rPr>
        <w:t>,</w:t>
      </w:r>
      <w:r w:rsidRPr="00E8780D">
        <w:rPr>
          <w:rFonts w:ascii="Arial" w:hAnsi="Arial" w:cs="Arial"/>
          <w:sz w:val="22"/>
          <w:szCs w:val="22"/>
        </w:rPr>
        <w:t xml:space="preserve"> person-centred dementia care in hospital settings is not always implemented</w:t>
      </w:r>
      <w:r w:rsidRPr="00E8780D">
        <w:rPr>
          <w:rFonts w:ascii="MS Gothic" w:eastAsia="MS Gothic" w:hAnsi="MS Gothic" w:cs="MS Gothic" w:hint="eastAsia"/>
          <w:sz w:val="22"/>
          <w:szCs w:val="22"/>
        </w:rPr>
        <w:t>․</w:t>
      </w:r>
    </w:p>
    <w:p w14:paraId="616C45F6" w14:textId="64371FEA"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 xml:space="preserve">Several sources highlight organisational and cultural aspects of hospital life that are inconsistent with person-centred care, like </w:t>
      </w:r>
      <w:proofErr w:type="spellStart"/>
      <w:r w:rsidRPr="00E8780D">
        <w:rPr>
          <w:rFonts w:ascii="Arial" w:hAnsi="Arial" w:cs="Arial"/>
          <w:sz w:val="22"/>
          <w:szCs w:val="22"/>
        </w:rPr>
        <w:t>Gwernan</w:t>
      </w:r>
      <w:proofErr w:type="spellEnd"/>
      <w:r w:rsidRPr="00E8780D">
        <w:rPr>
          <w:rFonts w:ascii="Arial" w:hAnsi="Arial" w:cs="Arial"/>
          <w:sz w:val="22"/>
          <w:szCs w:val="22"/>
        </w:rPr>
        <w:t>-Jones et al (2020) finding that staff frequently perceive conflicts between organisational norms and person-centred care</w:t>
      </w:r>
      <w:r w:rsidRPr="00E8780D">
        <w:rPr>
          <w:rFonts w:ascii="MS Gothic" w:eastAsia="MS Gothic" w:hAnsi="MS Gothic" w:cs="MS Gothic" w:hint="eastAsia"/>
          <w:sz w:val="22"/>
          <w:szCs w:val="22"/>
        </w:rPr>
        <w:t>․</w:t>
      </w:r>
      <w:r w:rsidRPr="00E8780D">
        <w:rPr>
          <w:rFonts w:ascii="Arial" w:hAnsi="Arial" w:cs="Arial"/>
          <w:sz w:val="22"/>
          <w:szCs w:val="22"/>
        </w:rPr>
        <w:t xml:space="preserve"> Houghton et al</w:t>
      </w:r>
      <w:r w:rsidRPr="00E8780D">
        <w:rPr>
          <w:rFonts w:ascii="MS Gothic" w:eastAsia="MS Gothic" w:hAnsi="MS Gothic" w:cs="MS Gothic" w:hint="eastAsia"/>
          <w:sz w:val="22"/>
          <w:szCs w:val="22"/>
        </w:rPr>
        <w:t>․</w:t>
      </w:r>
      <w:r w:rsidRPr="00E8780D">
        <w:rPr>
          <w:rFonts w:ascii="Arial" w:hAnsi="Arial" w:cs="Arial"/>
          <w:sz w:val="22"/>
          <w:szCs w:val="22"/>
        </w:rPr>
        <w:t xml:space="preserve"> (2016) note that staff feel they cannot provide appropriate dementia care because of a lack of time and they have to prioritise other clinical issues, suggesting person-centred care is limited by structural constraints</w:t>
      </w:r>
      <w:r w:rsidRPr="00E8780D">
        <w:rPr>
          <w:rFonts w:ascii="MS Gothic" w:eastAsia="MS Gothic" w:hAnsi="MS Gothic" w:cs="MS Gothic" w:hint="eastAsia"/>
          <w:sz w:val="22"/>
          <w:szCs w:val="22"/>
        </w:rPr>
        <w:t>․</w:t>
      </w:r>
    </w:p>
    <w:p w14:paraId="30854BAB" w14:textId="375DC78C"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Not everyone agrees with this interpretation</w:t>
      </w:r>
      <w:r w:rsidR="00111CB6">
        <w:rPr>
          <w:rFonts w:ascii="Arial" w:hAnsi="Arial" w:cs="Arial"/>
          <w:sz w:val="22"/>
          <w:szCs w:val="22"/>
        </w:rPr>
        <w:t>. For</w:t>
      </w:r>
      <w:r w:rsidRPr="00E8780D">
        <w:rPr>
          <w:rFonts w:ascii="Arial" w:hAnsi="Arial" w:cs="Arial"/>
          <w:sz w:val="22"/>
          <w:szCs w:val="22"/>
        </w:rPr>
        <w:t xml:space="preserve"> example, Abbott et al (2022) have suggested organisational innovations like specialist dementia teams and dementia-friendly ward design can improve staff experiences and support person-centred care</w:t>
      </w:r>
      <w:r w:rsidRPr="00E8780D">
        <w:rPr>
          <w:rFonts w:ascii="MS Gothic" w:eastAsia="MS Gothic" w:hAnsi="MS Gothic" w:cs="MS Gothic" w:hint="eastAsia"/>
          <w:sz w:val="22"/>
          <w:szCs w:val="22"/>
        </w:rPr>
        <w:t>․</w:t>
      </w:r>
      <w:r w:rsidRPr="00E8780D">
        <w:rPr>
          <w:rFonts w:ascii="Arial" w:hAnsi="Arial" w:cs="Arial"/>
          <w:sz w:val="22"/>
          <w:szCs w:val="22"/>
        </w:rPr>
        <w:t xml:space="preserve"> It is suggested that making </w:t>
      </w:r>
      <w:r w:rsidRPr="00E8780D">
        <w:rPr>
          <w:rFonts w:ascii="Arial" w:hAnsi="Arial" w:cs="Arial"/>
          <w:sz w:val="22"/>
          <w:szCs w:val="22"/>
        </w:rPr>
        <w:lastRenderedPageBreak/>
        <w:t>changes at an organisational level may be more important than changing individual staff behaviour</w:t>
      </w:r>
      <w:r w:rsidRPr="00E8780D">
        <w:rPr>
          <w:rFonts w:ascii="MS Gothic" w:eastAsia="MS Gothic" w:hAnsi="MS Gothic" w:cs="MS Gothic" w:hint="eastAsia"/>
          <w:sz w:val="22"/>
          <w:szCs w:val="22"/>
        </w:rPr>
        <w:t>․</w:t>
      </w:r>
      <w:r w:rsidRPr="00E8780D">
        <w:rPr>
          <w:rFonts w:ascii="Arial" w:hAnsi="Arial" w:cs="Arial"/>
          <w:sz w:val="22"/>
          <w:szCs w:val="22"/>
        </w:rPr>
        <w:t>However, White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found that while individual and organisational factors had some impact on care quality, motivation alone was not sufficient without appropriate support and institutional culture, which challenges previous research that attributed a lack of dementia care improvement as solely due to the lack of training. </w:t>
      </w:r>
    </w:p>
    <w:p w14:paraId="4519CCF5" w14:textId="4D0A7FF0" w:rsidR="001B2C38" w:rsidRPr="001B2C38" w:rsidRDefault="001B2C38" w:rsidP="001B2C38">
      <w:pPr>
        <w:rPr>
          <w:rFonts w:ascii="Arial" w:hAnsi="Arial" w:cs="Arial"/>
          <w:b/>
          <w:bCs/>
          <w:sz w:val="22"/>
          <w:szCs w:val="22"/>
        </w:rPr>
      </w:pPr>
      <w:r w:rsidRPr="001B2C38">
        <w:rPr>
          <w:rFonts w:ascii="Arial" w:hAnsi="Arial" w:cs="Arial"/>
          <w:b/>
          <w:bCs/>
          <w:sz w:val="22"/>
          <w:szCs w:val="22"/>
        </w:rPr>
        <w:t>Staff experiences and</w:t>
      </w:r>
      <w:r w:rsidR="00B669E5">
        <w:rPr>
          <w:rFonts w:ascii="Arial" w:hAnsi="Arial" w:cs="Arial"/>
          <w:b/>
          <w:bCs/>
          <w:sz w:val="22"/>
          <w:szCs w:val="22"/>
        </w:rPr>
        <w:t xml:space="preserve"> emotional </w:t>
      </w:r>
      <w:r w:rsidRPr="001B2C38">
        <w:rPr>
          <w:rFonts w:ascii="Arial" w:hAnsi="Arial" w:cs="Arial"/>
          <w:b/>
          <w:bCs/>
          <w:sz w:val="22"/>
          <w:szCs w:val="22"/>
        </w:rPr>
        <w:t>labour</w:t>
      </w:r>
    </w:p>
    <w:p w14:paraId="2012361E" w14:textId="56A93E3E"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Staff working with people with dementia are under considerable emotional pressure, as caring for upset and bewildered people with dementia may require a combination of patience, communication skills and emotional resilience (Digby et al</w:t>
      </w:r>
      <w:r w:rsidRPr="00E8780D">
        <w:rPr>
          <w:rFonts w:ascii="MS Gothic" w:eastAsia="MS Gothic" w:hAnsi="MS Gothic" w:cs="MS Gothic" w:hint="eastAsia"/>
          <w:sz w:val="22"/>
          <w:szCs w:val="22"/>
        </w:rPr>
        <w:t>․</w:t>
      </w:r>
      <w:r w:rsidRPr="00E8780D">
        <w:rPr>
          <w:rFonts w:ascii="Arial" w:hAnsi="Arial" w:cs="Arial"/>
          <w:sz w:val="22"/>
          <w:szCs w:val="22"/>
        </w:rPr>
        <w:t>, 2017; White et al</w:t>
      </w:r>
      <w:r w:rsidRPr="00E8780D">
        <w:rPr>
          <w:rFonts w:ascii="MS Gothic" w:eastAsia="MS Gothic" w:hAnsi="MS Gothic" w:cs="MS Gothic" w:hint="eastAsia"/>
          <w:sz w:val="22"/>
          <w:szCs w:val="22"/>
        </w:rPr>
        <w:t>․</w:t>
      </w:r>
      <w:r w:rsidRPr="00E8780D">
        <w:rPr>
          <w:rFonts w:ascii="Arial" w:hAnsi="Arial" w:cs="Arial"/>
          <w:sz w:val="22"/>
          <w:szCs w:val="22"/>
        </w:rPr>
        <w:t>, 2022). According to Addis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nurses described dementia care as emotionally challenging, particularly when patients appeared upset or agitated</w:t>
      </w:r>
      <w:r w:rsidRPr="00E8780D">
        <w:rPr>
          <w:rFonts w:ascii="MS Gothic" w:eastAsia="MS Gothic" w:hAnsi="MS Gothic" w:cs="MS Gothic" w:hint="eastAsia"/>
          <w:sz w:val="22"/>
          <w:szCs w:val="22"/>
        </w:rPr>
        <w:t>․</w:t>
      </w:r>
      <w:r w:rsidRPr="00E8780D">
        <w:rPr>
          <w:rFonts w:ascii="Arial" w:hAnsi="Arial" w:cs="Arial"/>
          <w:sz w:val="22"/>
          <w:szCs w:val="22"/>
        </w:rPr>
        <w:t xml:space="preserve"> Kindell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found that healthcare support workers felt emotionally distressed when helping patients with complex behavioural needs</w:t>
      </w:r>
      <w:r w:rsidRPr="00E8780D">
        <w:rPr>
          <w:rFonts w:ascii="MS Gothic" w:eastAsia="MS Gothic" w:hAnsi="MS Gothic" w:cs="MS Gothic" w:hint="eastAsia"/>
          <w:sz w:val="22"/>
          <w:szCs w:val="22"/>
        </w:rPr>
        <w:t>․</w:t>
      </w:r>
      <w:r w:rsidRPr="00E8780D">
        <w:rPr>
          <w:rFonts w:ascii="Arial" w:hAnsi="Arial" w:cs="Arial"/>
          <w:sz w:val="22"/>
          <w:szCs w:val="22"/>
        </w:rPr>
        <w:t xml:space="preserve"> These findings supported previous research suggesting that working with patients with dementia requires a high level of emotional </w:t>
      </w:r>
      <w:r w:rsidR="00111CB6" w:rsidRPr="00E8780D">
        <w:rPr>
          <w:rFonts w:ascii="Arial" w:hAnsi="Arial" w:cs="Arial"/>
          <w:sz w:val="22"/>
          <w:szCs w:val="22"/>
        </w:rPr>
        <w:t>labour</w:t>
      </w:r>
      <w:r w:rsidRPr="00E8780D">
        <w:rPr>
          <w:rFonts w:ascii="Arial" w:hAnsi="Arial" w:cs="Arial"/>
          <w:sz w:val="22"/>
          <w:szCs w:val="22"/>
        </w:rPr>
        <w:t xml:space="preserve"> (Digby et al</w:t>
      </w:r>
      <w:r w:rsidRPr="00E8780D">
        <w:rPr>
          <w:rFonts w:ascii="MS Gothic" w:eastAsia="MS Gothic" w:hAnsi="MS Gothic" w:cs="MS Gothic" w:hint="eastAsia"/>
          <w:sz w:val="22"/>
          <w:szCs w:val="22"/>
        </w:rPr>
        <w:t>․</w:t>
      </w:r>
      <w:r w:rsidRPr="00E8780D">
        <w:rPr>
          <w:rFonts w:ascii="Arial" w:hAnsi="Arial" w:cs="Arial"/>
          <w:sz w:val="22"/>
          <w:szCs w:val="22"/>
        </w:rPr>
        <w:t>, 2017).</w:t>
      </w:r>
    </w:p>
    <w:p w14:paraId="75B2D3D1" w14:textId="2F5C1A5C"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However, emotional labour has a more complex relationship with job satisfaction, and staff reported increased job satisfaction when they were able to provide person-centred care (Gwernan-Jones et al</w:t>
      </w:r>
      <w:r w:rsidRPr="00E8780D">
        <w:rPr>
          <w:rFonts w:ascii="MS Gothic" w:eastAsia="MS Gothic" w:hAnsi="MS Gothic" w:cs="MS Gothic" w:hint="eastAsia"/>
          <w:sz w:val="22"/>
          <w:szCs w:val="22"/>
        </w:rPr>
        <w:t>․</w:t>
      </w:r>
      <w:r w:rsidRPr="00E8780D">
        <w:rPr>
          <w:rFonts w:ascii="Arial" w:hAnsi="Arial" w:cs="Arial"/>
          <w:sz w:val="22"/>
          <w:szCs w:val="22"/>
        </w:rPr>
        <w:t>, 2020), which suggests that emotional engagement may have a positive role in workplace satisfaction</w:t>
      </w:r>
      <w:r w:rsidRPr="00E8780D">
        <w:rPr>
          <w:rFonts w:ascii="MS Gothic" w:eastAsia="MS Gothic" w:hAnsi="MS Gothic" w:cs="MS Gothic" w:hint="eastAsia"/>
          <w:sz w:val="22"/>
          <w:szCs w:val="22"/>
        </w:rPr>
        <w:t>․</w:t>
      </w:r>
      <w:r w:rsidRPr="00E8780D">
        <w:rPr>
          <w:rFonts w:ascii="Arial" w:hAnsi="Arial" w:cs="Arial"/>
          <w:sz w:val="22"/>
          <w:szCs w:val="22"/>
        </w:rPr>
        <w:t xml:space="preserve"> This challenges the belief that emotional labour is always harmful</w:t>
      </w:r>
      <w:r w:rsidRPr="00E8780D">
        <w:rPr>
          <w:rFonts w:ascii="Arial" w:eastAsia="MS Gothic" w:hAnsi="Arial" w:cs="Arial"/>
          <w:sz w:val="22"/>
          <w:szCs w:val="22"/>
        </w:rPr>
        <w:t xml:space="preserve">. </w:t>
      </w:r>
      <w:r w:rsidRPr="00E8780D">
        <w:rPr>
          <w:rFonts w:ascii="Arial" w:hAnsi="Arial" w:cs="Arial"/>
          <w:sz w:val="22"/>
          <w:szCs w:val="22"/>
        </w:rPr>
        <w:t xml:space="preserve">Several studies indicate that emotional </w:t>
      </w:r>
      <w:r w:rsidR="00111CB6">
        <w:rPr>
          <w:rFonts w:ascii="Arial" w:hAnsi="Arial" w:cs="Arial"/>
          <w:sz w:val="22"/>
          <w:szCs w:val="22"/>
        </w:rPr>
        <w:t>well-being</w:t>
      </w:r>
      <w:r w:rsidRPr="00E8780D">
        <w:rPr>
          <w:rFonts w:ascii="Arial" w:hAnsi="Arial" w:cs="Arial"/>
          <w:sz w:val="22"/>
          <w:szCs w:val="22"/>
        </w:rPr>
        <w:t xml:space="preserve"> is more dependent on organisational determinants than the actual behaviour of the patient</w:t>
      </w:r>
      <w:r w:rsidRPr="00E8780D">
        <w:rPr>
          <w:rFonts w:ascii="MS Gothic" w:eastAsia="MS Gothic" w:hAnsi="MS Gothic" w:cs="MS Gothic" w:hint="eastAsia"/>
          <w:sz w:val="22"/>
          <w:szCs w:val="22"/>
        </w:rPr>
        <w:t>․</w:t>
      </w:r>
      <w:r w:rsidRPr="00E8780D">
        <w:rPr>
          <w:rFonts w:ascii="Arial" w:hAnsi="Arial" w:cs="Arial"/>
          <w:sz w:val="22"/>
          <w:szCs w:val="22"/>
        </w:rPr>
        <w:t xml:space="preserve"> For instance, McGilton et al</w:t>
      </w:r>
      <w:r w:rsidRPr="00E8780D">
        <w:rPr>
          <w:rFonts w:ascii="MS Gothic" w:eastAsia="MS Gothic" w:hAnsi="MS Gothic" w:cs="MS Gothic" w:hint="eastAsia"/>
          <w:sz w:val="22"/>
          <w:szCs w:val="22"/>
        </w:rPr>
        <w:t>․</w:t>
      </w:r>
      <w:r w:rsidRPr="00E8780D">
        <w:rPr>
          <w:rFonts w:ascii="Arial" w:hAnsi="Arial" w:cs="Arial"/>
          <w:sz w:val="22"/>
          <w:szCs w:val="22"/>
        </w:rPr>
        <w:t xml:space="preserve"> (2016) found that supportive leadership and adequate staffing levels were the most important factors affecting staff </w:t>
      </w:r>
      <w:r w:rsidR="00111CB6">
        <w:rPr>
          <w:rFonts w:ascii="Arial" w:hAnsi="Arial" w:cs="Arial"/>
          <w:sz w:val="22"/>
          <w:szCs w:val="22"/>
        </w:rPr>
        <w:t>well-being</w:t>
      </w:r>
      <w:r w:rsidRPr="00E8780D">
        <w:rPr>
          <w:rFonts w:ascii="Arial" w:hAnsi="Arial" w:cs="Arial"/>
          <w:sz w:val="22"/>
          <w:szCs w:val="22"/>
        </w:rPr>
        <w:t xml:space="preserve"> in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w:t>
      </w:r>
    </w:p>
    <w:p w14:paraId="6874FE99" w14:textId="14D395FF" w:rsidR="00AF24A7" w:rsidRPr="001B2C38" w:rsidRDefault="001B2C38" w:rsidP="00AF24A7">
      <w:pPr>
        <w:spacing w:line="360" w:lineRule="auto"/>
        <w:jc w:val="both"/>
        <w:rPr>
          <w:rFonts w:ascii="Arial" w:hAnsi="Arial" w:cs="Arial"/>
          <w:b/>
          <w:bCs/>
          <w:sz w:val="22"/>
          <w:szCs w:val="22"/>
        </w:rPr>
      </w:pPr>
      <w:r w:rsidRPr="001B2C38">
        <w:rPr>
          <w:rFonts w:ascii="Arial" w:hAnsi="Arial" w:cs="Arial"/>
          <w:b/>
          <w:bCs/>
          <w:sz w:val="22"/>
          <w:szCs w:val="22"/>
        </w:rPr>
        <w:t>Training and professional knowledge</w:t>
      </w:r>
    </w:p>
    <w:p w14:paraId="1D0F140D" w14:textId="227F5BF6" w:rsidR="00D64A41" w:rsidRDefault="00AF24A7" w:rsidP="00AF24A7">
      <w:pPr>
        <w:spacing w:line="360" w:lineRule="auto"/>
        <w:jc w:val="both"/>
        <w:rPr>
          <w:rFonts w:ascii="MS Gothic" w:eastAsia="MS Gothic" w:hAnsi="MS Gothic" w:cs="MS Gothic"/>
          <w:sz w:val="22"/>
          <w:szCs w:val="22"/>
        </w:rPr>
      </w:pPr>
      <w:r w:rsidRPr="00E8780D">
        <w:rPr>
          <w:rFonts w:ascii="Arial" w:hAnsi="Arial" w:cs="Arial"/>
          <w:sz w:val="22"/>
          <w:szCs w:val="22"/>
        </w:rPr>
        <w:t xml:space="preserve">Training is frequently seen </w:t>
      </w:r>
      <w:r w:rsidR="001B2C38" w:rsidRPr="00E8780D">
        <w:rPr>
          <w:rFonts w:ascii="Arial" w:hAnsi="Arial" w:cs="Arial"/>
          <w:sz w:val="22"/>
          <w:szCs w:val="22"/>
        </w:rPr>
        <w:t>to</w:t>
      </w:r>
      <w:r w:rsidRPr="00E8780D">
        <w:rPr>
          <w:rFonts w:ascii="Arial" w:hAnsi="Arial" w:cs="Arial"/>
          <w:sz w:val="22"/>
          <w:szCs w:val="22"/>
        </w:rPr>
        <w:t xml:space="preserve"> improve the </w:t>
      </w:r>
      <w:proofErr w:type="gramStart"/>
      <w:r w:rsidR="00B669E5">
        <w:rPr>
          <w:rFonts w:ascii="Arial" w:hAnsi="Arial" w:cs="Arial"/>
          <w:sz w:val="22"/>
          <w:szCs w:val="22"/>
        </w:rPr>
        <w:t>quality of care</w:t>
      </w:r>
      <w:proofErr w:type="gramEnd"/>
      <w:r w:rsidRPr="00E8780D">
        <w:rPr>
          <w:rFonts w:ascii="Arial" w:hAnsi="Arial" w:cs="Arial"/>
          <w:sz w:val="22"/>
          <w:szCs w:val="22"/>
        </w:rPr>
        <w:t xml:space="preserve"> patients with dementia receive in hospitals</w:t>
      </w:r>
      <w:r w:rsidRPr="00E8780D">
        <w:rPr>
          <w:rFonts w:ascii="MS Gothic" w:eastAsia="MS Gothic" w:hAnsi="MS Gothic" w:cs="MS Gothic" w:hint="eastAsia"/>
          <w:sz w:val="22"/>
          <w:szCs w:val="22"/>
        </w:rPr>
        <w:t>․</w:t>
      </w:r>
      <w:r w:rsidRPr="00E8780D">
        <w:rPr>
          <w:rFonts w:ascii="Arial" w:hAnsi="Arial" w:cs="Arial"/>
          <w:sz w:val="22"/>
          <w:szCs w:val="22"/>
        </w:rPr>
        <w:t xml:space="preserve"> Several studies report that dementia specific education increases staff knowledge and confidence (Surr et al</w:t>
      </w:r>
      <w:r w:rsidRPr="00E8780D">
        <w:rPr>
          <w:rFonts w:ascii="MS Gothic" w:eastAsia="MS Gothic" w:hAnsi="MS Gothic" w:cs="MS Gothic" w:hint="eastAsia"/>
          <w:sz w:val="22"/>
          <w:szCs w:val="22"/>
        </w:rPr>
        <w:t>․</w:t>
      </w:r>
      <w:r w:rsidRPr="00E8780D">
        <w:rPr>
          <w:rFonts w:ascii="Arial" w:hAnsi="Arial" w:cs="Arial"/>
          <w:sz w:val="22"/>
          <w:szCs w:val="22"/>
        </w:rPr>
        <w:t>, 2017; Houghton et al</w:t>
      </w:r>
      <w:r w:rsidRPr="00E8780D">
        <w:rPr>
          <w:rFonts w:ascii="MS Gothic" w:eastAsia="MS Gothic" w:hAnsi="MS Gothic" w:cs="MS Gothic" w:hint="eastAsia"/>
          <w:sz w:val="22"/>
          <w:szCs w:val="22"/>
        </w:rPr>
        <w:t>․</w:t>
      </w:r>
      <w:r w:rsidRPr="00E8780D">
        <w:rPr>
          <w:rFonts w:ascii="Arial" w:hAnsi="Arial" w:cs="Arial"/>
          <w:sz w:val="22"/>
          <w:szCs w:val="22"/>
        </w:rPr>
        <w:t>, 2016). Houghton et al</w:t>
      </w:r>
      <w:r w:rsidRPr="00E8780D">
        <w:rPr>
          <w:rFonts w:ascii="MS Gothic" w:eastAsia="MS Gothic" w:hAnsi="MS Gothic" w:cs="MS Gothic" w:hint="eastAsia"/>
          <w:sz w:val="22"/>
          <w:szCs w:val="22"/>
        </w:rPr>
        <w:t>․</w:t>
      </w:r>
      <w:r w:rsidRPr="00E8780D">
        <w:rPr>
          <w:rFonts w:ascii="Arial" w:hAnsi="Arial" w:cs="Arial"/>
          <w:sz w:val="22"/>
          <w:szCs w:val="22"/>
        </w:rPr>
        <w:t xml:space="preserve"> (2016) noted that staff were more confident in dealing with behavioural symptoms when the staff had received dementia training</w:t>
      </w:r>
      <w:r w:rsidRPr="00E8780D">
        <w:rPr>
          <w:rFonts w:ascii="MS Gothic" w:eastAsia="MS Gothic" w:hAnsi="MS Gothic" w:cs="MS Gothic" w:hint="eastAsia"/>
          <w:sz w:val="22"/>
          <w:szCs w:val="22"/>
        </w:rPr>
        <w:t>․</w:t>
      </w:r>
      <w:r w:rsidRPr="00E8780D">
        <w:rPr>
          <w:rFonts w:ascii="Arial" w:hAnsi="Arial" w:cs="Arial"/>
          <w:sz w:val="22"/>
          <w:szCs w:val="22"/>
        </w:rPr>
        <w:t xml:space="preserve"> Petty et al</w:t>
      </w:r>
      <w:r w:rsidRPr="00E8780D">
        <w:rPr>
          <w:rFonts w:ascii="MS Gothic" w:eastAsia="MS Gothic" w:hAnsi="MS Gothic" w:cs="MS Gothic" w:hint="eastAsia"/>
          <w:sz w:val="22"/>
          <w:szCs w:val="22"/>
        </w:rPr>
        <w:t>․</w:t>
      </w:r>
      <w:r w:rsidRPr="00E8780D">
        <w:rPr>
          <w:rFonts w:ascii="Arial" w:hAnsi="Arial" w:cs="Arial"/>
          <w:sz w:val="22"/>
          <w:szCs w:val="22"/>
        </w:rPr>
        <w:t xml:space="preserve"> (2019) found that staff knowledge influenced care and decision-making</w:t>
      </w:r>
      <w:r w:rsidRPr="00E8780D">
        <w:rPr>
          <w:rFonts w:ascii="MS Gothic" w:eastAsia="MS Gothic" w:hAnsi="MS Gothic" w:cs="MS Gothic" w:hint="eastAsia"/>
          <w:sz w:val="22"/>
          <w:szCs w:val="22"/>
        </w:rPr>
        <w:t>․</w:t>
      </w:r>
      <w:r w:rsidRPr="00E8780D">
        <w:rPr>
          <w:rFonts w:ascii="Arial" w:hAnsi="Arial" w:cs="Arial"/>
          <w:sz w:val="22"/>
          <w:szCs w:val="22"/>
        </w:rPr>
        <w:t>However, the value of training courses has been disputed</w:t>
      </w:r>
      <w:r w:rsidRPr="00E8780D">
        <w:rPr>
          <w:rFonts w:ascii="MS Gothic" w:eastAsia="MS Gothic" w:hAnsi="MS Gothic" w:cs="MS Gothic" w:hint="eastAsia"/>
          <w:sz w:val="22"/>
          <w:szCs w:val="22"/>
        </w:rPr>
        <w:t>․</w:t>
      </w:r>
      <w:r w:rsidRPr="00E8780D">
        <w:rPr>
          <w:rFonts w:ascii="Arial" w:hAnsi="Arial" w:cs="Arial"/>
          <w:sz w:val="22"/>
          <w:szCs w:val="22"/>
        </w:rPr>
        <w:t xml:space="preserve"> 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argue that training in itself is not enough when there is not enough time to practice, and Abbott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argue that training requires further organisational changes to be effective</w:t>
      </w:r>
      <w:r w:rsidR="00D64A41">
        <w:rPr>
          <w:rFonts w:ascii="Arial" w:hAnsi="Arial" w:cs="Arial"/>
          <w:sz w:val="22"/>
          <w:szCs w:val="22"/>
        </w:rPr>
        <w:t>.</w:t>
      </w:r>
    </w:p>
    <w:p w14:paraId="160DC033" w14:textId="7F488B25"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lastRenderedPageBreak/>
        <w:t>More recent research has argued that there is wide variability in the effectiveness of different training programs</w:t>
      </w:r>
      <w:r w:rsidRPr="00E8780D">
        <w:rPr>
          <w:rFonts w:ascii="MS Gothic" w:eastAsia="MS Gothic" w:hAnsi="MS Gothic" w:cs="MS Gothic" w:hint="eastAsia"/>
          <w:sz w:val="22"/>
          <w:szCs w:val="22"/>
        </w:rPr>
        <w:t>․</w:t>
      </w:r>
      <w:r w:rsidRPr="00E8780D">
        <w:rPr>
          <w:rFonts w:ascii="Arial" w:hAnsi="Arial" w:cs="Arial"/>
          <w:sz w:val="22"/>
          <w:szCs w:val="22"/>
        </w:rPr>
        <w:t xml:space="preserve"> Surr et al</w:t>
      </w:r>
      <w:r w:rsidRPr="00E8780D">
        <w:rPr>
          <w:rFonts w:ascii="MS Gothic" w:eastAsia="MS Gothic" w:hAnsi="MS Gothic" w:cs="MS Gothic" w:hint="eastAsia"/>
          <w:sz w:val="22"/>
          <w:szCs w:val="22"/>
        </w:rPr>
        <w:t>․</w:t>
      </w:r>
      <w:r w:rsidRPr="00E8780D">
        <w:rPr>
          <w:rFonts w:ascii="Arial" w:hAnsi="Arial" w:cs="Arial"/>
          <w:sz w:val="22"/>
          <w:szCs w:val="22"/>
        </w:rPr>
        <w:t xml:space="preserve"> (2017) observed that some programs had little measurable impact on practice</w:t>
      </w:r>
      <w:r w:rsidRPr="00E8780D">
        <w:rPr>
          <w:rFonts w:ascii="MS Gothic" w:eastAsia="MS Gothic" w:hAnsi="MS Gothic" w:cs="MS Gothic" w:hint="eastAsia"/>
          <w:sz w:val="22"/>
          <w:szCs w:val="22"/>
        </w:rPr>
        <w:t>․</w:t>
      </w:r>
    </w:p>
    <w:p w14:paraId="28932352" w14:textId="672938A4" w:rsidR="00AF24A7" w:rsidRPr="001B2C38" w:rsidRDefault="001B2C38" w:rsidP="00AF24A7">
      <w:pPr>
        <w:spacing w:line="360" w:lineRule="auto"/>
        <w:jc w:val="both"/>
        <w:rPr>
          <w:rFonts w:ascii="Arial" w:hAnsi="Arial" w:cs="Arial"/>
          <w:b/>
          <w:bCs/>
          <w:sz w:val="22"/>
          <w:szCs w:val="22"/>
        </w:rPr>
      </w:pPr>
      <w:r w:rsidRPr="001B2C38">
        <w:rPr>
          <w:rFonts w:ascii="Arial" w:hAnsi="Arial" w:cs="Arial"/>
          <w:b/>
          <w:bCs/>
          <w:sz w:val="22"/>
          <w:szCs w:val="22"/>
        </w:rPr>
        <w:t>Methods</w:t>
      </w:r>
    </w:p>
    <w:p w14:paraId="40CB4FAA" w14:textId="005B76DB" w:rsidR="001B2C38" w:rsidRPr="001B2C38" w:rsidRDefault="001B2C38" w:rsidP="00AF24A7">
      <w:pPr>
        <w:spacing w:line="360" w:lineRule="auto"/>
        <w:jc w:val="both"/>
        <w:rPr>
          <w:rFonts w:ascii="Arial" w:hAnsi="Arial" w:cs="Arial"/>
          <w:b/>
          <w:bCs/>
          <w:sz w:val="22"/>
          <w:szCs w:val="22"/>
        </w:rPr>
      </w:pPr>
      <w:r w:rsidRPr="001B2C38">
        <w:rPr>
          <w:rFonts w:ascii="Arial" w:hAnsi="Arial" w:cs="Arial"/>
          <w:b/>
          <w:bCs/>
          <w:sz w:val="22"/>
          <w:szCs w:val="22"/>
        </w:rPr>
        <w:t>Research design</w:t>
      </w:r>
    </w:p>
    <w:p w14:paraId="52A3CA3D"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 research utilised a scoping review methodology to explore the experiences of UK hospital staff supporting the care of people living with dementia</w:t>
      </w:r>
      <w:r w:rsidRPr="00E8780D">
        <w:rPr>
          <w:rFonts w:ascii="MS Gothic" w:eastAsia="MS Gothic" w:hAnsi="MS Gothic" w:cs="MS Gothic" w:hint="eastAsia"/>
          <w:sz w:val="22"/>
          <w:szCs w:val="22"/>
        </w:rPr>
        <w:t>․</w:t>
      </w:r>
      <w:r w:rsidRPr="00E8780D">
        <w:rPr>
          <w:rFonts w:ascii="Arial" w:hAnsi="Arial" w:cs="Arial"/>
          <w:sz w:val="22"/>
          <w:szCs w:val="22"/>
        </w:rPr>
        <w:t xml:space="preserve"> A scoping review methodology was chosen as it allows the research team to map the extent and nature of the research literature and to create a ’snapshot’ of the evidence, identify key themes, gaps in knowledge and potential future directions for research (Arksey and O'Malley, 2005; Peters et al</w:t>
      </w:r>
      <w:r w:rsidRPr="00E8780D">
        <w:rPr>
          <w:rFonts w:ascii="MS Gothic" w:eastAsia="MS Gothic" w:hAnsi="MS Gothic" w:cs="MS Gothic" w:hint="eastAsia"/>
          <w:sz w:val="22"/>
          <w:szCs w:val="22"/>
        </w:rPr>
        <w:t>․</w:t>
      </w:r>
      <w:r w:rsidRPr="00E8780D">
        <w:rPr>
          <w:rFonts w:ascii="Arial" w:hAnsi="Arial" w:cs="Arial"/>
          <w:sz w:val="22"/>
          <w:szCs w:val="22"/>
        </w:rPr>
        <w:t>, 2020).</w:t>
      </w:r>
    </w:p>
    <w:p w14:paraId="7092573B"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In contrast to systematic reviews that are used to identify the effects of an intervention, scoping reviews are considered most appropriate for identifying research evidence on a complex topic in which the research designs and evidence differ widely (Munn et al., 2018). Staff experiences of dementia care vary considerably within the research literature, so a scoping review was more appropriate</w:t>
      </w:r>
      <w:r w:rsidRPr="00E8780D">
        <w:rPr>
          <w:rFonts w:ascii="Arial" w:eastAsia="MS Gothic" w:hAnsi="Arial" w:cs="Arial"/>
          <w:sz w:val="22"/>
          <w:szCs w:val="22"/>
        </w:rPr>
        <w:t xml:space="preserve">. </w:t>
      </w:r>
      <w:r w:rsidRPr="00E8780D">
        <w:rPr>
          <w:rFonts w:ascii="Arial" w:hAnsi="Arial" w:cs="Arial"/>
          <w:sz w:val="22"/>
          <w:szCs w:val="22"/>
        </w:rPr>
        <w:t>The review adhered to the five-stage framework proposed by Arksey and O'Malley (2005), which consists of the following: identifying the research question; identifying the studies; selecting the studies; charting the data; and reporting the results</w:t>
      </w:r>
      <w:r w:rsidRPr="00E8780D">
        <w:rPr>
          <w:rFonts w:ascii="MS Gothic" w:eastAsia="MS Gothic" w:hAnsi="MS Gothic" w:cs="MS Gothic" w:hint="eastAsia"/>
          <w:sz w:val="22"/>
          <w:szCs w:val="22"/>
        </w:rPr>
        <w:t>․</w:t>
      </w:r>
      <w:r w:rsidRPr="00E8780D">
        <w:rPr>
          <w:rFonts w:ascii="Arial" w:hAnsi="Arial" w:cs="Arial"/>
          <w:sz w:val="22"/>
          <w:szCs w:val="22"/>
        </w:rPr>
        <w:t xml:space="preserve"> This framework is widely used, but offers little methodological guidance</w:t>
      </w:r>
      <w:r w:rsidRPr="00E8780D">
        <w:rPr>
          <w:rFonts w:ascii="MS Gothic" w:eastAsia="MS Gothic" w:hAnsi="MS Gothic" w:cs="MS Gothic" w:hint="eastAsia"/>
          <w:sz w:val="22"/>
          <w:szCs w:val="22"/>
        </w:rPr>
        <w:t>․</w:t>
      </w:r>
      <w:r w:rsidRPr="00E8780D">
        <w:rPr>
          <w:rFonts w:ascii="Arial" w:hAnsi="Arial" w:cs="Arial"/>
          <w:sz w:val="22"/>
          <w:szCs w:val="22"/>
        </w:rPr>
        <w:t xml:space="preserve"> Peters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provide an updated guidance for conducting scoping reviews that stresses transparency and rigour which we incorporated wherever possible</w:t>
      </w:r>
      <w:r w:rsidRPr="00E8780D">
        <w:rPr>
          <w:rFonts w:ascii="MS Gothic" w:eastAsia="MS Gothic" w:hAnsi="MS Gothic" w:cs="MS Gothic" w:hint="eastAsia"/>
          <w:sz w:val="22"/>
          <w:szCs w:val="22"/>
        </w:rPr>
        <w:t>․</w:t>
      </w:r>
    </w:p>
    <w:p w14:paraId="392960CE" w14:textId="1B0D7E66" w:rsidR="00AF24A7" w:rsidRPr="001B2C38" w:rsidRDefault="001B2C38" w:rsidP="00AF24A7">
      <w:pPr>
        <w:spacing w:line="360" w:lineRule="auto"/>
        <w:jc w:val="both"/>
        <w:rPr>
          <w:rFonts w:ascii="Arial" w:hAnsi="Arial" w:cs="Arial"/>
          <w:b/>
          <w:bCs/>
          <w:sz w:val="22"/>
          <w:szCs w:val="22"/>
        </w:rPr>
      </w:pPr>
      <w:r w:rsidRPr="001B2C38">
        <w:rPr>
          <w:rFonts w:ascii="Arial" w:hAnsi="Arial" w:cs="Arial"/>
          <w:b/>
          <w:bCs/>
          <w:sz w:val="22"/>
          <w:szCs w:val="22"/>
        </w:rPr>
        <w:t>Data Collection</w:t>
      </w:r>
    </w:p>
    <w:p w14:paraId="022B53C0"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 studies were identified by using a systematic search through electronic databases:</w:t>
      </w:r>
    </w:p>
    <w:p w14:paraId="5338AA6A" w14:textId="77777777" w:rsidR="00AF24A7" w:rsidRPr="00E8780D" w:rsidRDefault="00AF24A7" w:rsidP="00AF24A7">
      <w:pPr>
        <w:pStyle w:val="ListParagraph"/>
        <w:numPr>
          <w:ilvl w:val="0"/>
          <w:numId w:val="2"/>
        </w:numPr>
        <w:spacing w:line="360" w:lineRule="auto"/>
        <w:jc w:val="both"/>
        <w:rPr>
          <w:rFonts w:ascii="Arial" w:hAnsi="Arial" w:cs="Arial"/>
          <w:sz w:val="22"/>
          <w:szCs w:val="22"/>
        </w:rPr>
      </w:pPr>
      <w:r w:rsidRPr="00E8780D">
        <w:rPr>
          <w:rFonts w:ascii="Arial" w:hAnsi="Arial" w:cs="Arial"/>
          <w:sz w:val="22"/>
          <w:szCs w:val="22"/>
        </w:rPr>
        <w:t>PubMed</w:t>
      </w:r>
    </w:p>
    <w:p w14:paraId="3FEE9128" w14:textId="77777777" w:rsidR="00AF24A7" w:rsidRPr="00E8780D" w:rsidRDefault="00AF24A7" w:rsidP="00AF24A7">
      <w:pPr>
        <w:pStyle w:val="ListParagraph"/>
        <w:numPr>
          <w:ilvl w:val="0"/>
          <w:numId w:val="2"/>
        </w:numPr>
        <w:spacing w:line="360" w:lineRule="auto"/>
        <w:jc w:val="both"/>
        <w:rPr>
          <w:rFonts w:ascii="Arial" w:hAnsi="Arial" w:cs="Arial"/>
          <w:sz w:val="22"/>
          <w:szCs w:val="22"/>
        </w:rPr>
      </w:pPr>
      <w:r w:rsidRPr="00E8780D">
        <w:rPr>
          <w:rFonts w:ascii="Arial" w:hAnsi="Arial" w:cs="Arial"/>
          <w:sz w:val="22"/>
          <w:szCs w:val="22"/>
        </w:rPr>
        <w:t>CINAHL</w:t>
      </w:r>
    </w:p>
    <w:p w14:paraId="3E43848C" w14:textId="77777777" w:rsidR="00AF24A7" w:rsidRPr="00E8780D" w:rsidRDefault="00AF24A7" w:rsidP="00AF24A7">
      <w:pPr>
        <w:pStyle w:val="ListParagraph"/>
        <w:numPr>
          <w:ilvl w:val="0"/>
          <w:numId w:val="2"/>
        </w:numPr>
        <w:spacing w:line="360" w:lineRule="auto"/>
        <w:jc w:val="both"/>
        <w:rPr>
          <w:rFonts w:ascii="Arial" w:hAnsi="Arial" w:cs="Arial"/>
          <w:sz w:val="22"/>
          <w:szCs w:val="22"/>
        </w:rPr>
      </w:pPr>
      <w:r w:rsidRPr="00E8780D">
        <w:rPr>
          <w:rFonts w:ascii="Arial" w:hAnsi="Arial" w:cs="Arial"/>
          <w:sz w:val="22"/>
          <w:szCs w:val="22"/>
        </w:rPr>
        <w:t>PsycINFO</w:t>
      </w:r>
    </w:p>
    <w:p w14:paraId="3F40C09B" w14:textId="77777777" w:rsidR="00AF24A7" w:rsidRPr="00E8780D" w:rsidRDefault="00AF24A7" w:rsidP="00AF24A7">
      <w:pPr>
        <w:pStyle w:val="ListParagraph"/>
        <w:numPr>
          <w:ilvl w:val="0"/>
          <w:numId w:val="2"/>
        </w:numPr>
        <w:spacing w:line="360" w:lineRule="auto"/>
        <w:jc w:val="both"/>
        <w:rPr>
          <w:rFonts w:ascii="Arial" w:hAnsi="Arial" w:cs="Arial"/>
          <w:sz w:val="22"/>
          <w:szCs w:val="22"/>
        </w:rPr>
      </w:pPr>
      <w:r w:rsidRPr="00E8780D">
        <w:rPr>
          <w:rFonts w:ascii="Arial" w:hAnsi="Arial" w:cs="Arial"/>
          <w:sz w:val="22"/>
          <w:szCs w:val="22"/>
        </w:rPr>
        <w:t>UWTSD Library</w:t>
      </w:r>
    </w:p>
    <w:p w14:paraId="3229DAAB"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 databases were selected for their broad coverage in peer-reviewed literature in the field of health and social care (Bettany-Saltikov, 2016).</w:t>
      </w:r>
    </w:p>
    <w:p w14:paraId="0AB69C3B"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 following terms were searched:</w:t>
      </w:r>
    </w:p>
    <w:p w14:paraId="1A942933"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dementia</w:t>
      </w:r>
    </w:p>
    <w:p w14:paraId="40FD51FC"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hospital staff</w:t>
      </w:r>
    </w:p>
    <w:p w14:paraId="513EFCD3"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lastRenderedPageBreak/>
        <w:t>nurses</w:t>
      </w:r>
    </w:p>
    <w:p w14:paraId="7876010B"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healthcare assistants</w:t>
      </w:r>
    </w:p>
    <w:p w14:paraId="6212ED64"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experiences</w:t>
      </w:r>
    </w:p>
    <w:p w14:paraId="0B2A12D6"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acute hospital</w:t>
      </w:r>
    </w:p>
    <w:p w14:paraId="682158BB" w14:textId="77777777" w:rsidR="00AF24A7" w:rsidRPr="00E8780D" w:rsidRDefault="00AF24A7" w:rsidP="00AF24A7">
      <w:pPr>
        <w:pStyle w:val="ListParagraph"/>
        <w:numPr>
          <w:ilvl w:val="0"/>
          <w:numId w:val="3"/>
        </w:numPr>
        <w:spacing w:line="360" w:lineRule="auto"/>
        <w:jc w:val="both"/>
        <w:rPr>
          <w:rFonts w:ascii="Arial" w:hAnsi="Arial" w:cs="Arial"/>
          <w:sz w:val="22"/>
          <w:szCs w:val="22"/>
        </w:rPr>
      </w:pPr>
      <w:r w:rsidRPr="00E8780D">
        <w:rPr>
          <w:rFonts w:ascii="Arial" w:hAnsi="Arial" w:cs="Arial"/>
          <w:sz w:val="22"/>
          <w:szCs w:val="22"/>
        </w:rPr>
        <w:t>United Kingdom</w:t>
      </w:r>
    </w:p>
    <w:p w14:paraId="17305B48" w14:textId="7B23F281" w:rsidR="00AF24A7" w:rsidRPr="00D64A41" w:rsidRDefault="00AF24A7" w:rsidP="00B54A05">
      <w:pPr>
        <w:spacing w:line="360" w:lineRule="auto"/>
        <w:jc w:val="both"/>
        <w:rPr>
          <w:rFonts w:ascii="Arial" w:hAnsi="Arial" w:cs="Arial"/>
          <w:sz w:val="22"/>
          <w:szCs w:val="22"/>
        </w:rPr>
      </w:pPr>
      <w:r w:rsidRPr="00E8780D">
        <w:rPr>
          <w:rFonts w:ascii="Arial" w:hAnsi="Arial" w:cs="Arial"/>
          <w:sz w:val="22"/>
          <w:szCs w:val="22"/>
        </w:rPr>
        <w:t>Boolean operators such as AND</w:t>
      </w:r>
      <w:r w:rsidR="00B54A05">
        <w:rPr>
          <w:rFonts w:ascii="Arial" w:hAnsi="Arial" w:cs="Arial"/>
          <w:sz w:val="22"/>
          <w:szCs w:val="22"/>
        </w:rPr>
        <w:t xml:space="preserve">, OR </w:t>
      </w:r>
      <w:r w:rsidRPr="00E8780D">
        <w:rPr>
          <w:rFonts w:ascii="Arial" w:hAnsi="Arial" w:cs="Arial"/>
          <w:sz w:val="22"/>
          <w:szCs w:val="22"/>
        </w:rPr>
        <w:t xml:space="preserve">and </w:t>
      </w:r>
      <w:r w:rsidR="00B54A05">
        <w:rPr>
          <w:rFonts w:ascii="Arial" w:hAnsi="Arial" w:cs="Arial"/>
          <w:sz w:val="22"/>
          <w:szCs w:val="22"/>
        </w:rPr>
        <w:t xml:space="preserve">NOT </w:t>
      </w:r>
      <w:r w:rsidRPr="00E8780D">
        <w:rPr>
          <w:rFonts w:ascii="Arial" w:hAnsi="Arial" w:cs="Arial"/>
          <w:sz w:val="22"/>
          <w:szCs w:val="22"/>
        </w:rPr>
        <w:t>were used to refine search results</w:t>
      </w:r>
      <w:r w:rsidRPr="00E8780D">
        <w:rPr>
          <w:rFonts w:ascii="MS Gothic" w:eastAsia="MS Gothic" w:hAnsi="MS Gothic" w:cs="MS Gothic" w:hint="eastAsia"/>
          <w:sz w:val="22"/>
          <w:szCs w:val="22"/>
        </w:rPr>
        <w:t>․</w:t>
      </w:r>
      <w:r w:rsidRPr="00E8780D">
        <w:rPr>
          <w:rFonts w:ascii="Arial" w:hAnsi="Arial" w:cs="Arial"/>
          <w:sz w:val="22"/>
          <w:szCs w:val="22"/>
        </w:rPr>
        <w:t>The database search yielded 100 articles</w:t>
      </w:r>
      <w:r w:rsidRPr="00E8780D">
        <w:rPr>
          <w:rFonts w:ascii="MS Gothic" w:eastAsia="MS Gothic" w:hAnsi="MS Gothic" w:cs="MS Gothic" w:hint="eastAsia"/>
          <w:sz w:val="22"/>
          <w:szCs w:val="22"/>
        </w:rPr>
        <w:t>․</w:t>
      </w:r>
      <w:r w:rsidRPr="00E8780D">
        <w:rPr>
          <w:rFonts w:ascii="Arial" w:hAnsi="Arial" w:cs="Arial"/>
          <w:sz w:val="22"/>
          <w:szCs w:val="22"/>
        </w:rPr>
        <w:t xml:space="preserve"> After duplicates were excluded, 82 articles were screened by title and abstract, and 28 articles were read in full</w:t>
      </w:r>
      <w:r w:rsidRPr="00E8780D">
        <w:rPr>
          <w:rFonts w:ascii="MS Gothic" w:eastAsia="MS Gothic" w:hAnsi="MS Gothic" w:cs="MS Gothic" w:hint="eastAsia"/>
          <w:sz w:val="22"/>
          <w:szCs w:val="22"/>
        </w:rPr>
        <w:t>․</w:t>
      </w:r>
      <w:r w:rsidRPr="00E8780D">
        <w:rPr>
          <w:rFonts w:ascii="Arial" w:hAnsi="Arial" w:cs="Arial"/>
          <w:sz w:val="22"/>
          <w:szCs w:val="22"/>
        </w:rPr>
        <w:t xml:space="preserve"> Seven studies were included in the final analysis based on the inclusion criteria</w:t>
      </w:r>
      <w:r w:rsidRPr="00E8780D">
        <w:rPr>
          <w:rFonts w:ascii="MS Gothic" w:eastAsia="MS Gothic" w:hAnsi="MS Gothic" w:cs="MS Gothic" w:hint="eastAsia"/>
          <w:sz w:val="22"/>
          <w:szCs w:val="22"/>
        </w:rPr>
        <w:t>․</w:t>
      </w:r>
      <w:r w:rsidRPr="00E8780D">
        <w:rPr>
          <w:rFonts w:ascii="Arial" w:hAnsi="Arial" w:cs="Arial"/>
          <w:sz w:val="22"/>
          <w:szCs w:val="22"/>
        </w:rPr>
        <w:t xml:space="preserve"> The search strategy was systematic</w:t>
      </w:r>
      <w:r w:rsidRPr="00E8780D">
        <w:rPr>
          <w:rFonts w:ascii="MS Gothic" w:eastAsia="MS Gothic" w:hAnsi="MS Gothic" w:cs="MS Gothic" w:hint="eastAsia"/>
          <w:sz w:val="22"/>
          <w:szCs w:val="22"/>
        </w:rPr>
        <w:t>․</w:t>
      </w:r>
    </w:p>
    <w:p w14:paraId="65384966" w14:textId="1749E2B3" w:rsidR="00B54A05" w:rsidRPr="00B54A05" w:rsidRDefault="00B54A05" w:rsidP="00B54A05">
      <w:pPr>
        <w:spacing w:line="360" w:lineRule="auto"/>
        <w:jc w:val="both"/>
        <w:rPr>
          <w:rFonts w:ascii="Arial" w:hAnsi="Arial" w:cs="Arial"/>
          <w:b/>
          <w:bCs/>
          <w:sz w:val="22"/>
          <w:szCs w:val="22"/>
        </w:rPr>
      </w:pPr>
      <w:r>
        <w:rPr>
          <w:rFonts w:ascii="Arial" w:eastAsia="MS Gothic" w:hAnsi="Arial" w:cs="Arial"/>
          <w:b/>
          <w:bCs/>
          <w:sz w:val="22"/>
          <w:szCs w:val="22"/>
        </w:rPr>
        <w:t>I</w:t>
      </w:r>
      <w:r w:rsidRPr="00B54A05">
        <w:rPr>
          <w:rFonts w:ascii="Arial" w:eastAsia="MS Gothic" w:hAnsi="Arial" w:cs="Arial"/>
          <w:b/>
          <w:bCs/>
          <w:sz w:val="22"/>
          <w:szCs w:val="22"/>
        </w:rPr>
        <w:t>nclusion and exclusion criteria</w:t>
      </w:r>
    </w:p>
    <w:p w14:paraId="352A9D1E"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Inclusion and exclusion criteria were explicitly defined so that only studies that addressed the review question and were relevant to current UK hospital practice were included</w:t>
      </w:r>
      <w:r w:rsidRPr="00E8780D">
        <w:rPr>
          <w:rFonts w:ascii="MS Gothic" w:eastAsia="MS Gothic" w:hAnsi="MS Gothic" w:cs="MS Gothic" w:hint="eastAsia"/>
          <w:sz w:val="22"/>
          <w:szCs w:val="22"/>
        </w:rPr>
        <w:t>․</w:t>
      </w:r>
      <w:r w:rsidRPr="00E8780D">
        <w:rPr>
          <w:rFonts w:ascii="Arial" w:hAnsi="Arial" w:cs="Arial"/>
          <w:sz w:val="22"/>
          <w:szCs w:val="22"/>
        </w:rPr>
        <w:t xml:space="preserve"> The following studies met the stated criteria:</w:t>
      </w:r>
    </w:p>
    <w:p w14:paraId="3EDA5812"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Published in peer-reviewed journals</w:t>
      </w:r>
    </w:p>
    <w:p w14:paraId="59719204"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Conducted in the United Kingdom</w:t>
      </w:r>
    </w:p>
    <w:p w14:paraId="74FB775F"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Specific to the hospital or acute care context</w:t>
      </w:r>
    </w:p>
    <w:p w14:paraId="6E1F6222"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Explored the role of paid healthcare staff in supporting people living with dementia</w:t>
      </w:r>
    </w:p>
    <w:p w14:paraId="45049E79"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Published between 2016 and 2025</w:t>
      </w:r>
    </w:p>
    <w:p w14:paraId="5D4065FE" w14:textId="77777777" w:rsidR="00AF24A7" w:rsidRPr="00E8780D" w:rsidRDefault="00AF24A7" w:rsidP="00AF24A7">
      <w:pPr>
        <w:pStyle w:val="ListParagraph"/>
        <w:numPr>
          <w:ilvl w:val="0"/>
          <w:numId w:val="4"/>
        </w:numPr>
        <w:spacing w:line="360" w:lineRule="auto"/>
        <w:jc w:val="both"/>
        <w:rPr>
          <w:rFonts w:ascii="Arial" w:hAnsi="Arial" w:cs="Arial"/>
          <w:sz w:val="22"/>
          <w:szCs w:val="22"/>
        </w:rPr>
      </w:pPr>
      <w:r w:rsidRPr="00E8780D">
        <w:rPr>
          <w:rFonts w:ascii="Arial" w:hAnsi="Arial" w:cs="Arial"/>
          <w:sz w:val="22"/>
          <w:szCs w:val="22"/>
        </w:rPr>
        <w:t>Available in English language editions</w:t>
      </w:r>
      <w:r w:rsidRPr="00E8780D">
        <w:rPr>
          <w:rFonts w:ascii="MS Gothic" w:eastAsia="MS Gothic" w:hAnsi="MS Gothic" w:cs="MS Gothic" w:hint="eastAsia"/>
          <w:sz w:val="22"/>
          <w:szCs w:val="22"/>
        </w:rPr>
        <w:t>․</w:t>
      </w:r>
    </w:p>
    <w:p w14:paraId="0A95998B"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This ensured that the studies identified reflected current UK dementia services and care</w:t>
      </w:r>
      <w:r w:rsidRPr="00E8780D">
        <w:rPr>
          <w:rFonts w:ascii="MS Gothic" w:eastAsia="MS Gothic" w:hAnsi="MS Gothic" w:cs="MS Gothic" w:hint="eastAsia"/>
          <w:sz w:val="22"/>
          <w:szCs w:val="22"/>
        </w:rPr>
        <w:t>․</w:t>
      </w:r>
      <w:r w:rsidRPr="00E8780D">
        <w:rPr>
          <w:rFonts w:ascii="Arial" w:hAnsi="Arial" w:cs="Arial"/>
          <w:sz w:val="22"/>
          <w:szCs w:val="22"/>
        </w:rPr>
        <w:t xml:space="preserve"> Limiting the review to UK-based literature enabled contextualization of findings in terms of UK dementia policies and organisational structures (NICE, 2018; NHS England, 2022).</w:t>
      </w:r>
    </w:p>
    <w:p w14:paraId="28301BED"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Studies were excluded if they:</w:t>
      </w:r>
    </w:p>
    <w:p w14:paraId="58AC0FF0" w14:textId="77777777" w:rsidR="00AF24A7" w:rsidRPr="00E8780D" w:rsidRDefault="00AF24A7" w:rsidP="00AF24A7">
      <w:pPr>
        <w:pStyle w:val="ListParagraph"/>
        <w:numPr>
          <w:ilvl w:val="0"/>
          <w:numId w:val="5"/>
        </w:numPr>
        <w:spacing w:line="360" w:lineRule="auto"/>
        <w:jc w:val="both"/>
        <w:rPr>
          <w:rFonts w:ascii="Arial" w:hAnsi="Arial" w:cs="Arial"/>
          <w:sz w:val="22"/>
          <w:szCs w:val="22"/>
        </w:rPr>
      </w:pPr>
      <w:r w:rsidRPr="00E8780D">
        <w:rPr>
          <w:rFonts w:ascii="Arial" w:hAnsi="Arial" w:cs="Arial"/>
          <w:sz w:val="22"/>
          <w:szCs w:val="22"/>
        </w:rPr>
        <w:t>Conducted outside the United Kingdom (UK)</w:t>
      </w:r>
    </w:p>
    <w:p w14:paraId="5BEC56E8" w14:textId="77777777" w:rsidR="00AF24A7" w:rsidRPr="00E8780D" w:rsidRDefault="00AF24A7" w:rsidP="00AF24A7">
      <w:pPr>
        <w:pStyle w:val="ListParagraph"/>
        <w:numPr>
          <w:ilvl w:val="0"/>
          <w:numId w:val="5"/>
        </w:numPr>
        <w:spacing w:line="360" w:lineRule="auto"/>
        <w:jc w:val="both"/>
        <w:rPr>
          <w:rFonts w:ascii="Arial" w:hAnsi="Arial" w:cs="Arial"/>
          <w:sz w:val="22"/>
          <w:szCs w:val="22"/>
        </w:rPr>
      </w:pPr>
      <w:r w:rsidRPr="00E8780D">
        <w:rPr>
          <w:rFonts w:ascii="Arial" w:hAnsi="Arial" w:cs="Arial"/>
          <w:sz w:val="22"/>
          <w:szCs w:val="22"/>
        </w:rPr>
        <w:t>Community or residential care settings were stressed</w:t>
      </w:r>
    </w:p>
    <w:p w14:paraId="14CEF1A1" w14:textId="77777777" w:rsidR="00AF24A7" w:rsidRPr="00E8780D" w:rsidRDefault="00AF24A7" w:rsidP="00AF24A7">
      <w:pPr>
        <w:pStyle w:val="ListParagraph"/>
        <w:numPr>
          <w:ilvl w:val="0"/>
          <w:numId w:val="5"/>
        </w:numPr>
        <w:spacing w:line="360" w:lineRule="auto"/>
        <w:jc w:val="both"/>
        <w:rPr>
          <w:rFonts w:ascii="Arial" w:hAnsi="Arial" w:cs="Arial"/>
          <w:sz w:val="22"/>
          <w:szCs w:val="22"/>
        </w:rPr>
      </w:pPr>
      <w:r w:rsidRPr="00E8780D">
        <w:rPr>
          <w:rFonts w:ascii="Arial" w:hAnsi="Arial" w:cs="Arial"/>
          <w:sz w:val="22"/>
          <w:szCs w:val="22"/>
        </w:rPr>
        <w:t>Only explored patient or family experiences</w:t>
      </w:r>
    </w:p>
    <w:p w14:paraId="62185DD1" w14:textId="77777777" w:rsidR="00AF24A7" w:rsidRPr="00E8780D" w:rsidRDefault="00AF24A7" w:rsidP="00AF24A7">
      <w:pPr>
        <w:pStyle w:val="ListParagraph"/>
        <w:numPr>
          <w:ilvl w:val="0"/>
          <w:numId w:val="5"/>
        </w:numPr>
        <w:spacing w:line="360" w:lineRule="auto"/>
        <w:jc w:val="both"/>
        <w:rPr>
          <w:rFonts w:ascii="Arial" w:hAnsi="Arial" w:cs="Arial"/>
          <w:sz w:val="22"/>
          <w:szCs w:val="22"/>
        </w:rPr>
      </w:pPr>
      <w:r w:rsidRPr="00E8780D">
        <w:rPr>
          <w:rFonts w:ascii="Arial" w:hAnsi="Arial" w:cs="Arial"/>
          <w:sz w:val="22"/>
          <w:szCs w:val="22"/>
        </w:rPr>
        <w:t>Policy papers, editorials or opinion pieces</w:t>
      </w:r>
    </w:p>
    <w:p w14:paraId="5BD3FAD5" w14:textId="77777777" w:rsidR="00AF24A7" w:rsidRPr="00E8780D" w:rsidRDefault="00AF24A7" w:rsidP="00AF24A7">
      <w:pPr>
        <w:pStyle w:val="ListParagraph"/>
        <w:numPr>
          <w:ilvl w:val="0"/>
          <w:numId w:val="5"/>
        </w:numPr>
        <w:spacing w:line="360" w:lineRule="auto"/>
        <w:jc w:val="both"/>
        <w:rPr>
          <w:rFonts w:ascii="Arial" w:hAnsi="Arial" w:cs="Arial"/>
          <w:sz w:val="22"/>
          <w:szCs w:val="22"/>
        </w:rPr>
      </w:pPr>
      <w:r w:rsidRPr="00E8780D">
        <w:rPr>
          <w:rFonts w:ascii="Arial" w:hAnsi="Arial" w:cs="Arial"/>
          <w:sz w:val="22"/>
          <w:szCs w:val="22"/>
        </w:rPr>
        <w:t>Did not review peer-reviewed articles</w:t>
      </w:r>
    </w:p>
    <w:p w14:paraId="313B8401" w14:textId="1239E65D" w:rsidR="00AF24A7" w:rsidRDefault="00AF24A7" w:rsidP="00597451">
      <w:pPr>
        <w:spacing w:line="360" w:lineRule="auto"/>
        <w:jc w:val="both"/>
        <w:rPr>
          <w:rFonts w:ascii="MS Gothic" w:eastAsia="MS Gothic" w:hAnsi="MS Gothic" w:cs="MS Gothic"/>
          <w:sz w:val="22"/>
          <w:szCs w:val="22"/>
        </w:rPr>
      </w:pPr>
      <w:r w:rsidRPr="00E8780D">
        <w:rPr>
          <w:rFonts w:ascii="Arial" w:hAnsi="Arial" w:cs="Arial"/>
          <w:sz w:val="22"/>
          <w:szCs w:val="22"/>
        </w:rPr>
        <w:t>Limiting the review to studies conducted in the United Kingdom made the results more relevant, but it also meant that the review was unable to consider international literature in dementia care, which is a limitation of this review</w:t>
      </w:r>
      <w:r w:rsidRPr="00E8780D">
        <w:rPr>
          <w:rFonts w:ascii="MS Gothic" w:eastAsia="MS Gothic" w:hAnsi="MS Gothic" w:cs="MS Gothic" w:hint="eastAsia"/>
          <w:sz w:val="22"/>
          <w:szCs w:val="22"/>
        </w:rPr>
        <w:t>․</w:t>
      </w:r>
    </w:p>
    <w:p w14:paraId="13D73F5F" w14:textId="089D63A5" w:rsidR="00597451" w:rsidRPr="00597451" w:rsidRDefault="00597451" w:rsidP="00597451">
      <w:pPr>
        <w:spacing w:line="360" w:lineRule="auto"/>
        <w:jc w:val="both"/>
        <w:rPr>
          <w:rFonts w:ascii="Arial" w:hAnsi="Arial" w:cs="Arial"/>
          <w:b/>
          <w:bCs/>
          <w:sz w:val="22"/>
          <w:szCs w:val="22"/>
        </w:rPr>
      </w:pPr>
      <w:r w:rsidRPr="00597451">
        <w:rPr>
          <w:rFonts w:ascii="Arial" w:eastAsia="MS Gothic" w:hAnsi="Arial" w:cs="Arial"/>
          <w:b/>
          <w:bCs/>
          <w:sz w:val="22"/>
          <w:szCs w:val="22"/>
        </w:rPr>
        <w:lastRenderedPageBreak/>
        <w:t>Da</w:t>
      </w:r>
      <w:r w:rsidR="00B669E5">
        <w:rPr>
          <w:rFonts w:ascii="Arial" w:eastAsia="MS Gothic" w:hAnsi="Arial" w:cs="Arial"/>
          <w:b/>
          <w:bCs/>
          <w:sz w:val="22"/>
          <w:szCs w:val="22"/>
        </w:rPr>
        <w:t xml:space="preserve">ta </w:t>
      </w:r>
      <w:r w:rsidRPr="00597451">
        <w:rPr>
          <w:rFonts w:ascii="Arial" w:eastAsia="MS Gothic" w:hAnsi="Arial" w:cs="Arial"/>
          <w:b/>
          <w:bCs/>
          <w:sz w:val="22"/>
          <w:szCs w:val="22"/>
        </w:rPr>
        <w:t xml:space="preserve">Analysis </w:t>
      </w:r>
    </w:p>
    <w:p w14:paraId="6E757DA9" w14:textId="2D1B491C"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Aveyard's approach to thematic analysis (2014) was used to analyse the data set, and it is used frequently in health and social care literature reviews for identifying themes and patterns across studies</w:t>
      </w:r>
      <w:r w:rsidRPr="00E8780D">
        <w:rPr>
          <w:rFonts w:ascii="MS Gothic" w:eastAsia="MS Gothic" w:hAnsi="MS Gothic" w:cs="MS Gothic" w:hint="eastAsia"/>
          <w:sz w:val="22"/>
          <w:szCs w:val="22"/>
        </w:rPr>
        <w:t>․</w:t>
      </w:r>
      <w:r w:rsidRPr="00E8780D">
        <w:rPr>
          <w:rFonts w:ascii="Arial" w:hAnsi="Arial" w:cs="Arial"/>
          <w:sz w:val="22"/>
          <w:szCs w:val="22"/>
        </w:rPr>
        <w:t>Each article was read several times to become familiar with the findings, and staff experiences were extracted and recorded</w:t>
      </w:r>
      <w:r w:rsidRPr="00E8780D">
        <w:rPr>
          <w:rFonts w:ascii="MS Gothic" w:eastAsia="MS Gothic" w:hAnsi="MS Gothic" w:cs="MS Gothic" w:hint="eastAsia"/>
          <w:sz w:val="22"/>
          <w:szCs w:val="22"/>
        </w:rPr>
        <w:t>․</w:t>
      </w:r>
      <w:r w:rsidRPr="00E8780D">
        <w:rPr>
          <w:rFonts w:ascii="Arial" w:hAnsi="Arial" w:cs="Arial"/>
          <w:sz w:val="22"/>
          <w:szCs w:val="22"/>
        </w:rPr>
        <w:t xml:space="preserve"> Workload pressure, communication, training needs and organisational support emerged as early themes from the articles. The codes were then analysed and grouped into common themes that emerged from each of the studies</w:t>
      </w:r>
      <w:r w:rsidRPr="00E8780D">
        <w:rPr>
          <w:rFonts w:ascii="MS Gothic" w:eastAsia="MS Gothic" w:hAnsi="MS Gothic" w:cs="MS Gothic" w:hint="eastAsia"/>
          <w:sz w:val="22"/>
          <w:szCs w:val="22"/>
        </w:rPr>
        <w:t>․</w:t>
      </w:r>
    </w:p>
    <w:p w14:paraId="2C629C4E" w14:textId="77777777" w:rsidR="00AF24A7" w:rsidRPr="00E8780D" w:rsidRDefault="00AF24A7" w:rsidP="00AF24A7">
      <w:pPr>
        <w:pStyle w:val="ListParagraph"/>
        <w:numPr>
          <w:ilvl w:val="0"/>
          <w:numId w:val="6"/>
        </w:numPr>
        <w:spacing w:line="360" w:lineRule="auto"/>
        <w:jc w:val="both"/>
        <w:rPr>
          <w:rFonts w:ascii="Arial" w:hAnsi="Arial" w:cs="Arial"/>
          <w:sz w:val="22"/>
          <w:szCs w:val="22"/>
        </w:rPr>
      </w:pPr>
      <w:r w:rsidRPr="00E8780D">
        <w:rPr>
          <w:rFonts w:ascii="Arial" w:hAnsi="Arial" w:cs="Arial"/>
          <w:sz w:val="22"/>
          <w:szCs w:val="22"/>
        </w:rPr>
        <w:t>Staff workloads and difficulties of care</w:t>
      </w:r>
    </w:p>
    <w:p w14:paraId="5E1322FE" w14:textId="77777777" w:rsidR="00AF24A7" w:rsidRPr="00E8780D" w:rsidRDefault="00AF24A7" w:rsidP="00AF24A7">
      <w:pPr>
        <w:pStyle w:val="ListParagraph"/>
        <w:numPr>
          <w:ilvl w:val="0"/>
          <w:numId w:val="6"/>
        </w:numPr>
        <w:spacing w:line="360" w:lineRule="auto"/>
        <w:jc w:val="both"/>
        <w:rPr>
          <w:rFonts w:ascii="Arial" w:hAnsi="Arial" w:cs="Arial"/>
          <w:sz w:val="22"/>
          <w:szCs w:val="22"/>
        </w:rPr>
      </w:pPr>
      <w:r w:rsidRPr="00E8780D">
        <w:rPr>
          <w:rFonts w:ascii="Arial" w:hAnsi="Arial" w:cs="Arial"/>
          <w:sz w:val="22"/>
          <w:szCs w:val="22"/>
        </w:rPr>
        <w:t>Training and professional knowledge</w:t>
      </w:r>
    </w:p>
    <w:p w14:paraId="1F324F21" w14:textId="77777777" w:rsidR="00AF24A7" w:rsidRPr="00E8780D" w:rsidRDefault="00AF24A7" w:rsidP="00AF24A7">
      <w:pPr>
        <w:pStyle w:val="ListParagraph"/>
        <w:numPr>
          <w:ilvl w:val="0"/>
          <w:numId w:val="6"/>
        </w:numPr>
        <w:spacing w:line="360" w:lineRule="auto"/>
        <w:jc w:val="both"/>
        <w:rPr>
          <w:rFonts w:ascii="Arial" w:hAnsi="Arial" w:cs="Arial"/>
          <w:sz w:val="22"/>
          <w:szCs w:val="22"/>
        </w:rPr>
      </w:pPr>
      <w:r w:rsidRPr="00E8780D">
        <w:rPr>
          <w:rFonts w:ascii="Arial" w:hAnsi="Arial" w:cs="Arial"/>
          <w:sz w:val="22"/>
          <w:szCs w:val="22"/>
        </w:rPr>
        <w:t>Emotional impact on staff</w:t>
      </w:r>
    </w:p>
    <w:p w14:paraId="68126B32" w14:textId="77777777" w:rsidR="00AF24A7" w:rsidRPr="00E8780D" w:rsidRDefault="00AF24A7" w:rsidP="00AF24A7">
      <w:pPr>
        <w:pStyle w:val="ListParagraph"/>
        <w:numPr>
          <w:ilvl w:val="0"/>
          <w:numId w:val="6"/>
        </w:numPr>
        <w:spacing w:line="360" w:lineRule="auto"/>
        <w:jc w:val="both"/>
        <w:rPr>
          <w:rFonts w:ascii="Arial" w:hAnsi="Arial" w:cs="Arial"/>
          <w:sz w:val="22"/>
          <w:szCs w:val="22"/>
        </w:rPr>
      </w:pPr>
      <w:r w:rsidRPr="00E8780D">
        <w:rPr>
          <w:rFonts w:ascii="Arial" w:hAnsi="Arial" w:cs="Arial"/>
          <w:sz w:val="22"/>
          <w:szCs w:val="22"/>
        </w:rPr>
        <w:t>Organisational support</w:t>
      </w:r>
    </w:p>
    <w:p w14:paraId="25A73E93"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Thematic analysis was appropriate because it allows qualitative data to become concentrated into meaningful themes across a variety of studies (Braun and Clarke, 2006). However, it was subject to the researcher's interpretation and therefore susceptible to bias</w:t>
      </w:r>
      <w:r w:rsidRPr="00E8780D">
        <w:rPr>
          <w:rFonts w:ascii="MS Gothic" w:eastAsia="MS Gothic" w:hAnsi="MS Gothic" w:cs="MS Gothic" w:hint="eastAsia"/>
          <w:sz w:val="22"/>
          <w:szCs w:val="22"/>
        </w:rPr>
        <w:t>․</w:t>
      </w:r>
      <w:r w:rsidRPr="00E8780D">
        <w:rPr>
          <w:rFonts w:ascii="Arial" w:hAnsi="Arial" w:cs="Arial"/>
          <w:sz w:val="22"/>
          <w:szCs w:val="22"/>
        </w:rPr>
        <w:t xml:space="preserve"> This was ameliorated by ensuring that each of the themes was represented by several studies</w:t>
      </w:r>
      <w:r w:rsidRPr="00E8780D">
        <w:rPr>
          <w:rFonts w:ascii="MS Gothic" w:eastAsia="MS Gothic" w:hAnsi="MS Gothic" w:cs="MS Gothic" w:hint="eastAsia"/>
          <w:sz w:val="22"/>
          <w:szCs w:val="22"/>
        </w:rPr>
        <w:t>․</w:t>
      </w:r>
    </w:p>
    <w:p w14:paraId="6458BB19" w14:textId="54F199BD" w:rsidR="00AF24A7" w:rsidRDefault="00AF24A7" w:rsidP="00597451">
      <w:pPr>
        <w:spacing w:line="360" w:lineRule="auto"/>
        <w:jc w:val="both"/>
        <w:rPr>
          <w:rFonts w:ascii="MS Gothic" w:eastAsia="MS Gothic" w:hAnsi="MS Gothic" w:cs="MS Gothic"/>
          <w:sz w:val="22"/>
          <w:szCs w:val="22"/>
        </w:rPr>
      </w:pPr>
      <w:r w:rsidRPr="00E8780D">
        <w:rPr>
          <w:rFonts w:ascii="Arial" w:hAnsi="Arial" w:cs="Arial"/>
          <w:sz w:val="22"/>
          <w:szCs w:val="22"/>
        </w:rPr>
        <w:t>Thematic analysis found commonalities, but also differences, in the literature</w:t>
      </w:r>
      <w:r w:rsidRPr="00E8780D">
        <w:rPr>
          <w:rFonts w:ascii="MS Gothic" w:eastAsia="MS Gothic" w:hAnsi="MS Gothic" w:cs="MS Gothic" w:hint="eastAsia"/>
          <w:sz w:val="22"/>
          <w:szCs w:val="22"/>
        </w:rPr>
        <w:t>․</w:t>
      </w:r>
      <w:r w:rsidRPr="00E8780D">
        <w:rPr>
          <w:rFonts w:ascii="Arial" w:hAnsi="Arial" w:cs="Arial"/>
          <w:sz w:val="22"/>
          <w:szCs w:val="22"/>
        </w:rPr>
        <w:t xml:space="preserve"> Some studies commented on the nature of organisational barriers, while others reported on the knowledge of professionals in specific fields</w:t>
      </w:r>
      <w:r w:rsidRPr="00E8780D">
        <w:rPr>
          <w:rFonts w:ascii="MS Gothic" w:eastAsia="MS Gothic" w:hAnsi="MS Gothic" w:cs="MS Gothic" w:hint="eastAsia"/>
          <w:sz w:val="22"/>
          <w:szCs w:val="22"/>
        </w:rPr>
        <w:t>․</w:t>
      </w:r>
      <w:r w:rsidRPr="00E8780D">
        <w:rPr>
          <w:rFonts w:ascii="Arial" w:hAnsi="Arial" w:cs="Arial"/>
          <w:sz w:val="22"/>
          <w:szCs w:val="22"/>
        </w:rPr>
        <w:t xml:space="preserve"> Recognising these differences enabled a more balanced interpretation of the evidence</w:t>
      </w:r>
      <w:r w:rsidRPr="00E8780D">
        <w:rPr>
          <w:rFonts w:ascii="MS Gothic" w:eastAsia="MS Gothic" w:hAnsi="MS Gothic" w:cs="MS Gothic" w:hint="eastAsia"/>
          <w:sz w:val="22"/>
          <w:szCs w:val="22"/>
        </w:rPr>
        <w:t>․</w:t>
      </w:r>
    </w:p>
    <w:p w14:paraId="4D9C0DA7" w14:textId="4DAA873F" w:rsidR="00597451" w:rsidRPr="00597451" w:rsidRDefault="00597451" w:rsidP="00597451">
      <w:pPr>
        <w:spacing w:line="360" w:lineRule="auto"/>
        <w:jc w:val="both"/>
        <w:rPr>
          <w:rFonts w:ascii="Arial" w:hAnsi="Arial" w:cs="Arial"/>
          <w:b/>
          <w:bCs/>
          <w:sz w:val="22"/>
          <w:szCs w:val="22"/>
        </w:rPr>
      </w:pPr>
      <w:r w:rsidRPr="00597451">
        <w:rPr>
          <w:rFonts w:ascii="Arial" w:eastAsia="MS Gothic" w:hAnsi="Arial" w:cs="Arial"/>
          <w:b/>
          <w:bCs/>
          <w:sz w:val="22"/>
          <w:szCs w:val="22"/>
        </w:rPr>
        <w:t xml:space="preserve">Ethical Consideration </w:t>
      </w:r>
    </w:p>
    <w:p w14:paraId="515038B8" w14:textId="1B556AF7" w:rsidR="00AF24A7" w:rsidRPr="00D64A41" w:rsidRDefault="00AF24A7" w:rsidP="00597451">
      <w:pPr>
        <w:spacing w:line="360" w:lineRule="auto"/>
        <w:jc w:val="both"/>
        <w:rPr>
          <w:rFonts w:ascii="Arial" w:hAnsi="Arial" w:cs="Arial"/>
          <w:sz w:val="22"/>
          <w:szCs w:val="22"/>
        </w:rPr>
      </w:pPr>
      <w:r w:rsidRPr="00E8780D">
        <w:rPr>
          <w:rFonts w:ascii="Arial" w:hAnsi="Arial" w:cs="Arial"/>
          <w:sz w:val="22"/>
          <w:szCs w:val="22"/>
        </w:rPr>
        <w:t>No formal ethical approval was required for conducting secondary research on published academic literature (Bryman, 2016).</w:t>
      </w:r>
      <w:r w:rsidR="00D64A41">
        <w:rPr>
          <w:rFonts w:ascii="Arial" w:hAnsi="Arial" w:cs="Arial"/>
          <w:sz w:val="22"/>
          <w:szCs w:val="22"/>
        </w:rPr>
        <w:t xml:space="preserve"> </w:t>
      </w:r>
      <w:r w:rsidRPr="00E8780D">
        <w:rPr>
          <w:rFonts w:ascii="Arial" w:hAnsi="Arial" w:cs="Arial"/>
          <w:sz w:val="22"/>
          <w:szCs w:val="22"/>
        </w:rPr>
        <w:t>Ethical principles have been followed throughout the research, and all sources have been referenced using the Harvard system to support its validity and reliability</w:t>
      </w:r>
      <w:r w:rsidRPr="00E8780D">
        <w:rPr>
          <w:rFonts w:ascii="MS Gothic" w:eastAsia="MS Gothic" w:hAnsi="MS Gothic" w:cs="MS Gothic" w:hint="eastAsia"/>
          <w:sz w:val="22"/>
          <w:szCs w:val="22"/>
        </w:rPr>
        <w:t>․</w:t>
      </w:r>
      <w:r w:rsidRPr="00E8780D">
        <w:rPr>
          <w:rFonts w:ascii="Arial" w:hAnsi="Arial" w:cs="Arial"/>
          <w:sz w:val="22"/>
          <w:szCs w:val="22"/>
        </w:rPr>
        <w:t xml:space="preserve"> Each of the studies included in the review have been accurately represented and misinterpretation avoided wherever possible</w:t>
      </w:r>
      <w:r w:rsidRPr="00E8780D">
        <w:rPr>
          <w:rFonts w:ascii="MS Gothic" w:eastAsia="MS Gothic" w:hAnsi="MS Gothic" w:cs="MS Gothic" w:hint="eastAsia"/>
          <w:sz w:val="22"/>
          <w:szCs w:val="22"/>
        </w:rPr>
        <w:t>․</w:t>
      </w:r>
      <w:r w:rsidRPr="00E8780D">
        <w:rPr>
          <w:rFonts w:ascii="Arial" w:hAnsi="Arial" w:cs="Arial"/>
          <w:sz w:val="22"/>
          <w:szCs w:val="22"/>
        </w:rPr>
        <w:t>All search strategies and study selection processes were conducted open</w:t>
      </w:r>
      <w:r w:rsidR="00D64A41">
        <w:rPr>
          <w:rFonts w:ascii="Arial" w:hAnsi="Arial" w:cs="Arial"/>
          <w:sz w:val="22"/>
          <w:szCs w:val="22"/>
        </w:rPr>
        <w:t>ly</w:t>
      </w:r>
      <w:r w:rsidRPr="00E8780D">
        <w:rPr>
          <w:rFonts w:ascii="Arial" w:hAnsi="Arial" w:cs="Arial"/>
          <w:sz w:val="22"/>
          <w:szCs w:val="22"/>
        </w:rPr>
        <w:t xml:space="preserve"> and transparent</w:t>
      </w:r>
      <w:r w:rsidR="00D64A41">
        <w:rPr>
          <w:rFonts w:ascii="Arial" w:hAnsi="Arial" w:cs="Arial"/>
          <w:sz w:val="22"/>
          <w:szCs w:val="22"/>
        </w:rPr>
        <w:t>ly in a</w:t>
      </w:r>
      <w:r w:rsidRPr="00E8780D">
        <w:rPr>
          <w:rFonts w:ascii="Arial" w:hAnsi="Arial" w:cs="Arial"/>
          <w:sz w:val="22"/>
          <w:szCs w:val="22"/>
        </w:rPr>
        <w:t xml:space="preserve"> manner to improve the credibility of the review, but the potential for researcher bias cannot be eliminated in a literature-based study</w:t>
      </w:r>
      <w:r w:rsidRPr="00E8780D">
        <w:rPr>
          <w:rFonts w:ascii="MS Gothic" w:eastAsia="MS Gothic" w:hAnsi="MS Gothic" w:cs="MS Gothic" w:hint="eastAsia"/>
          <w:sz w:val="22"/>
          <w:szCs w:val="22"/>
        </w:rPr>
        <w:t>․</w:t>
      </w:r>
    </w:p>
    <w:p w14:paraId="05509C0A" w14:textId="193E20AA" w:rsidR="00597451" w:rsidRPr="00597451" w:rsidRDefault="00597451" w:rsidP="00597451">
      <w:pPr>
        <w:spacing w:line="360" w:lineRule="auto"/>
        <w:jc w:val="both"/>
        <w:rPr>
          <w:rFonts w:ascii="Arial" w:eastAsia="MS Gothic" w:hAnsi="Arial" w:cs="Arial"/>
          <w:b/>
          <w:bCs/>
          <w:sz w:val="22"/>
          <w:szCs w:val="22"/>
        </w:rPr>
      </w:pPr>
      <w:r w:rsidRPr="00597451">
        <w:rPr>
          <w:rFonts w:ascii="Arial" w:eastAsia="MS Gothic" w:hAnsi="Arial" w:cs="Arial"/>
          <w:b/>
          <w:bCs/>
          <w:sz w:val="22"/>
          <w:szCs w:val="22"/>
        </w:rPr>
        <w:t>Results</w:t>
      </w:r>
    </w:p>
    <w:p w14:paraId="55EF742E" w14:textId="0B68C5AD"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Seven peer-reviewed articles were included in the scoping review: qualitative research studies, systematic reviews, and mixed-methods studies exploring staff experiences of caring for people with dementia in UK hospital settings</w:t>
      </w:r>
      <w:r w:rsidR="00D64A41">
        <w:rPr>
          <w:rFonts w:ascii="Arial" w:hAnsi="Arial" w:cs="Arial"/>
          <w:sz w:val="22"/>
          <w:szCs w:val="22"/>
        </w:rPr>
        <w:t>,</w:t>
      </w:r>
      <w:r w:rsidRPr="00E8780D">
        <w:rPr>
          <w:rFonts w:ascii="Arial" w:hAnsi="Arial" w:cs="Arial"/>
          <w:sz w:val="22"/>
          <w:szCs w:val="22"/>
        </w:rPr>
        <w:t xml:space="preserve"> as shown in table 1</w:t>
      </w:r>
      <w:r w:rsidRPr="00E8780D">
        <w:rPr>
          <w:rFonts w:ascii="MS Gothic" w:eastAsia="MS Gothic" w:hAnsi="MS Gothic" w:cs="MS Gothic" w:hint="eastAsia"/>
          <w:sz w:val="22"/>
          <w:szCs w:val="22"/>
        </w:rPr>
        <w:t>․</w:t>
      </w:r>
      <w:r w:rsidRPr="00E8780D">
        <w:rPr>
          <w:rFonts w:ascii="Arial" w:hAnsi="Arial" w:cs="Arial"/>
          <w:sz w:val="22"/>
          <w:szCs w:val="22"/>
        </w:rPr>
        <w:t xml:space="preserve">Despite the variability in </w:t>
      </w:r>
      <w:r w:rsidRPr="00E8780D">
        <w:rPr>
          <w:rFonts w:ascii="Arial" w:hAnsi="Arial" w:cs="Arial"/>
          <w:sz w:val="22"/>
          <w:szCs w:val="22"/>
        </w:rPr>
        <w:lastRenderedPageBreak/>
        <w:t>methodology and number of included studies, there were similarities, such as the relationship between professional and organisational demands with the staff's experience of those demands</w:t>
      </w:r>
      <w:r w:rsidRPr="00E8780D">
        <w:rPr>
          <w:rFonts w:ascii="MS Gothic" w:eastAsia="MS Gothic" w:hAnsi="MS Gothic" w:cs="MS Gothic" w:hint="eastAsia"/>
          <w:sz w:val="22"/>
          <w:szCs w:val="22"/>
        </w:rPr>
        <w:t>․</w:t>
      </w:r>
      <w:r w:rsidRPr="00E8780D">
        <w:rPr>
          <w:rFonts w:ascii="Arial" w:hAnsi="Arial" w:cs="Arial"/>
          <w:sz w:val="22"/>
          <w:szCs w:val="22"/>
        </w:rPr>
        <w:t xml:space="preserve"> Thematic analysis identified four themes</w:t>
      </w:r>
      <w:r w:rsidRPr="00E8780D">
        <w:rPr>
          <w:rFonts w:ascii="MS Gothic" w:eastAsia="MS Gothic" w:hAnsi="MS Gothic" w:cs="MS Gothic" w:hint="eastAsia"/>
          <w:sz w:val="22"/>
          <w:szCs w:val="22"/>
        </w:rPr>
        <w:t>․</w:t>
      </w:r>
    </w:p>
    <w:p w14:paraId="5E48EADE" w14:textId="77777777" w:rsidR="00AF24A7" w:rsidRPr="00E8780D" w:rsidRDefault="00AF24A7" w:rsidP="00AF24A7">
      <w:pPr>
        <w:spacing w:line="360" w:lineRule="auto"/>
        <w:jc w:val="both"/>
        <w:rPr>
          <w:rFonts w:ascii="Arial" w:hAnsi="Arial" w:cs="Arial"/>
          <w:b/>
          <w:bCs/>
          <w:sz w:val="22"/>
          <w:szCs w:val="22"/>
        </w:rPr>
      </w:pPr>
      <w:r w:rsidRPr="00E8780D">
        <w:rPr>
          <w:rFonts w:ascii="Arial" w:hAnsi="Arial" w:cs="Arial"/>
          <w:b/>
          <w:bCs/>
          <w:sz w:val="22"/>
          <w:szCs w:val="22"/>
        </w:rPr>
        <w:t>Table 1: Summary of Included Studies</w:t>
      </w:r>
    </w:p>
    <w:tbl>
      <w:tblPr>
        <w:tblStyle w:val="TableGrid"/>
        <w:tblW w:w="0" w:type="auto"/>
        <w:tblLook w:val="04A0" w:firstRow="1" w:lastRow="0" w:firstColumn="1" w:lastColumn="0" w:noHBand="0" w:noVBand="1"/>
      </w:tblPr>
      <w:tblGrid>
        <w:gridCol w:w="1201"/>
        <w:gridCol w:w="1526"/>
        <w:gridCol w:w="1600"/>
        <w:gridCol w:w="1297"/>
        <w:gridCol w:w="1737"/>
        <w:gridCol w:w="1655"/>
      </w:tblGrid>
      <w:tr w:rsidR="00AF24A7" w:rsidRPr="00E8780D" w14:paraId="7B20406F" w14:textId="77777777" w:rsidTr="00AF5E72">
        <w:tc>
          <w:tcPr>
            <w:tcW w:w="0" w:type="auto"/>
            <w:hideMark/>
          </w:tcPr>
          <w:p w14:paraId="2E671E8A"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Author &amp; Year</w:t>
            </w:r>
          </w:p>
        </w:tc>
        <w:tc>
          <w:tcPr>
            <w:tcW w:w="0" w:type="auto"/>
            <w:hideMark/>
          </w:tcPr>
          <w:p w14:paraId="450B7072"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Study Aim</w:t>
            </w:r>
          </w:p>
        </w:tc>
        <w:tc>
          <w:tcPr>
            <w:tcW w:w="0" w:type="auto"/>
            <w:hideMark/>
          </w:tcPr>
          <w:p w14:paraId="62E596DC"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Methodology</w:t>
            </w:r>
          </w:p>
        </w:tc>
        <w:tc>
          <w:tcPr>
            <w:tcW w:w="0" w:type="auto"/>
            <w:hideMark/>
          </w:tcPr>
          <w:p w14:paraId="1CD960C6"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Sample</w:t>
            </w:r>
          </w:p>
        </w:tc>
        <w:tc>
          <w:tcPr>
            <w:tcW w:w="0" w:type="auto"/>
            <w:hideMark/>
          </w:tcPr>
          <w:p w14:paraId="5A624027"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Key Findings</w:t>
            </w:r>
          </w:p>
        </w:tc>
        <w:tc>
          <w:tcPr>
            <w:tcW w:w="0" w:type="auto"/>
            <w:hideMark/>
          </w:tcPr>
          <w:p w14:paraId="0644092A" w14:textId="77777777" w:rsidR="00AF24A7" w:rsidRPr="00E8780D" w:rsidRDefault="00AF24A7" w:rsidP="00AF5E72">
            <w:pPr>
              <w:spacing w:after="160" w:line="360" w:lineRule="auto"/>
              <w:jc w:val="both"/>
              <w:rPr>
                <w:rFonts w:ascii="Arial" w:hAnsi="Arial" w:cs="Arial"/>
                <w:b/>
                <w:bCs/>
                <w:sz w:val="22"/>
                <w:szCs w:val="22"/>
              </w:rPr>
            </w:pPr>
            <w:r w:rsidRPr="00E8780D">
              <w:rPr>
                <w:rFonts w:ascii="Arial" w:hAnsi="Arial" w:cs="Arial"/>
                <w:b/>
                <w:bCs/>
                <w:sz w:val="22"/>
                <w:szCs w:val="22"/>
              </w:rPr>
              <w:t>Relevance</w:t>
            </w:r>
          </w:p>
        </w:tc>
      </w:tr>
      <w:tr w:rsidR="00AF24A7" w:rsidRPr="00E8780D" w14:paraId="0C978D07" w14:textId="77777777" w:rsidTr="00AF5E72">
        <w:tc>
          <w:tcPr>
            <w:tcW w:w="0" w:type="auto"/>
            <w:hideMark/>
          </w:tcPr>
          <w:p w14:paraId="1F54DAA9"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Gwernan-Jones et al. (2020)</w:t>
            </w:r>
          </w:p>
        </w:tc>
        <w:tc>
          <w:tcPr>
            <w:tcW w:w="0" w:type="auto"/>
            <w:hideMark/>
          </w:tcPr>
          <w:p w14:paraId="15555472"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Explore hospital staff experiences of dementia care</w:t>
            </w:r>
          </w:p>
        </w:tc>
        <w:tc>
          <w:tcPr>
            <w:tcW w:w="0" w:type="auto"/>
            <w:hideMark/>
          </w:tcPr>
          <w:p w14:paraId="05956518"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Qualitative systematic review</w:t>
            </w:r>
          </w:p>
        </w:tc>
        <w:tc>
          <w:tcPr>
            <w:tcW w:w="0" w:type="auto"/>
            <w:hideMark/>
          </w:tcPr>
          <w:p w14:paraId="4F540EBA"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Multiple UK studies</w:t>
            </w:r>
          </w:p>
        </w:tc>
        <w:tc>
          <w:tcPr>
            <w:tcW w:w="0" w:type="auto"/>
            <w:hideMark/>
          </w:tcPr>
          <w:p w14:paraId="66C5DA92" w14:textId="2A94AF4D"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 xml:space="preserve">Staff struggled </w:t>
            </w:r>
            <w:r w:rsidR="00BB5BD7">
              <w:rPr>
                <w:rFonts w:ascii="Arial" w:hAnsi="Arial" w:cs="Arial"/>
                <w:sz w:val="22"/>
                <w:szCs w:val="22"/>
              </w:rPr>
              <w:t>to balance</w:t>
            </w:r>
            <w:r w:rsidRPr="00E8780D">
              <w:rPr>
                <w:rFonts w:ascii="Arial" w:hAnsi="Arial" w:cs="Arial"/>
                <w:sz w:val="22"/>
                <w:szCs w:val="22"/>
              </w:rPr>
              <w:t xml:space="preserve"> tasks and person-centred care</w:t>
            </w:r>
          </w:p>
        </w:tc>
        <w:tc>
          <w:tcPr>
            <w:tcW w:w="0" w:type="auto"/>
            <w:hideMark/>
          </w:tcPr>
          <w:p w14:paraId="4F5F0D8C"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Core evidence of staff experiences</w:t>
            </w:r>
          </w:p>
        </w:tc>
      </w:tr>
      <w:tr w:rsidR="00AF24A7" w:rsidRPr="00E8780D" w14:paraId="0B5E05BB" w14:textId="77777777" w:rsidTr="00AF5E72">
        <w:tc>
          <w:tcPr>
            <w:tcW w:w="0" w:type="auto"/>
            <w:hideMark/>
          </w:tcPr>
          <w:p w14:paraId="2D09FEDD"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White et al. (2022)</w:t>
            </w:r>
          </w:p>
        </w:tc>
        <w:tc>
          <w:tcPr>
            <w:tcW w:w="0" w:type="auto"/>
            <w:hideMark/>
          </w:tcPr>
          <w:p w14:paraId="73833C66"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Examine staff views on dementia care in hospitals</w:t>
            </w:r>
          </w:p>
        </w:tc>
        <w:tc>
          <w:tcPr>
            <w:tcW w:w="0" w:type="auto"/>
            <w:hideMark/>
          </w:tcPr>
          <w:p w14:paraId="0CB10646"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Narrative review</w:t>
            </w:r>
          </w:p>
        </w:tc>
        <w:tc>
          <w:tcPr>
            <w:tcW w:w="0" w:type="auto"/>
            <w:hideMark/>
          </w:tcPr>
          <w:p w14:paraId="7E4A7096"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Hospital staff studies</w:t>
            </w:r>
          </w:p>
        </w:tc>
        <w:tc>
          <w:tcPr>
            <w:tcW w:w="0" w:type="auto"/>
            <w:hideMark/>
          </w:tcPr>
          <w:p w14:paraId="08CE1D70"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Organisational factors influence care quality</w:t>
            </w:r>
          </w:p>
        </w:tc>
        <w:tc>
          <w:tcPr>
            <w:tcW w:w="0" w:type="auto"/>
            <w:hideMark/>
          </w:tcPr>
          <w:p w14:paraId="664BF760"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Shows system challenges</w:t>
            </w:r>
          </w:p>
        </w:tc>
      </w:tr>
      <w:tr w:rsidR="00AF24A7" w:rsidRPr="00E8780D" w14:paraId="470A490A" w14:textId="77777777" w:rsidTr="00AF5E72">
        <w:tc>
          <w:tcPr>
            <w:tcW w:w="0" w:type="auto"/>
            <w:hideMark/>
          </w:tcPr>
          <w:p w14:paraId="310E80F8"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Houghton et al. (2016)</w:t>
            </w:r>
          </w:p>
        </w:tc>
        <w:tc>
          <w:tcPr>
            <w:tcW w:w="0" w:type="auto"/>
            <w:hideMark/>
          </w:tcPr>
          <w:p w14:paraId="1476801D"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Explore staff perceptions of dementia care</w:t>
            </w:r>
          </w:p>
        </w:tc>
        <w:tc>
          <w:tcPr>
            <w:tcW w:w="0" w:type="auto"/>
            <w:hideMark/>
          </w:tcPr>
          <w:p w14:paraId="211DA018"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Qualitative synthesis</w:t>
            </w:r>
          </w:p>
        </w:tc>
        <w:tc>
          <w:tcPr>
            <w:tcW w:w="0" w:type="auto"/>
            <w:hideMark/>
          </w:tcPr>
          <w:p w14:paraId="08937E1B"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Acute hospital staff</w:t>
            </w:r>
          </w:p>
        </w:tc>
        <w:tc>
          <w:tcPr>
            <w:tcW w:w="0" w:type="auto"/>
            <w:hideMark/>
          </w:tcPr>
          <w:p w14:paraId="1D598CEE"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Training and staffing problems common</w:t>
            </w:r>
          </w:p>
        </w:tc>
        <w:tc>
          <w:tcPr>
            <w:tcW w:w="0" w:type="auto"/>
            <w:hideMark/>
          </w:tcPr>
          <w:p w14:paraId="0F804601"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Shows barriers to care</w:t>
            </w:r>
          </w:p>
        </w:tc>
      </w:tr>
      <w:tr w:rsidR="00AF24A7" w:rsidRPr="00E8780D" w14:paraId="6C0F112E" w14:textId="77777777" w:rsidTr="00AF5E72">
        <w:tc>
          <w:tcPr>
            <w:tcW w:w="0" w:type="auto"/>
            <w:hideMark/>
          </w:tcPr>
          <w:p w14:paraId="70A0D2B5"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Petty et al. (2019)</w:t>
            </w:r>
          </w:p>
        </w:tc>
        <w:tc>
          <w:tcPr>
            <w:tcW w:w="0" w:type="auto"/>
            <w:hideMark/>
          </w:tcPr>
          <w:p w14:paraId="64C04DEE"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Explore staff approaches to dementia care</w:t>
            </w:r>
          </w:p>
        </w:tc>
        <w:tc>
          <w:tcPr>
            <w:tcW w:w="0" w:type="auto"/>
            <w:hideMark/>
          </w:tcPr>
          <w:p w14:paraId="407A9E1E"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Qualitative interviews</w:t>
            </w:r>
          </w:p>
        </w:tc>
        <w:tc>
          <w:tcPr>
            <w:tcW w:w="0" w:type="auto"/>
            <w:hideMark/>
          </w:tcPr>
          <w:p w14:paraId="3B10CC00"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UK hospital staff</w:t>
            </w:r>
          </w:p>
        </w:tc>
        <w:tc>
          <w:tcPr>
            <w:tcW w:w="0" w:type="auto"/>
            <w:hideMark/>
          </w:tcPr>
          <w:p w14:paraId="0E6EF372"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Staff approaches influenced by ward culture</w:t>
            </w:r>
          </w:p>
        </w:tc>
        <w:tc>
          <w:tcPr>
            <w:tcW w:w="0" w:type="auto"/>
            <w:hideMark/>
          </w:tcPr>
          <w:p w14:paraId="517E0EEA"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Shows practice differences</w:t>
            </w:r>
          </w:p>
        </w:tc>
      </w:tr>
      <w:tr w:rsidR="00AF24A7" w:rsidRPr="00E8780D" w14:paraId="71477771" w14:textId="77777777" w:rsidTr="00AF5E72">
        <w:tc>
          <w:tcPr>
            <w:tcW w:w="0" w:type="auto"/>
            <w:hideMark/>
          </w:tcPr>
          <w:p w14:paraId="1912FA50"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Addis et al. (2025)</w:t>
            </w:r>
          </w:p>
        </w:tc>
        <w:tc>
          <w:tcPr>
            <w:tcW w:w="0" w:type="auto"/>
            <w:hideMark/>
          </w:tcPr>
          <w:p w14:paraId="0819986C"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Explore nurses’ dementia care experiences</w:t>
            </w:r>
          </w:p>
        </w:tc>
        <w:tc>
          <w:tcPr>
            <w:tcW w:w="0" w:type="auto"/>
            <w:hideMark/>
          </w:tcPr>
          <w:p w14:paraId="58F9140A"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Qualitative interviews</w:t>
            </w:r>
          </w:p>
        </w:tc>
        <w:tc>
          <w:tcPr>
            <w:tcW w:w="0" w:type="auto"/>
            <w:hideMark/>
          </w:tcPr>
          <w:p w14:paraId="6682B54C"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Hospital nurses</w:t>
            </w:r>
          </w:p>
        </w:tc>
        <w:tc>
          <w:tcPr>
            <w:tcW w:w="0" w:type="auto"/>
            <w:hideMark/>
          </w:tcPr>
          <w:p w14:paraId="3F721381"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Emotional stress and workload challenges</w:t>
            </w:r>
          </w:p>
        </w:tc>
        <w:tc>
          <w:tcPr>
            <w:tcW w:w="0" w:type="auto"/>
            <w:hideMark/>
          </w:tcPr>
          <w:p w14:paraId="16630F1D"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Emotional impact theme</w:t>
            </w:r>
          </w:p>
        </w:tc>
      </w:tr>
      <w:tr w:rsidR="00AF24A7" w:rsidRPr="00E8780D" w14:paraId="4AFCF937" w14:textId="77777777" w:rsidTr="00AF5E72">
        <w:tc>
          <w:tcPr>
            <w:tcW w:w="0" w:type="auto"/>
            <w:hideMark/>
          </w:tcPr>
          <w:p w14:paraId="5DBE14D2"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Abbott et al. (2022)</w:t>
            </w:r>
          </w:p>
        </w:tc>
        <w:tc>
          <w:tcPr>
            <w:tcW w:w="0" w:type="auto"/>
            <w:hideMark/>
          </w:tcPr>
          <w:p w14:paraId="6031B658"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 xml:space="preserve">Explore dementia care </w:t>
            </w:r>
            <w:r w:rsidRPr="00E8780D">
              <w:rPr>
                <w:rFonts w:ascii="Arial" w:hAnsi="Arial" w:cs="Arial"/>
                <w:sz w:val="22"/>
                <w:szCs w:val="22"/>
              </w:rPr>
              <w:lastRenderedPageBreak/>
              <w:t>improvement needs</w:t>
            </w:r>
          </w:p>
        </w:tc>
        <w:tc>
          <w:tcPr>
            <w:tcW w:w="0" w:type="auto"/>
            <w:hideMark/>
          </w:tcPr>
          <w:p w14:paraId="6E2D4A0C"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lastRenderedPageBreak/>
              <w:t>Mixed methods review</w:t>
            </w:r>
          </w:p>
        </w:tc>
        <w:tc>
          <w:tcPr>
            <w:tcW w:w="0" w:type="auto"/>
            <w:hideMark/>
          </w:tcPr>
          <w:p w14:paraId="5A7EA6C5"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Hospital studies</w:t>
            </w:r>
          </w:p>
        </w:tc>
        <w:tc>
          <w:tcPr>
            <w:tcW w:w="0" w:type="auto"/>
            <w:hideMark/>
          </w:tcPr>
          <w:p w14:paraId="47D0A982"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Need for training and communication</w:t>
            </w:r>
          </w:p>
        </w:tc>
        <w:tc>
          <w:tcPr>
            <w:tcW w:w="0" w:type="auto"/>
            <w:hideMark/>
          </w:tcPr>
          <w:p w14:paraId="2B03C72E"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Organisational theme</w:t>
            </w:r>
          </w:p>
        </w:tc>
      </w:tr>
      <w:tr w:rsidR="00AF24A7" w:rsidRPr="00E8780D" w14:paraId="0D63D825" w14:textId="77777777" w:rsidTr="00AF5E72">
        <w:tc>
          <w:tcPr>
            <w:tcW w:w="0" w:type="auto"/>
            <w:hideMark/>
          </w:tcPr>
          <w:p w14:paraId="65F19416"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Kindell et al. (2025)</w:t>
            </w:r>
          </w:p>
        </w:tc>
        <w:tc>
          <w:tcPr>
            <w:tcW w:w="0" w:type="auto"/>
            <w:hideMark/>
          </w:tcPr>
          <w:p w14:paraId="7FCAF96A"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Explore support workers’ dementia care practices</w:t>
            </w:r>
          </w:p>
        </w:tc>
        <w:tc>
          <w:tcPr>
            <w:tcW w:w="0" w:type="auto"/>
            <w:hideMark/>
          </w:tcPr>
          <w:p w14:paraId="28CF4727"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Qualitative study</w:t>
            </w:r>
          </w:p>
        </w:tc>
        <w:tc>
          <w:tcPr>
            <w:tcW w:w="0" w:type="auto"/>
            <w:hideMark/>
          </w:tcPr>
          <w:p w14:paraId="32E96F85"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Healthcare support workers</w:t>
            </w:r>
          </w:p>
        </w:tc>
        <w:tc>
          <w:tcPr>
            <w:tcW w:w="0" w:type="auto"/>
            <w:hideMark/>
          </w:tcPr>
          <w:p w14:paraId="40681EAD"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Frontline staff face complex care demands</w:t>
            </w:r>
          </w:p>
        </w:tc>
        <w:tc>
          <w:tcPr>
            <w:tcW w:w="0" w:type="auto"/>
            <w:hideMark/>
          </w:tcPr>
          <w:p w14:paraId="756DB91F" w14:textId="77777777" w:rsidR="00AF24A7" w:rsidRPr="00E8780D" w:rsidRDefault="00AF24A7" w:rsidP="00AF5E72">
            <w:pPr>
              <w:spacing w:after="160" w:line="360" w:lineRule="auto"/>
              <w:jc w:val="both"/>
              <w:rPr>
                <w:rFonts w:ascii="Arial" w:hAnsi="Arial" w:cs="Arial"/>
                <w:sz w:val="22"/>
                <w:szCs w:val="22"/>
              </w:rPr>
            </w:pPr>
            <w:r w:rsidRPr="00E8780D">
              <w:rPr>
                <w:rFonts w:ascii="Arial" w:hAnsi="Arial" w:cs="Arial"/>
                <w:sz w:val="22"/>
                <w:szCs w:val="22"/>
              </w:rPr>
              <w:t>Staff experience evidence</w:t>
            </w:r>
          </w:p>
        </w:tc>
      </w:tr>
    </w:tbl>
    <w:p w14:paraId="113DBD55" w14:textId="77777777" w:rsidR="008C3DB5" w:rsidRDefault="008C3DB5" w:rsidP="00AF24A7">
      <w:pPr>
        <w:spacing w:line="360" w:lineRule="auto"/>
        <w:jc w:val="both"/>
        <w:rPr>
          <w:rFonts w:ascii="Arial" w:hAnsi="Arial" w:cs="Arial"/>
          <w:sz w:val="22"/>
          <w:szCs w:val="22"/>
        </w:rPr>
      </w:pPr>
    </w:p>
    <w:p w14:paraId="5A878EE7" w14:textId="0B4C2FF3" w:rsidR="008C3DB5" w:rsidRPr="008C3DB5" w:rsidRDefault="008C3DB5" w:rsidP="00AF24A7">
      <w:pPr>
        <w:spacing w:line="360" w:lineRule="auto"/>
        <w:jc w:val="both"/>
        <w:rPr>
          <w:rFonts w:ascii="Arial" w:hAnsi="Arial" w:cs="Arial"/>
          <w:b/>
          <w:bCs/>
          <w:sz w:val="22"/>
          <w:szCs w:val="22"/>
        </w:rPr>
      </w:pPr>
      <w:r w:rsidRPr="008C3DB5">
        <w:rPr>
          <w:rFonts w:ascii="Arial" w:hAnsi="Arial" w:cs="Arial"/>
          <w:b/>
          <w:bCs/>
          <w:sz w:val="22"/>
          <w:szCs w:val="22"/>
        </w:rPr>
        <w:t>Theme 1: staff workload and difficulties in care</w:t>
      </w:r>
    </w:p>
    <w:p w14:paraId="59A4C1A3" w14:textId="05FED65A"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Workload was routinely seen to impact the experiences of staff: in several studies, staff said that dementia care required more time and attention from staff than general clinical care</w:t>
      </w:r>
      <w:r w:rsidRPr="00E8780D">
        <w:rPr>
          <w:rFonts w:ascii="Arial" w:eastAsia="MS Gothic" w:hAnsi="Arial" w:cs="Arial"/>
          <w:sz w:val="22"/>
          <w:szCs w:val="22"/>
        </w:rPr>
        <w:t xml:space="preserve">. </w:t>
      </w:r>
      <w:r w:rsidRPr="00E8780D">
        <w:rPr>
          <w:rFonts w:ascii="Arial" w:hAnsi="Arial" w:cs="Arial"/>
          <w:sz w:val="22"/>
          <w:szCs w:val="22"/>
        </w:rPr>
        <w:t>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reported that staff felt they were struggling to balance the completion of clinical tasks and the needs of people with dementia</w:t>
      </w:r>
      <w:r w:rsidRPr="00E8780D">
        <w:rPr>
          <w:rFonts w:ascii="MS Gothic" w:eastAsia="MS Gothic" w:hAnsi="MS Gothic" w:cs="MS Gothic" w:hint="eastAsia"/>
          <w:sz w:val="22"/>
          <w:szCs w:val="22"/>
        </w:rPr>
        <w:t>․</w:t>
      </w:r>
      <w:r w:rsidRPr="00E8780D">
        <w:rPr>
          <w:rFonts w:ascii="Arial" w:hAnsi="Arial" w:cs="Arial"/>
          <w:sz w:val="22"/>
          <w:szCs w:val="22"/>
        </w:rPr>
        <w:t xml:space="preserve"> Houghton et al</w:t>
      </w:r>
      <w:r w:rsidRPr="00E8780D">
        <w:rPr>
          <w:rFonts w:ascii="MS Gothic" w:eastAsia="MS Gothic" w:hAnsi="MS Gothic" w:cs="MS Gothic" w:hint="eastAsia"/>
          <w:sz w:val="22"/>
          <w:szCs w:val="22"/>
        </w:rPr>
        <w:t>․</w:t>
      </w:r>
      <w:r w:rsidRPr="00E8780D">
        <w:rPr>
          <w:rFonts w:ascii="Arial" w:hAnsi="Arial" w:cs="Arial"/>
          <w:sz w:val="22"/>
          <w:szCs w:val="22"/>
        </w:rPr>
        <w:t xml:space="preserve"> (2016) agreed with this finding, with dementia care being perceived as challenging in busy hospital environments with condensed schedules</w:t>
      </w:r>
      <w:r w:rsidRPr="00E8780D">
        <w:rPr>
          <w:rFonts w:ascii="MS Gothic" w:eastAsia="MS Gothic" w:hAnsi="MS Gothic" w:cs="MS Gothic" w:hint="eastAsia"/>
          <w:sz w:val="22"/>
          <w:szCs w:val="22"/>
        </w:rPr>
        <w:t>․</w:t>
      </w:r>
    </w:p>
    <w:p w14:paraId="0863C915" w14:textId="3EF1D144" w:rsidR="00AF24A7" w:rsidRDefault="00AF24A7" w:rsidP="008C3DB5">
      <w:pPr>
        <w:spacing w:line="360" w:lineRule="auto"/>
        <w:jc w:val="both"/>
        <w:rPr>
          <w:rFonts w:ascii="MS Gothic" w:eastAsia="MS Gothic" w:hAnsi="MS Gothic" w:cs="MS Gothic"/>
          <w:sz w:val="22"/>
          <w:szCs w:val="22"/>
        </w:rPr>
      </w:pPr>
      <w:r w:rsidRPr="00E8780D">
        <w:rPr>
          <w:rFonts w:ascii="Arial" w:hAnsi="Arial" w:cs="Arial"/>
          <w:sz w:val="22"/>
          <w:szCs w:val="22"/>
        </w:rPr>
        <w:t>Recent evidence has reinforced the findings of the above studies, with nurses in a study reporting that the level of scrutiny required by staff to keep patients with dementia safe caused them stress (Addis et al</w:t>
      </w:r>
      <w:r w:rsidRPr="00E8780D">
        <w:rPr>
          <w:rFonts w:ascii="MS Gothic" w:eastAsia="MS Gothic" w:hAnsi="MS Gothic" w:cs="MS Gothic" w:hint="eastAsia"/>
          <w:sz w:val="22"/>
          <w:szCs w:val="22"/>
        </w:rPr>
        <w:t>․</w:t>
      </w:r>
      <w:r w:rsidRPr="00E8780D">
        <w:rPr>
          <w:rFonts w:ascii="Arial" w:hAnsi="Arial" w:cs="Arial"/>
          <w:sz w:val="22"/>
          <w:szCs w:val="22"/>
        </w:rPr>
        <w:t>, 2025), and support workers finding work with patients with dementia unpredictable and physically demanding (Kindell et al</w:t>
      </w:r>
      <w:r w:rsidRPr="00E8780D">
        <w:rPr>
          <w:rFonts w:ascii="MS Gothic" w:eastAsia="MS Gothic" w:hAnsi="MS Gothic" w:cs="MS Gothic" w:hint="eastAsia"/>
          <w:sz w:val="22"/>
          <w:szCs w:val="22"/>
        </w:rPr>
        <w:t>․</w:t>
      </w:r>
      <w:r w:rsidRPr="00E8780D">
        <w:rPr>
          <w:rFonts w:ascii="Arial" w:hAnsi="Arial" w:cs="Arial"/>
          <w:sz w:val="22"/>
          <w:szCs w:val="22"/>
        </w:rPr>
        <w:t>, 2025). There is some debate about this: Abbott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argue that the pressures from the workload may be more related to the </w:t>
      </w:r>
      <w:r w:rsidR="00BB5BD7">
        <w:rPr>
          <w:rFonts w:ascii="Arial" w:hAnsi="Arial" w:cs="Arial"/>
          <w:sz w:val="22"/>
          <w:szCs w:val="22"/>
        </w:rPr>
        <w:t>organisation</w:t>
      </w:r>
      <w:r w:rsidRPr="00E8780D">
        <w:rPr>
          <w:rFonts w:ascii="Arial" w:hAnsi="Arial" w:cs="Arial"/>
          <w:sz w:val="22"/>
          <w:szCs w:val="22"/>
        </w:rPr>
        <w:t xml:space="preserve"> of the care, rather than a result of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It is suggested that staffing levels and ward </w:t>
      </w:r>
      <w:r w:rsidR="00BB5BD7">
        <w:rPr>
          <w:rFonts w:ascii="Arial" w:hAnsi="Arial" w:cs="Arial"/>
          <w:sz w:val="22"/>
          <w:szCs w:val="22"/>
        </w:rPr>
        <w:t>organisation</w:t>
      </w:r>
      <w:r w:rsidRPr="00E8780D">
        <w:rPr>
          <w:rFonts w:ascii="Arial" w:hAnsi="Arial" w:cs="Arial"/>
          <w:sz w:val="22"/>
          <w:szCs w:val="22"/>
        </w:rPr>
        <w:t xml:space="preserve"> might alleviate the workload</w:t>
      </w:r>
      <w:r w:rsidRPr="00E8780D">
        <w:rPr>
          <w:rFonts w:ascii="MS Gothic" w:eastAsia="MS Gothic" w:hAnsi="MS Gothic" w:cs="MS Gothic" w:hint="eastAsia"/>
          <w:sz w:val="22"/>
          <w:szCs w:val="22"/>
        </w:rPr>
        <w:t>․</w:t>
      </w:r>
    </w:p>
    <w:p w14:paraId="76881A20" w14:textId="6C3C466D" w:rsidR="008C3DB5" w:rsidRPr="008C3DB5" w:rsidRDefault="008C3DB5" w:rsidP="008C3DB5">
      <w:pPr>
        <w:spacing w:line="360" w:lineRule="auto"/>
        <w:jc w:val="both"/>
        <w:rPr>
          <w:rFonts w:ascii="Arial" w:hAnsi="Arial" w:cs="Arial"/>
          <w:b/>
          <w:bCs/>
          <w:sz w:val="22"/>
          <w:szCs w:val="22"/>
        </w:rPr>
      </w:pPr>
      <w:r w:rsidRPr="008C3DB5">
        <w:rPr>
          <w:rFonts w:ascii="Arial" w:eastAsia="MS Gothic" w:hAnsi="Arial" w:cs="Arial"/>
          <w:b/>
          <w:bCs/>
          <w:sz w:val="22"/>
          <w:szCs w:val="22"/>
        </w:rPr>
        <w:t>Theme 2: Training and professional knowledge</w:t>
      </w:r>
    </w:p>
    <w:p w14:paraId="7725E18C" w14:textId="3D7AC76E"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Training and knowledge also affected staff experiences with staff from several studies reporting a lack of preparation for caring for people living with dementia</w:t>
      </w:r>
      <w:r w:rsidRPr="00E8780D">
        <w:rPr>
          <w:rFonts w:ascii="MS Gothic" w:eastAsia="MS Gothic" w:hAnsi="MS Gothic" w:cs="MS Gothic" w:hint="eastAsia"/>
          <w:sz w:val="22"/>
          <w:szCs w:val="22"/>
        </w:rPr>
        <w:t>․</w:t>
      </w:r>
      <w:r w:rsidRPr="00E8780D">
        <w:rPr>
          <w:rFonts w:ascii="Arial" w:hAnsi="Arial" w:cs="Arial"/>
          <w:sz w:val="22"/>
          <w:szCs w:val="22"/>
        </w:rPr>
        <w:t>Furthermore, skills and knowledge in dementia were viewed as lacking among staff, and staff wanted more training (Houghton et al</w:t>
      </w:r>
      <w:r w:rsidRPr="00E8780D">
        <w:rPr>
          <w:rFonts w:ascii="MS Gothic" w:eastAsia="MS Gothic" w:hAnsi="MS Gothic" w:cs="MS Gothic" w:hint="eastAsia"/>
          <w:sz w:val="22"/>
          <w:szCs w:val="22"/>
        </w:rPr>
        <w:t>․</w:t>
      </w:r>
      <w:r w:rsidR="00BB5BD7">
        <w:rPr>
          <w:rFonts w:ascii="MS Gothic" w:eastAsia="MS Gothic" w:hAnsi="MS Gothic" w:cs="MS Gothic"/>
          <w:sz w:val="22"/>
          <w:szCs w:val="22"/>
        </w:rPr>
        <w:t>,</w:t>
      </w:r>
      <w:r w:rsidRPr="00E8780D">
        <w:rPr>
          <w:rFonts w:ascii="Arial" w:hAnsi="Arial" w:cs="Arial"/>
          <w:sz w:val="22"/>
          <w:szCs w:val="22"/>
        </w:rPr>
        <w:t xml:space="preserve"> 2016). Petty et al</w:t>
      </w:r>
      <w:r w:rsidRPr="00E8780D">
        <w:rPr>
          <w:rFonts w:ascii="MS Gothic" w:eastAsia="MS Gothic" w:hAnsi="MS Gothic" w:cs="MS Gothic" w:hint="eastAsia"/>
          <w:sz w:val="22"/>
          <w:szCs w:val="22"/>
        </w:rPr>
        <w:t>․</w:t>
      </w:r>
      <w:r w:rsidRPr="00E8780D">
        <w:rPr>
          <w:rFonts w:ascii="Arial" w:hAnsi="Arial" w:cs="Arial"/>
          <w:sz w:val="22"/>
          <w:szCs w:val="22"/>
        </w:rPr>
        <w:t xml:space="preserve"> (2019) also found that staff confidence levels varied, according to training and experience</w:t>
      </w:r>
      <w:r w:rsidRPr="00E8780D">
        <w:rPr>
          <w:rFonts w:ascii="Arial" w:eastAsia="MS Gothic" w:hAnsi="Arial" w:cs="Arial"/>
          <w:sz w:val="22"/>
          <w:szCs w:val="22"/>
        </w:rPr>
        <w:t xml:space="preserve">. </w:t>
      </w:r>
      <w:r w:rsidRPr="00E8780D">
        <w:rPr>
          <w:rFonts w:ascii="Arial" w:hAnsi="Arial" w:cs="Arial"/>
          <w:sz w:val="22"/>
          <w:szCs w:val="22"/>
        </w:rPr>
        <w:t>However, the impact of training programmes is uncertain</w:t>
      </w:r>
      <w:r w:rsidRPr="00E8780D">
        <w:rPr>
          <w:rFonts w:ascii="MS Gothic" w:eastAsia="MS Gothic" w:hAnsi="MS Gothic" w:cs="MS Gothic" w:hint="eastAsia"/>
          <w:sz w:val="22"/>
          <w:szCs w:val="22"/>
        </w:rPr>
        <w:t>․</w:t>
      </w:r>
      <w:r w:rsidRPr="00E8780D">
        <w:rPr>
          <w:rFonts w:ascii="Arial" w:hAnsi="Arial" w:cs="Arial"/>
          <w:sz w:val="22"/>
          <w:szCs w:val="22"/>
        </w:rPr>
        <w:t xml:space="preserve"> In their review, Surr et al</w:t>
      </w:r>
      <w:r w:rsidRPr="00E8780D">
        <w:rPr>
          <w:rFonts w:ascii="MS Gothic" w:eastAsia="MS Gothic" w:hAnsi="MS Gothic" w:cs="MS Gothic" w:hint="eastAsia"/>
          <w:sz w:val="22"/>
          <w:szCs w:val="22"/>
        </w:rPr>
        <w:t>․</w:t>
      </w:r>
      <w:r w:rsidRPr="00E8780D">
        <w:rPr>
          <w:rFonts w:ascii="Arial" w:hAnsi="Arial" w:cs="Arial"/>
          <w:sz w:val="22"/>
          <w:szCs w:val="22"/>
        </w:rPr>
        <w:t xml:space="preserve"> (2017) found dementia training programmes had variable quality and outcomes</w:t>
      </w:r>
      <w:r w:rsidRPr="00E8780D">
        <w:rPr>
          <w:rFonts w:ascii="MS Gothic" w:eastAsia="MS Gothic" w:hAnsi="MS Gothic" w:cs="MS Gothic" w:hint="eastAsia"/>
          <w:sz w:val="22"/>
          <w:szCs w:val="22"/>
        </w:rPr>
        <w:t>․</w:t>
      </w:r>
      <w:r w:rsidRPr="00E8780D">
        <w:rPr>
          <w:rFonts w:ascii="Arial" w:hAnsi="Arial" w:cs="Arial"/>
          <w:sz w:val="22"/>
          <w:szCs w:val="22"/>
        </w:rPr>
        <w:t xml:space="preserve"> Some programmes increased staff knowledge but had little impact on practice</w:t>
      </w:r>
      <w:r w:rsidRPr="00E8780D">
        <w:rPr>
          <w:rFonts w:ascii="MS Gothic" w:eastAsia="MS Gothic" w:hAnsi="MS Gothic" w:cs="MS Gothic" w:hint="eastAsia"/>
          <w:sz w:val="22"/>
          <w:szCs w:val="22"/>
        </w:rPr>
        <w:t>․</w:t>
      </w:r>
    </w:p>
    <w:p w14:paraId="2B671375" w14:textId="3552ABFA" w:rsidR="00AF24A7" w:rsidRDefault="00AF24A7" w:rsidP="008A3849">
      <w:pPr>
        <w:spacing w:line="360" w:lineRule="auto"/>
        <w:jc w:val="both"/>
        <w:rPr>
          <w:rFonts w:ascii="MS Gothic" w:eastAsia="MS Gothic" w:hAnsi="MS Gothic" w:cs="MS Gothic"/>
          <w:sz w:val="22"/>
          <w:szCs w:val="22"/>
        </w:rPr>
      </w:pPr>
      <w:r w:rsidRPr="00E8780D">
        <w:rPr>
          <w:rFonts w:ascii="Arial" w:hAnsi="Arial" w:cs="Arial"/>
          <w:sz w:val="22"/>
          <w:szCs w:val="22"/>
        </w:rPr>
        <w:lastRenderedPageBreak/>
        <w:t>Overall, participants in the studies published by 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and Abbott et al</w:t>
      </w:r>
      <w:r w:rsidR="00BB5BD7">
        <w:rPr>
          <w:rFonts w:ascii="MS Gothic" w:eastAsia="MS Gothic" w:hAnsi="MS Gothic" w:cs="MS Gothic"/>
          <w:sz w:val="22"/>
          <w:szCs w:val="22"/>
        </w:rPr>
        <w:t xml:space="preserve"> </w:t>
      </w:r>
      <w:r w:rsidRPr="00E8780D">
        <w:rPr>
          <w:rFonts w:ascii="Arial" w:hAnsi="Arial" w:cs="Arial"/>
          <w:sz w:val="22"/>
          <w:szCs w:val="22"/>
        </w:rPr>
        <w:t xml:space="preserve">(2022) concluded that training programmes alone would not improve care without changes to </w:t>
      </w:r>
      <w:r w:rsidR="00BB5BD7">
        <w:rPr>
          <w:rFonts w:ascii="Arial" w:hAnsi="Arial" w:cs="Arial"/>
          <w:sz w:val="22"/>
          <w:szCs w:val="22"/>
        </w:rPr>
        <w:t>organisation</w:t>
      </w:r>
      <w:r w:rsidRPr="00E8780D">
        <w:rPr>
          <w:rFonts w:ascii="Arial" w:hAnsi="Arial" w:cs="Arial"/>
          <w:sz w:val="22"/>
          <w:szCs w:val="22"/>
        </w:rPr>
        <w:t>, staffing and leadership</w:t>
      </w:r>
      <w:r w:rsidRPr="00E8780D">
        <w:rPr>
          <w:rFonts w:ascii="MS Gothic" w:eastAsia="MS Gothic" w:hAnsi="MS Gothic" w:cs="MS Gothic" w:hint="eastAsia"/>
          <w:sz w:val="22"/>
          <w:szCs w:val="22"/>
        </w:rPr>
        <w:t>․</w:t>
      </w:r>
    </w:p>
    <w:p w14:paraId="043EA38D" w14:textId="0923180A" w:rsidR="008C3DB5" w:rsidRPr="008A3849" w:rsidRDefault="008A3849" w:rsidP="008A3849">
      <w:pPr>
        <w:spacing w:line="360" w:lineRule="auto"/>
        <w:jc w:val="both"/>
        <w:rPr>
          <w:rFonts w:ascii="Arial" w:hAnsi="Arial" w:cs="Arial"/>
          <w:b/>
          <w:bCs/>
          <w:sz w:val="22"/>
          <w:szCs w:val="22"/>
        </w:rPr>
      </w:pPr>
      <w:r w:rsidRPr="008A3849">
        <w:rPr>
          <w:rFonts w:ascii="Arial" w:eastAsia="MS Gothic" w:hAnsi="Arial" w:cs="Arial"/>
          <w:b/>
          <w:bCs/>
          <w:sz w:val="22"/>
          <w:szCs w:val="22"/>
        </w:rPr>
        <w:t>Theme 3: Emotional impact on staff</w:t>
      </w:r>
    </w:p>
    <w:p w14:paraId="2C6249B8" w14:textId="4A97003D" w:rsidR="00AF24A7" w:rsidRPr="00E8780D" w:rsidRDefault="00AF24A7" w:rsidP="00BB5BD7">
      <w:pPr>
        <w:spacing w:line="360" w:lineRule="auto"/>
        <w:jc w:val="both"/>
        <w:rPr>
          <w:rFonts w:ascii="Arial" w:hAnsi="Arial" w:cs="Arial"/>
          <w:sz w:val="22"/>
          <w:szCs w:val="22"/>
        </w:rPr>
      </w:pPr>
      <w:r w:rsidRPr="00E8780D">
        <w:rPr>
          <w:rFonts w:ascii="Arial" w:hAnsi="Arial" w:cs="Arial"/>
          <w:sz w:val="22"/>
          <w:szCs w:val="22"/>
        </w:rPr>
        <w:t>A common theme across all studies was emotional aspects of care; staff frequently described dementia care as an emotional challenge</w:t>
      </w:r>
      <w:r w:rsidRPr="00E8780D">
        <w:rPr>
          <w:rFonts w:ascii="MS Gothic" w:eastAsia="MS Gothic" w:hAnsi="MS Gothic" w:cs="MS Gothic" w:hint="eastAsia"/>
          <w:sz w:val="22"/>
          <w:szCs w:val="22"/>
        </w:rPr>
        <w:t>․</w:t>
      </w:r>
      <w:r w:rsidRPr="00E8780D">
        <w:rPr>
          <w:rFonts w:ascii="Arial" w:hAnsi="Arial" w:cs="Arial"/>
          <w:sz w:val="22"/>
          <w:szCs w:val="22"/>
        </w:rPr>
        <w:t>Addis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found that nurses reported frustration and emotional exhaustion toward providing care to distressed people</w:t>
      </w:r>
      <w:r w:rsidRPr="00E8780D">
        <w:rPr>
          <w:rFonts w:ascii="MS Gothic" w:eastAsia="MS Gothic" w:hAnsi="MS Gothic" w:cs="MS Gothic" w:hint="eastAsia"/>
          <w:sz w:val="22"/>
          <w:szCs w:val="22"/>
        </w:rPr>
        <w:t>․</w:t>
      </w:r>
      <w:r w:rsidRPr="00E8780D">
        <w:rPr>
          <w:rFonts w:ascii="Arial" w:hAnsi="Arial" w:cs="Arial"/>
          <w:sz w:val="22"/>
          <w:szCs w:val="22"/>
        </w:rPr>
        <w:t>Kindell et al (2025) found that support workers reported emotional strain of dealing with behavioural symptoms</w:t>
      </w:r>
      <w:r w:rsidRPr="00E8780D">
        <w:rPr>
          <w:rFonts w:ascii="MS Gothic" w:eastAsia="MS Gothic" w:hAnsi="MS Gothic" w:cs="MS Gothic" w:hint="eastAsia"/>
          <w:sz w:val="22"/>
          <w:szCs w:val="22"/>
        </w:rPr>
        <w:t>․</w:t>
      </w:r>
    </w:p>
    <w:p w14:paraId="216AFB56" w14:textId="55809BF8" w:rsidR="00AF24A7" w:rsidRDefault="00AF24A7" w:rsidP="00BB5BD7">
      <w:pPr>
        <w:spacing w:line="360" w:lineRule="auto"/>
        <w:jc w:val="both"/>
        <w:rPr>
          <w:rFonts w:ascii="Arial" w:hAnsi="Arial" w:cs="Arial"/>
          <w:sz w:val="22"/>
          <w:szCs w:val="22"/>
        </w:rPr>
      </w:pPr>
      <w:r w:rsidRPr="00E8780D">
        <w:rPr>
          <w:rFonts w:ascii="Arial" w:hAnsi="Arial" w:cs="Arial"/>
          <w:sz w:val="22"/>
          <w:szCs w:val="22"/>
        </w:rPr>
        <w:t>Nonetheless, as White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point out, dementia care is emotionally involving in its own right, as staff care for people they know and relate to</w:t>
      </w:r>
      <w:r w:rsidRPr="00E8780D">
        <w:rPr>
          <w:rFonts w:ascii="MS Gothic" w:eastAsia="MS Gothic" w:hAnsi="MS Gothic" w:cs="MS Gothic" w:hint="eastAsia"/>
          <w:sz w:val="22"/>
          <w:szCs w:val="22"/>
        </w:rPr>
        <w:t>․</w:t>
      </w:r>
      <w:r w:rsidRPr="00E8780D">
        <w:rPr>
          <w:rFonts w:ascii="Arial" w:hAnsi="Arial" w:cs="Arial"/>
          <w:sz w:val="22"/>
          <w:szCs w:val="22"/>
        </w:rPr>
        <w:t>On the other hand, not all evidence was negative, with 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finding that staff reported increased job satisfaction when they were able to provide person-centred care</w:t>
      </w:r>
      <w:r w:rsidRPr="00E8780D">
        <w:rPr>
          <w:rFonts w:ascii="MS Gothic" w:eastAsia="MS Gothic" w:hAnsi="MS Gothic" w:cs="MS Gothic" w:hint="eastAsia"/>
          <w:sz w:val="22"/>
          <w:szCs w:val="22"/>
        </w:rPr>
        <w:t>․</w:t>
      </w:r>
    </w:p>
    <w:p w14:paraId="0A89C665" w14:textId="60730B2E" w:rsidR="008A3849" w:rsidRPr="00BB5BD7" w:rsidRDefault="008A3849" w:rsidP="008A3849">
      <w:pPr>
        <w:rPr>
          <w:rFonts w:ascii="Arial" w:hAnsi="Arial" w:cs="Arial"/>
          <w:b/>
          <w:bCs/>
          <w:color w:val="000000" w:themeColor="text1"/>
          <w:sz w:val="22"/>
          <w:szCs w:val="2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B5BD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 4: Organisational support and workplace environment</w:t>
      </w:r>
    </w:p>
    <w:p w14:paraId="2038CC64"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Organisational support was a recurring theme in relation to experiences of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Several papers found that hospital systems and organisational structures influenced the ability of staff to provide dementia care</w:t>
      </w:r>
      <w:r w:rsidRPr="00E8780D">
        <w:rPr>
          <w:rFonts w:ascii="MS Gothic" w:eastAsia="MS Gothic" w:hAnsi="MS Gothic" w:cs="MS Gothic" w:hint="eastAsia"/>
          <w:sz w:val="22"/>
          <w:szCs w:val="22"/>
        </w:rPr>
        <w:t>․</w:t>
      </w:r>
      <w:r w:rsidRPr="00E8780D">
        <w:rPr>
          <w:rFonts w:ascii="Arial" w:hAnsi="Arial" w:cs="Arial"/>
          <w:sz w:val="22"/>
          <w:szCs w:val="22"/>
        </w:rPr>
        <w:t>The focus on efficiency and risk management associated with hospital systems was reported by White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as a barrier to staff providing person-centred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A study by 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also found that staff perceived the organisational systems and routines as barriers to individualised care</w:t>
      </w:r>
      <w:r w:rsidRPr="00E8780D">
        <w:rPr>
          <w:rFonts w:ascii="MS Gothic" w:eastAsia="MS Gothic" w:hAnsi="MS Gothic" w:cs="MS Gothic" w:hint="eastAsia"/>
          <w:sz w:val="22"/>
          <w:szCs w:val="22"/>
        </w:rPr>
        <w:t>․</w:t>
      </w:r>
    </w:p>
    <w:p w14:paraId="3E05CA02"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Petty et al</w:t>
      </w:r>
      <w:r w:rsidRPr="00E8780D">
        <w:rPr>
          <w:rFonts w:ascii="MS Gothic" w:eastAsia="MS Gothic" w:hAnsi="MS Gothic" w:cs="MS Gothic" w:hint="eastAsia"/>
          <w:sz w:val="22"/>
          <w:szCs w:val="22"/>
        </w:rPr>
        <w:t>․</w:t>
      </w:r>
      <w:r w:rsidRPr="00E8780D">
        <w:rPr>
          <w:rFonts w:ascii="Arial" w:hAnsi="Arial" w:cs="Arial"/>
          <w:sz w:val="22"/>
          <w:szCs w:val="22"/>
        </w:rPr>
        <w:t xml:space="preserve"> (2019) found that ward culture and leadership influenced staff confidence and approach to dementia care: staff on wards with a more supportive culture reported more positive experiences and confidence</w:t>
      </w:r>
      <w:r w:rsidRPr="00E8780D">
        <w:rPr>
          <w:rFonts w:ascii="MS Gothic" w:eastAsia="MS Gothic" w:hAnsi="MS Gothic" w:cs="MS Gothic" w:hint="eastAsia"/>
          <w:sz w:val="22"/>
          <w:szCs w:val="22"/>
        </w:rPr>
        <w:t>․</w:t>
      </w:r>
      <w:r w:rsidRPr="00E8780D">
        <w:rPr>
          <w:rFonts w:ascii="Arial" w:hAnsi="Arial" w:cs="Arial"/>
          <w:sz w:val="22"/>
          <w:szCs w:val="22"/>
        </w:rPr>
        <w:t xml:space="preserve"> The authors note that the study was limited by the small number of wards that were examined</w:t>
      </w:r>
      <w:r w:rsidRPr="00E8780D">
        <w:rPr>
          <w:rFonts w:ascii="MS Gothic" w:eastAsia="MS Gothic" w:hAnsi="MS Gothic" w:cs="MS Gothic" w:hint="eastAsia"/>
          <w:sz w:val="22"/>
          <w:szCs w:val="22"/>
        </w:rPr>
        <w:t>․</w:t>
      </w:r>
      <w:r w:rsidRPr="00E8780D">
        <w:rPr>
          <w:rFonts w:ascii="Arial" w:hAnsi="Arial" w:cs="Arial"/>
          <w:sz w:val="22"/>
          <w:szCs w:val="22"/>
        </w:rPr>
        <w:t>Abbott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however, offer a more optimistic interpretation, arguing that changes to the organization of care, such as dementia-friendly designs and specialist dementia teams, can improve staff experience and may dissolve organisational barriers</w:t>
      </w:r>
      <w:r w:rsidRPr="00E8780D">
        <w:rPr>
          <w:rFonts w:ascii="MS Gothic" w:eastAsia="MS Gothic" w:hAnsi="MS Gothic" w:cs="MS Gothic" w:hint="eastAsia"/>
          <w:sz w:val="22"/>
          <w:szCs w:val="22"/>
        </w:rPr>
        <w:t>․</w:t>
      </w:r>
    </w:p>
    <w:p w14:paraId="7F23729C" w14:textId="77777777" w:rsidR="00AF24A7" w:rsidRPr="00E8780D" w:rsidRDefault="00AF24A7" w:rsidP="00AF24A7">
      <w:pPr>
        <w:spacing w:line="360" w:lineRule="auto"/>
        <w:jc w:val="both"/>
        <w:rPr>
          <w:rFonts w:ascii="Arial" w:eastAsia="MS Gothic" w:hAnsi="Arial" w:cs="Arial"/>
          <w:sz w:val="22"/>
          <w:szCs w:val="22"/>
        </w:rPr>
      </w:pPr>
      <w:r w:rsidRPr="00E8780D">
        <w:rPr>
          <w:rFonts w:ascii="Arial" w:hAnsi="Arial" w:cs="Arial"/>
          <w:sz w:val="22"/>
          <w:szCs w:val="22"/>
        </w:rPr>
        <w:t>The evidence base for improvements to organisational change is sparse, and Digby et al</w:t>
      </w:r>
      <w:r w:rsidRPr="00E8780D">
        <w:rPr>
          <w:rFonts w:ascii="MS Gothic" w:eastAsia="MS Gothic" w:hAnsi="MS Gothic" w:cs="MS Gothic" w:hint="eastAsia"/>
          <w:sz w:val="22"/>
          <w:szCs w:val="22"/>
        </w:rPr>
        <w:t>․</w:t>
      </w:r>
      <w:r w:rsidRPr="00E8780D">
        <w:rPr>
          <w:rFonts w:ascii="Arial" w:hAnsi="Arial" w:cs="Arial"/>
          <w:sz w:val="22"/>
          <w:szCs w:val="22"/>
        </w:rPr>
        <w:t xml:space="preserve"> (2017) argue that improvements to dementia care may need a more cultural shift rather than a time-limited approach, suggesting that organisational improvements may be difficult to sustain without continuous investment in the organization</w:t>
      </w:r>
      <w:r w:rsidRPr="00E8780D">
        <w:rPr>
          <w:rFonts w:ascii="MS Gothic" w:eastAsia="MS Gothic" w:hAnsi="MS Gothic" w:cs="MS Gothic" w:hint="eastAsia"/>
          <w:sz w:val="22"/>
          <w:szCs w:val="22"/>
        </w:rPr>
        <w:t>․</w:t>
      </w:r>
    </w:p>
    <w:p w14:paraId="0DF0BA3E" w14:textId="796DEF06" w:rsidR="00AF24A7" w:rsidRPr="008A3849" w:rsidRDefault="008A3849" w:rsidP="00AF24A7">
      <w:pPr>
        <w:spacing w:line="360" w:lineRule="auto"/>
        <w:jc w:val="both"/>
        <w:rPr>
          <w:rFonts w:ascii="Arial" w:hAnsi="Arial" w:cs="Arial"/>
          <w:b/>
          <w:bCs/>
          <w:sz w:val="22"/>
          <w:szCs w:val="22"/>
        </w:rPr>
      </w:pPr>
      <w:r w:rsidRPr="008A3849">
        <w:rPr>
          <w:rFonts w:ascii="Arial" w:hAnsi="Arial" w:cs="Arial"/>
          <w:b/>
          <w:bCs/>
          <w:sz w:val="22"/>
          <w:szCs w:val="22"/>
        </w:rPr>
        <w:lastRenderedPageBreak/>
        <w:t xml:space="preserve">Discussion </w:t>
      </w:r>
    </w:p>
    <w:p w14:paraId="29BE42E5"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A scoping review of the experiences of staff providing support to people with dementia in hospitals in the UK found four major themes: workload and care challenges, training and knowledge, emotional impact, and organisational support</w:t>
      </w:r>
      <w:r w:rsidRPr="00E8780D">
        <w:rPr>
          <w:rFonts w:ascii="MS Gothic" w:eastAsia="MS Gothic" w:hAnsi="MS Gothic" w:cs="MS Gothic" w:hint="eastAsia"/>
          <w:sz w:val="22"/>
          <w:szCs w:val="22"/>
        </w:rPr>
        <w:t>․</w:t>
      </w:r>
      <w:r w:rsidRPr="00E8780D">
        <w:rPr>
          <w:rFonts w:ascii="Arial" w:hAnsi="Arial" w:cs="Arial"/>
          <w:sz w:val="22"/>
          <w:szCs w:val="22"/>
        </w:rPr>
        <w:t xml:space="preserve"> The findings suggest that staff experiences are the result of the interplay between professional and organisational factors</w:t>
      </w:r>
      <w:r w:rsidRPr="00E8780D">
        <w:rPr>
          <w:rFonts w:ascii="MS Gothic" w:eastAsia="MS Gothic" w:hAnsi="MS Gothic" w:cs="MS Gothic" w:hint="eastAsia"/>
          <w:sz w:val="22"/>
          <w:szCs w:val="22"/>
        </w:rPr>
        <w:t>․</w:t>
      </w:r>
      <w:r w:rsidRPr="00E8780D">
        <w:rPr>
          <w:rFonts w:ascii="Arial" w:hAnsi="Arial" w:cs="Arial"/>
          <w:sz w:val="22"/>
          <w:szCs w:val="22"/>
        </w:rPr>
        <w:t>Workload pressures were another widely recognised outcome, with staff noting that clinical demands on their time competed with the time required to provide support to people living with dementia</w:t>
      </w:r>
      <w:r w:rsidRPr="00E8780D">
        <w:rPr>
          <w:rFonts w:ascii="MS Gothic" w:eastAsia="MS Gothic" w:hAnsi="MS Gothic" w:cs="MS Gothic" w:hint="eastAsia"/>
          <w:sz w:val="22"/>
          <w:szCs w:val="22"/>
        </w:rPr>
        <w:t>․</w:t>
      </w:r>
      <w:r w:rsidRPr="00E8780D">
        <w:rPr>
          <w:rFonts w:ascii="Arial" w:hAnsi="Arial" w:cs="Arial"/>
          <w:sz w:val="22"/>
          <w:szCs w:val="22"/>
        </w:rPr>
        <w:t xml:space="preserve"> These findings are consistent with earlier research finding dementia care to be more time and resource intensive (Featherstone et al</w:t>
      </w:r>
      <w:r w:rsidRPr="00E8780D">
        <w:rPr>
          <w:rFonts w:ascii="MS Gothic" w:eastAsia="MS Gothic" w:hAnsi="MS Gothic" w:cs="MS Gothic" w:hint="eastAsia"/>
          <w:sz w:val="22"/>
          <w:szCs w:val="22"/>
        </w:rPr>
        <w:t>․</w:t>
      </w:r>
      <w:r w:rsidRPr="00E8780D">
        <w:rPr>
          <w:rFonts w:ascii="Arial" w:hAnsi="Arial" w:cs="Arial"/>
          <w:sz w:val="22"/>
          <w:szCs w:val="22"/>
        </w:rPr>
        <w:t>, 2019; Pinkert et al</w:t>
      </w:r>
      <w:r w:rsidRPr="00E8780D">
        <w:rPr>
          <w:rFonts w:ascii="MS Gothic" w:eastAsia="MS Gothic" w:hAnsi="MS Gothic" w:cs="MS Gothic" w:hint="eastAsia"/>
          <w:sz w:val="22"/>
          <w:szCs w:val="22"/>
        </w:rPr>
        <w:t>․</w:t>
      </w:r>
      <w:r w:rsidRPr="00E8780D">
        <w:rPr>
          <w:rFonts w:ascii="Arial" w:hAnsi="Arial" w:cs="Arial"/>
          <w:sz w:val="22"/>
          <w:szCs w:val="22"/>
        </w:rPr>
        <w:t>, 2018).</w:t>
      </w:r>
    </w:p>
    <w:p w14:paraId="03190EDB"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Furthermore, staff report being forced to choose between completing tasks required by the hospital or providing patient-centred care (Gwernan-Jones et al</w:t>
      </w:r>
      <w:r w:rsidRPr="00E8780D">
        <w:rPr>
          <w:rFonts w:ascii="MS Gothic" w:eastAsia="MS Gothic" w:hAnsi="MS Gothic" w:cs="MS Gothic" w:hint="eastAsia"/>
          <w:sz w:val="22"/>
          <w:szCs w:val="22"/>
        </w:rPr>
        <w:t>․</w:t>
      </w:r>
      <w:r w:rsidRPr="00E8780D">
        <w:rPr>
          <w:rFonts w:ascii="Arial" w:hAnsi="Arial" w:cs="Arial"/>
          <w:sz w:val="22"/>
          <w:szCs w:val="22"/>
        </w:rPr>
        <w:t>, 2020). Relatedly, Houghton et al</w:t>
      </w:r>
      <w:r w:rsidRPr="00E8780D">
        <w:rPr>
          <w:rFonts w:ascii="MS Gothic" w:eastAsia="MS Gothic" w:hAnsi="MS Gothic" w:cs="MS Gothic" w:hint="eastAsia"/>
          <w:sz w:val="22"/>
          <w:szCs w:val="22"/>
        </w:rPr>
        <w:t>․</w:t>
      </w:r>
      <w:r w:rsidRPr="00E8780D">
        <w:rPr>
          <w:rFonts w:ascii="Arial" w:hAnsi="Arial" w:cs="Arial"/>
          <w:sz w:val="22"/>
          <w:szCs w:val="22"/>
        </w:rPr>
        <w:t xml:space="preserve"> (2016) and Addis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report that staff feel they lack time to provide optimal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Conversely, Abbott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refer to workload pressures as indicative of organisational inefficiencies, rather than the intrinsic complexity of providing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Furthermore, the extent to which structural or clinical factors inform staff experience of stress continues to be debated</w:t>
      </w:r>
      <w:r w:rsidRPr="00E8780D">
        <w:rPr>
          <w:rFonts w:ascii="MS Gothic" w:eastAsia="MS Gothic" w:hAnsi="MS Gothic" w:cs="MS Gothic" w:hint="eastAsia"/>
          <w:sz w:val="22"/>
          <w:szCs w:val="22"/>
        </w:rPr>
        <w:t>․</w:t>
      </w:r>
    </w:p>
    <w:p w14:paraId="735B9BDB" w14:textId="5C9C0CE3"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 xml:space="preserve">The quality of training and clinical skills </w:t>
      </w:r>
      <w:r w:rsidR="00BB5BD7">
        <w:rPr>
          <w:rFonts w:ascii="Arial" w:hAnsi="Arial" w:cs="Arial"/>
          <w:sz w:val="22"/>
          <w:szCs w:val="22"/>
        </w:rPr>
        <w:t>was</w:t>
      </w:r>
      <w:r w:rsidRPr="00E8780D">
        <w:rPr>
          <w:rFonts w:ascii="Arial" w:hAnsi="Arial" w:cs="Arial"/>
          <w:sz w:val="22"/>
          <w:szCs w:val="22"/>
        </w:rPr>
        <w:t xml:space="preserve"> also a key influence on staff experiences.  Dementia training is known to improve staff confidence and clinical knowledge (Houghton et al, 2016; Surr et al, 2017), but the extent to which training translates to practice is unclear</w:t>
      </w:r>
      <w:r w:rsidRPr="00E8780D">
        <w:rPr>
          <w:rFonts w:ascii="MS Gothic" w:eastAsia="MS Gothic" w:hAnsi="MS Gothic" w:cs="MS Gothic" w:hint="eastAsia"/>
          <w:sz w:val="22"/>
          <w:szCs w:val="22"/>
        </w:rPr>
        <w:t>․</w:t>
      </w:r>
      <w:r w:rsidRPr="00E8780D">
        <w:rPr>
          <w:rFonts w:ascii="Arial" w:hAnsi="Arial" w:cs="Arial"/>
          <w:sz w:val="22"/>
          <w:szCs w:val="22"/>
        </w:rPr>
        <w:t xml:space="preserve"> Surr et al</w:t>
      </w:r>
      <w:r w:rsidRPr="00E8780D">
        <w:rPr>
          <w:rFonts w:ascii="MS Gothic" w:eastAsia="MS Gothic" w:hAnsi="MS Gothic" w:cs="MS Gothic" w:hint="eastAsia"/>
          <w:sz w:val="22"/>
          <w:szCs w:val="22"/>
        </w:rPr>
        <w:t>․</w:t>
      </w:r>
      <w:r w:rsidRPr="00E8780D">
        <w:rPr>
          <w:rFonts w:ascii="Arial" w:hAnsi="Arial" w:cs="Arial"/>
          <w:sz w:val="22"/>
          <w:szCs w:val="22"/>
        </w:rPr>
        <w:t xml:space="preserve"> (2017) found evidence for improved knowledge but only limited evidence for improved care</w:t>
      </w:r>
      <w:r w:rsidRPr="00E8780D">
        <w:rPr>
          <w:rFonts w:ascii="Arial" w:eastAsia="MS Gothic" w:hAnsi="Arial" w:cs="Arial"/>
          <w:sz w:val="22"/>
          <w:szCs w:val="22"/>
        </w:rPr>
        <w:t xml:space="preserve">. </w:t>
      </w:r>
      <w:r w:rsidRPr="00E8780D">
        <w:rPr>
          <w:rFonts w:ascii="Arial" w:hAnsi="Arial" w:cs="Arial"/>
          <w:sz w:val="22"/>
          <w:szCs w:val="22"/>
        </w:rPr>
        <w:t>Training alone is likely insufficient for meaningful improvements to care, and changing underlying organisational factors (</w:t>
      </w:r>
      <w:r w:rsidR="00BB5BD7">
        <w:rPr>
          <w:rFonts w:ascii="Arial" w:hAnsi="Arial" w:cs="Arial"/>
          <w:sz w:val="22"/>
          <w:szCs w:val="22"/>
        </w:rPr>
        <w:t xml:space="preserve">for example, </w:t>
      </w:r>
      <w:r w:rsidR="00BB5BD7" w:rsidRPr="00E8780D">
        <w:rPr>
          <w:rFonts w:ascii="Arial" w:hAnsi="Arial" w:cs="Arial"/>
          <w:sz w:val="22"/>
          <w:szCs w:val="22"/>
        </w:rPr>
        <w:t>s</w:t>
      </w:r>
      <w:r w:rsidR="00BB5BD7">
        <w:rPr>
          <w:rFonts w:ascii="MS Gothic" w:eastAsia="MS Gothic" w:hAnsi="MS Gothic" w:cs="MS Gothic"/>
          <w:sz w:val="22"/>
          <w:szCs w:val="22"/>
        </w:rPr>
        <w:t>t</w:t>
      </w:r>
      <w:r w:rsidR="00BB5BD7">
        <w:rPr>
          <w:rFonts w:ascii="Arial" w:hAnsi="Arial" w:cs="Arial"/>
          <w:sz w:val="22"/>
          <w:szCs w:val="22"/>
        </w:rPr>
        <w:t>a</w:t>
      </w:r>
      <w:r w:rsidR="00BB5BD7" w:rsidRPr="00E8780D">
        <w:rPr>
          <w:rFonts w:ascii="Arial" w:hAnsi="Arial" w:cs="Arial"/>
          <w:sz w:val="22"/>
          <w:szCs w:val="22"/>
        </w:rPr>
        <w:t>ff</w:t>
      </w:r>
      <w:r w:rsidRPr="00E8780D">
        <w:rPr>
          <w:rFonts w:ascii="Arial" w:hAnsi="Arial" w:cs="Arial"/>
          <w:sz w:val="22"/>
          <w:szCs w:val="22"/>
        </w:rPr>
        <w:t xml:space="preserve"> increase, leadership support) is necessary</w:t>
      </w:r>
      <w:r w:rsidRPr="00E8780D">
        <w:rPr>
          <w:rFonts w:ascii="MS Gothic" w:eastAsia="MS Gothic" w:hAnsi="MS Gothic" w:cs="MS Gothic" w:hint="eastAsia"/>
          <w:sz w:val="22"/>
          <w:szCs w:val="22"/>
        </w:rPr>
        <w:t>․</w:t>
      </w:r>
      <w:r w:rsidRPr="00E8780D">
        <w:rPr>
          <w:rFonts w:ascii="Arial" w:hAnsi="Arial" w:cs="Arial"/>
          <w:sz w:val="22"/>
          <w:szCs w:val="22"/>
        </w:rPr>
        <w:t xml:space="preserve"> Supporting this is a systematic review of the training literature, which concluded that on its own, training cannot be expected to make a meaningful contribution to improvements in dementia care (Gwernan-Jones et al</w:t>
      </w:r>
      <w:r w:rsidRPr="00E8780D">
        <w:rPr>
          <w:rFonts w:ascii="MS Gothic" w:eastAsia="MS Gothic" w:hAnsi="MS Gothic" w:cs="MS Gothic" w:hint="eastAsia"/>
          <w:sz w:val="22"/>
          <w:szCs w:val="22"/>
        </w:rPr>
        <w:t>․</w:t>
      </w:r>
      <w:r w:rsidRPr="00E8780D">
        <w:rPr>
          <w:rFonts w:ascii="Arial" w:hAnsi="Arial" w:cs="Arial"/>
          <w:sz w:val="22"/>
          <w:szCs w:val="22"/>
        </w:rPr>
        <w:t xml:space="preserve"> 2020; Abbott et al</w:t>
      </w:r>
      <w:r w:rsidRPr="00E8780D">
        <w:rPr>
          <w:rFonts w:ascii="MS Gothic" w:eastAsia="MS Gothic" w:hAnsi="MS Gothic" w:cs="MS Gothic" w:hint="eastAsia"/>
          <w:sz w:val="22"/>
          <w:szCs w:val="22"/>
        </w:rPr>
        <w:t>․</w:t>
      </w:r>
      <w:r w:rsidRPr="00E8780D">
        <w:rPr>
          <w:rFonts w:ascii="Arial" w:hAnsi="Arial" w:cs="Arial"/>
          <w:sz w:val="22"/>
          <w:szCs w:val="22"/>
        </w:rPr>
        <w:t xml:space="preserve"> 2022).</w:t>
      </w:r>
    </w:p>
    <w:p w14:paraId="1C771886" w14:textId="405FF4AA"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The emotional impact of dementia care was another theme identified</w:t>
      </w:r>
      <w:r w:rsidRPr="00E8780D">
        <w:rPr>
          <w:rFonts w:ascii="MS Gothic" w:eastAsia="MS Gothic" w:hAnsi="MS Gothic" w:cs="MS Gothic" w:hint="eastAsia"/>
          <w:sz w:val="22"/>
          <w:szCs w:val="22"/>
        </w:rPr>
        <w:t>․</w:t>
      </w:r>
      <w:r w:rsidRPr="00E8780D">
        <w:rPr>
          <w:rFonts w:ascii="Arial" w:hAnsi="Arial" w:cs="Arial"/>
          <w:sz w:val="22"/>
          <w:szCs w:val="22"/>
        </w:rPr>
        <w:t xml:space="preserve"> In the review of Addis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nurses described the emotional toll of dementia care because of the display of distress from some patients</w:t>
      </w:r>
      <w:r w:rsidRPr="00E8780D">
        <w:rPr>
          <w:rFonts w:ascii="MS Gothic" w:eastAsia="MS Gothic" w:hAnsi="MS Gothic" w:cs="MS Gothic" w:hint="eastAsia"/>
          <w:sz w:val="22"/>
          <w:szCs w:val="22"/>
        </w:rPr>
        <w:t>․</w:t>
      </w:r>
      <w:r w:rsidRPr="00E8780D">
        <w:rPr>
          <w:rFonts w:ascii="Arial" w:hAnsi="Arial" w:cs="Arial"/>
          <w:sz w:val="22"/>
          <w:szCs w:val="22"/>
        </w:rPr>
        <w:t xml:space="preserve"> Kindell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also found that support workers experienced emotional strain in their care of patients with behavioural symptoms</w:t>
      </w:r>
      <w:r w:rsidRPr="00E8780D">
        <w:rPr>
          <w:rFonts w:ascii="MS Gothic" w:eastAsia="MS Gothic" w:hAnsi="MS Gothic" w:cs="MS Gothic" w:hint="eastAsia"/>
          <w:sz w:val="22"/>
          <w:szCs w:val="22"/>
        </w:rPr>
        <w:t>․</w:t>
      </w:r>
      <w:r w:rsidRPr="00E8780D">
        <w:rPr>
          <w:rFonts w:ascii="Arial" w:hAnsi="Arial" w:cs="Arial"/>
          <w:sz w:val="22"/>
          <w:szCs w:val="22"/>
        </w:rPr>
        <w:t xml:space="preserve">That said, not all emotional labour was considered negative, as </w:t>
      </w:r>
      <w:r w:rsidR="00BB5BD7" w:rsidRPr="00E8780D">
        <w:rPr>
          <w:rFonts w:ascii="Arial" w:hAnsi="Arial" w:cs="Arial"/>
          <w:sz w:val="22"/>
          <w:szCs w:val="22"/>
        </w:rPr>
        <w:t>Gwenan</w:t>
      </w:r>
      <w:r w:rsidRPr="00E8780D">
        <w:rPr>
          <w:rFonts w:ascii="Arial" w:hAnsi="Arial" w:cs="Arial"/>
          <w:sz w:val="22"/>
          <w:szCs w:val="22"/>
        </w:rPr>
        <w:t>-Jones et al. (2020) found that staff were more satisfied with their jobs when they could provide person-centred care</w:t>
      </w:r>
      <w:r w:rsidRPr="00E8780D">
        <w:rPr>
          <w:rFonts w:ascii="MS Gothic" w:eastAsia="MS Gothic" w:hAnsi="MS Gothic" w:cs="MS Gothic" w:hint="eastAsia"/>
          <w:sz w:val="22"/>
          <w:szCs w:val="22"/>
        </w:rPr>
        <w:t>․</w:t>
      </w:r>
      <w:r w:rsidRPr="00E8780D">
        <w:rPr>
          <w:rFonts w:ascii="Arial" w:hAnsi="Arial" w:cs="Arial"/>
          <w:sz w:val="22"/>
          <w:szCs w:val="22"/>
        </w:rPr>
        <w:t xml:space="preserve"> Further</w:t>
      </w:r>
      <w:r w:rsidR="006325C0">
        <w:rPr>
          <w:rFonts w:ascii="Arial" w:hAnsi="Arial" w:cs="Arial"/>
          <w:sz w:val="22"/>
          <w:szCs w:val="22"/>
        </w:rPr>
        <w:t>more,</w:t>
      </w:r>
      <w:r w:rsidRPr="00E8780D">
        <w:rPr>
          <w:rFonts w:ascii="Arial" w:hAnsi="Arial" w:cs="Arial"/>
          <w:sz w:val="22"/>
          <w:szCs w:val="22"/>
        </w:rPr>
        <w:t xml:space="preserve"> McGilton et al (2016) argue that emotional labour can be alleviated by supportive </w:t>
      </w:r>
      <w:r w:rsidRPr="00E8780D">
        <w:rPr>
          <w:rFonts w:ascii="Arial" w:hAnsi="Arial" w:cs="Arial"/>
          <w:sz w:val="22"/>
          <w:szCs w:val="22"/>
        </w:rPr>
        <w:lastRenderedPageBreak/>
        <w:t>leadership and teamwork, suggesting that it may not be the dementia care itself that is problematic</w:t>
      </w:r>
      <w:r w:rsidRPr="00E8780D">
        <w:rPr>
          <w:rFonts w:ascii="MS Gothic" w:eastAsia="MS Gothic" w:hAnsi="MS Gothic" w:cs="MS Gothic" w:hint="eastAsia"/>
          <w:sz w:val="22"/>
          <w:szCs w:val="22"/>
        </w:rPr>
        <w:t>․</w:t>
      </w:r>
    </w:p>
    <w:p w14:paraId="1FF48FBE" w14:textId="72375E63" w:rsidR="00AF24A7" w:rsidRPr="00E8780D" w:rsidRDefault="00AF24A7" w:rsidP="006325C0">
      <w:pPr>
        <w:spacing w:line="360" w:lineRule="auto"/>
        <w:jc w:val="both"/>
        <w:rPr>
          <w:rFonts w:ascii="Arial" w:hAnsi="Arial" w:cs="Arial"/>
          <w:sz w:val="22"/>
          <w:szCs w:val="22"/>
        </w:rPr>
      </w:pPr>
      <w:r w:rsidRPr="00E8780D">
        <w:rPr>
          <w:rFonts w:ascii="Arial" w:hAnsi="Arial" w:cs="Arial"/>
          <w:sz w:val="22"/>
          <w:szCs w:val="22"/>
        </w:rPr>
        <w:t>Organisational support was both a barrier and a facilitator</w:t>
      </w:r>
      <w:r w:rsidRPr="00E8780D">
        <w:rPr>
          <w:rFonts w:ascii="MS Gothic" w:eastAsia="MS Gothic" w:hAnsi="MS Gothic" w:cs="MS Gothic" w:hint="eastAsia"/>
          <w:sz w:val="22"/>
          <w:szCs w:val="22"/>
        </w:rPr>
        <w:t>․</w:t>
      </w:r>
      <w:r w:rsidRPr="00E8780D">
        <w:rPr>
          <w:rFonts w:ascii="Arial" w:hAnsi="Arial" w:cs="Arial"/>
          <w:sz w:val="22"/>
          <w:szCs w:val="22"/>
        </w:rPr>
        <w:t xml:space="preserve"> White et al</w:t>
      </w:r>
      <w:r w:rsidRPr="00E8780D">
        <w:rPr>
          <w:rFonts w:ascii="MS Gothic" w:eastAsia="MS Gothic" w:hAnsi="MS Gothic" w:cs="MS Gothic" w:hint="eastAsia"/>
          <w:sz w:val="22"/>
          <w:szCs w:val="22"/>
        </w:rPr>
        <w:t>․</w:t>
      </w:r>
      <w:r w:rsidRPr="00E8780D">
        <w:rPr>
          <w:rFonts w:ascii="Arial" w:hAnsi="Arial" w:cs="Arial"/>
          <w:sz w:val="22"/>
          <w:szCs w:val="22"/>
        </w:rPr>
        <w:t xml:space="preserve"> (2022) argue that hospital systems can limit choices to deliver person-centred care</w:t>
      </w:r>
      <w:r w:rsidRPr="00E8780D">
        <w:rPr>
          <w:rFonts w:ascii="MS Gothic" w:eastAsia="MS Gothic" w:hAnsi="MS Gothic" w:cs="MS Gothic" w:hint="eastAsia"/>
          <w:sz w:val="22"/>
          <w:szCs w:val="22"/>
        </w:rPr>
        <w:t>․</w:t>
      </w:r>
      <w:r w:rsidRPr="00E8780D">
        <w:rPr>
          <w:rFonts w:ascii="Arial" w:hAnsi="Arial" w:cs="Arial"/>
          <w:sz w:val="22"/>
          <w:szCs w:val="22"/>
        </w:rPr>
        <w:t xml:space="preserve"> Further, ward culture and leadership are relevant (Petty et al</w:t>
      </w:r>
      <w:r w:rsidRPr="00E8780D">
        <w:rPr>
          <w:rFonts w:ascii="MS Gothic" w:eastAsia="MS Gothic" w:hAnsi="MS Gothic" w:cs="MS Gothic" w:hint="eastAsia"/>
          <w:sz w:val="22"/>
          <w:szCs w:val="22"/>
        </w:rPr>
        <w:t>․</w:t>
      </w:r>
      <w:r w:rsidR="006325C0">
        <w:rPr>
          <w:rFonts w:ascii="MS Gothic" w:eastAsia="MS Gothic" w:hAnsi="MS Gothic" w:cs="MS Gothic"/>
          <w:sz w:val="22"/>
          <w:szCs w:val="22"/>
        </w:rPr>
        <w:t>,</w:t>
      </w:r>
      <w:r w:rsidRPr="00E8780D">
        <w:rPr>
          <w:rFonts w:ascii="Arial" w:hAnsi="Arial" w:cs="Arial"/>
          <w:sz w:val="22"/>
          <w:szCs w:val="22"/>
        </w:rPr>
        <w:t xml:space="preserve"> 2019)</w:t>
      </w:r>
      <w:r w:rsidR="0095672C">
        <w:rPr>
          <w:rFonts w:ascii="Arial" w:hAnsi="Arial" w:cs="Arial"/>
          <w:sz w:val="22"/>
          <w:szCs w:val="22"/>
        </w:rPr>
        <w:t>. Organisational-level</w:t>
      </w:r>
      <w:r w:rsidRPr="00E8780D">
        <w:rPr>
          <w:rFonts w:ascii="Arial" w:hAnsi="Arial" w:cs="Arial"/>
          <w:sz w:val="22"/>
          <w:szCs w:val="22"/>
        </w:rPr>
        <w:t xml:space="preserve"> interventions such as dementia-friendly wards may improve staff experiences (Abbott et al</w:t>
      </w:r>
      <w:r w:rsidRPr="00E8780D">
        <w:rPr>
          <w:rFonts w:ascii="MS Gothic" w:eastAsia="MS Gothic" w:hAnsi="MS Gothic" w:cs="MS Gothic" w:hint="eastAsia"/>
          <w:sz w:val="22"/>
          <w:szCs w:val="22"/>
        </w:rPr>
        <w:t>․</w:t>
      </w:r>
      <w:r w:rsidR="006325C0">
        <w:rPr>
          <w:rFonts w:ascii="MS Gothic" w:eastAsia="MS Gothic" w:hAnsi="MS Gothic" w:cs="MS Gothic"/>
          <w:sz w:val="22"/>
          <w:szCs w:val="22"/>
        </w:rPr>
        <w:t>,</w:t>
      </w:r>
      <w:r w:rsidRPr="00E8780D">
        <w:rPr>
          <w:rFonts w:ascii="Arial" w:hAnsi="Arial" w:cs="Arial"/>
          <w:sz w:val="22"/>
          <w:szCs w:val="22"/>
        </w:rPr>
        <w:t xml:space="preserve"> 2022). This suggests that the development of dementia practice relies as heavily upon organisational change as on the training of individuals, and that staff have little power to implement best practice</w:t>
      </w:r>
      <w:r w:rsidRPr="00E8780D">
        <w:rPr>
          <w:rFonts w:ascii="MS Gothic" w:eastAsia="MS Gothic" w:hAnsi="MS Gothic" w:cs="MS Gothic" w:hint="eastAsia"/>
          <w:sz w:val="22"/>
          <w:szCs w:val="22"/>
        </w:rPr>
        <w:t>․</w:t>
      </w:r>
      <w:r w:rsidRPr="00E8780D">
        <w:rPr>
          <w:rFonts w:ascii="Arial" w:hAnsi="Arial" w:cs="Arial"/>
          <w:sz w:val="22"/>
          <w:szCs w:val="22"/>
        </w:rPr>
        <w:t xml:space="preserve"> The qualitative studies included had small samples, making their findings less generalizable to other settings</w:t>
      </w:r>
      <w:r w:rsidRPr="00E8780D">
        <w:rPr>
          <w:rFonts w:ascii="MS Gothic" w:eastAsia="MS Gothic" w:hAnsi="MS Gothic" w:cs="MS Gothic" w:hint="eastAsia"/>
          <w:sz w:val="22"/>
          <w:szCs w:val="22"/>
        </w:rPr>
        <w:t>․</w:t>
      </w:r>
      <w:r w:rsidRPr="00E8780D">
        <w:rPr>
          <w:rFonts w:ascii="Arial" w:hAnsi="Arial" w:cs="Arial"/>
          <w:sz w:val="22"/>
          <w:szCs w:val="22"/>
        </w:rPr>
        <w:t xml:space="preserve"> For example, Petty et al</w:t>
      </w:r>
      <w:r w:rsidRPr="00E8780D">
        <w:rPr>
          <w:rFonts w:ascii="MS Gothic" w:eastAsia="MS Gothic" w:hAnsi="MS Gothic" w:cs="MS Gothic" w:hint="eastAsia"/>
          <w:sz w:val="22"/>
          <w:szCs w:val="22"/>
        </w:rPr>
        <w:t>․</w:t>
      </w:r>
      <w:r w:rsidRPr="00E8780D">
        <w:rPr>
          <w:rFonts w:ascii="Arial" w:hAnsi="Arial" w:cs="Arial"/>
          <w:sz w:val="22"/>
          <w:szCs w:val="22"/>
        </w:rPr>
        <w:t xml:space="preserve"> (2019) included staff from a small number of wards</w:t>
      </w:r>
      <w:r w:rsidRPr="00E8780D">
        <w:rPr>
          <w:rFonts w:ascii="MS Gothic" w:eastAsia="MS Gothic" w:hAnsi="MS Gothic" w:cs="MS Gothic" w:hint="eastAsia"/>
          <w:sz w:val="22"/>
          <w:szCs w:val="22"/>
        </w:rPr>
        <w:t>․</w:t>
      </w:r>
      <w:r w:rsidRPr="00E8780D">
        <w:rPr>
          <w:rFonts w:ascii="Arial" w:hAnsi="Arial" w:cs="Arial"/>
          <w:sz w:val="22"/>
          <w:szCs w:val="22"/>
        </w:rPr>
        <w:t xml:space="preserve"> Qualitative research provides valuable perception, although larger studies are needed to strengthen the evidence base</w:t>
      </w:r>
      <w:r w:rsidRPr="00E8780D">
        <w:rPr>
          <w:rFonts w:ascii="MS Gothic" w:eastAsia="MS Gothic" w:hAnsi="MS Gothic" w:cs="MS Gothic" w:hint="eastAsia"/>
          <w:sz w:val="22"/>
          <w:szCs w:val="22"/>
        </w:rPr>
        <w:t>․</w:t>
      </w:r>
    </w:p>
    <w:p w14:paraId="043B354F" w14:textId="0526EBB0"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Another limitation is the lack of focus on non-nursing staff</w:t>
      </w:r>
      <w:r w:rsidRPr="00E8780D">
        <w:rPr>
          <w:rFonts w:ascii="MS Gothic" w:eastAsia="MS Gothic" w:hAnsi="MS Gothic" w:cs="MS Gothic" w:hint="eastAsia"/>
          <w:sz w:val="22"/>
          <w:szCs w:val="22"/>
        </w:rPr>
        <w:t>․</w:t>
      </w:r>
      <w:r w:rsidRPr="00E8780D">
        <w:rPr>
          <w:rFonts w:ascii="Arial" w:hAnsi="Arial" w:cs="Arial"/>
          <w:sz w:val="22"/>
          <w:szCs w:val="22"/>
        </w:rPr>
        <w:t xml:space="preserve"> Kindell et al</w:t>
      </w:r>
      <w:r w:rsidRPr="00E8780D">
        <w:rPr>
          <w:rFonts w:ascii="MS Gothic" w:eastAsia="MS Gothic" w:hAnsi="MS Gothic" w:cs="MS Gothic" w:hint="eastAsia"/>
          <w:sz w:val="22"/>
          <w:szCs w:val="22"/>
        </w:rPr>
        <w:t>․</w:t>
      </w:r>
      <w:r w:rsidRPr="00E8780D">
        <w:rPr>
          <w:rFonts w:ascii="Arial" w:hAnsi="Arial" w:cs="Arial"/>
          <w:sz w:val="22"/>
          <w:szCs w:val="22"/>
        </w:rPr>
        <w:t xml:space="preserve"> (2025), for example, noted the impact of healthcare support workers, yet few studies have captured their experience</w:t>
      </w:r>
      <w:r w:rsidRPr="00E8780D">
        <w:rPr>
          <w:rFonts w:ascii="MS Gothic" w:eastAsia="MS Gothic" w:hAnsi="MS Gothic" w:cs="MS Gothic" w:hint="eastAsia"/>
          <w:sz w:val="22"/>
          <w:szCs w:val="22"/>
        </w:rPr>
        <w:t>․</w:t>
      </w:r>
      <w:r w:rsidRPr="00E8780D">
        <w:rPr>
          <w:rFonts w:ascii="Arial" w:hAnsi="Arial" w:cs="Arial"/>
          <w:sz w:val="22"/>
          <w:szCs w:val="22"/>
        </w:rPr>
        <w:t xml:space="preserve"> Future research should consider the wider healthcare workforce</w:t>
      </w:r>
      <w:r w:rsidRPr="00E8780D">
        <w:rPr>
          <w:rFonts w:ascii="MS Gothic" w:eastAsia="MS Gothic" w:hAnsi="MS Gothic" w:cs="MS Gothic" w:hint="eastAsia"/>
          <w:sz w:val="22"/>
          <w:szCs w:val="22"/>
        </w:rPr>
        <w:t>․</w:t>
      </w:r>
      <w:r w:rsidRPr="00E8780D">
        <w:rPr>
          <w:rFonts w:ascii="Arial" w:hAnsi="Arial" w:cs="Arial"/>
          <w:sz w:val="22"/>
          <w:szCs w:val="22"/>
        </w:rPr>
        <w:t>The review was limited to studies conducted in the UK</w:t>
      </w:r>
      <w:r w:rsidRPr="00E8780D">
        <w:rPr>
          <w:rFonts w:ascii="MS Gothic" w:eastAsia="MS Gothic" w:hAnsi="MS Gothic" w:cs="MS Gothic" w:hint="eastAsia"/>
          <w:sz w:val="22"/>
          <w:szCs w:val="22"/>
        </w:rPr>
        <w:t>․</w:t>
      </w:r>
      <w:r w:rsidRPr="00E8780D">
        <w:rPr>
          <w:rFonts w:ascii="Arial" w:hAnsi="Arial" w:cs="Arial"/>
          <w:sz w:val="22"/>
          <w:szCs w:val="22"/>
        </w:rPr>
        <w:t xml:space="preserve"> Although this improved its relevance to UK practice, it may have reduced generalizability</w:t>
      </w:r>
      <w:r w:rsidRPr="00E8780D">
        <w:rPr>
          <w:rFonts w:ascii="MS Gothic" w:eastAsia="MS Gothic" w:hAnsi="MS Gothic" w:cs="MS Gothic" w:hint="eastAsia"/>
          <w:sz w:val="22"/>
          <w:szCs w:val="22"/>
        </w:rPr>
        <w:t>․</w:t>
      </w:r>
      <w:r w:rsidRPr="00E8780D">
        <w:rPr>
          <w:rFonts w:ascii="Arial" w:hAnsi="Arial" w:cs="Arial"/>
          <w:sz w:val="22"/>
          <w:szCs w:val="22"/>
        </w:rPr>
        <w:t xml:space="preserve"> The review included only seven studies, so the evidence base is modest</w:t>
      </w:r>
      <w:r w:rsidRPr="00E8780D">
        <w:rPr>
          <w:rFonts w:ascii="MS Gothic" w:eastAsia="MS Gothic" w:hAnsi="MS Gothic" w:cs="MS Gothic" w:hint="eastAsia"/>
          <w:sz w:val="22"/>
          <w:szCs w:val="22"/>
        </w:rPr>
        <w:t>․</w:t>
      </w:r>
    </w:p>
    <w:p w14:paraId="2ABB6095" w14:textId="7174ECFF" w:rsidR="001B0320" w:rsidRPr="001B0320" w:rsidRDefault="008A3849" w:rsidP="00AF24A7">
      <w:pPr>
        <w:spacing w:line="360" w:lineRule="auto"/>
        <w:jc w:val="both"/>
        <w:rPr>
          <w:rFonts w:ascii="Arial" w:hAnsi="Arial" w:cs="Arial"/>
          <w:b/>
          <w:bCs/>
          <w:sz w:val="22"/>
          <w:szCs w:val="22"/>
        </w:rPr>
      </w:pPr>
      <w:r w:rsidRPr="001B0320">
        <w:rPr>
          <w:rFonts w:ascii="Arial" w:hAnsi="Arial" w:cs="Arial"/>
          <w:b/>
          <w:bCs/>
          <w:sz w:val="22"/>
          <w:szCs w:val="22"/>
        </w:rPr>
        <w:t>Conclusion and Recommen</w:t>
      </w:r>
      <w:r w:rsidR="001B0320" w:rsidRPr="001B0320">
        <w:rPr>
          <w:rFonts w:ascii="Arial" w:hAnsi="Arial" w:cs="Arial"/>
          <w:b/>
          <w:bCs/>
          <w:sz w:val="22"/>
          <w:szCs w:val="22"/>
        </w:rPr>
        <w:t>dat</w:t>
      </w:r>
      <w:r w:rsidRPr="001B0320">
        <w:rPr>
          <w:rFonts w:ascii="Arial" w:hAnsi="Arial" w:cs="Arial"/>
          <w:b/>
          <w:bCs/>
          <w:sz w:val="22"/>
          <w:szCs w:val="22"/>
        </w:rPr>
        <w:t>ion</w:t>
      </w:r>
      <w:r w:rsidR="001B0320">
        <w:rPr>
          <w:rFonts w:ascii="Arial" w:hAnsi="Arial" w:cs="Arial"/>
          <w:b/>
          <w:bCs/>
          <w:sz w:val="22"/>
          <w:szCs w:val="22"/>
        </w:rPr>
        <w:t>s</w:t>
      </w:r>
    </w:p>
    <w:p w14:paraId="171A5694" w14:textId="77777777" w:rsidR="00AF24A7" w:rsidRPr="00E8780D" w:rsidRDefault="00AF24A7" w:rsidP="00AF24A7">
      <w:pPr>
        <w:spacing w:line="360" w:lineRule="auto"/>
        <w:jc w:val="both"/>
        <w:rPr>
          <w:rFonts w:ascii="Arial" w:hAnsi="Arial" w:cs="Arial"/>
          <w:sz w:val="22"/>
          <w:szCs w:val="22"/>
        </w:rPr>
      </w:pPr>
      <w:r w:rsidRPr="00E8780D">
        <w:rPr>
          <w:rFonts w:ascii="Arial" w:hAnsi="Arial" w:cs="Arial"/>
          <w:sz w:val="22"/>
          <w:szCs w:val="22"/>
        </w:rPr>
        <w:t>A scoping review of staff experiences of providing care for people with dementia in hospitals in the UK identified four themes: workload and care-related challenges, training and knowledge, emotional impact and organisational support</w:t>
      </w:r>
      <w:r w:rsidRPr="00E8780D">
        <w:rPr>
          <w:rFonts w:ascii="Arial" w:eastAsia="MS Gothic" w:hAnsi="Arial" w:cs="Arial"/>
          <w:sz w:val="22"/>
          <w:szCs w:val="22"/>
        </w:rPr>
        <w:t xml:space="preserve">. </w:t>
      </w:r>
      <w:r w:rsidRPr="00E8780D">
        <w:rPr>
          <w:rFonts w:ascii="Arial" w:hAnsi="Arial" w:cs="Arial"/>
          <w:sz w:val="22"/>
          <w:szCs w:val="22"/>
        </w:rPr>
        <w:t>The findings indicated that staff experiences were shaped by a combination of professional and organisational factors, with workload and time pressure identified as the main barriers to person-centred dementia care</w:t>
      </w:r>
      <w:r w:rsidRPr="00E8780D">
        <w:rPr>
          <w:rFonts w:ascii="MS Gothic" w:eastAsia="MS Gothic" w:hAnsi="MS Gothic" w:cs="MS Gothic" w:hint="eastAsia"/>
          <w:sz w:val="22"/>
          <w:szCs w:val="22"/>
        </w:rPr>
        <w:t>․</w:t>
      </w:r>
      <w:r w:rsidRPr="00E8780D">
        <w:rPr>
          <w:rFonts w:ascii="Arial" w:hAnsi="Arial" w:cs="Arial"/>
          <w:sz w:val="22"/>
          <w:szCs w:val="22"/>
        </w:rPr>
        <w:t xml:space="preserve"> Training and knowledge were of limited use without organisational support</w:t>
      </w:r>
      <w:r w:rsidRPr="00E8780D">
        <w:rPr>
          <w:rFonts w:ascii="MS Gothic" w:eastAsia="MS Gothic" w:hAnsi="MS Gothic" w:cs="MS Gothic" w:hint="eastAsia"/>
          <w:sz w:val="22"/>
          <w:szCs w:val="22"/>
        </w:rPr>
        <w:t>․</w:t>
      </w:r>
    </w:p>
    <w:p w14:paraId="3E2C0C1F" w14:textId="64BD0888" w:rsidR="001B0320" w:rsidRPr="006325C0" w:rsidRDefault="00AF24A7" w:rsidP="001B0320">
      <w:pPr>
        <w:spacing w:line="360" w:lineRule="auto"/>
        <w:jc w:val="both"/>
        <w:rPr>
          <w:rFonts w:ascii="MS Gothic" w:eastAsia="MS Gothic" w:hAnsi="MS Gothic" w:cs="MS Gothic"/>
          <w:sz w:val="22"/>
          <w:szCs w:val="22"/>
        </w:rPr>
      </w:pPr>
      <w:r w:rsidRPr="00E8780D">
        <w:rPr>
          <w:rFonts w:ascii="Arial" w:hAnsi="Arial" w:cs="Arial"/>
          <w:sz w:val="22"/>
          <w:szCs w:val="22"/>
        </w:rPr>
        <w:t>Emotional demands were important in dementia care, but the emotional strain they generated appeared more strongly related to organisational conditions</w:t>
      </w:r>
      <w:r w:rsidRPr="00E8780D">
        <w:rPr>
          <w:rFonts w:ascii="MS Gothic" w:eastAsia="MS Gothic" w:hAnsi="MS Gothic" w:cs="MS Gothic" w:hint="eastAsia"/>
          <w:sz w:val="22"/>
          <w:szCs w:val="22"/>
        </w:rPr>
        <w:t>․</w:t>
      </w:r>
      <w:r w:rsidRPr="00E8780D">
        <w:rPr>
          <w:rFonts w:ascii="Arial" w:hAnsi="Arial" w:cs="Arial"/>
          <w:sz w:val="22"/>
          <w:szCs w:val="22"/>
        </w:rPr>
        <w:t xml:space="preserve"> Organisational support was the overarching influence on staff experiences of all study themes</w:t>
      </w:r>
      <w:r w:rsidRPr="00E8780D">
        <w:rPr>
          <w:rFonts w:ascii="MS Gothic" w:eastAsia="MS Gothic" w:hAnsi="MS Gothic" w:cs="MS Gothic" w:hint="eastAsia"/>
          <w:sz w:val="22"/>
          <w:szCs w:val="22"/>
        </w:rPr>
        <w:t>․</w:t>
      </w:r>
      <w:r w:rsidRPr="00E8780D">
        <w:rPr>
          <w:rFonts w:ascii="Arial" w:hAnsi="Arial" w:cs="Arial"/>
          <w:sz w:val="22"/>
          <w:szCs w:val="22"/>
        </w:rPr>
        <w:t>Dementia care in hospitals can be improved with training, organisational support and a suitable working environment</w:t>
      </w:r>
      <w:r w:rsidRPr="00E8780D">
        <w:rPr>
          <w:rFonts w:ascii="MS Gothic" w:eastAsia="MS Gothic" w:hAnsi="MS Gothic" w:cs="MS Gothic" w:hint="eastAsia"/>
          <w:sz w:val="22"/>
          <w:szCs w:val="22"/>
        </w:rPr>
        <w:t>․</w:t>
      </w:r>
    </w:p>
    <w:p w14:paraId="1EE6CB18" w14:textId="77777777" w:rsidR="00AF24A7" w:rsidRDefault="00AF24A7" w:rsidP="00AF24A7">
      <w:pPr>
        <w:spacing w:line="360" w:lineRule="auto"/>
        <w:jc w:val="both"/>
        <w:rPr>
          <w:rFonts w:ascii="Arial" w:hAnsi="Arial" w:cs="Arial"/>
          <w:sz w:val="22"/>
          <w:szCs w:val="22"/>
        </w:rPr>
      </w:pPr>
      <w:r w:rsidRPr="00E8780D">
        <w:rPr>
          <w:rFonts w:ascii="Arial" w:hAnsi="Arial" w:cs="Arial"/>
          <w:sz w:val="22"/>
          <w:szCs w:val="22"/>
        </w:rPr>
        <w:t>Hospitals should implement regular, dementia-specific training programmes to improve the knowledge and confidence of staff (Surr et al</w:t>
      </w:r>
      <w:r w:rsidRPr="00E8780D">
        <w:rPr>
          <w:rFonts w:ascii="MS Gothic" w:eastAsia="MS Gothic" w:hAnsi="MS Gothic" w:cs="MS Gothic" w:hint="eastAsia"/>
          <w:sz w:val="22"/>
          <w:szCs w:val="22"/>
        </w:rPr>
        <w:t>․</w:t>
      </w:r>
      <w:r w:rsidRPr="00E8780D">
        <w:rPr>
          <w:rFonts w:ascii="Arial" w:hAnsi="Arial" w:cs="Arial"/>
          <w:sz w:val="22"/>
          <w:szCs w:val="22"/>
        </w:rPr>
        <w:t xml:space="preserve">, 2017). Healthcare organisations should improve staffing levels to ensure there is adequate capacity to provide person-centred </w:t>
      </w:r>
      <w:r w:rsidRPr="00E8780D">
        <w:rPr>
          <w:rFonts w:ascii="Arial" w:hAnsi="Arial" w:cs="Arial"/>
          <w:sz w:val="22"/>
          <w:szCs w:val="22"/>
        </w:rPr>
        <w:lastRenderedPageBreak/>
        <w:t>dementia care (Abbott et al</w:t>
      </w:r>
      <w:r w:rsidRPr="00E8780D">
        <w:rPr>
          <w:rFonts w:ascii="MS Gothic" w:eastAsia="MS Gothic" w:hAnsi="MS Gothic" w:cs="MS Gothic" w:hint="eastAsia"/>
          <w:sz w:val="22"/>
          <w:szCs w:val="22"/>
        </w:rPr>
        <w:t>․</w:t>
      </w:r>
      <w:r w:rsidRPr="00E8780D">
        <w:rPr>
          <w:rFonts w:ascii="Arial" w:hAnsi="Arial" w:cs="Arial"/>
          <w:sz w:val="22"/>
          <w:szCs w:val="22"/>
        </w:rPr>
        <w:t>, 2022). Hospitals should create dementia-friendly ward environments to minimise distress for people with dementia and support staff (Alzheimer's Society, 2023; NICE, 2018). Healthcare managers should support staff caring for dementia patients to reduce stress and burnout (McGilton et al</w:t>
      </w:r>
      <w:r w:rsidRPr="00E8780D">
        <w:rPr>
          <w:rFonts w:ascii="MS Gothic" w:eastAsia="MS Gothic" w:hAnsi="MS Gothic" w:cs="MS Gothic" w:hint="eastAsia"/>
          <w:sz w:val="22"/>
          <w:szCs w:val="22"/>
        </w:rPr>
        <w:t>․</w:t>
      </w:r>
      <w:r w:rsidRPr="00E8780D">
        <w:rPr>
          <w:rFonts w:ascii="Arial" w:hAnsi="Arial" w:cs="Arial"/>
          <w:sz w:val="22"/>
          <w:szCs w:val="22"/>
        </w:rPr>
        <w:t>, 2016).</w:t>
      </w:r>
    </w:p>
    <w:p w14:paraId="29E6041A" w14:textId="77777777" w:rsidR="001B0320" w:rsidRDefault="001B0320" w:rsidP="00AF24A7">
      <w:pPr>
        <w:spacing w:line="360" w:lineRule="auto"/>
        <w:jc w:val="both"/>
        <w:rPr>
          <w:rFonts w:ascii="Arial" w:hAnsi="Arial" w:cs="Arial"/>
          <w:i/>
          <w:iCs/>
          <w:sz w:val="22"/>
          <w:szCs w:val="22"/>
        </w:rPr>
      </w:pPr>
    </w:p>
    <w:p w14:paraId="1BB3101F" w14:textId="77777777" w:rsidR="001B0320" w:rsidRDefault="001B0320" w:rsidP="00AF24A7">
      <w:pPr>
        <w:spacing w:line="360" w:lineRule="auto"/>
        <w:jc w:val="both"/>
        <w:rPr>
          <w:rFonts w:ascii="Arial" w:hAnsi="Arial" w:cs="Arial"/>
          <w:i/>
          <w:iCs/>
          <w:sz w:val="22"/>
          <w:szCs w:val="22"/>
        </w:rPr>
      </w:pPr>
    </w:p>
    <w:p w14:paraId="67CAD6DD" w14:textId="77777777" w:rsidR="001B0320" w:rsidRDefault="001B0320" w:rsidP="00AF24A7">
      <w:pPr>
        <w:spacing w:line="360" w:lineRule="auto"/>
        <w:jc w:val="both"/>
        <w:rPr>
          <w:rFonts w:ascii="Arial" w:hAnsi="Arial" w:cs="Arial"/>
          <w:i/>
          <w:iCs/>
          <w:sz w:val="22"/>
          <w:szCs w:val="22"/>
        </w:rPr>
      </w:pPr>
    </w:p>
    <w:p w14:paraId="36BAB0F4" w14:textId="77777777" w:rsidR="001B0320" w:rsidRDefault="001B0320" w:rsidP="00AF24A7">
      <w:pPr>
        <w:spacing w:line="360" w:lineRule="auto"/>
        <w:jc w:val="both"/>
        <w:rPr>
          <w:rFonts w:ascii="Arial" w:hAnsi="Arial" w:cs="Arial"/>
          <w:i/>
          <w:iCs/>
          <w:sz w:val="22"/>
          <w:szCs w:val="22"/>
        </w:rPr>
      </w:pPr>
    </w:p>
    <w:p w14:paraId="6ADD9A2F" w14:textId="77777777" w:rsidR="001B0320" w:rsidRDefault="001B0320" w:rsidP="00AF24A7">
      <w:pPr>
        <w:spacing w:line="360" w:lineRule="auto"/>
        <w:jc w:val="both"/>
        <w:rPr>
          <w:rFonts w:ascii="Arial" w:hAnsi="Arial" w:cs="Arial"/>
          <w:i/>
          <w:iCs/>
          <w:sz w:val="22"/>
          <w:szCs w:val="22"/>
        </w:rPr>
      </w:pPr>
    </w:p>
    <w:p w14:paraId="541E99A0" w14:textId="77777777" w:rsidR="001B0320" w:rsidRDefault="001B0320" w:rsidP="00AF24A7">
      <w:pPr>
        <w:spacing w:line="360" w:lineRule="auto"/>
        <w:jc w:val="both"/>
        <w:rPr>
          <w:rFonts w:ascii="Arial" w:hAnsi="Arial" w:cs="Arial"/>
          <w:i/>
          <w:iCs/>
          <w:sz w:val="22"/>
          <w:szCs w:val="22"/>
        </w:rPr>
      </w:pPr>
    </w:p>
    <w:p w14:paraId="3960F795" w14:textId="77777777" w:rsidR="001B0320" w:rsidRDefault="001B0320" w:rsidP="00AF24A7">
      <w:pPr>
        <w:spacing w:line="360" w:lineRule="auto"/>
        <w:jc w:val="both"/>
        <w:rPr>
          <w:rFonts w:ascii="Arial" w:hAnsi="Arial" w:cs="Arial"/>
          <w:i/>
          <w:iCs/>
          <w:sz w:val="22"/>
          <w:szCs w:val="22"/>
        </w:rPr>
      </w:pPr>
    </w:p>
    <w:p w14:paraId="06999E67" w14:textId="77777777" w:rsidR="006325C0" w:rsidRDefault="006325C0" w:rsidP="00AF24A7">
      <w:pPr>
        <w:spacing w:line="360" w:lineRule="auto"/>
        <w:jc w:val="both"/>
        <w:rPr>
          <w:rFonts w:ascii="Arial" w:hAnsi="Arial" w:cs="Arial"/>
          <w:i/>
          <w:iCs/>
          <w:sz w:val="22"/>
          <w:szCs w:val="22"/>
        </w:rPr>
      </w:pPr>
    </w:p>
    <w:p w14:paraId="1E2EEE6A" w14:textId="77777777" w:rsidR="006325C0" w:rsidRDefault="006325C0" w:rsidP="00AF24A7">
      <w:pPr>
        <w:spacing w:line="360" w:lineRule="auto"/>
        <w:jc w:val="both"/>
        <w:rPr>
          <w:rFonts w:ascii="Arial" w:hAnsi="Arial" w:cs="Arial"/>
          <w:i/>
          <w:iCs/>
          <w:sz w:val="22"/>
          <w:szCs w:val="22"/>
        </w:rPr>
      </w:pPr>
    </w:p>
    <w:p w14:paraId="1F4CBCAF" w14:textId="77777777" w:rsidR="006325C0" w:rsidRDefault="006325C0" w:rsidP="00AF24A7">
      <w:pPr>
        <w:spacing w:line="360" w:lineRule="auto"/>
        <w:jc w:val="both"/>
        <w:rPr>
          <w:rFonts w:ascii="Arial" w:hAnsi="Arial" w:cs="Arial"/>
          <w:i/>
          <w:iCs/>
          <w:sz w:val="22"/>
          <w:szCs w:val="22"/>
        </w:rPr>
      </w:pPr>
    </w:p>
    <w:p w14:paraId="3FF05C6D" w14:textId="77777777" w:rsidR="006325C0" w:rsidRDefault="006325C0" w:rsidP="00AF24A7">
      <w:pPr>
        <w:spacing w:line="360" w:lineRule="auto"/>
        <w:jc w:val="both"/>
        <w:rPr>
          <w:rFonts w:ascii="Arial" w:hAnsi="Arial" w:cs="Arial"/>
          <w:i/>
          <w:iCs/>
          <w:sz w:val="22"/>
          <w:szCs w:val="22"/>
        </w:rPr>
      </w:pPr>
    </w:p>
    <w:p w14:paraId="14E8AE47" w14:textId="77777777" w:rsidR="006325C0" w:rsidRDefault="006325C0" w:rsidP="00AF24A7">
      <w:pPr>
        <w:spacing w:line="360" w:lineRule="auto"/>
        <w:jc w:val="both"/>
        <w:rPr>
          <w:rFonts w:ascii="Arial" w:hAnsi="Arial" w:cs="Arial"/>
          <w:i/>
          <w:iCs/>
          <w:sz w:val="22"/>
          <w:szCs w:val="22"/>
        </w:rPr>
      </w:pPr>
    </w:p>
    <w:p w14:paraId="6F09F415" w14:textId="77777777" w:rsidR="006325C0" w:rsidRDefault="006325C0" w:rsidP="00AF24A7">
      <w:pPr>
        <w:spacing w:line="360" w:lineRule="auto"/>
        <w:jc w:val="both"/>
        <w:rPr>
          <w:rFonts w:ascii="Arial" w:hAnsi="Arial" w:cs="Arial"/>
          <w:i/>
          <w:iCs/>
          <w:sz w:val="22"/>
          <w:szCs w:val="22"/>
        </w:rPr>
      </w:pPr>
    </w:p>
    <w:p w14:paraId="68D329AE" w14:textId="77777777" w:rsidR="006325C0" w:rsidRDefault="006325C0" w:rsidP="00AF24A7">
      <w:pPr>
        <w:spacing w:line="360" w:lineRule="auto"/>
        <w:jc w:val="both"/>
        <w:rPr>
          <w:rFonts w:ascii="Arial" w:hAnsi="Arial" w:cs="Arial"/>
          <w:i/>
          <w:iCs/>
          <w:sz w:val="22"/>
          <w:szCs w:val="22"/>
        </w:rPr>
      </w:pPr>
    </w:p>
    <w:p w14:paraId="0B53F8AC" w14:textId="77777777" w:rsidR="006325C0" w:rsidRDefault="006325C0" w:rsidP="00AF24A7">
      <w:pPr>
        <w:spacing w:line="360" w:lineRule="auto"/>
        <w:jc w:val="both"/>
        <w:rPr>
          <w:rFonts w:ascii="Arial" w:hAnsi="Arial" w:cs="Arial"/>
          <w:i/>
          <w:iCs/>
          <w:sz w:val="22"/>
          <w:szCs w:val="22"/>
        </w:rPr>
      </w:pPr>
    </w:p>
    <w:p w14:paraId="18D11FEC" w14:textId="77777777" w:rsidR="006325C0" w:rsidRDefault="006325C0" w:rsidP="00AF24A7">
      <w:pPr>
        <w:spacing w:line="360" w:lineRule="auto"/>
        <w:jc w:val="both"/>
        <w:rPr>
          <w:rFonts w:ascii="Arial" w:hAnsi="Arial" w:cs="Arial"/>
          <w:i/>
          <w:iCs/>
          <w:sz w:val="22"/>
          <w:szCs w:val="22"/>
        </w:rPr>
      </w:pPr>
    </w:p>
    <w:p w14:paraId="205BDF53" w14:textId="77777777" w:rsidR="006325C0" w:rsidRDefault="006325C0" w:rsidP="00AF24A7">
      <w:pPr>
        <w:spacing w:line="360" w:lineRule="auto"/>
        <w:jc w:val="both"/>
        <w:rPr>
          <w:rFonts w:ascii="Arial" w:hAnsi="Arial" w:cs="Arial"/>
          <w:i/>
          <w:iCs/>
          <w:sz w:val="22"/>
          <w:szCs w:val="22"/>
        </w:rPr>
      </w:pPr>
    </w:p>
    <w:p w14:paraId="4D76E68E" w14:textId="77777777" w:rsidR="006325C0" w:rsidRDefault="006325C0" w:rsidP="00AF24A7">
      <w:pPr>
        <w:spacing w:line="360" w:lineRule="auto"/>
        <w:jc w:val="both"/>
        <w:rPr>
          <w:rFonts w:ascii="Arial" w:hAnsi="Arial" w:cs="Arial"/>
          <w:i/>
          <w:iCs/>
          <w:sz w:val="22"/>
          <w:szCs w:val="22"/>
        </w:rPr>
      </w:pPr>
    </w:p>
    <w:p w14:paraId="39F3CCE5" w14:textId="77777777" w:rsidR="006325C0" w:rsidRDefault="006325C0" w:rsidP="00AF24A7">
      <w:pPr>
        <w:spacing w:line="360" w:lineRule="auto"/>
        <w:jc w:val="both"/>
        <w:rPr>
          <w:rFonts w:ascii="Arial" w:hAnsi="Arial" w:cs="Arial"/>
          <w:i/>
          <w:iCs/>
          <w:sz w:val="22"/>
          <w:szCs w:val="22"/>
        </w:rPr>
      </w:pPr>
    </w:p>
    <w:p w14:paraId="2A7AB388" w14:textId="77777777" w:rsidR="006325C0" w:rsidRDefault="006325C0" w:rsidP="00AF24A7">
      <w:pPr>
        <w:spacing w:line="360" w:lineRule="auto"/>
        <w:jc w:val="both"/>
        <w:rPr>
          <w:rFonts w:ascii="Arial" w:hAnsi="Arial" w:cs="Arial"/>
          <w:i/>
          <w:iCs/>
          <w:sz w:val="22"/>
          <w:szCs w:val="22"/>
        </w:rPr>
      </w:pPr>
    </w:p>
    <w:p w14:paraId="618DC663" w14:textId="77777777" w:rsidR="006325C0" w:rsidRDefault="006325C0" w:rsidP="00AF24A7">
      <w:pPr>
        <w:spacing w:line="360" w:lineRule="auto"/>
        <w:jc w:val="both"/>
        <w:rPr>
          <w:rFonts w:ascii="Arial" w:hAnsi="Arial" w:cs="Arial"/>
          <w:i/>
          <w:iCs/>
          <w:sz w:val="22"/>
          <w:szCs w:val="22"/>
        </w:rPr>
      </w:pPr>
    </w:p>
    <w:p w14:paraId="0E92EF6C" w14:textId="77777777" w:rsidR="006325C0" w:rsidRDefault="006325C0" w:rsidP="00AF24A7">
      <w:pPr>
        <w:spacing w:line="360" w:lineRule="auto"/>
        <w:jc w:val="both"/>
        <w:rPr>
          <w:rFonts w:ascii="Arial" w:hAnsi="Arial" w:cs="Arial"/>
          <w:i/>
          <w:iCs/>
          <w:sz w:val="22"/>
          <w:szCs w:val="22"/>
        </w:rPr>
      </w:pPr>
    </w:p>
    <w:p w14:paraId="5B72CD2D" w14:textId="77777777" w:rsidR="00B669E5" w:rsidRDefault="00B669E5" w:rsidP="001B0320">
      <w:pPr>
        <w:spacing w:line="360" w:lineRule="auto"/>
        <w:jc w:val="both"/>
        <w:rPr>
          <w:rFonts w:ascii="Arial" w:hAnsi="Arial" w:cs="Arial"/>
          <w:i/>
          <w:iCs/>
          <w:sz w:val="22"/>
          <w:szCs w:val="22"/>
        </w:rPr>
      </w:pPr>
    </w:p>
    <w:p w14:paraId="0250724B" w14:textId="190477C0" w:rsidR="00AF24A7" w:rsidRPr="001B0320" w:rsidRDefault="001B0320" w:rsidP="001B0320">
      <w:pPr>
        <w:spacing w:line="360" w:lineRule="auto"/>
        <w:jc w:val="both"/>
        <w:rPr>
          <w:rFonts w:ascii="Arial" w:hAnsi="Arial" w:cs="Arial"/>
          <w:b/>
          <w:bCs/>
          <w:i/>
          <w:iCs/>
          <w:sz w:val="22"/>
          <w:szCs w:val="22"/>
        </w:rPr>
      </w:pPr>
      <w:r w:rsidRPr="001B0320">
        <w:rPr>
          <w:rFonts w:ascii="Arial" w:hAnsi="Arial" w:cs="Arial"/>
          <w:i/>
          <w:iCs/>
          <w:sz w:val="22"/>
          <w:szCs w:val="22"/>
        </w:rPr>
        <w:lastRenderedPageBreak/>
        <w:t>References</w:t>
      </w:r>
    </w:p>
    <w:p w14:paraId="633D5207" w14:textId="77777777" w:rsidR="00AF24A7" w:rsidRPr="0010332A" w:rsidRDefault="00AF24A7" w:rsidP="0010332A">
      <w:pPr>
        <w:pStyle w:val="ListParagraph"/>
        <w:numPr>
          <w:ilvl w:val="0"/>
          <w:numId w:val="9"/>
        </w:numPr>
        <w:spacing w:line="360" w:lineRule="auto"/>
        <w:jc w:val="both"/>
        <w:rPr>
          <w:rFonts w:ascii="Arial" w:hAnsi="Arial" w:cs="Arial"/>
          <w:i/>
          <w:iCs/>
          <w:sz w:val="22"/>
          <w:szCs w:val="22"/>
        </w:rPr>
      </w:pPr>
      <w:r w:rsidRPr="0010332A">
        <w:rPr>
          <w:rFonts w:ascii="Arial" w:hAnsi="Arial" w:cs="Arial"/>
          <w:i/>
          <w:iCs/>
          <w:sz w:val="22"/>
          <w:szCs w:val="22"/>
        </w:rPr>
        <w:t xml:space="preserve">Abbott, R.A., </w:t>
      </w:r>
      <w:proofErr w:type="spellStart"/>
      <w:r w:rsidRPr="0010332A">
        <w:rPr>
          <w:rFonts w:ascii="Arial" w:hAnsi="Arial" w:cs="Arial"/>
          <w:i/>
          <w:iCs/>
          <w:sz w:val="22"/>
          <w:szCs w:val="22"/>
        </w:rPr>
        <w:t>Lourida</w:t>
      </w:r>
      <w:proofErr w:type="spellEnd"/>
      <w:r w:rsidRPr="0010332A">
        <w:rPr>
          <w:rFonts w:ascii="Arial" w:hAnsi="Arial" w:cs="Arial"/>
          <w:i/>
          <w:iCs/>
          <w:sz w:val="22"/>
          <w:szCs w:val="22"/>
        </w:rPr>
        <w:t>, I., Rogers, M., Hemsley, A., Cheeseman, D. and Thompson-Coon, J. (2022) ‘New horizons for caring for people with dementia in hospital’, Age and Ageing, 51(9), pp. 1–9.</w:t>
      </w:r>
    </w:p>
    <w:p w14:paraId="4280CBE2"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Addis, S., Davies, L., Jones, K. and Brown, R. (2025) ‘Nurses’ experiences of providing dementia care in acute hospitals’, Journal of Clinical Nursing, pp. 1–12.</w:t>
      </w:r>
    </w:p>
    <w:p w14:paraId="621A78D0"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Alzheimer’s Society (2023) Dementia UK: Update. London: Alzheimer’s Society.</w:t>
      </w:r>
    </w:p>
    <w:p w14:paraId="2C99A9FE"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Arksey, H. and O’Malley, L. (2005) ‘Scoping studies: Towards a methodological framework’, International Journal of Social Research Methodology, 8(1), pp. 19–32.</w:t>
      </w:r>
    </w:p>
    <w:p w14:paraId="1E1B345E" w14:textId="2F657279"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Aveyard, H. (2014)</w:t>
      </w:r>
      <w:r w:rsidR="00D46C7B">
        <w:rPr>
          <w:rFonts w:ascii="Arial" w:hAnsi="Arial" w:cs="Arial"/>
          <w:i/>
          <w:iCs/>
          <w:sz w:val="22"/>
          <w:szCs w:val="22"/>
        </w:rPr>
        <w:t>.</w:t>
      </w:r>
      <w:r w:rsidRPr="0010332A">
        <w:rPr>
          <w:rFonts w:ascii="Arial" w:hAnsi="Arial" w:cs="Arial"/>
          <w:i/>
          <w:iCs/>
          <w:sz w:val="22"/>
          <w:szCs w:val="22"/>
        </w:rPr>
        <w:t xml:space="preserve"> Doing a literature review in health and social care: A practical guide. 3rd </w:t>
      </w:r>
      <w:proofErr w:type="spellStart"/>
      <w:r w:rsidRPr="0010332A">
        <w:rPr>
          <w:rFonts w:ascii="Arial" w:hAnsi="Arial" w:cs="Arial"/>
          <w:i/>
          <w:iCs/>
          <w:sz w:val="22"/>
          <w:szCs w:val="22"/>
        </w:rPr>
        <w:t>edn</w:t>
      </w:r>
      <w:proofErr w:type="spellEnd"/>
      <w:r w:rsidRPr="0010332A">
        <w:rPr>
          <w:rFonts w:ascii="Arial" w:hAnsi="Arial" w:cs="Arial"/>
          <w:i/>
          <w:iCs/>
          <w:sz w:val="22"/>
          <w:szCs w:val="22"/>
        </w:rPr>
        <w:t>. Maidenhead: Open University Press.</w:t>
      </w:r>
    </w:p>
    <w:p w14:paraId="14B4AB61" w14:textId="0D905ED8"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Bettany-Saltikov, J. (2016)</w:t>
      </w:r>
      <w:r w:rsidR="00D46C7B">
        <w:rPr>
          <w:rFonts w:ascii="Arial" w:hAnsi="Arial" w:cs="Arial"/>
          <w:i/>
          <w:iCs/>
          <w:sz w:val="22"/>
          <w:szCs w:val="22"/>
        </w:rPr>
        <w:t>.</w:t>
      </w:r>
      <w:r w:rsidRPr="0010332A">
        <w:rPr>
          <w:rFonts w:ascii="Arial" w:hAnsi="Arial" w:cs="Arial"/>
          <w:i/>
          <w:iCs/>
          <w:sz w:val="22"/>
          <w:szCs w:val="22"/>
        </w:rPr>
        <w:t xml:space="preserve"> How to do a systematic literature review in nursing: A step-by-step guide. 2nd </w:t>
      </w:r>
      <w:proofErr w:type="spellStart"/>
      <w:r w:rsidRPr="0010332A">
        <w:rPr>
          <w:rFonts w:ascii="Arial" w:hAnsi="Arial" w:cs="Arial"/>
          <w:i/>
          <w:iCs/>
          <w:sz w:val="22"/>
          <w:szCs w:val="22"/>
        </w:rPr>
        <w:t>edn</w:t>
      </w:r>
      <w:proofErr w:type="spellEnd"/>
      <w:r w:rsidRPr="0010332A">
        <w:rPr>
          <w:rFonts w:ascii="Arial" w:hAnsi="Arial" w:cs="Arial"/>
          <w:i/>
          <w:iCs/>
          <w:sz w:val="22"/>
          <w:szCs w:val="22"/>
        </w:rPr>
        <w:t>. Maidenhead: Open University Press.</w:t>
      </w:r>
    </w:p>
    <w:p w14:paraId="721F68AD"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Braun, V. and Clarke, V. (2006) ‘Using thematic analysis in psychology’, Qualitative Research in Psychology, 3(2), pp. 77–101.</w:t>
      </w:r>
    </w:p>
    <w:p w14:paraId="39FF96C8"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Brooker, D. and Latham, I. (2016) Person-centred dementia care: Making services better with the VIPS framework. 2nd </w:t>
      </w:r>
      <w:proofErr w:type="spellStart"/>
      <w:r w:rsidRPr="0010332A">
        <w:rPr>
          <w:rFonts w:ascii="Arial" w:hAnsi="Arial" w:cs="Arial"/>
          <w:i/>
          <w:iCs/>
          <w:sz w:val="22"/>
          <w:szCs w:val="22"/>
        </w:rPr>
        <w:t>edn</w:t>
      </w:r>
      <w:proofErr w:type="spellEnd"/>
      <w:r w:rsidRPr="0010332A">
        <w:rPr>
          <w:rFonts w:ascii="Arial" w:hAnsi="Arial" w:cs="Arial"/>
          <w:i/>
          <w:iCs/>
          <w:sz w:val="22"/>
          <w:szCs w:val="22"/>
        </w:rPr>
        <w:t>. London: Jessica Kingsley Publishers.</w:t>
      </w:r>
    </w:p>
    <w:p w14:paraId="1D4839B8" w14:textId="041FC21C"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Bryman, A. (2016)</w:t>
      </w:r>
      <w:r w:rsidR="00D46C7B">
        <w:rPr>
          <w:rFonts w:ascii="Arial" w:hAnsi="Arial" w:cs="Arial"/>
          <w:i/>
          <w:iCs/>
          <w:sz w:val="22"/>
          <w:szCs w:val="22"/>
        </w:rPr>
        <w:t>.</w:t>
      </w:r>
      <w:r w:rsidRPr="0010332A">
        <w:rPr>
          <w:rFonts w:ascii="Arial" w:hAnsi="Arial" w:cs="Arial"/>
          <w:i/>
          <w:iCs/>
          <w:sz w:val="22"/>
          <w:szCs w:val="22"/>
        </w:rPr>
        <w:t xml:space="preserve"> Social research methods. 5th </w:t>
      </w:r>
      <w:proofErr w:type="spellStart"/>
      <w:r w:rsidRPr="0010332A">
        <w:rPr>
          <w:rFonts w:ascii="Arial" w:hAnsi="Arial" w:cs="Arial"/>
          <w:i/>
          <w:iCs/>
          <w:sz w:val="22"/>
          <w:szCs w:val="22"/>
        </w:rPr>
        <w:t>edn</w:t>
      </w:r>
      <w:proofErr w:type="spellEnd"/>
      <w:r w:rsidRPr="0010332A">
        <w:rPr>
          <w:rFonts w:ascii="Arial" w:hAnsi="Arial" w:cs="Arial"/>
          <w:i/>
          <w:iCs/>
          <w:sz w:val="22"/>
          <w:szCs w:val="22"/>
        </w:rPr>
        <w:t>. Oxford: Oxford University Press.</w:t>
      </w:r>
    </w:p>
    <w:p w14:paraId="76DB111F"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Chouliaras, L. and O’Brien, J.T. (2023) ‘The use of neuroimaging techniques in the early and differential diagnosis of dementia’, Molecular Psychiatry, 28(10), pp. 4084–4097.</w:t>
      </w:r>
    </w:p>
    <w:p w14:paraId="4D2CC4D4"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Digby, R., Lee, S. and Williams, A. (2017) ‘The experience of people with dementia and nurses in hospital: An integrative review’, Journal of Clinical Nursing, 26(9–10), pp. 1152–1171.</w:t>
      </w:r>
    </w:p>
    <w:p w14:paraId="4987C884"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Featherstone, K., Northcott, A. and Bridges, J. (2019) ‘Routines of resistance: An ethnography of the care of people living with dementia in acute hospital wards’, Sociology of Health and Illness, 41(3), pp. 433–447.</w:t>
      </w:r>
    </w:p>
    <w:p w14:paraId="79243F13"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Gwernan-Jones, R., Abbott, R., </w:t>
      </w:r>
      <w:proofErr w:type="spellStart"/>
      <w:r w:rsidRPr="0010332A">
        <w:rPr>
          <w:rFonts w:ascii="Arial" w:hAnsi="Arial" w:cs="Arial"/>
          <w:i/>
          <w:iCs/>
          <w:sz w:val="22"/>
          <w:szCs w:val="22"/>
        </w:rPr>
        <w:t>Lourida</w:t>
      </w:r>
      <w:proofErr w:type="spellEnd"/>
      <w:r w:rsidRPr="0010332A">
        <w:rPr>
          <w:rFonts w:ascii="Arial" w:hAnsi="Arial" w:cs="Arial"/>
          <w:i/>
          <w:iCs/>
          <w:sz w:val="22"/>
          <w:szCs w:val="22"/>
        </w:rPr>
        <w:t>, I., Rogers, M., Green, C. and Thompson-Coon, J. (2020) ‘The experiences of hospital staff who provide care for people living with dementia: A systematic review and synthesis of qualitative studies’, International Journal of Older People Nursing, 15(3), pp. 1–12.</w:t>
      </w:r>
    </w:p>
    <w:p w14:paraId="7E94B4E8" w14:textId="431FD0CC"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Houghton, C., Murphy, K., Brooker, D. and Casey, D. (2016) ‘Healthcare </w:t>
      </w:r>
      <w:r w:rsidR="00F400E9">
        <w:rPr>
          <w:rFonts w:ascii="Arial" w:hAnsi="Arial" w:cs="Arial"/>
          <w:i/>
          <w:iCs/>
          <w:sz w:val="22"/>
          <w:szCs w:val="22"/>
        </w:rPr>
        <w:t>staff’s</w:t>
      </w:r>
      <w:r w:rsidRPr="0010332A">
        <w:rPr>
          <w:rFonts w:ascii="Arial" w:hAnsi="Arial" w:cs="Arial"/>
          <w:i/>
          <w:iCs/>
          <w:sz w:val="22"/>
          <w:szCs w:val="22"/>
        </w:rPr>
        <w:t xml:space="preserve"> experiences and perceptions of caring for people with dementia in the acute setting: Qualitative evidence synthesis’, International Journal of Nursing Studies, 61, pp. 104–116.</w:t>
      </w:r>
    </w:p>
    <w:p w14:paraId="29ED35F9" w14:textId="0007B1DA"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lastRenderedPageBreak/>
        <w:t xml:space="preserve">Kindell, J., Burrow, S. and Keady, J. (2025) ‘Healthcare support workers’ experiences of dementia care in hospitals’, </w:t>
      </w:r>
      <w:r w:rsidR="00F400E9">
        <w:rPr>
          <w:rFonts w:ascii="Arial" w:hAnsi="Arial" w:cs="Arial"/>
          <w:i/>
          <w:iCs/>
          <w:sz w:val="22"/>
          <w:szCs w:val="22"/>
        </w:rPr>
        <w:t>Ageing</w:t>
      </w:r>
      <w:r w:rsidRPr="0010332A">
        <w:rPr>
          <w:rFonts w:ascii="Arial" w:hAnsi="Arial" w:cs="Arial"/>
          <w:i/>
          <w:iCs/>
          <w:sz w:val="22"/>
          <w:szCs w:val="22"/>
        </w:rPr>
        <w:t xml:space="preserve"> and Mental Health, pp. 1–10.</w:t>
      </w:r>
    </w:p>
    <w:p w14:paraId="0C3C5785"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proofErr w:type="spellStart"/>
      <w:r w:rsidRPr="0010332A">
        <w:rPr>
          <w:rFonts w:ascii="Arial" w:hAnsi="Arial" w:cs="Arial"/>
          <w:i/>
          <w:iCs/>
          <w:sz w:val="22"/>
          <w:szCs w:val="22"/>
        </w:rPr>
        <w:t>Kitwood</w:t>
      </w:r>
      <w:proofErr w:type="spellEnd"/>
      <w:r w:rsidRPr="0010332A">
        <w:rPr>
          <w:rFonts w:ascii="Arial" w:hAnsi="Arial" w:cs="Arial"/>
          <w:i/>
          <w:iCs/>
          <w:sz w:val="22"/>
          <w:szCs w:val="22"/>
        </w:rPr>
        <w:t>, T. (1997) Dementia reconsidered: The person comes first. Buckingham: Open University Press.</w:t>
      </w:r>
    </w:p>
    <w:p w14:paraId="01F6366D"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McGilton, K.S., </w:t>
      </w:r>
      <w:proofErr w:type="spellStart"/>
      <w:r w:rsidRPr="0010332A">
        <w:rPr>
          <w:rFonts w:ascii="Arial" w:hAnsi="Arial" w:cs="Arial"/>
          <w:i/>
          <w:iCs/>
          <w:sz w:val="22"/>
          <w:szCs w:val="22"/>
        </w:rPr>
        <w:t>Escrig</w:t>
      </w:r>
      <w:proofErr w:type="spellEnd"/>
      <w:r w:rsidRPr="0010332A">
        <w:rPr>
          <w:rFonts w:ascii="Arial" w:hAnsi="Arial" w:cs="Arial"/>
          <w:i/>
          <w:iCs/>
          <w:sz w:val="22"/>
          <w:szCs w:val="22"/>
        </w:rPr>
        <w:t xml:space="preserve">-Pinol, A., Gordon, A., Chu, C.H., Zuniga, F., Sanchez, M.G., </w:t>
      </w:r>
      <w:proofErr w:type="spellStart"/>
      <w:r w:rsidRPr="0010332A">
        <w:rPr>
          <w:rFonts w:ascii="Arial" w:hAnsi="Arial" w:cs="Arial"/>
          <w:i/>
          <w:iCs/>
          <w:sz w:val="22"/>
          <w:szCs w:val="22"/>
        </w:rPr>
        <w:t>Boscart</w:t>
      </w:r>
      <w:proofErr w:type="spellEnd"/>
      <w:r w:rsidRPr="0010332A">
        <w:rPr>
          <w:rFonts w:ascii="Arial" w:hAnsi="Arial" w:cs="Arial"/>
          <w:i/>
          <w:iCs/>
          <w:sz w:val="22"/>
          <w:szCs w:val="22"/>
        </w:rPr>
        <w:t>, V., Meyer, J., Corazzini, K.N., Jacinto, A.F. and Spilsbury, K. (2016) ‘Uncovering the devaluation of nursing home staff during COVID-19: Are we fuelling the next health care crisis?’, International Journal of Older People Nursing, 11(3), pp. 1–8.</w:t>
      </w:r>
    </w:p>
    <w:p w14:paraId="5D92B469" w14:textId="32F36DE2"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Munn, Z., Peters, M.D.J., Stern, C., Tufanaru, C., McArthur, A. and </w:t>
      </w:r>
      <w:proofErr w:type="spellStart"/>
      <w:r w:rsidRPr="0010332A">
        <w:rPr>
          <w:rFonts w:ascii="Arial" w:hAnsi="Arial" w:cs="Arial"/>
          <w:i/>
          <w:iCs/>
          <w:sz w:val="22"/>
          <w:szCs w:val="22"/>
        </w:rPr>
        <w:t>Aromataris</w:t>
      </w:r>
      <w:proofErr w:type="spellEnd"/>
      <w:r w:rsidRPr="0010332A">
        <w:rPr>
          <w:rFonts w:ascii="Arial" w:hAnsi="Arial" w:cs="Arial"/>
          <w:i/>
          <w:iCs/>
          <w:sz w:val="22"/>
          <w:szCs w:val="22"/>
        </w:rPr>
        <w:t>, E. (2018) ‘Systematic review or scoping review? Guidance for authors when choosing between a systematic or scoping review approach, BMC Medical Research Methodology, 18(1), pp. 143–150.</w:t>
      </w:r>
    </w:p>
    <w:p w14:paraId="601FFE8E"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NHS England (2022) The NHS Long Term Plan. London: NHS England.</w:t>
      </w:r>
    </w:p>
    <w:p w14:paraId="46757955"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National Institute for Health and Care Excellence (NICE) (2018) Dementia: Assessment, management and support for people living with dementia and their carers (NG97). London: NICE.</w:t>
      </w:r>
    </w:p>
    <w:p w14:paraId="23BC935D"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Peters, M.D.J., Godfrey, C., McInerney, P., Munn, Z., </w:t>
      </w:r>
      <w:proofErr w:type="spellStart"/>
      <w:r w:rsidRPr="0010332A">
        <w:rPr>
          <w:rFonts w:ascii="Arial" w:hAnsi="Arial" w:cs="Arial"/>
          <w:i/>
          <w:iCs/>
          <w:sz w:val="22"/>
          <w:szCs w:val="22"/>
        </w:rPr>
        <w:t>Tricco</w:t>
      </w:r>
      <w:proofErr w:type="spellEnd"/>
      <w:r w:rsidRPr="0010332A">
        <w:rPr>
          <w:rFonts w:ascii="Arial" w:hAnsi="Arial" w:cs="Arial"/>
          <w:i/>
          <w:iCs/>
          <w:sz w:val="22"/>
          <w:szCs w:val="22"/>
        </w:rPr>
        <w:t xml:space="preserve">, A.C. and Khalil, H. (2020) ‘Chapter 11: Scoping reviews’, in </w:t>
      </w:r>
      <w:proofErr w:type="spellStart"/>
      <w:r w:rsidRPr="0010332A">
        <w:rPr>
          <w:rFonts w:ascii="Arial" w:hAnsi="Arial" w:cs="Arial"/>
          <w:i/>
          <w:iCs/>
          <w:sz w:val="22"/>
          <w:szCs w:val="22"/>
        </w:rPr>
        <w:t>Aromataris</w:t>
      </w:r>
      <w:proofErr w:type="spellEnd"/>
      <w:r w:rsidRPr="0010332A">
        <w:rPr>
          <w:rFonts w:ascii="Arial" w:hAnsi="Arial" w:cs="Arial"/>
          <w:i/>
          <w:iCs/>
          <w:sz w:val="22"/>
          <w:szCs w:val="22"/>
        </w:rPr>
        <w:t>, E. and Munn, Z. (eds.) JBI Manual for Evidence Synthesis. Adelaide: Joanna Briggs Institute.</w:t>
      </w:r>
    </w:p>
    <w:p w14:paraId="146E1654"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Petty, S., Griffiths, A., Brown, M. and Moniz-Cook, E. (2019) ‘Barriers and facilitators to staff providing person-centred care for people with dementia in acute hospital settings’, BMJ Open, 9(4), e025712.</w:t>
      </w:r>
    </w:p>
    <w:p w14:paraId="5E5B4930"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Pinkert, C., Faul, E., Saxer, S., Burgstaller, M. and </w:t>
      </w:r>
      <w:proofErr w:type="spellStart"/>
      <w:r w:rsidRPr="0010332A">
        <w:rPr>
          <w:rFonts w:ascii="Arial" w:hAnsi="Arial" w:cs="Arial"/>
          <w:i/>
          <w:iCs/>
          <w:sz w:val="22"/>
          <w:szCs w:val="22"/>
        </w:rPr>
        <w:t>Kamleitner</w:t>
      </w:r>
      <w:proofErr w:type="spellEnd"/>
      <w:r w:rsidRPr="0010332A">
        <w:rPr>
          <w:rFonts w:ascii="Arial" w:hAnsi="Arial" w:cs="Arial"/>
          <w:i/>
          <w:iCs/>
          <w:sz w:val="22"/>
          <w:szCs w:val="22"/>
        </w:rPr>
        <w:t>, D. (2018) ‘Experiences of nurses with the care of patients with dementia in acute hospitals: A secondary analysis’, BMC Geriatrics, 18(1), pp. 1–10.</w:t>
      </w:r>
    </w:p>
    <w:p w14:paraId="6F13AAE0"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Prince, M., Wimo, A., </w:t>
      </w:r>
      <w:proofErr w:type="spellStart"/>
      <w:r w:rsidRPr="0010332A">
        <w:rPr>
          <w:rFonts w:ascii="Arial" w:hAnsi="Arial" w:cs="Arial"/>
          <w:i/>
          <w:iCs/>
          <w:sz w:val="22"/>
          <w:szCs w:val="22"/>
        </w:rPr>
        <w:t>Guerchet</w:t>
      </w:r>
      <w:proofErr w:type="spellEnd"/>
      <w:r w:rsidRPr="0010332A">
        <w:rPr>
          <w:rFonts w:ascii="Arial" w:hAnsi="Arial" w:cs="Arial"/>
          <w:i/>
          <w:iCs/>
          <w:sz w:val="22"/>
          <w:szCs w:val="22"/>
        </w:rPr>
        <w:t>, M., Ali, G.C., Wu, Y.T. and Prina, M. (2016) World Alzheimer Report 2016. London: Alzheimer’s Disease International.</w:t>
      </w:r>
    </w:p>
    <w:p w14:paraId="608F378D"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Surr, C.A., Gates, C., Irving, D., </w:t>
      </w:r>
      <w:proofErr w:type="spellStart"/>
      <w:r w:rsidRPr="0010332A">
        <w:rPr>
          <w:rFonts w:ascii="Arial" w:hAnsi="Arial" w:cs="Arial"/>
          <w:i/>
          <w:iCs/>
          <w:sz w:val="22"/>
          <w:szCs w:val="22"/>
        </w:rPr>
        <w:t>Oyebode</w:t>
      </w:r>
      <w:proofErr w:type="spellEnd"/>
      <w:r w:rsidRPr="0010332A">
        <w:rPr>
          <w:rFonts w:ascii="Arial" w:hAnsi="Arial" w:cs="Arial"/>
          <w:i/>
          <w:iCs/>
          <w:sz w:val="22"/>
          <w:szCs w:val="22"/>
        </w:rPr>
        <w:t>, J., Smith, S.J., Parveen, S., Drury, M. and Dennison, A. (2017) ‘Effective dementia education and training for the health and social care workforce’, A systematic review, International Journal of Nursing Studies, 75, pp. 59–74.</w:t>
      </w:r>
    </w:p>
    <w:p w14:paraId="715316E1" w14:textId="77777777"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White, N., Griffiths, A. and Bridges, J. (2022) ‘Staff experiences of dementia care in hospital settings: A narrative review’, BMC Health Services Research, 22(1), pp. 1–12.</w:t>
      </w:r>
    </w:p>
    <w:p w14:paraId="1BA19CD8" w14:textId="779D8C5B" w:rsidR="00AF24A7" w:rsidRPr="0010332A" w:rsidRDefault="00AF24A7" w:rsidP="0010332A">
      <w:pPr>
        <w:pStyle w:val="ListParagraph"/>
        <w:numPr>
          <w:ilvl w:val="0"/>
          <w:numId w:val="9"/>
        </w:numPr>
        <w:spacing w:before="240" w:line="360" w:lineRule="auto"/>
        <w:jc w:val="both"/>
        <w:rPr>
          <w:rFonts w:ascii="Arial" w:hAnsi="Arial" w:cs="Arial"/>
          <w:i/>
          <w:iCs/>
          <w:sz w:val="22"/>
          <w:szCs w:val="22"/>
        </w:rPr>
      </w:pPr>
      <w:r w:rsidRPr="0010332A">
        <w:rPr>
          <w:rFonts w:ascii="Arial" w:hAnsi="Arial" w:cs="Arial"/>
          <w:i/>
          <w:iCs/>
          <w:sz w:val="22"/>
          <w:szCs w:val="22"/>
        </w:rPr>
        <w:t xml:space="preserve">World Health </w:t>
      </w:r>
      <w:r w:rsidR="0010332A" w:rsidRPr="0010332A">
        <w:rPr>
          <w:rFonts w:ascii="Arial" w:hAnsi="Arial" w:cs="Arial"/>
          <w:i/>
          <w:iCs/>
          <w:sz w:val="22"/>
          <w:szCs w:val="22"/>
        </w:rPr>
        <w:t>Organisation</w:t>
      </w:r>
      <w:r w:rsidRPr="0010332A">
        <w:rPr>
          <w:rFonts w:ascii="Arial" w:hAnsi="Arial" w:cs="Arial"/>
          <w:i/>
          <w:iCs/>
          <w:sz w:val="22"/>
          <w:szCs w:val="22"/>
        </w:rPr>
        <w:t xml:space="preserve"> (2023) </w:t>
      </w:r>
      <w:hyperlink r:id="rId7" w:history="1">
        <w:r w:rsidR="0010332A" w:rsidRPr="0010332A">
          <w:rPr>
            <w:rStyle w:val="Hyperlink"/>
            <w:rFonts w:ascii="Arial" w:hAnsi="Arial" w:cs="Arial"/>
            <w:i/>
            <w:iCs/>
            <w:sz w:val="22"/>
            <w:szCs w:val="22"/>
          </w:rPr>
          <w:t>Dementia</w:t>
        </w:r>
      </w:hyperlink>
      <w:r w:rsidR="0010332A" w:rsidRPr="0010332A">
        <w:rPr>
          <w:rFonts w:ascii="Arial" w:hAnsi="Arial" w:cs="Arial"/>
          <w:i/>
          <w:iCs/>
          <w:sz w:val="22"/>
          <w:szCs w:val="22"/>
        </w:rPr>
        <w:t xml:space="preserve"> Accessed 19</w:t>
      </w:r>
      <w:r w:rsidR="0010332A" w:rsidRPr="0010332A">
        <w:rPr>
          <w:rFonts w:ascii="Arial" w:hAnsi="Arial" w:cs="Arial"/>
          <w:i/>
          <w:iCs/>
          <w:sz w:val="22"/>
          <w:szCs w:val="22"/>
          <w:vertAlign w:val="superscript"/>
        </w:rPr>
        <w:t>th</w:t>
      </w:r>
      <w:r w:rsidR="0010332A" w:rsidRPr="0010332A">
        <w:rPr>
          <w:rFonts w:ascii="Arial" w:hAnsi="Arial" w:cs="Arial"/>
          <w:i/>
          <w:iCs/>
          <w:sz w:val="22"/>
          <w:szCs w:val="22"/>
        </w:rPr>
        <w:t xml:space="preserve"> March 2026</w:t>
      </w:r>
    </w:p>
    <w:p w14:paraId="2044D217" w14:textId="740F642E" w:rsidR="00AF24A7" w:rsidRPr="001B0320" w:rsidRDefault="00AF24A7" w:rsidP="00E8780D">
      <w:pPr>
        <w:spacing w:line="360" w:lineRule="auto"/>
        <w:jc w:val="both"/>
        <w:rPr>
          <w:rFonts w:ascii="Arial" w:hAnsi="Arial" w:cs="Arial"/>
          <w:i/>
          <w:iCs/>
          <w:sz w:val="22"/>
          <w:szCs w:val="22"/>
        </w:rPr>
      </w:pPr>
    </w:p>
    <w:sectPr w:rsidR="00AF24A7" w:rsidRPr="001B03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78E61" w14:textId="77777777" w:rsidR="006C7E52" w:rsidRDefault="006C7E52" w:rsidP="00F677FE">
      <w:pPr>
        <w:spacing w:after="0" w:line="240" w:lineRule="auto"/>
      </w:pPr>
      <w:r>
        <w:separator/>
      </w:r>
    </w:p>
  </w:endnote>
  <w:endnote w:type="continuationSeparator" w:id="0">
    <w:p w14:paraId="55C040A7" w14:textId="77777777" w:rsidR="006C7E52" w:rsidRDefault="006C7E52" w:rsidP="00F67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096983"/>
      <w:docPartObj>
        <w:docPartGallery w:val="Page Numbers (Bottom of Page)"/>
        <w:docPartUnique/>
      </w:docPartObj>
    </w:sdtPr>
    <w:sdtContent>
      <w:p w14:paraId="1C8B7E04" w14:textId="2F6BC5DD" w:rsidR="00F677FE" w:rsidRDefault="00F677FE">
        <w:pPr>
          <w:pStyle w:val="Footer"/>
          <w:jc w:val="center"/>
        </w:pPr>
        <w:r>
          <w:fldChar w:fldCharType="begin"/>
        </w:r>
        <w:r>
          <w:instrText>PAGE   \* MERGEFORMAT</w:instrText>
        </w:r>
        <w:r>
          <w:fldChar w:fldCharType="separate"/>
        </w:r>
        <w:r>
          <w:t>2</w:t>
        </w:r>
        <w:r>
          <w:fldChar w:fldCharType="end"/>
        </w:r>
      </w:p>
    </w:sdtContent>
  </w:sdt>
  <w:p w14:paraId="05E60726" w14:textId="77777777" w:rsidR="00F677FE" w:rsidRDefault="00F67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70025" w14:textId="77777777" w:rsidR="006C7E52" w:rsidRDefault="006C7E52" w:rsidP="00F677FE">
      <w:pPr>
        <w:spacing w:after="0" w:line="240" w:lineRule="auto"/>
      </w:pPr>
      <w:r>
        <w:separator/>
      </w:r>
    </w:p>
  </w:footnote>
  <w:footnote w:type="continuationSeparator" w:id="0">
    <w:p w14:paraId="05B268E1" w14:textId="77777777" w:rsidR="006C7E52" w:rsidRDefault="006C7E52" w:rsidP="00F677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D5731"/>
    <w:multiLevelType w:val="hybridMultilevel"/>
    <w:tmpl w:val="9A902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F558A"/>
    <w:multiLevelType w:val="hybridMultilevel"/>
    <w:tmpl w:val="9556A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857D4"/>
    <w:multiLevelType w:val="hybridMultilevel"/>
    <w:tmpl w:val="474EE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658FD"/>
    <w:multiLevelType w:val="hybridMultilevel"/>
    <w:tmpl w:val="48EA8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469A4"/>
    <w:multiLevelType w:val="hybridMultilevel"/>
    <w:tmpl w:val="31DE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10EFB"/>
    <w:multiLevelType w:val="hybridMultilevel"/>
    <w:tmpl w:val="C79C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9590F"/>
    <w:multiLevelType w:val="hybridMultilevel"/>
    <w:tmpl w:val="D596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C372D1"/>
    <w:multiLevelType w:val="hybridMultilevel"/>
    <w:tmpl w:val="FE2CA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AA06C3"/>
    <w:multiLevelType w:val="hybridMultilevel"/>
    <w:tmpl w:val="4A1E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877838">
    <w:abstractNumId w:val="2"/>
  </w:num>
  <w:num w:numId="2" w16cid:durableId="166990659">
    <w:abstractNumId w:val="4"/>
  </w:num>
  <w:num w:numId="3" w16cid:durableId="1383989259">
    <w:abstractNumId w:val="6"/>
  </w:num>
  <w:num w:numId="4" w16cid:durableId="264270817">
    <w:abstractNumId w:val="8"/>
  </w:num>
  <w:num w:numId="5" w16cid:durableId="590118410">
    <w:abstractNumId w:val="1"/>
  </w:num>
  <w:num w:numId="6" w16cid:durableId="6029357">
    <w:abstractNumId w:val="7"/>
  </w:num>
  <w:num w:numId="7" w16cid:durableId="2103989520">
    <w:abstractNumId w:val="3"/>
  </w:num>
  <w:num w:numId="8" w16cid:durableId="1214200090">
    <w:abstractNumId w:val="5"/>
  </w:num>
  <w:num w:numId="9" w16cid:durableId="110444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F89"/>
    <w:rsid w:val="000C572C"/>
    <w:rsid w:val="0010332A"/>
    <w:rsid w:val="00111CB6"/>
    <w:rsid w:val="001B0320"/>
    <w:rsid w:val="001B2C38"/>
    <w:rsid w:val="002C57A2"/>
    <w:rsid w:val="002F4D7E"/>
    <w:rsid w:val="003F7AF0"/>
    <w:rsid w:val="004643DD"/>
    <w:rsid w:val="00522171"/>
    <w:rsid w:val="00537B40"/>
    <w:rsid w:val="00597451"/>
    <w:rsid w:val="006325C0"/>
    <w:rsid w:val="006C7E52"/>
    <w:rsid w:val="00735BE3"/>
    <w:rsid w:val="0083278E"/>
    <w:rsid w:val="008A3849"/>
    <w:rsid w:val="008C3DB5"/>
    <w:rsid w:val="0095672C"/>
    <w:rsid w:val="009A7E64"/>
    <w:rsid w:val="00AF24A7"/>
    <w:rsid w:val="00B13F89"/>
    <w:rsid w:val="00B54A05"/>
    <w:rsid w:val="00B61857"/>
    <w:rsid w:val="00B669E5"/>
    <w:rsid w:val="00BA667B"/>
    <w:rsid w:val="00BB5BD7"/>
    <w:rsid w:val="00C032BB"/>
    <w:rsid w:val="00D04F39"/>
    <w:rsid w:val="00D33D33"/>
    <w:rsid w:val="00D35371"/>
    <w:rsid w:val="00D46C7B"/>
    <w:rsid w:val="00D64A41"/>
    <w:rsid w:val="00DB2470"/>
    <w:rsid w:val="00E652BF"/>
    <w:rsid w:val="00E8780D"/>
    <w:rsid w:val="00EA3265"/>
    <w:rsid w:val="00F400E9"/>
    <w:rsid w:val="00F677FE"/>
    <w:rsid w:val="00FF3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657F6"/>
  <w15:chartTrackingRefBased/>
  <w15:docId w15:val="{B85527B6-E232-480D-A40F-351A1518E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3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3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F89"/>
    <w:rPr>
      <w:rFonts w:eastAsiaTheme="majorEastAsia" w:cstheme="majorBidi"/>
      <w:color w:val="272727" w:themeColor="text1" w:themeTint="D8"/>
    </w:rPr>
  </w:style>
  <w:style w:type="paragraph" w:styleId="Title">
    <w:name w:val="Title"/>
    <w:basedOn w:val="Normal"/>
    <w:next w:val="Normal"/>
    <w:link w:val="TitleChar"/>
    <w:uiPriority w:val="10"/>
    <w:qFormat/>
    <w:rsid w:val="00B13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F89"/>
    <w:pPr>
      <w:spacing w:before="160"/>
      <w:jc w:val="center"/>
    </w:pPr>
    <w:rPr>
      <w:i/>
      <w:iCs/>
      <w:color w:val="404040" w:themeColor="text1" w:themeTint="BF"/>
    </w:rPr>
  </w:style>
  <w:style w:type="character" w:customStyle="1" w:styleId="QuoteChar">
    <w:name w:val="Quote Char"/>
    <w:basedOn w:val="DefaultParagraphFont"/>
    <w:link w:val="Quote"/>
    <w:uiPriority w:val="29"/>
    <w:rsid w:val="00B13F89"/>
    <w:rPr>
      <w:i/>
      <w:iCs/>
      <w:color w:val="404040" w:themeColor="text1" w:themeTint="BF"/>
    </w:rPr>
  </w:style>
  <w:style w:type="paragraph" w:styleId="ListParagraph">
    <w:name w:val="List Paragraph"/>
    <w:basedOn w:val="Normal"/>
    <w:uiPriority w:val="34"/>
    <w:qFormat/>
    <w:rsid w:val="00B13F89"/>
    <w:pPr>
      <w:ind w:left="720"/>
      <w:contextualSpacing/>
    </w:pPr>
  </w:style>
  <w:style w:type="character" w:styleId="IntenseEmphasis">
    <w:name w:val="Intense Emphasis"/>
    <w:basedOn w:val="DefaultParagraphFont"/>
    <w:uiPriority w:val="21"/>
    <w:qFormat/>
    <w:rsid w:val="00B13F89"/>
    <w:rPr>
      <w:i/>
      <w:iCs/>
      <w:color w:val="0F4761" w:themeColor="accent1" w:themeShade="BF"/>
    </w:rPr>
  </w:style>
  <w:style w:type="paragraph" w:styleId="IntenseQuote">
    <w:name w:val="Intense Quote"/>
    <w:basedOn w:val="Normal"/>
    <w:next w:val="Normal"/>
    <w:link w:val="IntenseQuoteChar"/>
    <w:uiPriority w:val="30"/>
    <w:qFormat/>
    <w:rsid w:val="00B13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F89"/>
    <w:rPr>
      <w:i/>
      <w:iCs/>
      <w:color w:val="0F4761" w:themeColor="accent1" w:themeShade="BF"/>
    </w:rPr>
  </w:style>
  <w:style w:type="character" w:styleId="IntenseReference">
    <w:name w:val="Intense Reference"/>
    <w:basedOn w:val="DefaultParagraphFont"/>
    <w:uiPriority w:val="32"/>
    <w:qFormat/>
    <w:rsid w:val="00B13F89"/>
    <w:rPr>
      <w:b/>
      <w:bCs/>
      <w:smallCaps/>
      <w:color w:val="0F4761" w:themeColor="accent1" w:themeShade="BF"/>
      <w:spacing w:val="5"/>
    </w:rPr>
  </w:style>
  <w:style w:type="table" w:styleId="TableGrid">
    <w:name w:val="Table Grid"/>
    <w:basedOn w:val="TableNormal"/>
    <w:uiPriority w:val="39"/>
    <w:rsid w:val="00AF24A7"/>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332A"/>
    <w:rPr>
      <w:color w:val="467886" w:themeColor="hyperlink"/>
      <w:u w:val="single"/>
    </w:rPr>
  </w:style>
  <w:style w:type="character" w:styleId="UnresolvedMention">
    <w:name w:val="Unresolved Mention"/>
    <w:basedOn w:val="DefaultParagraphFont"/>
    <w:uiPriority w:val="99"/>
    <w:semiHidden/>
    <w:unhideWhenUsed/>
    <w:rsid w:val="0010332A"/>
    <w:rPr>
      <w:color w:val="605E5C"/>
      <w:shd w:val="clear" w:color="auto" w:fill="E1DFDD"/>
    </w:rPr>
  </w:style>
  <w:style w:type="paragraph" w:styleId="Header">
    <w:name w:val="header"/>
    <w:basedOn w:val="Normal"/>
    <w:link w:val="HeaderChar"/>
    <w:uiPriority w:val="99"/>
    <w:unhideWhenUsed/>
    <w:rsid w:val="00F67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7FE"/>
  </w:style>
  <w:style w:type="paragraph" w:styleId="Footer">
    <w:name w:val="footer"/>
    <w:basedOn w:val="Normal"/>
    <w:link w:val="FooterChar"/>
    <w:uiPriority w:val="99"/>
    <w:unhideWhenUsed/>
    <w:rsid w:val="00F67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news-room/fact-sheets/detail/dement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465</TotalTime>
  <Pages>1</Pages>
  <Words>4856</Words>
  <Characters>27682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Ehis Tessy Masadey (2244813)</dc:creator>
  <cp:keywords/>
  <dc:description/>
  <cp:lastModifiedBy>Ehis Tessy Masadey (2244813)</cp:lastModifiedBy>
  <cp:revision>6</cp:revision>
  <dcterms:created xsi:type="dcterms:W3CDTF">2026-03-13T17:54:00Z</dcterms:created>
  <dcterms:modified xsi:type="dcterms:W3CDTF">2026-03-25T13:13:00Z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80a35103-fcee-4e91-b08c-1121054b1952</vt:lpwstr>
  </property>
</Properties>
</file>