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9DCE" w14:textId="7A30D6D2" w:rsidR="56F0CE86" w:rsidRDefault="56F0CE86" w:rsidP="56F0CE86">
      <w:pPr>
        <w:spacing w:line="480" w:lineRule="auto"/>
        <w:ind w:right="720"/>
        <w:jc w:val="center"/>
        <w:rPr>
          <w:rFonts w:ascii="Times New Roman" w:eastAsia="Times New Roman" w:hAnsi="Times New Roman" w:cs="Times New Roman"/>
          <w:b/>
          <w:bCs/>
        </w:rPr>
      </w:pPr>
    </w:p>
    <w:p w14:paraId="7F7BC5C1" w14:textId="1B656364" w:rsidR="56F0CE86" w:rsidRDefault="56F0CE86" w:rsidP="56F0CE86">
      <w:pPr>
        <w:spacing w:line="480" w:lineRule="auto"/>
        <w:ind w:right="720"/>
        <w:jc w:val="center"/>
        <w:rPr>
          <w:rFonts w:ascii="Times New Roman" w:eastAsia="Times New Roman" w:hAnsi="Times New Roman" w:cs="Times New Roman"/>
          <w:b/>
          <w:bCs/>
        </w:rPr>
      </w:pPr>
    </w:p>
    <w:p w14:paraId="0C6532B6" w14:textId="3763B22B" w:rsidR="56F0CE86" w:rsidRDefault="56F0CE86" w:rsidP="56F0CE86">
      <w:pPr>
        <w:spacing w:line="480" w:lineRule="auto"/>
        <w:ind w:right="720"/>
        <w:jc w:val="center"/>
        <w:rPr>
          <w:rFonts w:ascii="Times New Roman" w:eastAsia="Times New Roman" w:hAnsi="Times New Roman" w:cs="Times New Roman"/>
          <w:b/>
          <w:bCs/>
        </w:rPr>
      </w:pPr>
    </w:p>
    <w:p w14:paraId="4F1200B8" w14:textId="53FB0992" w:rsidR="56F0CE86" w:rsidRDefault="56F0CE86" w:rsidP="56F0CE86">
      <w:pPr>
        <w:spacing w:line="480" w:lineRule="auto"/>
        <w:ind w:right="720"/>
        <w:jc w:val="center"/>
        <w:rPr>
          <w:rFonts w:ascii="Times New Roman" w:eastAsia="Times New Roman" w:hAnsi="Times New Roman" w:cs="Times New Roman"/>
          <w:b/>
          <w:bCs/>
        </w:rPr>
      </w:pPr>
    </w:p>
    <w:p w14:paraId="2C078E63" w14:textId="782A5A29" w:rsidR="00643D4C" w:rsidRDefault="001C149D" w:rsidP="56F0CE86">
      <w:pPr>
        <w:spacing w:line="480" w:lineRule="auto"/>
        <w:ind w:right="720"/>
        <w:jc w:val="center"/>
        <w:rPr>
          <w:rFonts w:ascii="Times New Roman" w:eastAsia="Times New Roman" w:hAnsi="Times New Roman" w:cs="Times New Roman"/>
          <w:b/>
          <w:bCs/>
        </w:rPr>
      </w:pPr>
      <w:r w:rsidRPr="56F0CE86">
        <w:rPr>
          <w:rFonts w:ascii="Times New Roman" w:eastAsia="Times New Roman" w:hAnsi="Times New Roman" w:cs="Times New Roman"/>
          <w:b/>
          <w:bCs/>
        </w:rPr>
        <w:t>FINANCIAL MANAGEMENT IN THE HOTEL INDUSTRY</w:t>
      </w:r>
    </w:p>
    <w:p w14:paraId="46877CFF" w14:textId="56D30D30" w:rsidR="00F57B9C" w:rsidRDefault="001C149D" w:rsidP="00492424">
      <w:pPr>
        <w:spacing w:line="480" w:lineRule="auto"/>
        <w:ind w:right="720"/>
        <w:jc w:val="center"/>
        <w:rPr>
          <w:rFonts w:ascii="Times New Roman" w:eastAsia="Times New Roman" w:hAnsi="Times New Roman" w:cs="Times New Roman"/>
        </w:rPr>
      </w:pPr>
      <w:r w:rsidRPr="56F0CE86">
        <w:rPr>
          <w:rFonts w:ascii="Times New Roman" w:eastAsia="Times New Roman" w:hAnsi="Times New Roman" w:cs="Times New Roman"/>
        </w:rPr>
        <w:t>By (</w:t>
      </w:r>
      <w:r w:rsidR="00F57B9C">
        <w:rPr>
          <w:rFonts w:ascii="Times New Roman" w:eastAsia="Times New Roman" w:hAnsi="Times New Roman" w:cs="Times New Roman"/>
        </w:rPr>
        <w:t>Yusirat Bolanle Oroleye</w:t>
      </w:r>
      <w:r w:rsidRPr="56F0CE86">
        <w:rPr>
          <w:rFonts w:ascii="Times New Roman" w:eastAsia="Times New Roman" w:hAnsi="Times New Roman" w:cs="Times New Roman"/>
        </w:rPr>
        <w:t>)</w:t>
      </w:r>
    </w:p>
    <w:p w14:paraId="1E8598F8" w14:textId="7FC0C73F" w:rsidR="00F57B9C" w:rsidRPr="00F57B9C" w:rsidRDefault="00F57B9C" w:rsidP="00492424">
      <w:pPr>
        <w:spacing w:line="480" w:lineRule="auto"/>
        <w:ind w:right="720"/>
        <w:jc w:val="center"/>
        <w:rPr>
          <w:rFonts w:ascii="Times New Roman" w:eastAsia="Times New Roman" w:hAnsi="Times New Roman" w:cs="Times New Roman"/>
        </w:rPr>
      </w:pPr>
      <w:r>
        <w:rPr>
          <w:rFonts w:ascii="Times New Roman" w:eastAsia="Times New Roman" w:hAnsi="Times New Roman" w:cs="Times New Roman"/>
        </w:rPr>
        <w:t>Student Number: 2207280</w:t>
      </w:r>
    </w:p>
    <w:p w14:paraId="371825DA" w14:textId="2B519836" w:rsidR="56F0CE86" w:rsidRDefault="00F57B9C" w:rsidP="00492424">
      <w:pPr>
        <w:spacing w:line="480" w:lineRule="auto"/>
        <w:ind w:right="720"/>
        <w:jc w:val="center"/>
        <w:rPr>
          <w:rFonts w:ascii="Times New Roman" w:eastAsia="Times New Roman" w:hAnsi="Times New Roman" w:cs="Times New Roman"/>
        </w:rPr>
      </w:pPr>
      <w:r>
        <w:rPr>
          <w:rFonts w:ascii="Times New Roman" w:eastAsia="Times New Roman" w:hAnsi="Times New Roman" w:cs="Times New Roman"/>
        </w:rPr>
        <w:t>Course Number</w:t>
      </w:r>
      <w:r w:rsidR="00492424">
        <w:rPr>
          <w:rFonts w:ascii="Times New Roman" w:eastAsia="Times New Roman" w:hAnsi="Times New Roman" w:cs="Times New Roman"/>
        </w:rPr>
        <w:t>:(BMIH5007)</w:t>
      </w:r>
    </w:p>
    <w:p w14:paraId="293520C0" w14:textId="36357A43" w:rsidR="1612D7F8" w:rsidRDefault="00F57B9C" w:rsidP="00492424">
      <w:pPr>
        <w:spacing w:line="480" w:lineRule="auto"/>
        <w:ind w:right="720"/>
        <w:jc w:val="center"/>
        <w:rPr>
          <w:rFonts w:ascii="Times New Roman" w:eastAsia="Times New Roman" w:hAnsi="Times New Roman" w:cs="Times New Roman"/>
        </w:rPr>
      </w:pPr>
      <w:r>
        <w:rPr>
          <w:rFonts w:ascii="Times New Roman" w:eastAsia="Times New Roman" w:hAnsi="Times New Roman" w:cs="Times New Roman"/>
        </w:rPr>
        <w:t>Group E</w:t>
      </w:r>
    </w:p>
    <w:p w14:paraId="3BF3521A" w14:textId="5DB97723" w:rsidR="56F0CE86" w:rsidRDefault="00F57B9C" w:rsidP="00492424">
      <w:pPr>
        <w:spacing w:line="480" w:lineRule="auto"/>
        <w:ind w:right="720"/>
        <w:jc w:val="center"/>
        <w:rPr>
          <w:rFonts w:ascii="Times New Roman" w:eastAsia="Times New Roman" w:hAnsi="Times New Roman" w:cs="Times New Roman"/>
        </w:rPr>
      </w:pPr>
      <w:r>
        <w:rPr>
          <w:rFonts w:ascii="Times New Roman" w:eastAsia="Times New Roman" w:hAnsi="Times New Roman" w:cs="Times New Roman"/>
        </w:rPr>
        <w:t>Lecturer Name: Jaliya De Si</w:t>
      </w:r>
      <w:r w:rsidR="00492424">
        <w:rPr>
          <w:rFonts w:ascii="Times New Roman" w:eastAsia="Times New Roman" w:hAnsi="Times New Roman" w:cs="Times New Roman"/>
        </w:rPr>
        <w:t>lva</w:t>
      </w:r>
      <w:r w:rsidR="001C149D" w:rsidRPr="56F0CE86">
        <w:rPr>
          <w:rFonts w:ascii="Times New Roman" w:eastAsia="Times New Roman" w:hAnsi="Times New Roman" w:cs="Times New Roman"/>
        </w:rPr>
        <w:br w:type="page"/>
      </w:r>
      <w:r w:rsidR="00492424">
        <w:rPr>
          <w:rFonts w:ascii="Times New Roman" w:eastAsia="Times New Roman" w:hAnsi="Times New Roman" w:cs="Times New Roman"/>
        </w:rPr>
        <w:t xml:space="preserve">  30/01/2024</w:t>
      </w:r>
    </w:p>
    <w:p w14:paraId="49EA1EC6" w14:textId="77777777" w:rsidR="00AC1CE6" w:rsidRDefault="00AC1CE6" w:rsidP="56F0CE86">
      <w:pPr>
        <w:spacing w:after="0" w:line="480" w:lineRule="auto"/>
        <w:jc w:val="center"/>
        <w:rPr>
          <w:rFonts w:ascii="Times New Roman" w:eastAsia="Times New Roman" w:hAnsi="Times New Roman" w:cs="Times New Roman"/>
          <w:b/>
          <w:bCs/>
          <w:color w:val="0E101A"/>
        </w:rPr>
      </w:pPr>
    </w:p>
    <w:p w14:paraId="0C3B3747" w14:textId="77777777" w:rsidR="00AC1CE6" w:rsidRDefault="00AC1CE6" w:rsidP="56F0CE86">
      <w:pPr>
        <w:spacing w:after="0" w:line="480" w:lineRule="auto"/>
        <w:jc w:val="center"/>
        <w:rPr>
          <w:rFonts w:ascii="Times New Roman" w:eastAsia="Times New Roman" w:hAnsi="Times New Roman" w:cs="Times New Roman"/>
          <w:b/>
          <w:bCs/>
          <w:color w:val="0E101A"/>
        </w:rPr>
      </w:pPr>
    </w:p>
    <w:p w14:paraId="6C59C366" w14:textId="35AB6B2C" w:rsidR="2005CB9B" w:rsidRPr="00AC1CE6" w:rsidRDefault="001C149D" w:rsidP="56F0CE86">
      <w:pPr>
        <w:spacing w:after="0" w:line="480" w:lineRule="auto"/>
        <w:jc w:val="center"/>
        <w:rPr>
          <w:rFonts w:ascii="Times New Roman" w:eastAsia="Times New Roman" w:hAnsi="Times New Roman" w:cs="Times New Roman"/>
          <w:b/>
          <w:bCs/>
          <w:color w:val="0E101A"/>
          <w:sz w:val="32"/>
          <w:szCs w:val="32"/>
        </w:rPr>
      </w:pPr>
      <w:r w:rsidRPr="00AC1CE6">
        <w:rPr>
          <w:rFonts w:ascii="Times New Roman" w:eastAsia="Times New Roman" w:hAnsi="Times New Roman" w:cs="Times New Roman"/>
          <w:b/>
          <w:bCs/>
          <w:color w:val="0E101A"/>
          <w:sz w:val="32"/>
          <w:szCs w:val="32"/>
        </w:rPr>
        <w:t>Financial Management in the Hotel Industry</w:t>
      </w:r>
    </w:p>
    <w:p w14:paraId="0EE8A2CB" w14:textId="1BD0388D"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For a long time, the hotel industry in the United Kingdom (UK) has been one of the most competitive industries for luxury and budget brands across the country. To remain competitive in the industry, hotel brands have been employing various financial management techniques in the market while other hotels simply exit the market when they cannot catch up. Among the few hotel brands across the UK that have managed to remain competitive and operational due to their creative financial management practices are Corinthia Hotels and Ibis Hotels. Although the two hotel brands are based in different countries, Corinthia and Ibis hotels are recognized for their </w:t>
      </w:r>
      <w:r w:rsidR="00291EE8" w:rsidRPr="56F0CE86">
        <w:rPr>
          <w:rFonts w:ascii="Times New Roman" w:eastAsia="Times New Roman" w:hAnsi="Times New Roman" w:cs="Times New Roman"/>
          <w:color w:val="0E101A"/>
        </w:rPr>
        <w:t>exceptional</w:t>
      </w:r>
      <w:r w:rsidRPr="56F0CE86">
        <w:rPr>
          <w:rFonts w:ascii="Times New Roman" w:eastAsia="Times New Roman" w:hAnsi="Times New Roman" w:cs="Times New Roman"/>
          <w:color w:val="0E101A"/>
        </w:rPr>
        <w:t xml:space="preserve"> branding and effective financial management practices in the hospitality industry. This paper will provide a comprehensive financial management analysis and appraisal for both Corinthia hotels and Ibis hotels within the UK by focusing on their revenue, market position, growth potential and financial commitment to CSR.  </w:t>
      </w:r>
    </w:p>
    <w:p w14:paraId="0D97B86D" w14:textId="0DB10C9F"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Total Revenue Analysis</w:t>
      </w:r>
      <w:r w:rsidRPr="56F0CE86">
        <w:rPr>
          <w:rFonts w:ascii="Times New Roman" w:eastAsia="Times New Roman" w:hAnsi="Times New Roman" w:cs="Times New Roman"/>
          <w:color w:val="0E101A"/>
        </w:rPr>
        <w:t xml:space="preserve"> </w:t>
      </w:r>
    </w:p>
    <w:p w14:paraId="232AA43B" w14:textId="7634CCE6"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Despite many challenges from increased inflation to high energy costs, Corinthia hotels performed relatively well in the 2022-2023 financial period across Europe, especially in the UK. According to the hotel's 2022 financial report, Corinthia Hotels generated a total of €238.2 million in revenue with 95 per cent of the revenue coming from the increased hotels segment (Corinthia Hotel Group, 2022). According to financial reports, Ibis Hotels performed relatively well in the 2022 financial year under the Accor parent company compared to Corinthia Hotels. With revenue of more than €4 billion and €23 billion in business volume across its hotels, Ibis Hotels surpassed its expectations despite being a budget hotel under Accor (Accor, 2022).  </w:t>
      </w:r>
    </w:p>
    <w:p w14:paraId="0BD0DE63" w14:textId="33DA6536"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As the British hotel industry becomes extremely competitive, with new emerging brands coming up every year, the Corinthia hotel brand has focused its revenue source on luxury across its UK hotel operations. With a gross operating profit of €18.5 million in the UK alone, Corinthia hotel group have enjoyed a strong reputation as a luxury brand synonymous with British customers (Cocks, 2022). However, compared with its rival Ibis hotels, the budget hotel's source of revenue mainly comes from Ibis' brand recognition as an economy hotel brand for British travellers and tourists. Ibis Hotels enjoys brand awareness of 79 per cent in the UK hotel industry compared to other hotel brands nationwide (Kunst, 2023). This makes Ibis' brand awareness a major source of its revenue, especially among low-income travellers and tourists across Britain.  </w:t>
      </w:r>
    </w:p>
    <w:p w14:paraId="5A3D5DA8" w14:textId="62241A1A"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Market Position</w:t>
      </w:r>
      <w:r w:rsidRPr="56F0CE86">
        <w:rPr>
          <w:rFonts w:ascii="Times New Roman" w:eastAsia="Times New Roman" w:hAnsi="Times New Roman" w:cs="Times New Roman"/>
          <w:color w:val="0E101A"/>
        </w:rPr>
        <w:t xml:space="preserve"> </w:t>
      </w:r>
    </w:p>
    <w:p w14:paraId="054764FA" w14:textId="42B05058"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In financial management practices, the market positioning strategy of a company within a particular market depends on the operating environment of the company at the end of the day. This means that for a company to adopt a specific positioning strategy, the competitive forces influencing the operating environment of the company must be determined first (Wernke, Jungles and Barros, 2020). Therefore, the strategic positioning of Corinthia Hotel and Ibis Hotel depends on the brand's market share, consumer segment, and brand awareness. These aspects of the brands make up the competitive forces that eventually influence the brands' market position in the industry in the long run. Consequently, assessing these competitive forces or factors in detail will provide a comprehensive outlook on the competitive nature of the brands against each other within the industry at the end of the period.  </w:t>
      </w:r>
    </w:p>
    <w:p w14:paraId="019A47B7" w14:textId="5EB632BE"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In terms of market share, Corinthia London hotels attracted more luxury-oriented consumers compared to Ibis hotels, which attracted more budget-friendly consumers. With over 225 rooms, 51 suites and 7 penthouses in some of the Corinthia hotels, Corinthia attracted more celebrities who were focused on meeting Tom Kerridge, and other Michelin-star Chefs across the hotels (Forbes, 2019). On the other hand, Ibis hotels were more centred on serving hotel operations that serve middle-to-low-class citizens across the United Kingdom, making the Ibis hotels more popular among British travellers and tourists across the United Kingdom. Corinthia hotels were a bit expensive since they operated as luxury hotels, thereby making it extremely expensive for middle-income consumers to operate within their budget in such hotels. </w:t>
      </w:r>
    </w:p>
    <w:p w14:paraId="4526EEC1" w14:textId="3A6F7052" w:rsidR="56F0CE86" w:rsidRDefault="56F0CE86" w:rsidP="56F0CE86">
      <w:pPr>
        <w:spacing w:after="0" w:line="480" w:lineRule="auto"/>
        <w:rPr>
          <w:rFonts w:ascii="Times New Roman" w:eastAsia="Times New Roman" w:hAnsi="Times New Roman" w:cs="Times New Roman"/>
          <w:color w:val="0E101A"/>
        </w:rPr>
      </w:pPr>
    </w:p>
    <w:p w14:paraId="5B66324B" w14:textId="11DE9464"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Compared to Corinthia London hotels, Ibis hotels were designed to be low-budget economy hotels, which focused on offering low-priced rooms and accommodations for short-term travellers. This enhanced Ibis' brand awareness due to the positive consumer perception among middle-to-low-income consumers (Kunst, 2023). On the other hand, the Corinthia hotel group, especially those located in London, centred their brand positioning on appealing to high-income consumers across the United Kingdom. According to an article by Park (2023), Corinthia hotels were so popular among the rich clientele in Britain that the hotel would serve 100 different guests with 100 different expectations. Therefore, looking at the customer base of Corinthia Hotel Group and Ibis Hotels, the competitive forces such as market share, consumer demographics, and brand perception significantly influenced the positioning strategy of both hotel brands in the United Kingdom quite differently. Corinthia Hotel was more focused on a differentiation strategy, while Ibis' budget-friendly accommodation was more geared toward price leadership positioning strategy. </w:t>
      </w:r>
    </w:p>
    <w:p w14:paraId="7F449D1A" w14:textId="044E051C"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Growth Potential</w:t>
      </w:r>
      <w:r w:rsidRPr="56F0CE86">
        <w:rPr>
          <w:rFonts w:ascii="Times New Roman" w:eastAsia="Times New Roman" w:hAnsi="Times New Roman" w:cs="Times New Roman"/>
          <w:color w:val="0E101A"/>
        </w:rPr>
        <w:t xml:space="preserve"> </w:t>
      </w:r>
    </w:p>
    <w:p w14:paraId="0EBE47E5" w14:textId="04BEC1D3"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In financial management, gaining an advantage in a relatively competitive environment such as the hospitality sector can be a significant challenge for many organizations. However, growth has been focused on expanding its portfolio across the United Kingdom and other European markets for the past 60 years for a brand like Corinthia Hotel Group. Although Corinthia Hotel Group is already famous across the United Kingdom, the hotel brand has been focused on international expansion from the Middle East to Eastern Europe in countries like Dubai and Russia (Gollan, 2020). Therefore, for a brand like Corinthia Hotel Group, expansion is more outward than within the UK since the hotel brand has already exhausted most of the British market.  </w:t>
      </w:r>
    </w:p>
    <w:p w14:paraId="17760822" w14:textId="19958358"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On the other hand, Ibis Hotels has also been focused on growing its portfolio by shifting from standard international hotels to relatively affordable luxury hotels across the United Kingdom. The shift from standard hotels to star-category hotels that meet international standards is meant to provide luxury experiences at affordable prices for low and middle-income customers. In Burton-Upon-Trent, United Kingdom, Ibis Styles Hotel is under construction with an expectation of more than 81 luxury rooms. It is forecast to be complete by the second half of 2024 (Accor, 2023). Therefore, despite providing economy-class hotel rooms, Ibis' growth is geared towards outperforming luxury brands like Corinthia Hotel Group. This gives Ibis a competitive edge over Corinthia, considering the large market share and cost leadership strategy of the budget economy hotel brand. In financial management practices, cost leadership strategy is easy to implement and quite advantageous compared to differentiation strategy because organizations can adopt similar product or service features to their competitors and still sell at a lower price (Ali and Anwar, 2021).  </w:t>
      </w:r>
    </w:p>
    <w:p w14:paraId="3EFB08B2" w14:textId="657003E8"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Alternatively, the United Kingdom is facing a lot of economic issues </w:t>
      </w:r>
      <w:proofErr w:type="gramStart"/>
      <w:r w:rsidRPr="56F0CE86">
        <w:rPr>
          <w:rFonts w:ascii="Times New Roman" w:eastAsia="Times New Roman" w:hAnsi="Times New Roman" w:cs="Times New Roman"/>
          <w:color w:val="0E101A"/>
        </w:rPr>
        <w:t>as a result of</w:t>
      </w:r>
      <w:proofErr w:type="gramEnd"/>
      <w:r w:rsidRPr="56F0CE86">
        <w:rPr>
          <w:rFonts w:ascii="Times New Roman" w:eastAsia="Times New Roman" w:hAnsi="Times New Roman" w:cs="Times New Roman"/>
          <w:color w:val="0E101A"/>
        </w:rPr>
        <w:t xml:space="preserve"> Brexit, the post-pandemic, inflation, and high energy costs. This myriad of issues facing the economy will likely become a barrier to the economic growth of Corinthia Hotel Group and Ibis Hotels. For instance, the United Kingdom relies heavily on gas supplies, which account for the most share of energy in the country compared to other European countries (International Hotel Investments plc, 2022). The high energy cost in the United Kingdom will likely affect Corinthia Hotel Group's and Ibis hotels' growth potential due to higher cost of living on household income. Any increased cost of living due to high energy costs will likely cut profit for both hotels, thereby reducing their competitive advantage.  </w:t>
      </w:r>
    </w:p>
    <w:p w14:paraId="65705E19" w14:textId="5F9A42C2"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Financial Commitment to Corporate Social Responsibility</w:t>
      </w:r>
      <w:r w:rsidRPr="56F0CE86">
        <w:rPr>
          <w:rFonts w:ascii="Times New Roman" w:eastAsia="Times New Roman" w:hAnsi="Times New Roman" w:cs="Times New Roman"/>
          <w:color w:val="0E101A"/>
        </w:rPr>
        <w:t xml:space="preserve"> </w:t>
      </w:r>
    </w:p>
    <w:p w14:paraId="36B0ADD1" w14:textId="040DADF2"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In the age of climate change and global warming, corporate social responsibility is becoming an important subject matter for both non-profit and for-profit organizations. The hotel industry, especially in the UK, is one sector that contributes significantly to the effects of climate change and requires a proper financial commitment to corporate social responsibility to mitigate against it. The UK's food service and accommodation industry produced at least 48.75 kilograms of carbon dioxide per capita in 2019 alone (Statista, 2021). This is enough to exacerbate global warming effects in the long term. As businesses integrate social and environmental issues into their daily operations and interact with their stakeholders voluntarily, social corporate responsibility plays an important role in elevating these social and environmental concerns (Akbari et al., 2021). </w:t>
      </w:r>
    </w:p>
    <w:p w14:paraId="24B24144" w14:textId="62672EF5"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For an entity like Corinthia Hotel Group, its corporate social responsibility investment lies in its ability to curb high energy costs that have been significantly derailing most of its operations across the United Kingdom and other regions. Corinthia Hotel Group have invested heavily in energy efficiency and waste reduction initiatives from renewable energy systems, energy data collection, energy monitoring and analysis, and water and waste conservation programs as part of its corporate social responsibility in the United Kingdom (Corinthia Hotel Group, 2022). Corinthia Hotel Group have also invested heavily in employee wellbeing programs across its hotel operations to ensure a conducive work environment for its employees and comply with employment regulations mandated by UK laws.  </w:t>
      </w:r>
    </w:p>
    <w:p w14:paraId="12147CDD" w14:textId="39DB43D4"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On the other hand, when it comes to financial commitment to corporate social responsibility, Ibis Hotels has significantly invested in environmental sustainability. As part of its financial management practices, Ibis has focused its corporate social responsibility goals on protecting the environment through toxic waste reduction and providing a conducive work environment for one of its key stakeholders, the hotel's employees. According to the 2022 financial report by Accor (2022), Ibis under its parent company, Accor, has not only managed to eliminate single-use plastic in 80 per cent of its hotels, but the hotel brand also places significant investment in empowering its more than 290,000 employees through effective recruitment, </w:t>
      </w:r>
      <w:proofErr w:type="gramStart"/>
      <w:r w:rsidRPr="56F0CE86">
        <w:rPr>
          <w:rFonts w:ascii="Times New Roman" w:eastAsia="Times New Roman" w:hAnsi="Times New Roman" w:cs="Times New Roman"/>
          <w:color w:val="0E101A"/>
        </w:rPr>
        <w:t>development</w:t>
      </w:r>
      <w:proofErr w:type="gramEnd"/>
      <w:r w:rsidRPr="56F0CE86">
        <w:rPr>
          <w:rFonts w:ascii="Times New Roman" w:eastAsia="Times New Roman" w:hAnsi="Times New Roman" w:cs="Times New Roman"/>
          <w:color w:val="0E101A"/>
        </w:rPr>
        <w:t xml:space="preserve"> and training programs. Ibis Hotels' corporate social responsibility initiative and financial commitment to reducing single-plastic use across most of its hotels are positive signs towards sustainability and ethical business practices. Despite being a budget hotel brand across the UK and other regions, Ibis Hotel's commitment to recruitment, </w:t>
      </w:r>
      <w:proofErr w:type="gramStart"/>
      <w:r w:rsidRPr="56F0CE86">
        <w:rPr>
          <w:rFonts w:ascii="Times New Roman" w:eastAsia="Times New Roman" w:hAnsi="Times New Roman" w:cs="Times New Roman"/>
          <w:color w:val="0E101A"/>
        </w:rPr>
        <w:t>development</w:t>
      </w:r>
      <w:proofErr w:type="gramEnd"/>
      <w:r w:rsidRPr="56F0CE86">
        <w:rPr>
          <w:rFonts w:ascii="Times New Roman" w:eastAsia="Times New Roman" w:hAnsi="Times New Roman" w:cs="Times New Roman"/>
          <w:color w:val="0E101A"/>
        </w:rPr>
        <w:t xml:space="preserve"> and training of its employees on empowerment and better working conditions is also a positive sign towards community engagement in the long run.  </w:t>
      </w:r>
    </w:p>
    <w:p w14:paraId="451673CC" w14:textId="03412B66"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Recommendations</w:t>
      </w:r>
      <w:r w:rsidRPr="56F0CE86">
        <w:rPr>
          <w:rFonts w:ascii="Times New Roman" w:eastAsia="Times New Roman" w:hAnsi="Times New Roman" w:cs="Times New Roman"/>
          <w:color w:val="0E101A"/>
        </w:rPr>
        <w:t xml:space="preserve"> </w:t>
      </w:r>
    </w:p>
    <w:p w14:paraId="43AFE397" w14:textId="763FB05E"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When considering the growth potential, brand perception, and corporate social responsibility of both Corinthia Hotel Group and Ibis Hotels, Corinthia Hotel Group is significantly </w:t>
      </w:r>
      <w:proofErr w:type="gramStart"/>
      <w:r w:rsidRPr="56F0CE86">
        <w:rPr>
          <w:rFonts w:ascii="Times New Roman" w:eastAsia="Times New Roman" w:hAnsi="Times New Roman" w:cs="Times New Roman"/>
          <w:color w:val="0E101A"/>
        </w:rPr>
        <w:t>lagging behind</w:t>
      </w:r>
      <w:proofErr w:type="gramEnd"/>
      <w:r w:rsidRPr="56F0CE86">
        <w:rPr>
          <w:rFonts w:ascii="Times New Roman" w:eastAsia="Times New Roman" w:hAnsi="Times New Roman" w:cs="Times New Roman"/>
          <w:color w:val="0E101A"/>
        </w:rPr>
        <w:t xml:space="preserve"> Ibis Hotels in the UK hospitality industry. Despite the luxury hotel brand serving relatively good dishes and offering the best customer service, the Corinthia hotel group's high prices discourage average British consumers and travellers from seeking any service, considering the high cost of living amid the post-pandemic economic issues (Rayner, 2021). Corinthia Hotel Group needs to adopt a focused strategy instead of its differentiation strategy that significantly places the luxury hotel group at a disadvantage when competing with a budget hotel brand like Ibis. A focused strategy, as a third generic strategy in business strategy, enables an organization to emphasise a narrow competitive scope more than a broad one (</w:t>
      </w:r>
      <w:proofErr w:type="spellStart"/>
      <w:r w:rsidRPr="56F0CE86">
        <w:rPr>
          <w:rFonts w:ascii="Times New Roman" w:eastAsia="Times New Roman" w:hAnsi="Times New Roman" w:cs="Times New Roman"/>
          <w:color w:val="0E101A"/>
        </w:rPr>
        <w:t>Reksoprodjo</w:t>
      </w:r>
      <w:proofErr w:type="spellEnd"/>
      <w:r w:rsidRPr="56F0CE86">
        <w:rPr>
          <w:rFonts w:ascii="Times New Roman" w:eastAsia="Times New Roman" w:hAnsi="Times New Roman" w:cs="Times New Roman"/>
          <w:color w:val="0E101A"/>
        </w:rPr>
        <w:t xml:space="preserve">, Rifqi and Khadijah, 2022). Therefore, by adopting a focused generic strategy as a financial management strategy, Corinthia Hotel Group is bound to maximize profits, improve its financial performance, ensure sustainability goals are met and improve its brand perception in the rather competitive hospitality industry in the UK.  </w:t>
      </w:r>
    </w:p>
    <w:p w14:paraId="24B24F41" w14:textId="328B4BD8"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However, despite Ibis Hotels' strong brand perception among average British travellers and tourists within the UK and impressive sustainability initiatives, Ibis Hotels needs proper budget planning and control to mitigate against the multicultural issues facing the UK society and the hospitality industry. While Ibis managed to generate more revenue compared to the Corinthia hotel group, the budget hotel is more likely to face multicultural issues that Ibis employees may not be equipped to handle, thus resulting in low revenue yield and sales in the long run (Cheng, 2020). Although Ibis Hotel Company accounted for employee recruitment, development, and training in its earlier budget, better budget planning is needed to ensure all employees are adequately trained in dealing with multicultural customers in the long term.  </w:t>
      </w:r>
    </w:p>
    <w:p w14:paraId="7A0C6F1F" w14:textId="2C583291" w:rsidR="33A12713" w:rsidRDefault="001C149D" w:rsidP="56F0CE86">
      <w:pPr>
        <w:spacing w:after="0" w:line="480" w:lineRule="auto"/>
        <w:jc w:val="center"/>
        <w:rPr>
          <w:rFonts w:ascii="Times New Roman" w:eastAsia="Times New Roman" w:hAnsi="Times New Roman" w:cs="Times New Roman"/>
          <w:color w:val="0E101A"/>
        </w:rPr>
      </w:pPr>
      <w:r w:rsidRPr="56F0CE86">
        <w:rPr>
          <w:rFonts w:ascii="Times New Roman" w:eastAsia="Times New Roman" w:hAnsi="Times New Roman" w:cs="Times New Roman"/>
          <w:b/>
          <w:bCs/>
          <w:color w:val="0E101A"/>
        </w:rPr>
        <w:t>Conclusion</w:t>
      </w:r>
      <w:r w:rsidRPr="56F0CE86">
        <w:rPr>
          <w:rFonts w:ascii="Times New Roman" w:eastAsia="Times New Roman" w:hAnsi="Times New Roman" w:cs="Times New Roman"/>
          <w:color w:val="0E101A"/>
        </w:rPr>
        <w:t xml:space="preserve"> </w:t>
      </w:r>
    </w:p>
    <w:p w14:paraId="1FE3C621" w14:textId="3191C8D0" w:rsidR="33A12713" w:rsidRDefault="001C149D" w:rsidP="56F0CE86">
      <w:pPr>
        <w:spacing w:after="0" w:line="480" w:lineRule="auto"/>
        <w:ind w:firstLine="720"/>
        <w:rPr>
          <w:rFonts w:ascii="Times New Roman" w:eastAsia="Times New Roman" w:hAnsi="Times New Roman" w:cs="Times New Roman"/>
          <w:color w:val="0E101A"/>
        </w:rPr>
      </w:pPr>
      <w:r w:rsidRPr="56F0CE86">
        <w:rPr>
          <w:rFonts w:ascii="Times New Roman" w:eastAsia="Times New Roman" w:hAnsi="Times New Roman" w:cs="Times New Roman"/>
          <w:color w:val="0E101A"/>
        </w:rPr>
        <w:t xml:space="preserve">In the UK hospitality industry, proper financial management strategies and practices coupled with effective sustainability initiatives are crucial elements of competitive advantage. When comparing the financial management practices and sustainability efforts of Corinthia Hotel Group and Ibis Hotels, it is more appropriate to conclude that Ibis Hotels is better positioned in the hospitality industry than Corinthia Hotel Group. Ibis Hotels' strong brand perception, higher revenue accumulation and environmentally sustainable initiatives give it a competitive edge over Corinthia Hotel Group in the industry. However, with the adaptation of a focused generic strategy and proper budgeting, Corinthia Hotel Group is more likely to improve its financial performance and sustainability and gain a competitive advantage over budget hotel brands like Ibis. Conversely, Ibis Hotels needs to put more effort into its budget planning to ensure multicultural issues are maintained by the budget hotel's competitive advantage in terms of financial performance and enhanced sustainability.  </w:t>
      </w:r>
    </w:p>
    <w:p w14:paraId="411F2A4C" w14:textId="428A64E2" w:rsidR="56F0CE86" w:rsidRDefault="56F0CE86" w:rsidP="56F0CE86">
      <w:pPr>
        <w:spacing w:line="480" w:lineRule="auto"/>
        <w:rPr>
          <w:rFonts w:ascii="Times New Roman" w:eastAsia="Times New Roman" w:hAnsi="Times New Roman" w:cs="Times New Roman"/>
        </w:rPr>
      </w:pPr>
    </w:p>
    <w:p w14:paraId="5F6EF527" w14:textId="490D7C7D" w:rsidR="56F0CE86" w:rsidRDefault="56F0CE86" w:rsidP="56F0CE86">
      <w:pPr>
        <w:spacing w:line="480" w:lineRule="auto"/>
        <w:rPr>
          <w:rFonts w:ascii="Times New Roman" w:eastAsia="Times New Roman" w:hAnsi="Times New Roman" w:cs="Times New Roman"/>
        </w:rPr>
      </w:pPr>
    </w:p>
    <w:p w14:paraId="43175800" w14:textId="4FCF63AC" w:rsidR="56F0CE86" w:rsidRDefault="56F0CE86" w:rsidP="56F0CE86">
      <w:pPr>
        <w:spacing w:line="480" w:lineRule="auto"/>
        <w:rPr>
          <w:rFonts w:ascii="Times New Roman" w:eastAsia="Times New Roman" w:hAnsi="Times New Roman" w:cs="Times New Roman"/>
        </w:rPr>
      </w:pPr>
    </w:p>
    <w:p w14:paraId="7D25CA68" w14:textId="5F9523C3" w:rsidR="56F0CE86" w:rsidRDefault="56F0CE86" w:rsidP="56F0CE86">
      <w:pPr>
        <w:spacing w:line="480" w:lineRule="auto"/>
        <w:rPr>
          <w:rFonts w:ascii="Times New Roman" w:eastAsia="Times New Roman" w:hAnsi="Times New Roman" w:cs="Times New Roman"/>
        </w:rPr>
      </w:pPr>
    </w:p>
    <w:p w14:paraId="3B868098" w14:textId="77777777" w:rsidR="00973F94" w:rsidRDefault="00973F94" w:rsidP="56F0CE86">
      <w:pPr>
        <w:spacing w:line="480" w:lineRule="auto"/>
        <w:rPr>
          <w:rFonts w:ascii="Times New Roman" w:eastAsia="Times New Roman" w:hAnsi="Times New Roman" w:cs="Times New Roman"/>
        </w:rPr>
      </w:pPr>
    </w:p>
    <w:p w14:paraId="32001DD6" w14:textId="77777777" w:rsidR="00973F94" w:rsidRDefault="00973F94" w:rsidP="56F0CE86">
      <w:pPr>
        <w:spacing w:line="480" w:lineRule="auto"/>
        <w:rPr>
          <w:rFonts w:ascii="Times New Roman" w:eastAsia="Times New Roman" w:hAnsi="Times New Roman" w:cs="Times New Roman"/>
        </w:rPr>
      </w:pPr>
    </w:p>
    <w:p w14:paraId="498573AF" w14:textId="77777777" w:rsidR="00973F94" w:rsidRDefault="00973F94" w:rsidP="56F0CE86">
      <w:pPr>
        <w:spacing w:line="480" w:lineRule="auto"/>
        <w:rPr>
          <w:rFonts w:ascii="Times New Roman" w:eastAsia="Times New Roman" w:hAnsi="Times New Roman" w:cs="Times New Roman"/>
        </w:rPr>
      </w:pPr>
    </w:p>
    <w:p w14:paraId="1FB3CB5B" w14:textId="77777777" w:rsidR="00973F94" w:rsidRDefault="00973F94" w:rsidP="56F0CE86">
      <w:pPr>
        <w:spacing w:line="480" w:lineRule="auto"/>
        <w:rPr>
          <w:rFonts w:ascii="Times New Roman" w:eastAsia="Times New Roman" w:hAnsi="Times New Roman" w:cs="Times New Roman"/>
        </w:rPr>
      </w:pPr>
    </w:p>
    <w:p w14:paraId="4F8D202C" w14:textId="77777777" w:rsidR="00973F94" w:rsidRDefault="00973F94" w:rsidP="56F0CE86">
      <w:pPr>
        <w:spacing w:line="480" w:lineRule="auto"/>
        <w:rPr>
          <w:rFonts w:ascii="Times New Roman" w:eastAsia="Times New Roman" w:hAnsi="Times New Roman" w:cs="Times New Roman"/>
        </w:rPr>
      </w:pPr>
    </w:p>
    <w:p w14:paraId="74182813" w14:textId="77777777" w:rsidR="00973F94" w:rsidRDefault="00973F94" w:rsidP="56F0CE86">
      <w:pPr>
        <w:spacing w:line="480" w:lineRule="auto"/>
        <w:rPr>
          <w:rFonts w:ascii="Times New Roman" w:eastAsia="Times New Roman" w:hAnsi="Times New Roman" w:cs="Times New Roman"/>
        </w:rPr>
      </w:pPr>
    </w:p>
    <w:p w14:paraId="5DC656EA" w14:textId="77777777" w:rsidR="00973F94" w:rsidRDefault="00973F94" w:rsidP="56F0CE86">
      <w:pPr>
        <w:spacing w:line="480" w:lineRule="auto"/>
        <w:rPr>
          <w:rFonts w:ascii="Times New Roman" w:eastAsia="Times New Roman" w:hAnsi="Times New Roman" w:cs="Times New Roman"/>
        </w:rPr>
      </w:pPr>
    </w:p>
    <w:p w14:paraId="1D012C25" w14:textId="77777777" w:rsidR="00973F94" w:rsidRDefault="00973F94" w:rsidP="56F0CE86">
      <w:pPr>
        <w:spacing w:line="480" w:lineRule="auto"/>
        <w:rPr>
          <w:rFonts w:ascii="Times New Roman" w:eastAsia="Times New Roman" w:hAnsi="Times New Roman" w:cs="Times New Roman"/>
        </w:rPr>
      </w:pPr>
    </w:p>
    <w:p w14:paraId="510758D0" w14:textId="77777777" w:rsidR="00973F94" w:rsidRDefault="00973F94" w:rsidP="56F0CE86">
      <w:pPr>
        <w:spacing w:line="480" w:lineRule="auto"/>
        <w:rPr>
          <w:rFonts w:ascii="Times New Roman" w:eastAsia="Times New Roman" w:hAnsi="Times New Roman" w:cs="Times New Roman"/>
        </w:rPr>
      </w:pPr>
    </w:p>
    <w:p w14:paraId="5DE4A940" w14:textId="0D73BDBF" w:rsidR="2B462745" w:rsidRDefault="001C149D" w:rsidP="56F0CE86">
      <w:pPr>
        <w:spacing w:line="480" w:lineRule="auto"/>
        <w:ind w:right="720"/>
        <w:jc w:val="center"/>
        <w:rPr>
          <w:rFonts w:ascii="Times New Roman" w:eastAsia="Times New Roman" w:hAnsi="Times New Roman" w:cs="Times New Roman"/>
          <w:b/>
          <w:bCs/>
        </w:rPr>
      </w:pPr>
      <w:r w:rsidRPr="56F0CE86">
        <w:rPr>
          <w:rFonts w:ascii="Times New Roman" w:eastAsia="Times New Roman" w:hAnsi="Times New Roman" w:cs="Times New Roman"/>
          <w:b/>
          <w:bCs/>
        </w:rPr>
        <w:t>References</w:t>
      </w:r>
    </w:p>
    <w:p w14:paraId="6E3B56CB" w14:textId="3B115BF3" w:rsidR="318C21BC"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Accor. </w:t>
      </w:r>
      <w:r w:rsidR="7F9EFFDA" w:rsidRPr="56F0CE86">
        <w:rPr>
          <w:rFonts w:ascii="Times New Roman" w:eastAsia="Times New Roman" w:hAnsi="Times New Roman" w:cs="Times New Roman"/>
        </w:rPr>
        <w:t xml:space="preserve">(2023). </w:t>
      </w:r>
      <w:r w:rsidR="7F9EFFDA" w:rsidRPr="56F0CE86">
        <w:rPr>
          <w:rFonts w:ascii="Times New Roman" w:eastAsia="Times New Roman" w:hAnsi="Times New Roman" w:cs="Times New Roman"/>
          <w:i/>
          <w:iCs/>
        </w:rPr>
        <w:t>Ibis styles drives growth across Europe.</w:t>
      </w:r>
      <w:r w:rsidR="06F160AD" w:rsidRPr="56F0CE86">
        <w:rPr>
          <w:rFonts w:ascii="Times New Roman" w:eastAsia="Times New Roman" w:hAnsi="Times New Roman" w:cs="Times New Roman"/>
        </w:rPr>
        <w:t xml:space="preserve"> [Online] Available at: https://www.hospitalitynet.org/news/4119600.html [Accessed </w:t>
      </w:r>
      <w:r w:rsidR="43DD5C8A" w:rsidRPr="56F0CE86">
        <w:rPr>
          <w:rFonts w:ascii="Times New Roman" w:eastAsia="Times New Roman" w:hAnsi="Times New Roman" w:cs="Times New Roman"/>
        </w:rPr>
        <w:t>23 January 2024</w:t>
      </w:r>
      <w:r w:rsidR="06F160AD" w:rsidRPr="56F0CE86">
        <w:rPr>
          <w:rFonts w:ascii="Times New Roman" w:eastAsia="Times New Roman" w:hAnsi="Times New Roman" w:cs="Times New Roman"/>
        </w:rPr>
        <w:t>]</w:t>
      </w:r>
    </w:p>
    <w:p w14:paraId="36A8CDD5" w14:textId="51402891" w:rsidR="51B63D2A"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Accor. (2022). </w:t>
      </w:r>
      <w:r w:rsidRPr="56F0CE86">
        <w:rPr>
          <w:rFonts w:ascii="Times New Roman" w:eastAsia="Times New Roman" w:hAnsi="Times New Roman" w:cs="Times New Roman"/>
          <w:i/>
          <w:iCs/>
        </w:rPr>
        <w:t xml:space="preserve">2022 Integrated report. </w:t>
      </w:r>
      <w:r w:rsidRPr="56F0CE86">
        <w:rPr>
          <w:rFonts w:ascii="Times New Roman" w:eastAsia="Times New Roman" w:hAnsi="Times New Roman" w:cs="Times New Roman"/>
        </w:rPr>
        <w:t>[Online] Available at: https://group.accor.com/-/media/Corporate/Investors/Documents-de-reference/ACCOR_RI_2022_UK_vlast.pdf</w:t>
      </w:r>
      <w:r w:rsidR="7EACC537" w:rsidRPr="56F0CE86">
        <w:rPr>
          <w:rFonts w:ascii="Times New Roman" w:eastAsia="Times New Roman" w:hAnsi="Times New Roman" w:cs="Times New Roman"/>
        </w:rPr>
        <w:t xml:space="preserve"> [Accessed 23 January 2024]</w:t>
      </w:r>
    </w:p>
    <w:p w14:paraId="338239BB" w14:textId="6FD6E4E3" w:rsidR="084E68B6" w:rsidRDefault="001C149D" w:rsidP="005D717B">
      <w:pPr>
        <w:spacing w:line="240" w:lineRule="auto"/>
        <w:ind w:left="720" w:right="720" w:hanging="720"/>
        <w:rPr>
          <w:rFonts w:ascii="Times New Roman" w:eastAsia="Times New Roman" w:hAnsi="Times New Roman" w:cs="Times New Roman"/>
          <w:i/>
          <w:iCs/>
        </w:rPr>
      </w:pPr>
      <w:r w:rsidRPr="56F0CE86">
        <w:rPr>
          <w:rFonts w:ascii="Times New Roman" w:eastAsia="Times New Roman" w:hAnsi="Times New Roman" w:cs="Times New Roman"/>
        </w:rPr>
        <w:t xml:space="preserve">Ali, J. B., &amp; Anwar, G. (2021). Porter’s </w:t>
      </w:r>
      <w:r w:rsidR="01E7D252" w:rsidRPr="56F0CE86">
        <w:rPr>
          <w:rFonts w:ascii="Times New Roman" w:eastAsia="Times New Roman" w:hAnsi="Times New Roman" w:cs="Times New Roman"/>
        </w:rPr>
        <w:t>generic competitive strategies and its</w:t>
      </w:r>
      <w:r w:rsidR="1AA0B2F1" w:rsidRPr="56F0CE86">
        <w:rPr>
          <w:rFonts w:ascii="Times New Roman" w:eastAsia="Times New Roman" w:hAnsi="Times New Roman" w:cs="Times New Roman"/>
        </w:rPr>
        <w:t xml:space="preserve"> influence on the competitive advantage. </w:t>
      </w:r>
      <w:r w:rsidR="1AA0B2F1" w:rsidRPr="56F0CE86">
        <w:rPr>
          <w:rFonts w:ascii="Times New Roman" w:eastAsia="Times New Roman" w:hAnsi="Times New Roman" w:cs="Times New Roman"/>
          <w:i/>
          <w:iCs/>
        </w:rPr>
        <w:t>International Journal of Advanced Engineering</w:t>
      </w:r>
      <w:r w:rsidR="3B4E4058" w:rsidRPr="56F0CE86">
        <w:rPr>
          <w:rFonts w:ascii="Times New Roman" w:eastAsia="Times New Roman" w:hAnsi="Times New Roman" w:cs="Times New Roman"/>
          <w:i/>
          <w:iCs/>
        </w:rPr>
        <w:t>, Management and Science</w:t>
      </w:r>
      <w:r w:rsidR="1DC5B138" w:rsidRPr="56F0CE86">
        <w:rPr>
          <w:rFonts w:ascii="Times New Roman" w:eastAsia="Times New Roman" w:hAnsi="Times New Roman" w:cs="Times New Roman"/>
          <w:i/>
          <w:iCs/>
        </w:rPr>
        <w:t xml:space="preserve">, pp. </w:t>
      </w:r>
      <w:r w:rsidR="30EE0652" w:rsidRPr="56F0CE86">
        <w:rPr>
          <w:rFonts w:ascii="Times New Roman" w:eastAsia="Times New Roman" w:hAnsi="Times New Roman" w:cs="Times New Roman"/>
          <w:i/>
          <w:iCs/>
        </w:rPr>
        <w:t xml:space="preserve">42-51. </w:t>
      </w:r>
    </w:p>
    <w:p w14:paraId="0AC2E33C" w14:textId="0186CBFC" w:rsidR="3F8D7AD5" w:rsidRDefault="001C149D" w:rsidP="005D717B">
      <w:pPr>
        <w:spacing w:line="240" w:lineRule="auto"/>
        <w:ind w:left="720" w:right="720" w:hanging="720"/>
        <w:rPr>
          <w:rFonts w:ascii="Times New Roman" w:eastAsia="Times New Roman" w:hAnsi="Times New Roman" w:cs="Times New Roman"/>
          <w:i/>
          <w:iCs/>
        </w:rPr>
      </w:pPr>
      <w:r w:rsidRPr="56F0CE86">
        <w:rPr>
          <w:rFonts w:ascii="Times New Roman" w:eastAsia="Times New Roman" w:hAnsi="Times New Roman" w:cs="Times New Roman"/>
        </w:rPr>
        <w:t xml:space="preserve">Akbari, M., Nazarian, A., </w:t>
      </w:r>
      <w:proofErr w:type="spellStart"/>
      <w:r w:rsidRPr="56F0CE86">
        <w:rPr>
          <w:rFonts w:ascii="Times New Roman" w:eastAsia="Times New Roman" w:hAnsi="Times New Roman" w:cs="Times New Roman"/>
        </w:rPr>
        <w:t>Foroudi</w:t>
      </w:r>
      <w:proofErr w:type="spellEnd"/>
      <w:r w:rsidRPr="56F0CE86">
        <w:rPr>
          <w:rFonts w:ascii="Times New Roman" w:eastAsia="Times New Roman" w:hAnsi="Times New Roman" w:cs="Times New Roman"/>
        </w:rPr>
        <w:t xml:space="preserve">, P., </w:t>
      </w:r>
      <w:proofErr w:type="spellStart"/>
      <w:r w:rsidR="24538906" w:rsidRPr="56F0CE86">
        <w:rPr>
          <w:rFonts w:ascii="Times New Roman" w:eastAsia="Times New Roman" w:hAnsi="Times New Roman" w:cs="Times New Roman"/>
        </w:rPr>
        <w:t>Syyed</w:t>
      </w:r>
      <w:proofErr w:type="spellEnd"/>
      <w:r w:rsidR="24538906" w:rsidRPr="56F0CE86">
        <w:rPr>
          <w:rFonts w:ascii="Times New Roman" w:eastAsia="Times New Roman" w:hAnsi="Times New Roman" w:cs="Times New Roman"/>
        </w:rPr>
        <w:t xml:space="preserve"> Amiri, N. &amp; </w:t>
      </w:r>
      <w:proofErr w:type="spellStart"/>
      <w:r w:rsidR="24538906" w:rsidRPr="56F0CE86">
        <w:rPr>
          <w:rFonts w:ascii="Times New Roman" w:eastAsia="Times New Roman" w:hAnsi="Times New Roman" w:cs="Times New Roman"/>
        </w:rPr>
        <w:t>Ezatabadipoor</w:t>
      </w:r>
      <w:proofErr w:type="spellEnd"/>
      <w:r w:rsidR="24538906" w:rsidRPr="56F0CE86">
        <w:rPr>
          <w:rFonts w:ascii="Times New Roman" w:eastAsia="Times New Roman" w:hAnsi="Times New Roman" w:cs="Times New Roman"/>
        </w:rPr>
        <w:t>, E. (2020). How corporate social re</w:t>
      </w:r>
      <w:r w:rsidR="3A281857" w:rsidRPr="56F0CE86">
        <w:rPr>
          <w:rFonts w:ascii="Times New Roman" w:eastAsia="Times New Roman" w:hAnsi="Times New Roman" w:cs="Times New Roman"/>
        </w:rPr>
        <w:t xml:space="preserve">sponsibility contributes to strengthening brand loyalty, hotel positioning and intention to revisit. </w:t>
      </w:r>
      <w:r w:rsidR="56B4075C" w:rsidRPr="56F0CE86">
        <w:rPr>
          <w:rFonts w:ascii="Times New Roman" w:eastAsia="Times New Roman" w:hAnsi="Times New Roman" w:cs="Times New Roman"/>
          <w:i/>
          <w:iCs/>
        </w:rPr>
        <w:t xml:space="preserve">University of </w:t>
      </w:r>
      <w:proofErr w:type="spellStart"/>
      <w:r w:rsidR="56B4075C" w:rsidRPr="56F0CE86">
        <w:rPr>
          <w:rFonts w:ascii="Times New Roman" w:eastAsia="Times New Roman" w:hAnsi="Times New Roman" w:cs="Times New Roman"/>
          <w:i/>
          <w:iCs/>
        </w:rPr>
        <w:t>Westminister</w:t>
      </w:r>
      <w:proofErr w:type="spellEnd"/>
      <w:r w:rsidR="56B4075C" w:rsidRPr="56F0CE86">
        <w:rPr>
          <w:rFonts w:ascii="Times New Roman" w:eastAsia="Times New Roman" w:hAnsi="Times New Roman" w:cs="Times New Roman"/>
          <w:i/>
          <w:iCs/>
        </w:rPr>
        <w:t xml:space="preserve">. </w:t>
      </w:r>
    </w:p>
    <w:p w14:paraId="2C60A12A" w14:textId="2D1562BD" w:rsidR="79971C9C"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Carter, F. (2019). </w:t>
      </w:r>
      <w:r w:rsidRPr="56F0CE86">
        <w:rPr>
          <w:rFonts w:ascii="Times New Roman" w:eastAsia="Times New Roman" w:hAnsi="Times New Roman" w:cs="Times New Roman"/>
          <w:i/>
          <w:iCs/>
        </w:rPr>
        <w:t>Thomas Kochs creates memorable moments at Corinthia London</w:t>
      </w:r>
      <w:r w:rsidR="7B07192C" w:rsidRPr="56F0CE86">
        <w:rPr>
          <w:rFonts w:ascii="Times New Roman" w:eastAsia="Times New Roman" w:hAnsi="Times New Roman" w:cs="Times New Roman"/>
        </w:rPr>
        <w:t>. [Online] Available at: https://www.forbes.com/sites/felicitycarter/2019/03/31/thomas-kochs-creates-memorable-moments-at-corinthia-london/?sh=26cf5d4959c8 [Accessed 23 January 2024]</w:t>
      </w:r>
    </w:p>
    <w:p w14:paraId="630A8F7D" w14:textId="04529BA7" w:rsidR="1E602775"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Cocks, P. (2022). </w:t>
      </w:r>
      <w:r w:rsidRPr="56F0CE86">
        <w:rPr>
          <w:rFonts w:ascii="Times New Roman" w:eastAsia="Times New Roman" w:hAnsi="Times New Roman" w:cs="Times New Roman"/>
          <w:i/>
          <w:iCs/>
        </w:rPr>
        <w:t>Corinthia to target 4-star space under new brand to be launched by</w:t>
      </w:r>
      <w:r w:rsidR="220957DE" w:rsidRPr="56F0CE86">
        <w:rPr>
          <w:rFonts w:ascii="Times New Roman" w:eastAsia="Times New Roman" w:hAnsi="Times New Roman" w:cs="Times New Roman"/>
          <w:i/>
          <w:iCs/>
        </w:rPr>
        <w:t xml:space="preserve"> 2023</w:t>
      </w:r>
      <w:r w:rsidR="220957DE" w:rsidRPr="56F0CE86">
        <w:rPr>
          <w:rFonts w:ascii="Times New Roman" w:eastAsia="Times New Roman" w:hAnsi="Times New Roman" w:cs="Times New Roman"/>
        </w:rPr>
        <w:t>. [Online] Available at: https://www.businesstoday.com.mt/business/business/1849/corinthia_to_target_4star_space_under_new_brand_to_be_launched_by_2023 [Accessed 23 January 2024]</w:t>
      </w:r>
    </w:p>
    <w:p w14:paraId="4E068E81" w14:textId="6E0E74A3" w:rsidR="0FE3F245" w:rsidRDefault="001C149D" w:rsidP="005D717B">
      <w:pPr>
        <w:spacing w:line="240" w:lineRule="auto"/>
        <w:ind w:left="720" w:right="720" w:hanging="720"/>
        <w:rPr>
          <w:rFonts w:ascii="Times New Roman" w:eastAsia="Times New Roman" w:hAnsi="Times New Roman" w:cs="Times New Roman"/>
          <w:i/>
          <w:iCs/>
        </w:rPr>
      </w:pPr>
      <w:r w:rsidRPr="56F0CE86">
        <w:rPr>
          <w:rFonts w:ascii="Times New Roman" w:eastAsia="Times New Roman" w:hAnsi="Times New Roman" w:cs="Times New Roman"/>
        </w:rPr>
        <w:t xml:space="preserve">Corinthia Hotel Group. (2022). </w:t>
      </w:r>
      <w:r w:rsidRPr="56F0CE86">
        <w:rPr>
          <w:rFonts w:ascii="Times New Roman" w:eastAsia="Times New Roman" w:hAnsi="Times New Roman" w:cs="Times New Roman"/>
          <w:i/>
          <w:iCs/>
        </w:rPr>
        <w:t>2022</w:t>
      </w:r>
      <w:r w:rsidRPr="56F0CE86">
        <w:rPr>
          <w:rFonts w:ascii="Times New Roman" w:eastAsia="Times New Roman" w:hAnsi="Times New Roman" w:cs="Times New Roman"/>
        </w:rPr>
        <w:t xml:space="preserve"> </w:t>
      </w:r>
      <w:r w:rsidRPr="56F0CE86">
        <w:rPr>
          <w:rFonts w:ascii="Times New Roman" w:eastAsia="Times New Roman" w:hAnsi="Times New Roman" w:cs="Times New Roman"/>
          <w:i/>
          <w:iCs/>
        </w:rPr>
        <w:t>Annual Report</w:t>
      </w:r>
      <w:r w:rsidRPr="56F0CE86">
        <w:rPr>
          <w:rFonts w:ascii="Times New Roman" w:eastAsia="Times New Roman" w:hAnsi="Times New Roman" w:cs="Times New Roman"/>
        </w:rPr>
        <w:t>. [Online] Available at: https://www.corinthiagroup.com/wp-content/uploads/2023/06/37547-CORINTHIA-ANNUAL-REPORT-2022_WEB-min.pdf [Accessed 23 January 2024]</w:t>
      </w:r>
    </w:p>
    <w:p w14:paraId="6ADA4D2C" w14:textId="7CF7F6A3" w:rsidR="494138B5"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Cheng, J. (2020). Research and suggestions on declining market shares of Ibis budget hotels. </w:t>
      </w:r>
      <w:r w:rsidR="1102E9E8" w:rsidRPr="56F0CE86">
        <w:rPr>
          <w:rFonts w:ascii="Times New Roman" w:eastAsia="Times New Roman" w:hAnsi="Times New Roman" w:cs="Times New Roman"/>
          <w:i/>
          <w:iCs/>
        </w:rPr>
        <w:t xml:space="preserve">Open Journal of Social Sciences, </w:t>
      </w:r>
      <w:r w:rsidR="1102E9E8" w:rsidRPr="56F0CE86">
        <w:rPr>
          <w:rFonts w:ascii="Times New Roman" w:eastAsia="Times New Roman" w:hAnsi="Times New Roman" w:cs="Times New Roman"/>
        </w:rPr>
        <w:t>pp. 253-261.</w:t>
      </w:r>
    </w:p>
    <w:p w14:paraId="5486A0AD" w14:textId="44C2D4A1" w:rsidR="5B33C730"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Corinthia Hotel Group. (2022). </w:t>
      </w:r>
      <w:r w:rsidRPr="56F0CE86">
        <w:rPr>
          <w:rFonts w:ascii="Times New Roman" w:eastAsia="Times New Roman" w:hAnsi="Times New Roman" w:cs="Times New Roman"/>
          <w:i/>
          <w:iCs/>
        </w:rPr>
        <w:t>2022</w:t>
      </w:r>
      <w:r w:rsidRPr="56F0CE86">
        <w:rPr>
          <w:rFonts w:ascii="Times New Roman" w:eastAsia="Times New Roman" w:hAnsi="Times New Roman" w:cs="Times New Roman"/>
        </w:rPr>
        <w:t xml:space="preserve"> </w:t>
      </w:r>
      <w:r w:rsidRPr="56F0CE86">
        <w:rPr>
          <w:rFonts w:ascii="Times New Roman" w:eastAsia="Times New Roman" w:hAnsi="Times New Roman" w:cs="Times New Roman"/>
          <w:i/>
          <w:iCs/>
        </w:rPr>
        <w:t>Annual Report</w:t>
      </w:r>
      <w:r w:rsidR="45DC39A3" w:rsidRPr="56F0CE86">
        <w:rPr>
          <w:rFonts w:ascii="Times New Roman" w:eastAsia="Times New Roman" w:hAnsi="Times New Roman" w:cs="Times New Roman"/>
        </w:rPr>
        <w:t>. [Online] Available at: https://www.corinthiagroup.com/wp-content/uploads/2023/06/37547-CORINTHIA-ANNUAL-REPORT-2022_WEB-min.pdf [Accessed 23 January 2024]</w:t>
      </w:r>
    </w:p>
    <w:p w14:paraId="0F2C2531" w14:textId="0A0EAECE" w:rsidR="688F7797"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Gollan, Doug. (2020). </w:t>
      </w:r>
      <w:r w:rsidRPr="56F0CE86">
        <w:rPr>
          <w:rFonts w:ascii="Times New Roman" w:eastAsia="Times New Roman" w:hAnsi="Times New Roman" w:cs="Times New Roman"/>
          <w:i/>
          <w:iCs/>
        </w:rPr>
        <w:t xml:space="preserve">Corinthia hotel readies to open six new hotels, including Rome, </w:t>
      </w:r>
      <w:proofErr w:type="gramStart"/>
      <w:r w:rsidRPr="56F0CE86">
        <w:rPr>
          <w:rFonts w:ascii="Times New Roman" w:eastAsia="Times New Roman" w:hAnsi="Times New Roman" w:cs="Times New Roman"/>
          <w:i/>
          <w:iCs/>
        </w:rPr>
        <w:t>Dubai</w:t>
      </w:r>
      <w:proofErr w:type="gramEnd"/>
      <w:r w:rsidRPr="56F0CE86">
        <w:rPr>
          <w:rFonts w:ascii="Times New Roman" w:eastAsia="Times New Roman" w:hAnsi="Times New Roman" w:cs="Times New Roman"/>
          <w:i/>
          <w:iCs/>
        </w:rPr>
        <w:t xml:space="preserve"> and Moscow</w:t>
      </w:r>
      <w:r w:rsidRPr="56F0CE86">
        <w:rPr>
          <w:rFonts w:ascii="Times New Roman" w:eastAsia="Times New Roman" w:hAnsi="Times New Roman" w:cs="Times New Roman"/>
        </w:rPr>
        <w:t xml:space="preserve">. </w:t>
      </w:r>
      <w:r w:rsidR="53A6B2B4" w:rsidRPr="56F0CE86">
        <w:rPr>
          <w:rFonts w:ascii="Times New Roman" w:eastAsia="Times New Roman" w:hAnsi="Times New Roman" w:cs="Times New Roman"/>
        </w:rPr>
        <w:t>[Online] Available at: https://www.forbes.com/sites/douggollan/2020/03/08/corinthia-hotels-readies-to-open-six-new-hotels-including-rome-dubai-and-moscow/?sh=6adf61b411c0 [Accessed 23 January 2024]</w:t>
      </w:r>
    </w:p>
    <w:p w14:paraId="20B4DCBC" w14:textId="5EA05054" w:rsidR="39DCBD75"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International Hotel Investments plc. (2022). </w:t>
      </w:r>
      <w:r w:rsidRPr="56F0CE86">
        <w:rPr>
          <w:rFonts w:ascii="Times New Roman" w:eastAsia="Times New Roman" w:hAnsi="Times New Roman" w:cs="Times New Roman"/>
          <w:i/>
          <w:iCs/>
        </w:rPr>
        <w:t>Financial Analysis Summary</w:t>
      </w:r>
      <w:r w:rsidR="26BE63C1" w:rsidRPr="56F0CE86">
        <w:rPr>
          <w:rFonts w:ascii="Times New Roman" w:eastAsia="Times New Roman" w:hAnsi="Times New Roman" w:cs="Times New Roman"/>
        </w:rPr>
        <w:t>. [Online] Available at: https://www.corinthiagroup.com/wp-content/uploads/2022/06/IHI-Financial-Analysis-Summary-2022.pdf [Accessed 23 January 2024]</w:t>
      </w:r>
    </w:p>
    <w:p w14:paraId="4BE8C132" w14:textId="3D6905D4" w:rsidR="0D9B4E43"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Kunst, A. (2023). </w:t>
      </w:r>
      <w:r w:rsidRPr="56F0CE86">
        <w:rPr>
          <w:rFonts w:ascii="Times New Roman" w:eastAsia="Times New Roman" w:hAnsi="Times New Roman" w:cs="Times New Roman"/>
          <w:i/>
          <w:iCs/>
        </w:rPr>
        <w:t>Ibis brand profile in the UK 2022</w:t>
      </w:r>
      <w:r w:rsidRPr="56F0CE86">
        <w:rPr>
          <w:rFonts w:ascii="Times New Roman" w:eastAsia="Times New Roman" w:hAnsi="Times New Roman" w:cs="Times New Roman"/>
        </w:rPr>
        <w:t>. [Online] Available at: https://www.statista.com/forecasts/1335566/ibis-hotels-brand-profile-in-the-uk [Accessed 23 Jan</w:t>
      </w:r>
      <w:r w:rsidR="76795586" w:rsidRPr="56F0CE86">
        <w:rPr>
          <w:rFonts w:ascii="Times New Roman" w:eastAsia="Times New Roman" w:hAnsi="Times New Roman" w:cs="Times New Roman"/>
        </w:rPr>
        <w:t>uary 2024</w:t>
      </w:r>
      <w:r w:rsidRPr="56F0CE86">
        <w:rPr>
          <w:rFonts w:ascii="Times New Roman" w:eastAsia="Times New Roman" w:hAnsi="Times New Roman" w:cs="Times New Roman"/>
        </w:rPr>
        <w:t>]</w:t>
      </w:r>
    </w:p>
    <w:p w14:paraId="71C04701" w14:textId="24055D04" w:rsidR="0ADDE848"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Rodney, Wernke., Ivone, </w:t>
      </w:r>
      <w:proofErr w:type="spellStart"/>
      <w:r w:rsidRPr="56F0CE86">
        <w:rPr>
          <w:rFonts w:ascii="Times New Roman" w:eastAsia="Times New Roman" w:hAnsi="Times New Roman" w:cs="Times New Roman"/>
        </w:rPr>
        <w:t>Junges</w:t>
      </w:r>
      <w:proofErr w:type="spellEnd"/>
      <w:r w:rsidRPr="56F0CE86">
        <w:rPr>
          <w:rFonts w:ascii="Times New Roman" w:eastAsia="Times New Roman" w:hAnsi="Times New Roman" w:cs="Times New Roman"/>
        </w:rPr>
        <w:t>., &amp; Valentina P</w:t>
      </w:r>
      <w:r w:rsidR="3FF00870" w:rsidRPr="56F0CE86">
        <w:rPr>
          <w:rFonts w:ascii="Times New Roman" w:eastAsia="Times New Roman" w:hAnsi="Times New Roman" w:cs="Times New Roman"/>
        </w:rPr>
        <w:t>ires de, B. (2020). Influence of strategic positioning on adoption of financial management practices in the context of small industries</w:t>
      </w:r>
      <w:r w:rsidR="4F25A072" w:rsidRPr="56F0CE86">
        <w:rPr>
          <w:rFonts w:ascii="Times New Roman" w:eastAsia="Times New Roman" w:hAnsi="Times New Roman" w:cs="Times New Roman"/>
        </w:rPr>
        <w:t xml:space="preserve">. </w:t>
      </w:r>
      <w:r w:rsidR="4F25A072" w:rsidRPr="56F0CE86">
        <w:rPr>
          <w:rFonts w:ascii="Times New Roman" w:eastAsia="Times New Roman" w:hAnsi="Times New Roman" w:cs="Times New Roman"/>
          <w:i/>
          <w:iCs/>
        </w:rPr>
        <w:t>Network of Scientific Journals</w:t>
      </w:r>
      <w:r w:rsidR="4F25A072" w:rsidRPr="56F0CE86">
        <w:rPr>
          <w:rFonts w:ascii="Times New Roman" w:eastAsia="Times New Roman" w:hAnsi="Times New Roman" w:cs="Times New Roman"/>
        </w:rPr>
        <w:t>, pp. 1-17.</w:t>
      </w:r>
    </w:p>
    <w:p w14:paraId="5B942E4D" w14:textId="4E3F43B8" w:rsidR="43D617A0"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Park, A. (2023). </w:t>
      </w:r>
      <w:r w:rsidRPr="56F0CE86">
        <w:rPr>
          <w:rFonts w:ascii="Times New Roman" w:eastAsia="Times New Roman" w:hAnsi="Times New Roman" w:cs="Times New Roman"/>
          <w:i/>
          <w:iCs/>
        </w:rPr>
        <w:t xml:space="preserve">A $300 faces serum to a Thai resort: </w:t>
      </w:r>
      <w:r w:rsidR="3DF3B35E" w:rsidRPr="56F0CE86">
        <w:rPr>
          <w:rFonts w:ascii="Times New Roman" w:eastAsia="Times New Roman" w:hAnsi="Times New Roman" w:cs="Times New Roman"/>
          <w:i/>
          <w:iCs/>
        </w:rPr>
        <w:t xml:space="preserve">Corinthia London director Thomas Kochs dishes on his </w:t>
      </w:r>
      <w:proofErr w:type="spellStart"/>
      <w:r w:rsidR="3DF3B35E" w:rsidRPr="56F0CE86">
        <w:rPr>
          <w:rFonts w:ascii="Times New Roman" w:eastAsia="Times New Roman" w:hAnsi="Times New Roman" w:cs="Times New Roman"/>
          <w:i/>
          <w:iCs/>
        </w:rPr>
        <w:t>favorite</w:t>
      </w:r>
      <w:proofErr w:type="spellEnd"/>
      <w:r w:rsidR="3DF3B35E" w:rsidRPr="56F0CE86">
        <w:rPr>
          <w:rFonts w:ascii="Times New Roman" w:eastAsia="Times New Roman" w:hAnsi="Times New Roman" w:cs="Times New Roman"/>
          <w:i/>
          <w:iCs/>
        </w:rPr>
        <w:t xml:space="preserve"> things</w:t>
      </w:r>
      <w:r w:rsidR="3DF3B35E" w:rsidRPr="56F0CE86">
        <w:rPr>
          <w:rFonts w:ascii="Times New Roman" w:eastAsia="Times New Roman" w:hAnsi="Times New Roman" w:cs="Times New Roman"/>
        </w:rPr>
        <w:t>. [Online] Available at: https://www.barrons.com/articles/a-300-face-serum-to-a-thai-resort-corinthia-london-director-thomas-kochs-dishes-on-his-favorite-things-d39cff63 [Accessed 23 January 202</w:t>
      </w:r>
      <w:r w:rsidR="6FE0D53F" w:rsidRPr="56F0CE86">
        <w:rPr>
          <w:rFonts w:ascii="Times New Roman" w:eastAsia="Times New Roman" w:hAnsi="Times New Roman" w:cs="Times New Roman"/>
        </w:rPr>
        <w:t>4</w:t>
      </w:r>
      <w:r w:rsidR="3DF3B35E" w:rsidRPr="56F0CE86">
        <w:rPr>
          <w:rFonts w:ascii="Times New Roman" w:eastAsia="Times New Roman" w:hAnsi="Times New Roman" w:cs="Times New Roman"/>
        </w:rPr>
        <w:t>]</w:t>
      </w:r>
    </w:p>
    <w:p w14:paraId="68FEB037" w14:textId="34959D3A" w:rsidR="2C4C8698"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Statista. (2021). </w:t>
      </w:r>
      <w:r w:rsidR="18C5852B" w:rsidRPr="56F0CE86">
        <w:rPr>
          <w:rFonts w:ascii="Times New Roman" w:eastAsia="Times New Roman" w:hAnsi="Times New Roman" w:cs="Times New Roman"/>
          <w:i/>
          <w:iCs/>
        </w:rPr>
        <w:t>Accommodation</w:t>
      </w:r>
      <w:r w:rsidRPr="56F0CE86">
        <w:rPr>
          <w:rFonts w:ascii="Times New Roman" w:eastAsia="Times New Roman" w:hAnsi="Times New Roman" w:cs="Times New Roman"/>
          <w:i/>
          <w:iCs/>
        </w:rPr>
        <w:t xml:space="preserve"> and food services carbon dioxide emissions in the UK 2006-2019.</w:t>
      </w:r>
      <w:r w:rsidR="0C0DC1DB" w:rsidRPr="56F0CE86">
        <w:rPr>
          <w:rFonts w:ascii="Times New Roman" w:eastAsia="Times New Roman" w:hAnsi="Times New Roman" w:cs="Times New Roman"/>
        </w:rPr>
        <w:t xml:space="preserve"> [Online] Available at: https://www.statista.com/statistics/769991/accommodation-and-food-service-co2-emissions-united-kingdom-uk/ [Accessed 23 January 2024]</w:t>
      </w:r>
    </w:p>
    <w:p w14:paraId="0D970186" w14:textId="1C646A21" w:rsidR="5BF23B86" w:rsidRDefault="001C149D" w:rsidP="005D717B">
      <w:pPr>
        <w:spacing w:line="240" w:lineRule="auto"/>
        <w:ind w:left="720" w:right="720" w:hanging="720"/>
        <w:rPr>
          <w:rFonts w:ascii="Times New Roman" w:eastAsia="Times New Roman" w:hAnsi="Times New Roman" w:cs="Times New Roman"/>
        </w:rPr>
      </w:pPr>
      <w:r w:rsidRPr="56F0CE86">
        <w:rPr>
          <w:rFonts w:ascii="Times New Roman" w:eastAsia="Times New Roman" w:hAnsi="Times New Roman" w:cs="Times New Roman"/>
        </w:rPr>
        <w:t xml:space="preserve">Rayner, J. (2021). </w:t>
      </w:r>
      <w:r w:rsidRPr="56F0CE86">
        <w:rPr>
          <w:rFonts w:ascii="Times New Roman" w:eastAsia="Times New Roman" w:hAnsi="Times New Roman" w:cs="Times New Roman"/>
          <w:i/>
          <w:iCs/>
        </w:rPr>
        <w:t>The garden at Corinthia, London: ‘The food is good, the pricing brutal’</w:t>
      </w:r>
      <w:r w:rsidR="478DA8C5" w:rsidRPr="56F0CE86">
        <w:rPr>
          <w:rFonts w:ascii="Times New Roman" w:eastAsia="Times New Roman" w:hAnsi="Times New Roman" w:cs="Times New Roman"/>
          <w:i/>
          <w:iCs/>
        </w:rPr>
        <w:t xml:space="preserve"> - restaurant review</w:t>
      </w:r>
      <w:r w:rsidR="478DA8C5" w:rsidRPr="56F0CE86">
        <w:rPr>
          <w:rFonts w:ascii="Times New Roman" w:eastAsia="Times New Roman" w:hAnsi="Times New Roman" w:cs="Times New Roman"/>
        </w:rPr>
        <w:t>. [Online] Available at: https://www.theguardian.com/food/2021/jan/10/the-garden-at-corinthia-london-the-food-is-good-the-pricing-brutal-restaurant-review [Accessed 23 January 2024]</w:t>
      </w:r>
    </w:p>
    <w:p w14:paraId="68EA4710" w14:textId="431A88D1" w:rsidR="56F0CE86" w:rsidRDefault="001C149D" w:rsidP="005D717B">
      <w:pPr>
        <w:spacing w:line="240" w:lineRule="auto"/>
        <w:ind w:left="720" w:right="720" w:hanging="720"/>
        <w:rPr>
          <w:rFonts w:ascii="Times New Roman" w:eastAsia="Times New Roman" w:hAnsi="Times New Roman" w:cs="Times New Roman"/>
        </w:rPr>
      </w:pPr>
      <w:proofErr w:type="spellStart"/>
      <w:r w:rsidRPr="56F0CE86">
        <w:rPr>
          <w:rFonts w:ascii="Times New Roman" w:eastAsia="Times New Roman" w:hAnsi="Times New Roman" w:cs="Times New Roman"/>
        </w:rPr>
        <w:t>Reksoprodjo</w:t>
      </w:r>
      <w:proofErr w:type="spellEnd"/>
      <w:r w:rsidRPr="56F0CE86">
        <w:rPr>
          <w:rFonts w:ascii="Times New Roman" w:eastAsia="Times New Roman" w:hAnsi="Times New Roman" w:cs="Times New Roman"/>
        </w:rPr>
        <w:t xml:space="preserve">, A., A., </w:t>
      </w:r>
      <w:proofErr w:type="spellStart"/>
      <w:r w:rsidRPr="56F0CE86">
        <w:rPr>
          <w:rFonts w:ascii="Times New Roman" w:eastAsia="Times New Roman" w:hAnsi="Times New Roman" w:cs="Times New Roman"/>
        </w:rPr>
        <w:t>Rafqi</w:t>
      </w:r>
      <w:proofErr w:type="spellEnd"/>
      <w:r w:rsidRPr="56F0CE86">
        <w:rPr>
          <w:rFonts w:ascii="Times New Roman" w:eastAsia="Times New Roman" w:hAnsi="Times New Roman" w:cs="Times New Roman"/>
        </w:rPr>
        <w:t>, H., &amp; Khadijah, M. (</w:t>
      </w:r>
      <w:r w:rsidR="7B3085B3" w:rsidRPr="56F0CE86">
        <w:rPr>
          <w:rFonts w:ascii="Times New Roman" w:eastAsia="Times New Roman" w:hAnsi="Times New Roman" w:cs="Times New Roman"/>
        </w:rPr>
        <w:t>2022</w:t>
      </w:r>
      <w:r w:rsidRPr="56F0CE86">
        <w:rPr>
          <w:rFonts w:ascii="Times New Roman" w:eastAsia="Times New Roman" w:hAnsi="Times New Roman" w:cs="Times New Roman"/>
        </w:rPr>
        <w:t>)</w:t>
      </w:r>
      <w:r w:rsidR="3ED28F09" w:rsidRPr="56F0CE86">
        <w:rPr>
          <w:rFonts w:ascii="Times New Roman" w:eastAsia="Times New Roman" w:hAnsi="Times New Roman" w:cs="Times New Roman"/>
        </w:rPr>
        <w:t xml:space="preserve">. Comparison of porter’s generic strategies in Indonesia’s fashion retail companies: A case study. </w:t>
      </w:r>
      <w:r w:rsidR="3ED28F09" w:rsidRPr="56F0CE86">
        <w:rPr>
          <w:rFonts w:ascii="Times New Roman" w:eastAsia="Times New Roman" w:hAnsi="Times New Roman" w:cs="Times New Roman"/>
          <w:i/>
          <w:iCs/>
        </w:rPr>
        <w:t>Pr</w:t>
      </w:r>
      <w:r w:rsidR="2D3201A0" w:rsidRPr="56F0CE86">
        <w:rPr>
          <w:rFonts w:ascii="Times New Roman" w:eastAsia="Times New Roman" w:hAnsi="Times New Roman" w:cs="Times New Roman"/>
          <w:i/>
          <w:iCs/>
        </w:rPr>
        <w:t>oceedings of the 5</w:t>
      </w:r>
      <w:r w:rsidR="2D3201A0" w:rsidRPr="56F0CE86">
        <w:rPr>
          <w:rFonts w:ascii="Times New Roman" w:eastAsia="Times New Roman" w:hAnsi="Times New Roman" w:cs="Times New Roman"/>
          <w:i/>
          <w:iCs/>
          <w:vertAlign w:val="superscript"/>
        </w:rPr>
        <w:t>th</w:t>
      </w:r>
      <w:r w:rsidR="2D3201A0" w:rsidRPr="56F0CE86">
        <w:rPr>
          <w:rFonts w:ascii="Times New Roman" w:eastAsia="Times New Roman" w:hAnsi="Times New Roman" w:cs="Times New Roman"/>
          <w:i/>
          <w:iCs/>
        </w:rPr>
        <w:t xml:space="preserve"> European international Conference on Industrial Engineering and Operations Management Rome</w:t>
      </w:r>
      <w:r w:rsidR="2D3201A0" w:rsidRPr="56F0CE86">
        <w:rPr>
          <w:rFonts w:ascii="Times New Roman" w:eastAsia="Times New Roman" w:hAnsi="Times New Roman" w:cs="Times New Roman"/>
        </w:rPr>
        <w:t xml:space="preserve">. </w:t>
      </w:r>
    </w:p>
    <w:p w14:paraId="4F6BF4D4" w14:textId="7428CC89" w:rsidR="56F0CE86" w:rsidRDefault="56F0CE86" w:rsidP="56F0CE86">
      <w:pPr>
        <w:spacing w:line="480" w:lineRule="auto"/>
        <w:ind w:left="720" w:right="720" w:hanging="720"/>
        <w:rPr>
          <w:rFonts w:ascii="Times New Roman" w:eastAsia="Times New Roman" w:hAnsi="Times New Roman" w:cs="Times New Roman"/>
        </w:rPr>
      </w:pPr>
    </w:p>
    <w:sectPr w:rsidR="56F0CE8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22FC5" w14:textId="77777777" w:rsidR="000827BD" w:rsidRDefault="000827BD">
      <w:pPr>
        <w:spacing w:after="0" w:line="240" w:lineRule="auto"/>
      </w:pPr>
      <w:r>
        <w:separator/>
      </w:r>
    </w:p>
  </w:endnote>
  <w:endnote w:type="continuationSeparator" w:id="0">
    <w:p w14:paraId="585631C9" w14:textId="77777777" w:rsidR="000827BD" w:rsidRDefault="00082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B76A0B" w14:paraId="1F5E3FC5" w14:textId="77777777" w:rsidTr="56F0CE86">
      <w:trPr>
        <w:trHeight w:val="300"/>
      </w:trPr>
      <w:tc>
        <w:tcPr>
          <w:tcW w:w="3120" w:type="dxa"/>
        </w:tcPr>
        <w:p w14:paraId="7B765E3A" w14:textId="0022B9C9" w:rsidR="56F0CE86" w:rsidRDefault="56F0CE86" w:rsidP="56F0CE86">
          <w:pPr>
            <w:pStyle w:val="Header"/>
            <w:ind w:left="-115"/>
          </w:pPr>
        </w:p>
      </w:tc>
      <w:tc>
        <w:tcPr>
          <w:tcW w:w="3120" w:type="dxa"/>
        </w:tcPr>
        <w:p w14:paraId="44F33138" w14:textId="723F37DC" w:rsidR="56F0CE86" w:rsidRDefault="56F0CE86" w:rsidP="56F0CE86">
          <w:pPr>
            <w:pStyle w:val="Header"/>
            <w:jc w:val="center"/>
          </w:pPr>
        </w:p>
      </w:tc>
      <w:tc>
        <w:tcPr>
          <w:tcW w:w="3120" w:type="dxa"/>
        </w:tcPr>
        <w:p w14:paraId="1D9C9703" w14:textId="287758B6" w:rsidR="56F0CE86" w:rsidRDefault="56F0CE86" w:rsidP="56F0CE86">
          <w:pPr>
            <w:pStyle w:val="Header"/>
            <w:ind w:right="-115"/>
            <w:jc w:val="right"/>
          </w:pPr>
        </w:p>
      </w:tc>
    </w:tr>
  </w:tbl>
  <w:p w14:paraId="4F4F6187" w14:textId="33BE29B1" w:rsidR="56F0CE86" w:rsidRDefault="56F0CE86" w:rsidP="56F0C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3DAA3" w14:textId="77777777" w:rsidR="000827BD" w:rsidRDefault="000827BD">
      <w:pPr>
        <w:spacing w:after="0" w:line="240" w:lineRule="auto"/>
      </w:pPr>
      <w:r>
        <w:separator/>
      </w:r>
    </w:p>
  </w:footnote>
  <w:footnote w:type="continuationSeparator" w:id="0">
    <w:p w14:paraId="112D9B5D" w14:textId="77777777" w:rsidR="000827BD" w:rsidRDefault="00082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605002148"/>
      <w:docPartObj>
        <w:docPartGallery w:val="Page Numbers (Top of Page)"/>
        <w:docPartUnique/>
      </w:docPartObj>
    </w:sdtPr>
    <w:sdtEndPr>
      <w:rPr>
        <w:rFonts w:asciiTheme="minorHAnsi" w:hAnsiTheme="minorHAnsi" w:cstheme="minorBidi"/>
        <w:noProof/>
      </w:rPr>
    </w:sdtEndPr>
    <w:sdtContent>
      <w:p w14:paraId="0E7A046A" w14:textId="7D77A24C" w:rsidR="00973F94" w:rsidRDefault="00D831DB">
        <w:pPr>
          <w:pStyle w:val="Header"/>
          <w:jc w:val="right"/>
        </w:pPr>
        <w:r w:rsidRPr="00D831DB">
          <w:rPr>
            <w:rFonts w:ascii="Times New Roman" w:hAnsi="Times New Roman" w:cs="Times New Roman"/>
          </w:rPr>
          <w:t xml:space="preserve"> Comparison of Corinthia Hotels and Ibis Hotels </w:t>
        </w:r>
        <w:r w:rsidR="00973F94">
          <w:fldChar w:fldCharType="begin"/>
        </w:r>
        <w:r w:rsidR="00973F94">
          <w:instrText xml:space="preserve"> PAGE   \* MERGEFORMAT </w:instrText>
        </w:r>
        <w:r w:rsidR="00973F94">
          <w:fldChar w:fldCharType="separate"/>
        </w:r>
        <w:r w:rsidR="005D717B">
          <w:rPr>
            <w:noProof/>
          </w:rPr>
          <w:t>11</w:t>
        </w:r>
        <w:r w:rsidR="00973F94">
          <w:rPr>
            <w:noProof/>
          </w:rPr>
          <w:fldChar w:fldCharType="end"/>
        </w:r>
      </w:p>
    </w:sdtContent>
  </w:sdt>
  <w:p w14:paraId="1F24D5AC" w14:textId="041A2F72" w:rsidR="56F0CE86" w:rsidRDefault="56F0CE86" w:rsidP="56F0CE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2762CC"/>
    <w:rsid w:val="000827BD"/>
    <w:rsid w:val="000E10E3"/>
    <w:rsid w:val="001C149D"/>
    <w:rsid w:val="00291EE8"/>
    <w:rsid w:val="00313F8E"/>
    <w:rsid w:val="00492424"/>
    <w:rsid w:val="0058A870"/>
    <w:rsid w:val="005D717B"/>
    <w:rsid w:val="00643D4C"/>
    <w:rsid w:val="009152B7"/>
    <w:rsid w:val="0095D782"/>
    <w:rsid w:val="00973F94"/>
    <w:rsid w:val="009F6F64"/>
    <w:rsid w:val="00AC1CE6"/>
    <w:rsid w:val="00B76A0B"/>
    <w:rsid w:val="00BB0D8C"/>
    <w:rsid w:val="00D831DB"/>
    <w:rsid w:val="00F57B9C"/>
    <w:rsid w:val="0160DCFA"/>
    <w:rsid w:val="0161F5BF"/>
    <w:rsid w:val="016475E3"/>
    <w:rsid w:val="01E7D252"/>
    <w:rsid w:val="025D6BDD"/>
    <w:rsid w:val="029DA3FE"/>
    <w:rsid w:val="03939BBB"/>
    <w:rsid w:val="03AE1E63"/>
    <w:rsid w:val="041AFE00"/>
    <w:rsid w:val="048A27B0"/>
    <w:rsid w:val="04E422B4"/>
    <w:rsid w:val="050A9DA6"/>
    <w:rsid w:val="053E7229"/>
    <w:rsid w:val="056ABD0E"/>
    <w:rsid w:val="05A384EF"/>
    <w:rsid w:val="05BDC12B"/>
    <w:rsid w:val="05DAD7A6"/>
    <w:rsid w:val="06256B31"/>
    <w:rsid w:val="06496780"/>
    <w:rsid w:val="066C07C5"/>
    <w:rsid w:val="067FCBD7"/>
    <w:rsid w:val="06916B55"/>
    <w:rsid w:val="06999B3E"/>
    <w:rsid w:val="06CB20B4"/>
    <w:rsid w:val="06F160AD"/>
    <w:rsid w:val="07201E90"/>
    <w:rsid w:val="077446E7"/>
    <w:rsid w:val="07791B17"/>
    <w:rsid w:val="07FD63ED"/>
    <w:rsid w:val="081B9C38"/>
    <w:rsid w:val="0830A6C8"/>
    <w:rsid w:val="084E68B6"/>
    <w:rsid w:val="08649430"/>
    <w:rsid w:val="0864F17F"/>
    <w:rsid w:val="08F4C817"/>
    <w:rsid w:val="09134D49"/>
    <w:rsid w:val="09404033"/>
    <w:rsid w:val="0950B914"/>
    <w:rsid w:val="09948EEB"/>
    <w:rsid w:val="09CD83D5"/>
    <w:rsid w:val="0A01B367"/>
    <w:rsid w:val="0A0A221C"/>
    <w:rsid w:val="0A20AF30"/>
    <w:rsid w:val="0ADDE848"/>
    <w:rsid w:val="0B0159DC"/>
    <w:rsid w:val="0B44E958"/>
    <w:rsid w:val="0B9DBCF6"/>
    <w:rsid w:val="0BA007EB"/>
    <w:rsid w:val="0BA75DC7"/>
    <w:rsid w:val="0BDAB12F"/>
    <w:rsid w:val="0C0AE4B2"/>
    <w:rsid w:val="0C0DC1DB"/>
    <w:rsid w:val="0CE45058"/>
    <w:rsid w:val="0D350069"/>
    <w:rsid w:val="0D365ED1"/>
    <w:rsid w:val="0D3ABB6A"/>
    <w:rsid w:val="0D62404E"/>
    <w:rsid w:val="0D9B4E43"/>
    <w:rsid w:val="0DB996F2"/>
    <w:rsid w:val="0DE3886B"/>
    <w:rsid w:val="0E51AD23"/>
    <w:rsid w:val="0E6C4001"/>
    <w:rsid w:val="0EE8E044"/>
    <w:rsid w:val="0F276F71"/>
    <w:rsid w:val="0FE3F245"/>
    <w:rsid w:val="108879E3"/>
    <w:rsid w:val="1102E9E8"/>
    <w:rsid w:val="12073574"/>
    <w:rsid w:val="1261FC56"/>
    <w:rsid w:val="128EB6D1"/>
    <w:rsid w:val="129FCDAA"/>
    <w:rsid w:val="134A9A5F"/>
    <w:rsid w:val="13551120"/>
    <w:rsid w:val="13954C4F"/>
    <w:rsid w:val="14307504"/>
    <w:rsid w:val="14523910"/>
    <w:rsid w:val="14B34620"/>
    <w:rsid w:val="14DCDA11"/>
    <w:rsid w:val="153196A5"/>
    <w:rsid w:val="15719149"/>
    <w:rsid w:val="15CC4565"/>
    <w:rsid w:val="1612D7F8"/>
    <w:rsid w:val="1701FF57"/>
    <w:rsid w:val="1746919F"/>
    <w:rsid w:val="178576BE"/>
    <w:rsid w:val="181897A5"/>
    <w:rsid w:val="1839081F"/>
    <w:rsid w:val="1861D381"/>
    <w:rsid w:val="189DCFB8"/>
    <w:rsid w:val="18C5852B"/>
    <w:rsid w:val="18E2CD22"/>
    <w:rsid w:val="1906E53A"/>
    <w:rsid w:val="191049B1"/>
    <w:rsid w:val="1A4DF786"/>
    <w:rsid w:val="1AA0B2F1"/>
    <w:rsid w:val="1AB1F4CF"/>
    <w:rsid w:val="1B5825ED"/>
    <w:rsid w:val="1B8D3738"/>
    <w:rsid w:val="1BA3A7A6"/>
    <w:rsid w:val="1BC08EA9"/>
    <w:rsid w:val="1BDE131B"/>
    <w:rsid w:val="1BE1FB10"/>
    <w:rsid w:val="1C0A5170"/>
    <w:rsid w:val="1C36E8CA"/>
    <w:rsid w:val="1C9E5567"/>
    <w:rsid w:val="1D0C7942"/>
    <w:rsid w:val="1D33AC13"/>
    <w:rsid w:val="1D4EBFB8"/>
    <w:rsid w:val="1D55607B"/>
    <w:rsid w:val="1D896307"/>
    <w:rsid w:val="1DC5B138"/>
    <w:rsid w:val="1DE53F98"/>
    <w:rsid w:val="1E176DB7"/>
    <w:rsid w:val="1E602775"/>
    <w:rsid w:val="1EC0A7B7"/>
    <w:rsid w:val="1FF84499"/>
    <w:rsid w:val="2005CB9B"/>
    <w:rsid w:val="2066E006"/>
    <w:rsid w:val="207900D1"/>
    <w:rsid w:val="213495E3"/>
    <w:rsid w:val="216DB88B"/>
    <w:rsid w:val="21BE28B7"/>
    <w:rsid w:val="21D43F34"/>
    <w:rsid w:val="22084AA5"/>
    <w:rsid w:val="220957DE"/>
    <w:rsid w:val="226AFBA0"/>
    <w:rsid w:val="22A2773B"/>
    <w:rsid w:val="23291C2D"/>
    <w:rsid w:val="2354E430"/>
    <w:rsid w:val="23989D8E"/>
    <w:rsid w:val="23CA5B73"/>
    <w:rsid w:val="23E231BF"/>
    <w:rsid w:val="24538906"/>
    <w:rsid w:val="24AFFEA4"/>
    <w:rsid w:val="24B38A79"/>
    <w:rsid w:val="25236FA4"/>
    <w:rsid w:val="254A78D9"/>
    <w:rsid w:val="25789ED0"/>
    <w:rsid w:val="25A16D72"/>
    <w:rsid w:val="25FDD1B7"/>
    <w:rsid w:val="26648A68"/>
    <w:rsid w:val="26BE63C1"/>
    <w:rsid w:val="26EF76C3"/>
    <w:rsid w:val="271B6A03"/>
    <w:rsid w:val="27431DCD"/>
    <w:rsid w:val="282AF231"/>
    <w:rsid w:val="284E61A0"/>
    <w:rsid w:val="286D2699"/>
    <w:rsid w:val="289C2E67"/>
    <w:rsid w:val="28A2CDC7"/>
    <w:rsid w:val="29452BDB"/>
    <w:rsid w:val="297D5DF7"/>
    <w:rsid w:val="29859AD6"/>
    <w:rsid w:val="29A7A04A"/>
    <w:rsid w:val="2A2F3048"/>
    <w:rsid w:val="2A3E9E28"/>
    <w:rsid w:val="2A7ABE8F"/>
    <w:rsid w:val="2A8C56B5"/>
    <w:rsid w:val="2AC24FCC"/>
    <w:rsid w:val="2ACF49D3"/>
    <w:rsid w:val="2B462745"/>
    <w:rsid w:val="2B609FAF"/>
    <w:rsid w:val="2C35FD56"/>
    <w:rsid w:val="2C4C8698"/>
    <w:rsid w:val="2C994DFE"/>
    <w:rsid w:val="2C9AED28"/>
    <w:rsid w:val="2CAE5CC9"/>
    <w:rsid w:val="2CDD2DA9"/>
    <w:rsid w:val="2D3201A0"/>
    <w:rsid w:val="2DC1A1EA"/>
    <w:rsid w:val="2E038D56"/>
    <w:rsid w:val="2E3B5015"/>
    <w:rsid w:val="2FAFF184"/>
    <w:rsid w:val="30CDA771"/>
    <w:rsid w:val="30EE0652"/>
    <w:rsid w:val="313827AD"/>
    <w:rsid w:val="318C21BC"/>
    <w:rsid w:val="31BC3F65"/>
    <w:rsid w:val="32961B45"/>
    <w:rsid w:val="32AC6217"/>
    <w:rsid w:val="32B1EDA0"/>
    <w:rsid w:val="32D3F80E"/>
    <w:rsid w:val="32FBD547"/>
    <w:rsid w:val="339C0915"/>
    <w:rsid w:val="33A12713"/>
    <w:rsid w:val="33BDCAA5"/>
    <w:rsid w:val="33C42B0F"/>
    <w:rsid w:val="33C8FF3F"/>
    <w:rsid w:val="33DFD114"/>
    <w:rsid w:val="34266632"/>
    <w:rsid w:val="34F41715"/>
    <w:rsid w:val="352C078D"/>
    <w:rsid w:val="358A4026"/>
    <w:rsid w:val="35C5CDFB"/>
    <w:rsid w:val="36536EEC"/>
    <w:rsid w:val="37261087"/>
    <w:rsid w:val="3743D2E6"/>
    <w:rsid w:val="37FF7E05"/>
    <w:rsid w:val="381D989B"/>
    <w:rsid w:val="3845120A"/>
    <w:rsid w:val="38926AB8"/>
    <w:rsid w:val="3956A6EE"/>
    <w:rsid w:val="39911609"/>
    <w:rsid w:val="399B75A4"/>
    <w:rsid w:val="39DCBD75"/>
    <w:rsid w:val="39DEB1BE"/>
    <w:rsid w:val="3A281857"/>
    <w:rsid w:val="3A8DAA9E"/>
    <w:rsid w:val="3B40C722"/>
    <w:rsid w:val="3B4E4058"/>
    <w:rsid w:val="3B78F1C8"/>
    <w:rsid w:val="3C2C6DF9"/>
    <w:rsid w:val="3C658FBF"/>
    <w:rsid w:val="3CDCC959"/>
    <w:rsid w:val="3CEE0FC3"/>
    <w:rsid w:val="3D18832D"/>
    <w:rsid w:val="3D5AC822"/>
    <w:rsid w:val="3DA077D2"/>
    <w:rsid w:val="3DA2A95C"/>
    <w:rsid w:val="3DB74844"/>
    <w:rsid w:val="3DEAFC09"/>
    <w:rsid w:val="3DF3B35E"/>
    <w:rsid w:val="3E3BBBAC"/>
    <w:rsid w:val="3ED28F09"/>
    <w:rsid w:val="3F404025"/>
    <w:rsid w:val="3F78708E"/>
    <w:rsid w:val="3F8D7AD5"/>
    <w:rsid w:val="3FA40C81"/>
    <w:rsid w:val="3FE128D5"/>
    <w:rsid w:val="3FE2503B"/>
    <w:rsid w:val="3FF00870"/>
    <w:rsid w:val="4045998B"/>
    <w:rsid w:val="405981CD"/>
    <w:rsid w:val="4132A078"/>
    <w:rsid w:val="41B03A7C"/>
    <w:rsid w:val="4296D558"/>
    <w:rsid w:val="4318C997"/>
    <w:rsid w:val="43D617A0"/>
    <w:rsid w:val="43DD5C8A"/>
    <w:rsid w:val="43E3CA01"/>
    <w:rsid w:val="4417FE5B"/>
    <w:rsid w:val="443D2D8D"/>
    <w:rsid w:val="446A19FC"/>
    <w:rsid w:val="4474BC18"/>
    <w:rsid w:val="4523C14A"/>
    <w:rsid w:val="4555687E"/>
    <w:rsid w:val="455DDCEF"/>
    <w:rsid w:val="45B5251C"/>
    <w:rsid w:val="45DC39A3"/>
    <w:rsid w:val="46A63D16"/>
    <w:rsid w:val="46BF91AB"/>
    <w:rsid w:val="47137CB7"/>
    <w:rsid w:val="4718D98C"/>
    <w:rsid w:val="478DA8C5"/>
    <w:rsid w:val="47CC5A60"/>
    <w:rsid w:val="4830D79A"/>
    <w:rsid w:val="48312A1F"/>
    <w:rsid w:val="48383840"/>
    <w:rsid w:val="486ABAD0"/>
    <w:rsid w:val="48886B21"/>
    <w:rsid w:val="4889C6ED"/>
    <w:rsid w:val="48E99E7E"/>
    <w:rsid w:val="48FB70FF"/>
    <w:rsid w:val="494138B5"/>
    <w:rsid w:val="49CCA7FB"/>
    <w:rsid w:val="49D71A9F"/>
    <w:rsid w:val="49DBEA94"/>
    <w:rsid w:val="49E5D058"/>
    <w:rsid w:val="4B4DA738"/>
    <w:rsid w:val="4B82B226"/>
    <w:rsid w:val="4B8B40C1"/>
    <w:rsid w:val="4BEDEF59"/>
    <w:rsid w:val="4C3311C1"/>
    <w:rsid w:val="4C4333D3"/>
    <w:rsid w:val="4CEBF63C"/>
    <w:rsid w:val="4D083A34"/>
    <w:rsid w:val="4D1788E6"/>
    <w:rsid w:val="4DC348E1"/>
    <w:rsid w:val="4E0D30A6"/>
    <w:rsid w:val="4E77B9BB"/>
    <w:rsid w:val="4F25A072"/>
    <w:rsid w:val="4FA68CFC"/>
    <w:rsid w:val="503F315C"/>
    <w:rsid w:val="5061712B"/>
    <w:rsid w:val="5073A327"/>
    <w:rsid w:val="508DEEE1"/>
    <w:rsid w:val="50A924AC"/>
    <w:rsid w:val="50BE0D16"/>
    <w:rsid w:val="5128FFEA"/>
    <w:rsid w:val="51566DA6"/>
    <w:rsid w:val="51A485AE"/>
    <w:rsid w:val="51B63D2A"/>
    <w:rsid w:val="526DAC21"/>
    <w:rsid w:val="527A7FC7"/>
    <w:rsid w:val="52DCB2B0"/>
    <w:rsid w:val="52DFB79A"/>
    <w:rsid w:val="52FB48F5"/>
    <w:rsid w:val="5340560F"/>
    <w:rsid w:val="536CEC5A"/>
    <w:rsid w:val="536D95F4"/>
    <w:rsid w:val="53A6B2B4"/>
    <w:rsid w:val="53BC2330"/>
    <w:rsid w:val="548E0E68"/>
    <w:rsid w:val="54D2F349"/>
    <w:rsid w:val="5541D29A"/>
    <w:rsid w:val="557E329B"/>
    <w:rsid w:val="5596AE32"/>
    <w:rsid w:val="55D267C3"/>
    <w:rsid w:val="55D780D9"/>
    <w:rsid w:val="561222C5"/>
    <w:rsid w:val="5661588C"/>
    <w:rsid w:val="5665AEAA"/>
    <w:rsid w:val="567AFD3C"/>
    <w:rsid w:val="56AAF433"/>
    <w:rsid w:val="56B4075C"/>
    <w:rsid w:val="56F0CE86"/>
    <w:rsid w:val="56FD3065"/>
    <w:rsid w:val="57548810"/>
    <w:rsid w:val="5879735C"/>
    <w:rsid w:val="588AEB9C"/>
    <w:rsid w:val="58A23A74"/>
    <w:rsid w:val="58D35C52"/>
    <w:rsid w:val="58F670EE"/>
    <w:rsid w:val="592713B0"/>
    <w:rsid w:val="5940093C"/>
    <w:rsid w:val="594DFE80"/>
    <w:rsid w:val="598229D7"/>
    <w:rsid w:val="59875246"/>
    <w:rsid w:val="59B65B23"/>
    <w:rsid w:val="5A4D7C36"/>
    <w:rsid w:val="5A7CE639"/>
    <w:rsid w:val="5AE5F88F"/>
    <w:rsid w:val="5B33C730"/>
    <w:rsid w:val="5B38F88F"/>
    <w:rsid w:val="5B41ECCC"/>
    <w:rsid w:val="5BCA19E0"/>
    <w:rsid w:val="5BF23B86"/>
    <w:rsid w:val="5C1311D8"/>
    <w:rsid w:val="5C1355BC"/>
    <w:rsid w:val="5C5076D1"/>
    <w:rsid w:val="5C8C98E3"/>
    <w:rsid w:val="5D0EAF66"/>
    <w:rsid w:val="5D2B25FD"/>
    <w:rsid w:val="5D45E205"/>
    <w:rsid w:val="5E079EBB"/>
    <w:rsid w:val="5E15E535"/>
    <w:rsid w:val="5E93A677"/>
    <w:rsid w:val="5EAF9F01"/>
    <w:rsid w:val="5F0C5CBE"/>
    <w:rsid w:val="5F39EE78"/>
    <w:rsid w:val="5F55DB6F"/>
    <w:rsid w:val="5F60438F"/>
    <w:rsid w:val="5F6750A1"/>
    <w:rsid w:val="5F999B66"/>
    <w:rsid w:val="5FA5FED2"/>
    <w:rsid w:val="5FF57D95"/>
    <w:rsid w:val="6033831D"/>
    <w:rsid w:val="60704580"/>
    <w:rsid w:val="6077E889"/>
    <w:rsid w:val="608CF8B7"/>
    <w:rsid w:val="609D8B03"/>
    <w:rsid w:val="60C48402"/>
    <w:rsid w:val="60D53539"/>
    <w:rsid w:val="6106DAAE"/>
    <w:rsid w:val="618B15C5"/>
    <w:rsid w:val="61B4A835"/>
    <w:rsid w:val="61C4C60C"/>
    <w:rsid w:val="61C6B3B2"/>
    <w:rsid w:val="61E22089"/>
    <w:rsid w:val="61EF3A71"/>
    <w:rsid w:val="62052DAF"/>
    <w:rsid w:val="620C6EF5"/>
    <w:rsid w:val="6238B2D9"/>
    <w:rsid w:val="6240F3D5"/>
    <w:rsid w:val="62DD9F94"/>
    <w:rsid w:val="6330A7CE"/>
    <w:rsid w:val="6343626F"/>
    <w:rsid w:val="63C3D865"/>
    <w:rsid w:val="641A8C55"/>
    <w:rsid w:val="64367144"/>
    <w:rsid w:val="6478D61F"/>
    <w:rsid w:val="64F15655"/>
    <w:rsid w:val="6521B86E"/>
    <w:rsid w:val="65916CA0"/>
    <w:rsid w:val="65BC1A33"/>
    <w:rsid w:val="65C35E33"/>
    <w:rsid w:val="66455E8B"/>
    <w:rsid w:val="6683F1D0"/>
    <w:rsid w:val="668CD4FA"/>
    <w:rsid w:val="66ACE230"/>
    <w:rsid w:val="67099AC1"/>
    <w:rsid w:val="671414A4"/>
    <w:rsid w:val="6728E3A3"/>
    <w:rsid w:val="67CA767D"/>
    <w:rsid w:val="67D2DEB7"/>
    <w:rsid w:val="681E0CFA"/>
    <w:rsid w:val="688F7797"/>
    <w:rsid w:val="68A236CC"/>
    <w:rsid w:val="68C3686E"/>
    <w:rsid w:val="690CD561"/>
    <w:rsid w:val="697C579F"/>
    <w:rsid w:val="6A01EE82"/>
    <w:rsid w:val="6A511C0F"/>
    <w:rsid w:val="6A540793"/>
    <w:rsid w:val="6A59BE77"/>
    <w:rsid w:val="6A5F38CF"/>
    <w:rsid w:val="6AAAE2C1"/>
    <w:rsid w:val="6AEC6DC1"/>
    <w:rsid w:val="6B0409DF"/>
    <w:rsid w:val="6B19F7F1"/>
    <w:rsid w:val="6C32F32D"/>
    <w:rsid w:val="6C673C25"/>
    <w:rsid w:val="6CB562E2"/>
    <w:rsid w:val="6CD7DBE9"/>
    <w:rsid w:val="6DA4CC77"/>
    <w:rsid w:val="6DB6984B"/>
    <w:rsid w:val="6DB90CDC"/>
    <w:rsid w:val="6DFEEFB4"/>
    <w:rsid w:val="6E9818B5"/>
    <w:rsid w:val="6EB4951C"/>
    <w:rsid w:val="6ED566FD"/>
    <w:rsid w:val="6F25AF0E"/>
    <w:rsid w:val="6FE0D53F"/>
    <w:rsid w:val="700F7CAB"/>
    <w:rsid w:val="70704B75"/>
    <w:rsid w:val="708079F7"/>
    <w:rsid w:val="70AB1F37"/>
    <w:rsid w:val="70ABF418"/>
    <w:rsid w:val="70EDA810"/>
    <w:rsid w:val="71395D95"/>
    <w:rsid w:val="7153851F"/>
    <w:rsid w:val="71582E08"/>
    <w:rsid w:val="71D97720"/>
    <w:rsid w:val="71E47091"/>
    <w:rsid w:val="72974FAA"/>
    <w:rsid w:val="7381F969"/>
    <w:rsid w:val="73BAB42A"/>
    <w:rsid w:val="74095451"/>
    <w:rsid w:val="7498990F"/>
    <w:rsid w:val="74B22613"/>
    <w:rsid w:val="75E0837C"/>
    <w:rsid w:val="76025D0F"/>
    <w:rsid w:val="7648B4C4"/>
    <w:rsid w:val="765277ED"/>
    <w:rsid w:val="76795586"/>
    <w:rsid w:val="76F8AFB8"/>
    <w:rsid w:val="77535687"/>
    <w:rsid w:val="777632B4"/>
    <w:rsid w:val="786656E7"/>
    <w:rsid w:val="7869F5A7"/>
    <w:rsid w:val="78DF9D2B"/>
    <w:rsid w:val="78EF26E8"/>
    <w:rsid w:val="792B471D"/>
    <w:rsid w:val="79971C9C"/>
    <w:rsid w:val="7A8D1E3B"/>
    <w:rsid w:val="7A91DF7B"/>
    <w:rsid w:val="7A9F7D6A"/>
    <w:rsid w:val="7AA63875"/>
    <w:rsid w:val="7AD88EE1"/>
    <w:rsid w:val="7B07192C"/>
    <w:rsid w:val="7B2762CC"/>
    <w:rsid w:val="7B3085B3"/>
    <w:rsid w:val="7BECFB9A"/>
    <w:rsid w:val="7C3B4DCB"/>
    <w:rsid w:val="7C4DF29D"/>
    <w:rsid w:val="7C8BE2D7"/>
    <w:rsid w:val="7D619670"/>
    <w:rsid w:val="7D6A8B8A"/>
    <w:rsid w:val="7D9E6788"/>
    <w:rsid w:val="7E10665F"/>
    <w:rsid w:val="7E27B338"/>
    <w:rsid w:val="7E6C8F02"/>
    <w:rsid w:val="7EACC537"/>
    <w:rsid w:val="7F9EFFDA"/>
    <w:rsid w:val="7FF12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62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6F0CE86"/>
    <w:rPr>
      <w:lang w:val="en-GB"/>
    </w:rPr>
  </w:style>
  <w:style w:type="paragraph" w:styleId="Heading1">
    <w:name w:val="heading 1"/>
    <w:basedOn w:val="Normal"/>
    <w:next w:val="Normal"/>
    <w:link w:val="Heading1Char"/>
    <w:uiPriority w:val="9"/>
    <w:qFormat/>
    <w:rsid w:val="56F0C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6F0C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6F0C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6F0C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6F0C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6F0C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6F0C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6F0CE8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6F0CE8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6F0CE86"/>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56F0CE86"/>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56F0CE86"/>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56F0CE86"/>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56F0CE86"/>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56F0CE86"/>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56F0CE86"/>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56F0CE86"/>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56F0CE86"/>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56F0CE86"/>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56F0CE86"/>
    <w:pPr>
      <w:spacing w:after="80"/>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56F0CE86"/>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56F0CE86"/>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56F0CE86"/>
    <w:rPr>
      <w:i/>
      <w:iCs/>
      <w:noProof w:val="0"/>
      <w:color w:val="404040" w:themeColor="text1" w:themeTint="BF"/>
      <w:lang w:val="en-GB"/>
    </w:rPr>
  </w:style>
  <w:style w:type="paragraph" w:styleId="Quote">
    <w:name w:val="Quote"/>
    <w:basedOn w:val="Normal"/>
    <w:next w:val="Normal"/>
    <w:link w:val="QuoteChar"/>
    <w:uiPriority w:val="29"/>
    <w:qFormat/>
    <w:rsid w:val="56F0CE86"/>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56F0CE86"/>
    <w:rPr>
      <w:i/>
      <w:iCs/>
      <w:noProof w:val="0"/>
      <w:color w:val="0F4761" w:themeColor="accent1" w:themeShade="BF"/>
      <w:lang w:val="en-GB"/>
    </w:rPr>
  </w:style>
  <w:style w:type="paragraph" w:styleId="IntenseQuote">
    <w:name w:val="Intense Quote"/>
    <w:basedOn w:val="Normal"/>
    <w:next w:val="Normal"/>
    <w:link w:val="IntenseQuoteChar"/>
    <w:uiPriority w:val="30"/>
    <w:qFormat/>
    <w:rsid w:val="56F0CE86"/>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6F0CE86"/>
    <w:pPr>
      <w:ind w:left="720"/>
      <w:contextualSpacing/>
    </w:pPr>
  </w:style>
  <w:style w:type="paragraph" w:styleId="TOC1">
    <w:name w:val="toc 1"/>
    <w:basedOn w:val="Normal"/>
    <w:next w:val="Normal"/>
    <w:uiPriority w:val="39"/>
    <w:unhideWhenUsed/>
    <w:rsid w:val="56F0CE86"/>
    <w:pPr>
      <w:spacing w:after="100"/>
    </w:pPr>
  </w:style>
  <w:style w:type="paragraph" w:styleId="TOC2">
    <w:name w:val="toc 2"/>
    <w:basedOn w:val="Normal"/>
    <w:next w:val="Normal"/>
    <w:uiPriority w:val="39"/>
    <w:unhideWhenUsed/>
    <w:rsid w:val="56F0CE86"/>
    <w:pPr>
      <w:spacing w:after="100"/>
      <w:ind w:left="220"/>
    </w:pPr>
  </w:style>
  <w:style w:type="paragraph" w:styleId="TOC3">
    <w:name w:val="toc 3"/>
    <w:basedOn w:val="Normal"/>
    <w:next w:val="Normal"/>
    <w:uiPriority w:val="39"/>
    <w:unhideWhenUsed/>
    <w:rsid w:val="56F0CE86"/>
    <w:pPr>
      <w:spacing w:after="100"/>
      <w:ind w:left="440"/>
    </w:pPr>
  </w:style>
  <w:style w:type="paragraph" w:styleId="TOC4">
    <w:name w:val="toc 4"/>
    <w:basedOn w:val="Normal"/>
    <w:next w:val="Normal"/>
    <w:uiPriority w:val="39"/>
    <w:unhideWhenUsed/>
    <w:rsid w:val="56F0CE86"/>
    <w:pPr>
      <w:spacing w:after="100"/>
      <w:ind w:left="660"/>
    </w:pPr>
  </w:style>
  <w:style w:type="paragraph" w:styleId="TOC5">
    <w:name w:val="toc 5"/>
    <w:basedOn w:val="Normal"/>
    <w:next w:val="Normal"/>
    <w:uiPriority w:val="39"/>
    <w:unhideWhenUsed/>
    <w:rsid w:val="56F0CE86"/>
    <w:pPr>
      <w:spacing w:after="100"/>
      <w:ind w:left="880"/>
    </w:pPr>
  </w:style>
  <w:style w:type="paragraph" w:styleId="TOC6">
    <w:name w:val="toc 6"/>
    <w:basedOn w:val="Normal"/>
    <w:next w:val="Normal"/>
    <w:uiPriority w:val="39"/>
    <w:unhideWhenUsed/>
    <w:rsid w:val="56F0CE86"/>
    <w:pPr>
      <w:spacing w:after="100"/>
      <w:ind w:left="1100"/>
    </w:pPr>
  </w:style>
  <w:style w:type="paragraph" w:styleId="TOC7">
    <w:name w:val="toc 7"/>
    <w:basedOn w:val="Normal"/>
    <w:next w:val="Normal"/>
    <w:uiPriority w:val="39"/>
    <w:unhideWhenUsed/>
    <w:rsid w:val="56F0CE86"/>
    <w:pPr>
      <w:spacing w:after="100"/>
      <w:ind w:left="1320"/>
    </w:pPr>
  </w:style>
  <w:style w:type="paragraph" w:styleId="TOC8">
    <w:name w:val="toc 8"/>
    <w:basedOn w:val="Normal"/>
    <w:next w:val="Normal"/>
    <w:uiPriority w:val="39"/>
    <w:unhideWhenUsed/>
    <w:rsid w:val="56F0CE86"/>
    <w:pPr>
      <w:spacing w:after="100"/>
      <w:ind w:left="1540"/>
    </w:pPr>
  </w:style>
  <w:style w:type="paragraph" w:styleId="TOC9">
    <w:name w:val="toc 9"/>
    <w:basedOn w:val="Normal"/>
    <w:next w:val="Normal"/>
    <w:uiPriority w:val="39"/>
    <w:unhideWhenUsed/>
    <w:rsid w:val="56F0CE86"/>
    <w:pPr>
      <w:spacing w:after="100"/>
      <w:ind w:left="1760"/>
    </w:pPr>
  </w:style>
  <w:style w:type="paragraph" w:styleId="EndnoteText">
    <w:name w:val="endnote text"/>
    <w:basedOn w:val="Normal"/>
    <w:link w:val="EndnoteTextChar"/>
    <w:uiPriority w:val="99"/>
    <w:semiHidden/>
    <w:unhideWhenUsed/>
    <w:rsid w:val="56F0CE86"/>
    <w:pPr>
      <w:spacing w:after="0"/>
    </w:pPr>
    <w:rPr>
      <w:sz w:val="20"/>
      <w:szCs w:val="20"/>
    </w:rPr>
  </w:style>
  <w:style w:type="character" w:customStyle="1" w:styleId="EndnoteTextChar">
    <w:name w:val="Endnote Text Char"/>
    <w:basedOn w:val="DefaultParagraphFont"/>
    <w:link w:val="EndnoteText"/>
    <w:uiPriority w:val="99"/>
    <w:semiHidden/>
    <w:rsid w:val="56F0CE86"/>
    <w:rPr>
      <w:noProof w:val="0"/>
      <w:sz w:val="20"/>
      <w:szCs w:val="20"/>
      <w:lang w:val="en-GB"/>
    </w:rPr>
  </w:style>
  <w:style w:type="paragraph" w:styleId="Footer">
    <w:name w:val="footer"/>
    <w:basedOn w:val="Normal"/>
    <w:link w:val="FooterChar"/>
    <w:uiPriority w:val="99"/>
    <w:unhideWhenUsed/>
    <w:rsid w:val="56F0CE86"/>
    <w:pPr>
      <w:tabs>
        <w:tab w:val="center" w:pos="4680"/>
        <w:tab w:val="right" w:pos="9360"/>
      </w:tabs>
      <w:spacing w:after="0"/>
    </w:pPr>
  </w:style>
  <w:style w:type="character" w:customStyle="1" w:styleId="FooterChar">
    <w:name w:val="Footer Char"/>
    <w:basedOn w:val="DefaultParagraphFont"/>
    <w:link w:val="Footer"/>
    <w:uiPriority w:val="99"/>
    <w:rsid w:val="56F0CE86"/>
    <w:rPr>
      <w:noProof w:val="0"/>
      <w:lang w:val="en-GB"/>
    </w:rPr>
  </w:style>
  <w:style w:type="paragraph" w:styleId="FootnoteText">
    <w:name w:val="footnote text"/>
    <w:basedOn w:val="Normal"/>
    <w:link w:val="FootnoteTextChar"/>
    <w:uiPriority w:val="99"/>
    <w:semiHidden/>
    <w:unhideWhenUsed/>
    <w:rsid w:val="56F0CE86"/>
    <w:pPr>
      <w:spacing w:after="0"/>
    </w:pPr>
    <w:rPr>
      <w:sz w:val="20"/>
      <w:szCs w:val="20"/>
    </w:rPr>
  </w:style>
  <w:style w:type="character" w:customStyle="1" w:styleId="FootnoteTextChar">
    <w:name w:val="Footnote Text Char"/>
    <w:basedOn w:val="DefaultParagraphFont"/>
    <w:link w:val="FootnoteText"/>
    <w:uiPriority w:val="99"/>
    <w:semiHidden/>
    <w:rsid w:val="56F0CE86"/>
    <w:rPr>
      <w:noProof w:val="0"/>
      <w:sz w:val="20"/>
      <w:szCs w:val="20"/>
      <w:lang w:val="en-GB"/>
    </w:rPr>
  </w:style>
  <w:style w:type="paragraph" w:styleId="Header">
    <w:name w:val="header"/>
    <w:basedOn w:val="Normal"/>
    <w:link w:val="HeaderChar"/>
    <w:uiPriority w:val="99"/>
    <w:unhideWhenUsed/>
    <w:rsid w:val="56F0CE86"/>
    <w:pPr>
      <w:tabs>
        <w:tab w:val="center" w:pos="4680"/>
        <w:tab w:val="right" w:pos="9360"/>
      </w:tabs>
      <w:spacing w:after="0"/>
    </w:pPr>
  </w:style>
  <w:style w:type="character" w:customStyle="1" w:styleId="HeaderChar">
    <w:name w:val="Header Char"/>
    <w:basedOn w:val="DefaultParagraphFont"/>
    <w:link w:val="Header"/>
    <w:uiPriority w:val="99"/>
    <w:rsid w:val="56F0CE86"/>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2769</Words>
  <Characters>15788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2024-01-30T22:29:00Z</dcterms:created>
  <dcterms:modified xsi:type="dcterms:W3CDTF">2024-01-30T22:29:00Z</dcterms:modified>
</cp:coreProperties>
</file>