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1B4C58F3">
      <w:r w:rsidR="2473E008">
        <w:rPr/>
        <w:t xml:space="preserve">Title page </w:t>
      </w:r>
    </w:p>
    <w:p w:rsidR="562DF963" w:rsidRDefault="562DF963" w14:paraId="567A9BDA" w14:textId="28AF1D1B"/>
    <w:p w:rsidR="562DF963" w:rsidRDefault="562DF963" w14:paraId="786FF097" w14:textId="5A6565C3"/>
    <w:p w:rsidR="562DF963" w:rsidRDefault="562DF963" w14:paraId="1F65FF5B" w14:textId="50578EB2"/>
    <w:p w:rsidR="562DF963" w:rsidRDefault="562DF963" w14:paraId="663ECBE6" w14:textId="2F7E0D10"/>
    <w:p w:rsidR="562DF963" w:rsidRDefault="562DF963" w14:paraId="2F2D5E1A" w14:textId="0E8442C0"/>
    <w:p w:rsidR="562DF963" w:rsidRDefault="562DF963" w14:paraId="61C5E596" w14:textId="1BD1B7FE"/>
    <w:p w:rsidR="562DF963" w:rsidRDefault="562DF963" w14:paraId="59A272B4" w14:textId="25F01CB3"/>
    <w:p w:rsidR="562DF963" w:rsidRDefault="562DF963" w14:paraId="3B64F632" w14:textId="19D9B965"/>
    <w:p w:rsidR="562DF963" w:rsidRDefault="562DF963" w14:paraId="636577FE" w14:textId="6B220873">
      <w:r>
        <w:br w:type="page"/>
      </w:r>
    </w:p>
    <w:p w:rsidR="66708807" w:rsidP="562DF963" w:rsidRDefault="66708807" w14:paraId="1F375DBB" w14:textId="3632A32F">
      <w:pPr>
        <w:pStyle w:val="Normal"/>
      </w:pPr>
      <w:r w:rsidR="66708807">
        <w:rPr/>
        <w:t>Table of contents</w:t>
      </w:r>
    </w:p>
    <w:p w:rsidR="562DF963" w:rsidP="562DF963" w:rsidRDefault="562DF963" w14:paraId="28DE36BD" w14:textId="7C1292ED">
      <w:pPr>
        <w:pStyle w:val="Normal"/>
      </w:pPr>
    </w:p>
    <w:sdt>
      <w:sdtPr>
        <w:id w:val="1179486653"/>
        <w:docPartObj>
          <w:docPartGallery w:val="Table of Contents"/>
          <w:docPartUnique/>
        </w:docPartObj>
      </w:sdtPr>
      <w:sdtContent>
        <w:p w:rsidR="562DF963" w:rsidP="562DF963" w:rsidRDefault="562DF963" w14:paraId="3F40C6BB" w14:textId="7D58C6FD">
          <w:pPr>
            <w:pStyle w:val="TOC1"/>
            <w:tabs>
              <w:tab w:val="right" w:leader="dot" w:pos="9015"/>
            </w:tabs>
            <w:bidi w:val="0"/>
            <w:rPr>
              <w:rStyle w:val="Hyperlink"/>
            </w:rPr>
          </w:pPr>
          <w:r>
            <w:fldChar w:fldCharType="begin"/>
          </w:r>
          <w:r>
            <w:instrText xml:space="preserve">TOC \o "1-9" \z \u \h</w:instrText>
          </w:r>
          <w:r>
            <w:fldChar w:fldCharType="separate"/>
          </w:r>
          <w:hyperlink w:anchor="_Toc1326319547">
            <w:r w:rsidRPr="64C58D3E" w:rsidR="64C58D3E">
              <w:rPr>
                <w:rStyle w:val="Hyperlink"/>
              </w:rPr>
              <w:t>Introduction</w:t>
            </w:r>
            <w:r>
              <w:tab/>
            </w:r>
            <w:r>
              <w:fldChar w:fldCharType="begin"/>
            </w:r>
            <w:r>
              <w:instrText xml:space="preserve">PAGEREF _Toc1326319547 \h</w:instrText>
            </w:r>
            <w:r>
              <w:fldChar w:fldCharType="separate"/>
            </w:r>
            <w:r w:rsidRPr="64C58D3E" w:rsidR="64C58D3E">
              <w:rPr>
                <w:rStyle w:val="Hyperlink"/>
              </w:rPr>
              <w:t>3</w:t>
            </w:r>
            <w:r>
              <w:fldChar w:fldCharType="end"/>
            </w:r>
          </w:hyperlink>
        </w:p>
        <w:p w:rsidR="562DF963" w:rsidP="562DF963" w:rsidRDefault="562DF963" w14:paraId="4AD1980A" w14:textId="1F3FB37B">
          <w:pPr>
            <w:pStyle w:val="TOC1"/>
            <w:tabs>
              <w:tab w:val="right" w:leader="dot" w:pos="9015"/>
            </w:tabs>
            <w:bidi w:val="0"/>
            <w:rPr>
              <w:rStyle w:val="Hyperlink"/>
            </w:rPr>
          </w:pPr>
          <w:hyperlink w:anchor="_Toc1385685268">
            <w:r w:rsidRPr="64C58D3E" w:rsidR="64C58D3E">
              <w:rPr>
                <w:rStyle w:val="Hyperlink"/>
              </w:rPr>
              <w:t>Brand and country overview</w:t>
            </w:r>
            <w:r>
              <w:tab/>
            </w:r>
            <w:r>
              <w:fldChar w:fldCharType="begin"/>
            </w:r>
            <w:r>
              <w:instrText xml:space="preserve">PAGEREF _Toc1385685268 \h</w:instrText>
            </w:r>
            <w:r>
              <w:fldChar w:fldCharType="separate"/>
            </w:r>
            <w:r w:rsidRPr="64C58D3E" w:rsidR="64C58D3E">
              <w:rPr>
                <w:rStyle w:val="Hyperlink"/>
              </w:rPr>
              <w:t>3</w:t>
            </w:r>
            <w:r>
              <w:fldChar w:fldCharType="end"/>
            </w:r>
          </w:hyperlink>
        </w:p>
        <w:p w:rsidR="562DF963" w:rsidP="63D1CEA7" w:rsidRDefault="562DF963" w14:paraId="1AAD116E" w14:textId="450A7D20">
          <w:pPr>
            <w:pStyle w:val="TOC2"/>
            <w:tabs>
              <w:tab w:val="right" w:leader="dot" w:pos="9015"/>
            </w:tabs>
            <w:bidi w:val="0"/>
            <w:rPr>
              <w:rStyle w:val="Hyperlink"/>
            </w:rPr>
          </w:pPr>
          <w:hyperlink w:anchor="_Toc1115188853">
            <w:r w:rsidRPr="64C58D3E" w:rsidR="64C58D3E">
              <w:rPr>
                <w:rStyle w:val="Hyperlink"/>
              </w:rPr>
              <w:t>The Coca-Cola company</w:t>
            </w:r>
            <w:r>
              <w:tab/>
            </w:r>
            <w:r>
              <w:fldChar w:fldCharType="begin"/>
            </w:r>
            <w:r>
              <w:instrText xml:space="preserve">PAGEREF _Toc1115188853 \h</w:instrText>
            </w:r>
            <w:r>
              <w:fldChar w:fldCharType="separate"/>
            </w:r>
            <w:r w:rsidRPr="64C58D3E" w:rsidR="64C58D3E">
              <w:rPr>
                <w:rStyle w:val="Hyperlink"/>
              </w:rPr>
              <w:t>4</w:t>
            </w:r>
            <w:r>
              <w:fldChar w:fldCharType="end"/>
            </w:r>
          </w:hyperlink>
        </w:p>
        <w:p w:rsidR="562DF963" w:rsidP="63D1CEA7" w:rsidRDefault="562DF963" w14:paraId="01624C63" w14:textId="591AA86D">
          <w:pPr>
            <w:pStyle w:val="TOC2"/>
            <w:tabs>
              <w:tab w:val="right" w:leader="dot" w:pos="9015"/>
            </w:tabs>
            <w:bidi w:val="0"/>
            <w:rPr>
              <w:rStyle w:val="Hyperlink"/>
            </w:rPr>
          </w:pPr>
          <w:hyperlink w:anchor="_Toc1621460170">
            <w:r w:rsidRPr="64C58D3E" w:rsidR="64C58D3E">
              <w:rPr>
                <w:rStyle w:val="Hyperlink"/>
              </w:rPr>
              <w:t>Country selection and internationalisation</w:t>
            </w:r>
            <w:r>
              <w:tab/>
            </w:r>
            <w:r>
              <w:fldChar w:fldCharType="begin"/>
            </w:r>
            <w:r>
              <w:instrText xml:space="preserve">PAGEREF _Toc1621460170 \h</w:instrText>
            </w:r>
            <w:r>
              <w:fldChar w:fldCharType="separate"/>
            </w:r>
            <w:r w:rsidRPr="64C58D3E" w:rsidR="64C58D3E">
              <w:rPr>
                <w:rStyle w:val="Hyperlink"/>
              </w:rPr>
              <w:t>4</w:t>
            </w:r>
            <w:r>
              <w:fldChar w:fldCharType="end"/>
            </w:r>
          </w:hyperlink>
        </w:p>
        <w:p w:rsidR="562DF963" w:rsidP="562DF963" w:rsidRDefault="562DF963" w14:paraId="5B8DC951" w14:textId="078008CF">
          <w:pPr>
            <w:pStyle w:val="TOC1"/>
            <w:tabs>
              <w:tab w:val="right" w:leader="dot" w:pos="9015"/>
            </w:tabs>
            <w:bidi w:val="0"/>
            <w:rPr>
              <w:rStyle w:val="Hyperlink"/>
            </w:rPr>
          </w:pPr>
          <w:hyperlink w:anchor="_Toc818078830">
            <w:r w:rsidRPr="64C58D3E" w:rsidR="64C58D3E">
              <w:rPr>
                <w:rStyle w:val="Hyperlink"/>
              </w:rPr>
              <w:t>Comparison of the socio-cultural context of the US and Japan</w:t>
            </w:r>
            <w:r>
              <w:tab/>
            </w:r>
            <w:r>
              <w:fldChar w:fldCharType="begin"/>
            </w:r>
            <w:r>
              <w:instrText xml:space="preserve">PAGEREF _Toc818078830 \h</w:instrText>
            </w:r>
            <w:r>
              <w:fldChar w:fldCharType="separate"/>
            </w:r>
            <w:r w:rsidRPr="64C58D3E" w:rsidR="64C58D3E">
              <w:rPr>
                <w:rStyle w:val="Hyperlink"/>
              </w:rPr>
              <w:t>5</w:t>
            </w:r>
            <w:r>
              <w:fldChar w:fldCharType="end"/>
            </w:r>
          </w:hyperlink>
        </w:p>
        <w:p w:rsidR="562DF963" w:rsidP="4B9DBE76" w:rsidRDefault="562DF963" w14:paraId="50360ADD" w14:textId="35496551">
          <w:pPr>
            <w:pStyle w:val="TOC2"/>
            <w:tabs>
              <w:tab w:val="right" w:leader="dot" w:pos="9015"/>
            </w:tabs>
            <w:bidi w:val="0"/>
            <w:rPr>
              <w:rStyle w:val="Hyperlink"/>
            </w:rPr>
          </w:pPr>
          <w:hyperlink w:anchor="_Toc599333035">
            <w:r w:rsidRPr="64C58D3E" w:rsidR="64C58D3E">
              <w:rPr>
                <w:rStyle w:val="Hyperlink"/>
              </w:rPr>
              <w:t>PESTLE Analysis</w:t>
            </w:r>
            <w:r>
              <w:tab/>
            </w:r>
            <w:r>
              <w:fldChar w:fldCharType="begin"/>
            </w:r>
            <w:r>
              <w:instrText xml:space="preserve">PAGEREF _Toc599333035 \h</w:instrText>
            </w:r>
            <w:r>
              <w:fldChar w:fldCharType="separate"/>
            </w:r>
            <w:r w:rsidRPr="64C58D3E" w:rsidR="64C58D3E">
              <w:rPr>
                <w:rStyle w:val="Hyperlink"/>
              </w:rPr>
              <w:t>5</w:t>
            </w:r>
            <w:r>
              <w:fldChar w:fldCharType="end"/>
            </w:r>
          </w:hyperlink>
        </w:p>
        <w:p w:rsidR="562DF963" w:rsidP="64C58D3E" w:rsidRDefault="562DF963" w14:paraId="78A2A5B5" w14:textId="00928A27">
          <w:pPr>
            <w:pStyle w:val="TOC2"/>
            <w:tabs>
              <w:tab w:val="right" w:leader="dot" w:pos="9015"/>
            </w:tabs>
            <w:bidi w:val="0"/>
            <w:rPr>
              <w:rStyle w:val="Hyperlink"/>
            </w:rPr>
          </w:pPr>
          <w:hyperlink w:anchor="_Toc2101432690">
            <w:r w:rsidRPr="64C58D3E" w:rsidR="64C58D3E">
              <w:rPr>
                <w:rStyle w:val="Hyperlink"/>
              </w:rPr>
              <w:t>Political &amp; Legal</w:t>
            </w:r>
            <w:r>
              <w:tab/>
            </w:r>
            <w:r>
              <w:fldChar w:fldCharType="begin"/>
            </w:r>
            <w:r>
              <w:instrText xml:space="preserve">PAGEREF _Toc2101432690 \h</w:instrText>
            </w:r>
            <w:r>
              <w:fldChar w:fldCharType="separate"/>
            </w:r>
            <w:r w:rsidRPr="64C58D3E" w:rsidR="64C58D3E">
              <w:rPr>
                <w:rStyle w:val="Hyperlink"/>
              </w:rPr>
              <w:t>5</w:t>
            </w:r>
            <w:r>
              <w:fldChar w:fldCharType="end"/>
            </w:r>
          </w:hyperlink>
        </w:p>
        <w:p w:rsidR="562DF963" w:rsidP="64C58D3E" w:rsidRDefault="562DF963" w14:paraId="7A3D57A1" w14:textId="610D14C4">
          <w:pPr>
            <w:pStyle w:val="TOC2"/>
            <w:tabs>
              <w:tab w:val="right" w:leader="dot" w:pos="9015"/>
            </w:tabs>
            <w:bidi w:val="0"/>
            <w:rPr>
              <w:rStyle w:val="Hyperlink"/>
            </w:rPr>
          </w:pPr>
          <w:hyperlink w:anchor="_Toc1974456310">
            <w:r w:rsidRPr="64C58D3E" w:rsidR="64C58D3E">
              <w:rPr>
                <w:rStyle w:val="Hyperlink"/>
              </w:rPr>
              <w:t>Economic</w:t>
            </w:r>
            <w:r>
              <w:tab/>
            </w:r>
            <w:r>
              <w:fldChar w:fldCharType="begin"/>
            </w:r>
            <w:r>
              <w:instrText xml:space="preserve">PAGEREF _Toc1974456310 \h</w:instrText>
            </w:r>
            <w:r>
              <w:fldChar w:fldCharType="separate"/>
            </w:r>
            <w:r w:rsidRPr="64C58D3E" w:rsidR="64C58D3E">
              <w:rPr>
                <w:rStyle w:val="Hyperlink"/>
              </w:rPr>
              <w:t>6</w:t>
            </w:r>
            <w:r>
              <w:fldChar w:fldCharType="end"/>
            </w:r>
          </w:hyperlink>
        </w:p>
        <w:p w:rsidR="562DF963" w:rsidP="64C58D3E" w:rsidRDefault="562DF963" w14:paraId="7AC8F3E1" w14:textId="2047C6D5">
          <w:pPr>
            <w:pStyle w:val="TOC2"/>
            <w:tabs>
              <w:tab w:val="right" w:leader="dot" w:pos="9015"/>
            </w:tabs>
            <w:bidi w:val="0"/>
            <w:rPr>
              <w:rStyle w:val="Hyperlink"/>
            </w:rPr>
          </w:pPr>
          <w:hyperlink w:anchor="_Toc1601696948">
            <w:r w:rsidRPr="64C58D3E" w:rsidR="64C58D3E">
              <w:rPr>
                <w:rStyle w:val="Hyperlink"/>
              </w:rPr>
              <w:t>Social</w:t>
            </w:r>
            <w:r>
              <w:tab/>
            </w:r>
            <w:r>
              <w:fldChar w:fldCharType="begin"/>
            </w:r>
            <w:r>
              <w:instrText xml:space="preserve">PAGEREF _Toc1601696948 \h</w:instrText>
            </w:r>
            <w:r>
              <w:fldChar w:fldCharType="separate"/>
            </w:r>
            <w:r w:rsidRPr="64C58D3E" w:rsidR="64C58D3E">
              <w:rPr>
                <w:rStyle w:val="Hyperlink"/>
              </w:rPr>
              <w:t>6</w:t>
            </w:r>
            <w:r>
              <w:fldChar w:fldCharType="end"/>
            </w:r>
          </w:hyperlink>
        </w:p>
        <w:p w:rsidR="562DF963" w:rsidP="64C58D3E" w:rsidRDefault="562DF963" w14:paraId="04C1613C" w14:textId="389180CC">
          <w:pPr>
            <w:pStyle w:val="TOC2"/>
            <w:tabs>
              <w:tab w:val="right" w:leader="dot" w:pos="9015"/>
            </w:tabs>
            <w:bidi w:val="0"/>
            <w:rPr>
              <w:rStyle w:val="Hyperlink"/>
            </w:rPr>
          </w:pPr>
          <w:hyperlink w:anchor="_Toc549563624">
            <w:r w:rsidRPr="64C58D3E" w:rsidR="64C58D3E">
              <w:rPr>
                <w:rStyle w:val="Hyperlink"/>
              </w:rPr>
              <w:t>Technological</w:t>
            </w:r>
            <w:r>
              <w:tab/>
            </w:r>
            <w:r>
              <w:fldChar w:fldCharType="begin"/>
            </w:r>
            <w:r>
              <w:instrText xml:space="preserve">PAGEREF _Toc549563624 \h</w:instrText>
            </w:r>
            <w:r>
              <w:fldChar w:fldCharType="separate"/>
            </w:r>
            <w:r w:rsidRPr="64C58D3E" w:rsidR="64C58D3E">
              <w:rPr>
                <w:rStyle w:val="Hyperlink"/>
              </w:rPr>
              <w:t>7</w:t>
            </w:r>
            <w:r>
              <w:fldChar w:fldCharType="end"/>
            </w:r>
          </w:hyperlink>
        </w:p>
        <w:p w:rsidR="63D1CEA7" w:rsidP="64C58D3E" w:rsidRDefault="63D1CEA7" w14:paraId="019770B2" w14:textId="01F5F67B">
          <w:pPr>
            <w:pStyle w:val="TOC2"/>
            <w:tabs>
              <w:tab w:val="right" w:leader="dot" w:pos="9015"/>
            </w:tabs>
            <w:bidi w:val="0"/>
            <w:rPr>
              <w:rStyle w:val="Hyperlink"/>
            </w:rPr>
          </w:pPr>
          <w:hyperlink w:anchor="_Toc1211652118">
            <w:r w:rsidRPr="64C58D3E" w:rsidR="64C58D3E">
              <w:rPr>
                <w:rStyle w:val="Hyperlink"/>
              </w:rPr>
              <w:t>Environmental factors</w:t>
            </w:r>
            <w:r>
              <w:tab/>
            </w:r>
            <w:r>
              <w:fldChar w:fldCharType="begin"/>
            </w:r>
            <w:r>
              <w:instrText xml:space="preserve">PAGEREF _Toc1211652118 \h</w:instrText>
            </w:r>
            <w:r>
              <w:fldChar w:fldCharType="separate"/>
            </w:r>
            <w:r w:rsidRPr="64C58D3E" w:rsidR="64C58D3E">
              <w:rPr>
                <w:rStyle w:val="Hyperlink"/>
              </w:rPr>
              <w:t>7</w:t>
            </w:r>
            <w:r>
              <w:fldChar w:fldCharType="end"/>
            </w:r>
          </w:hyperlink>
        </w:p>
        <w:p w:rsidR="63D1CEA7" w:rsidP="64C58D3E" w:rsidRDefault="63D1CEA7" w14:paraId="5F023098" w14:textId="76635027">
          <w:pPr>
            <w:pStyle w:val="TOC2"/>
            <w:tabs>
              <w:tab w:val="right" w:leader="dot" w:pos="9015"/>
            </w:tabs>
            <w:bidi w:val="0"/>
            <w:rPr>
              <w:rStyle w:val="Hyperlink"/>
            </w:rPr>
          </w:pPr>
          <w:hyperlink w:anchor="_Toc617505446">
            <w:r w:rsidRPr="64C58D3E" w:rsidR="64C58D3E">
              <w:rPr>
                <w:rStyle w:val="Hyperlink"/>
              </w:rPr>
              <w:t>Cultural comparison: Hofstede’s dimensions</w:t>
            </w:r>
            <w:r>
              <w:tab/>
            </w:r>
            <w:r>
              <w:fldChar w:fldCharType="begin"/>
            </w:r>
            <w:r>
              <w:instrText xml:space="preserve">PAGEREF _Toc617505446 \h</w:instrText>
            </w:r>
            <w:r>
              <w:fldChar w:fldCharType="separate"/>
            </w:r>
            <w:r w:rsidRPr="64C58D3E" w:rsidR="64C58D3E">
              <w:rPr>
                <w:rStyle w:val="Hyperlink"/>
              </w:rPr>
              <w:t>8</w:t>
            </w:r>
            <w:r>
              <w:fldChar w:fldCharType="end"/>
            </w:r>
          </w:hyperlink>
        </w:p>
        <w:p w:rsidR="4B9DBE76" w:rsidP="64C58D3E" w:rsidRDefault="4B9DBE76" w14:paraId="2FCB9A4D" w14:textId="5AF4EDE5">
          <w:pPr>
            <w:pStyle w:val="TOC3"/>
            <w:tabs>
              <w:tab w:val="right" w:leader="dot" w:pos="9015"/>
            </w:tabs>
            <w:bidi w:val="0"/>
            <w:rPr>
              <w:rStyle w:val="Hyperlink"/>
            </w:rPr>
          </w:pPr>
          <w:hyperlink w:anchor="_Toc1863734288">
            <w:r w:rsidRPr="64C58D3E" w:rsidR="64C58D3E">
              <w:rPr>
                <w:rStyle w:val="Hyperlink"/>
              </w:rPr>
              <w:t>Critical Evaluation</w:t>
            </w:r>
            <w:r>
              <w:tab/>
            </w:r>
            <w:r>
              <w:fldChar w:fldCharType="begin"/>
            </w:r>
            <w:r>
              <w:instrText xml:space="preserve">PAGEREF _Toc1863734288 \h</w:instrText>
            </w:r>
            <w:r>
              <w:fldChar w:fldCharType="separate"/>
            </w:r>
            <w:r w:rsidRPr="64C58D3E" w:rsidR="64C58D3E">
              <w:rPr>
                <w:rStyle w:val="Hyperlink"/>
              </w:rPr>
              <w:t>9</w:t>
            </w:r>
            <w:r>
              <w:fldChar w:fldCharType="end"/>
            </w:r>
          </w:hyperlink>
        </w:p>
        <w:p w:rsidR="64C58D3E" w:rsidP="64C58D3E" w:rsidRDefault="64C58D3E" w14:paraId="1A2BC05B" w14:textId="57D70E78">
          <w:pPr>
            <w:pStyle w:val="TOC1"/>
            <w:tabs>
              <w:tab w:val="right" w:leader="dot" w:pos="9015"/>
            </w:tabs>
            <w:bidi w:val="0"/>
            <w:rPr>
              <w:rStyle w:val="Hyperlink"/>
            </w:rPr>
          </w:pPr>
          <w:hyperlink w:anchor="_Toc1776019680">
            <w:r w:rsidRPr="64C58D3E" w:rsidR="64C58D3E">
              <w:rPr>
                <w:rStyle w:val="Hyperlink"/>
              </w:rPr>
              <w:t>STP Strategies</w:t>
            </w:r>
            <w:r>
              <w:tab/>
            </w:r>
            <w:r>
              <w:fldChar w:fldCharType="begin"/>
            </w:r>
            <w:r>
              <w:instrText xml:space="preserve">PAGEREF _Toc1776019680 \h</w:instrText>
            </w:r>
            <w:r>
              <w:fldChar w:fldCharType="separate"/>
            </w:r>
            <w:r w:rsidRPr="64C58D3E" w:rsidR="64C58D3E">
              <w:rPr>
                <w:rStyle w:val="Hyperlink"/>
              </w:rPr>
              <w:t>10</w:t>
            </w:r>
            <w:r>
              <w:fldChar w:fldCharType="end"/>
            </w:r>
          </w:hyperlink>
        </w:p>
        <w:p w:rsidR="64C58D3E" w:rsidP="64C58D3E" w:rsidRDefault="64C58D3E" w14:paraId="55B5AB4E" w14:textId="588149A6">
          <w:pPr>
            <w:pStyle w:val="TOC2"/>
            <w:tabs>
              <w:tab w:val="right" w:leader="dot" w:pos="9015"/>
            </w:tabs>
            <w:bidi w:val="0"/>
            <w:rPr>
              <w:rStyle w:val="Hyperlink"/>
            </w:rPr>
          </w:pPr>
          <w:hyperlink w:anchor="_Toc829320065">
            <w:r w:rsidRPr="64C58D3E" w:rsidR="64C58D3E">
              <w:rPr>
                <w:rStyle w:val="Hyperlink"/>
              </w:rPr>
              <w:t>Segmentation</w:t>
            </w:r>
            <w:r>
              <w:tab/>
            </w:r>
            <w:r>
              <w:fldChar w:fldCharType="begin"/>
            </w:r>
            <w:r>
              <w:instrText xml:space="preserve">PAGEREF _Toc829320065 \h</w:instrText>
            </w:r>
            <w:r>
              <w:fldChar w:fldCharType="separate"/>
            </w:r>
            <w:r w:rsidRPr="64C58D3E" w:rsidR="64C58D3E">
              <w:rPr>
                <w:rStyle w:val="Hyperlink"/>
              </w:rPr>
              <w:t>10</w:t>
            </w:r>
            <w:r>
              <w:fldChar w:fldCharType="end"/>
            </w:r>
          </w:hyperlink>
        </w:p>
        <w:p w:rsidR="64C58D3E" w:rsidP="64C58D3E" w:rsidRDefault="64C58D3E" w14:paraId="426E7607" w14:textId="414E1D7F">
          <w:pPr>
            <w:pStyle w:val="TOC2"/>
            <w:tabs>
              <w:tab w:val="right" w:leader="dot" w:pos="9015"/>
            </w:tabs>
            <w:bidi w:val="0"/>
            <w:rPr>
              <w:rStyle w:val="Hyperlink"/>
            </w:rPr>
          </w:pPr>
          <w:hyperlink w:anchor="_Toc393621984">
            <w:r w:rsidRPr="64C58D3E" w:rsidR="64C58D3E">
              <w:rPr>
                <w:rStyle w:val="Hyperlink"/>
              </w:rPr>
              <w:t>Target Market</w:t>
            </w:r>
            <w:r>
              <w:tab/>
            </w:r>
            <w:r>
              <w:fldChar w:fldCharType="begin"/>
            </w:r>
            <w:r>
              <w:instrText xml:space="preserve">PAGEREF _Toc393621984 \h</w:instrText>
            </w:r>
            <w:r>
              <w:fldChar w:fldCharType="separate"/>
            </w:r>
            <w:r w:rsidRPr="64C58D3E" w:rsidR="64C58D3E">
              <w:rPr>
                <w:rStyle w:val="Hyperlink"/>
              </w:rPr>
              <w:t>11</w:t>
            </w:r>
            <w:r>
              <w:fldChar w:fldCharType="end"/>
            </w:r>
          </w:hyperlink>
        </w:p>
        <w:p w:rsidR="64C58D3E" w:rsidP="64C58D3E" w:rsidRDefault="64C58D3E" w14:paraId="10F388E7" w14:textId="6E7455B4">
          <w:pPr>
            <w:pStyle w:val="TOC2"/>
            <w:tabs>
              <w:tab w:val="right" w:leader="dot" w:pos="9015"/>
            </w:tabs>
            <w:bidi w:val="0"/>
            <w:rPr>
              <w:rStyle w:val="Hyperlink"/>
            </w:rPr>
          </w:pPr>
          <w:hyperlink w:anchor="_Toc286003750">
            <w:r w:rsidRPr="64C58D3E" w:rsidR="64C58D3E">
              <w:rPr>
                <w:rStyle w:val="Hyperlink"/>
              </w:rPr>
              <w:t>Positioning</w:t>
            </w:r>
            <w:r>
              <w:tab/>
            </w:r>
            <w:r>
              <w:fldChar w:fldCharType="begin"/>
            </w:r>
            <w:r>
              <w:instrText xml:space="preserve">PAGEREF _Toc286003750 \h</w:instrText>
            </w:r>
            <w:r>
              <w:fldChar w:fldCharType="separate"/>
            </w:r>
            <w:r w:rsidRPr="64C58D3E" w:rsidR="64C58D3E">
              <w:rPr>
                <w:rStyle w:val="Hyperlink"/>
              </w:rPr>
              <w:t>13</w:t>
            </w:r>
            <w:r>
              <w:fldChar w:fldCharType="end"/>
            </w:r>
          </w:hyperlink>
        </w:p>
        <w:p w:rsidR="64C58D3E" w:rsidP="64C58D3E" w:rsidRDefault="64C58D3E" w14:paraId="0B0F6FD5" w14:textId="09D45741">
          <w:pPr>
            <w:pStyle w:val="TOC1"/>
            <w:tabs>
              <w:tab w:val="right" w:leader="dot" w:pos="9015"/>
            </w:tabs>
            <w:bidi w:val="0"/>
            <w:rPr>
              <w:rStyle w:val="Hyperlink"/>
            </w:rPr>
          </w:pPr>
          <w:hyperlink w:anchor="_Toc870180350">
            <w:r w:rsidRPr="64C58D3E" w:rsidR="64C58D3E">
              <w:rPr>
                <w:rStyle w:val="Hyperlink"/>
              </w:rPr>
              <w:t>Marketing Mix</w:t>
            </w:r>
            <w:r>
              <w:tab/>
            </w:r>
            <w:r>
              <w:fldChar w:fldCharType="begin"/>
            </w:r>
            <w:r>
              <w:instrText xml:space="preserve">PAGEREF _Toc870180350 \h</w:instrText>
            </w:r>
            <w:r>
              <w:fldChar w:fldCharType="separate"/>
            </w:r>
            <w:r w:rsidRPr="64C58D3E" w:rsidR="64C58D3E">
              <w:rPr>
                <w:rStyle w:val="Hyperlink"/>
              </w:rPr>
              <w:t>14</w:t>
            </w:r>
            <w:r>
              <w:fldChar w:fldCharType="end"/>
            </w:r>
          </w:hyperlink>
        </w:p>
        <w:p w:rsidR="64C58D3E" w:rsidP="64C58D3E" w:rsidRDefault="64C58D3E" w14:paraId="67AFD352" w14:textId="1A2B0796">
          <w:pPr>
            <w:pStyle w:val="TOC1"/>
            <w:tabs>
              <w:tab w:val="right" w:leader="dot" w:pos="9015"/>
            </w:tabs>
            <w:bidi w:val="0"/>
            <w:rPr>
              <w:rStyle w:val="Hyperlink"/>
            </w:rPr>
          </w:pPr>
          <w:hyperlink w:anchor="_Toc591681886">
            <w:r w:rsidRPr="64C58D3E" w:rsidR="64C58D3E">
              <w:rPr>
                <w:rStyle w:val="Hyperlink"/>
              </w:rPr>
              <w:t>Evaluation of success</w:t>
            </w:r>
            <w:r>
              <w:tab/>
            </w:r>
            <w:r>
              <w:fldChar w:fldCharType="begin"/>
            </w:r>
            <w:r>
              <w:instrText xml:space="preserve">PAGEREF _Toc591681886 \h</w:instrText>
            </w:r>
            <w:r>
              <w:fldChar w:fldCharType="separate"/>
            </w:r>
            <w:r w:rsidRPr="64C58D3E" w:rsidR="64C58D3E">
              <w:rPr>
                <w:rStyle w:val="Hyperlink"/>
              </w:rPr>
              <w:t>16</w:t>
            </w:r>
            <w:r>
              <w:fldChar w:fldCharType="end"/>
            </w:r>
          </w:hyperlink>
        </w:p>
        <w:p w:rsidR="64C58D3E" w:rsidP="64C58D3E" w:rsidRDefault="64C58D3E" w14:paraId="1B418C34" w14:textId="34391694">
          <w:pPr>
            <w:pStyle w:val="TOC1"/>
            <w:tabs>
              <w:tab w:val="right" w:leader="dot" w:pos="9015"/>
            </w:tabs>
            <w:bidi w:val="0"/>
            <w:rPr>
              <w:rStyle w:val="Hyperlink"/>
            </w:rPr>
          </w:pPr>
          <w:hyperlink w:anchor="_Toc341736188">
            <w:r w:rsidRPr="64C58D3E" w:rsidR="64C58D3E">
              <w:rPr>
                <w:rStyle w:val="Hyperlink"/>
              </w:rPr>
              <w:t>Ethical Issues</w:t>
            </w:r>
            <w:r>
              <w:tab/>
            </w:r>
            <w:r>
              <w:fldChar w:fldCharType="begin"/>
            </w:r>
            <w:r>
              <w:instrText xml:space="preserve">PAGEREF _Toc341736188 \h</w:instrText>
            </w:r>
            <w:r>
              <w:fldChar w:fldCharType="separate"/>
            </w:r>
            <w:r w:rsidRPr="64C58D3E" w:rsidR="64C58D3E">
              <w:rPr>
                <w:rStyle w:val="Hyperlink"/>
              </w:rPr>
              <w:t>17</w:t>
            </w:r>
            <w:r>
              <w:fldChar w:fldCharType="end"/>
            </w:r>
          </w:hyperlink>
        </w:p>
        <w:p w:rsidR="64C58D3E" w:rsidP="64C58D3E" w:rsidRDefault="64C58D3E" w14:paraId="12F721F3" w14:textId="7918A2A4">
          <w:pPr>
            <w:pStyle w:val="TOC1"/>
            <w:tabs>
              <w:tab w:val="right" w:leader="dot" w:pos="9015"/>
            </w:tabs>
            <w:bidi w:val="0"/>
            <w:rPr>
              <w:rStyle w:val="Hyperlink"/>
            </w:rPr>
          </w:pPr>
          <w:hyperlink w:anchor="_Toc1350775112">
            <w:r w:rsidRPr="64C58D3E" w:rsidR="64C58D3E">
              <w:rPr>
                <w:rStyle w:val="Hyperlink"/>
              </w:rPr>
              <w:t>Recommendations</w:t>
            </w:r>
            <w:r>
              <w:tab/>
            </w:r>
            <w:r>
              <w:fldChar w:fldCharType="begin"/>
            </w:r>
            <w:r>
              <w:instrText xml:space="preserve">PAGEREF _Toc1350775112 \h</w:instrText>
            </w:r>
            <w:r>
              <w:fldChar w:fldCharType="separate"/>
            </w:r>
            <w:r w:rsidRPr="64C58D3E" w:rsidR="64C58D3E">
              <w:rPr>
                <w:rStyle w:val="Hyperlink"/>
              </w:rPr>
              <w:t>17</w:t>
            </w:r>
            <w:r>
              <w:fldChar w:fldCharType="end"/>
            </w:r>
          </w:hyperlink>
        </w:p>
        <w:p w:rsidR="64C58D3E" w:rsidP="64C58D3E" w:rsidRDefault="64C58D3E" w14:paraId="46A4042F" w14:textId="28FF6F73">
          <w:pPr>
            <w:pStyle w:val="TOC1"/>
            <w:tabs>
              <w:tab w:val="right" w:leader="dot" w:pos="9015"/>
            </w:tabs>
            <w:bidi w:val="0"/>
            <w:rPr>
              <w:rStyle w:val="Hyperlink"/>
            </w:rPr>
          </w:pPr>
          <w:hyperlink w:anchor="_Toc563069972">
            <w:r w:rsidRPr="64C58D3E" w:rsidR="64C58D3E">
              <w:rPr>
                <w:rStyle w:val="Hyperlink"/>
              </w:rPr>
              <w:t>Conclusion</w:t>
            </w:r>
            <w:r>
              <w:tab/>
            </w:r>
            <w:r>
              <w:fldChar w:fldCharType="begin"/>
            </w:r>
            <w:r>
              <w:instrText xml:space="preserve">PAGEREF _Toc563069972 \h</w:instrText>
            </w:r>
            <w:r>
              <w:fldChar w:fldCharType="separate"/>
            </w:r>
            <w:r w:rsidRPr="64C58D3E" w:rsidR="64C58D3E">
              <w:rPr>
                <w:rStyle w:val="Hyperlink"/>
              </w:rPr>
              <w:t>18</w:t>
            </w:r>
            <w:r>
              <w:fldChar w:fldCharType="end"/>
            </w:r>
          </w:hyperlink>
        </w:p>
        <w:p w:rsidR="64C58D3E" w:rsidP="64C58D3E" w:rsidRDefault="64C58D3E" w14:paraId="17FA791C" w14:textId="1861B767">
          <w:pPr>
            <w:pStyle w:val="TOC1"/>
            <w:tabs>
              <w:tab w:val="right" w:leader="dot" w:pos="9015"/>
            </w:tabs>
            <w:bidi w:val="0"/>
            <w:rPr>
              <w:rStyle w:val="Hyperlink"/>
            </w:rPr>
          </w:pPr>
          <w:hyperlink w:anchor="_Toc2054068002">
            <w:r w:rsidRPr="64C58D3E" w:rsidR="64C58D3E">
              <w:rPr>
                <w:rStyle w:val="Hyperlink"/>
              </w:rPr>
              <w:t>References</w:t>
            </w:r>
            <w:r>
              <w:tab/>
            </w:r>
            <w:r>
              <w:fldChar w:fldCharType="begin"/>
            </w:r>
            <w:r>
              <w:instrText xml:space="preserve">PAGEREF _Toc2054068002 \h</w:instrText>
            </w:r>
            <w:r>
              <w:fldChar w:fldCharType="separate"/>
            </w:r>
            <w:r w:rsidRPr="64C58D3E" w:rsidR="64C58D3E">
              <w:rPr>
                <w:rStyle w:val="Hyperlink"/>
              </w:rPr>
              <w:t>19</w:t>
            </w:r>
            <w:r>
              <w:fldChar w:fldCharType="end"/>
            </w:r>
          </w:hyperlink>
          <w:r>
            <w:fldChar w:fldCharType="end"/>
          </w:r>
        </w:p>
      </w:sdtContent>
    </w:sdt>
    <w:p w:rsidR="562DF963" w:rsidP="562DF963" w:rsidRDefault="562DF963" w14:paraId="45ADB5F5" w14:textId="28AF9B06">
      <w:pPr>
        <w:pStyle w:val="Normal"/>
      </w:pPr>
    </w:p>
    <w:p w:rsidR="562DF963" w:rsidP="562DF963" w:rsidRDefault="562DF963" w14:paraId="090D299B" w14:textId="19CA20F5">
      <w:pPr>
        <w:pStyle w:val="Normal"/>
      </w:pPr>
    </w:p>
    <w:p w:rsidR="562DF963" w:rsidP="562DF963" w:rsidRDefault="562DF963" w14:paraId="471511BE" w14:textId="5E0335A2">
      <w:pPr>
        <w:pStyle w:val="Normal"/>
      </w:pPr>
    </w:p>
    <w:p w:rsidR="562DF963" w:rsidP="562DF963" w:rsidRDefault="562DF963" w14:paraId="67926787" w14:textId="48E0D712">
      <w:pPr>
        <w:pStyle w:val="Normal"/>
      </w:pPr>
    </w:p>
    <w:p w:rsidR="562DF963" w:rsidP="562DF963" w:rsidRDefault="562DF963" w14:paraId="63B21CAE" w14:textId="0C107B48">
      <w:pPr>
        <w:pStyle w:val="Normal"/>
      </w:pPr>
    </w:p>
    <w:p w:rsidR="562DF963" w:rsidP="562DF963" w:rsidRDefault="562DF963" w14:paraId="2D2A435D" w14:textId="633F455B">
      <w:pPr>
        <w:pStyle w:val="Normal"/>
      </w:pPr>
    </w:p>
    <w:p w:rsidR="562DF963" w:rsidP="562DF963" w:rsidRDefault="562DF963" w14:paraId="1F08E620" w14:textId="6EA8335D">
      <w:pPr>
        <w:pStyle w:val="Normal"/>
      </w:pPr>
    </w:p>
    <w:p w:rsidR="562DF963" w:rsidRDefault="562DF963" w14:paraId="477B055B" w14:textId="72362D12">
      <w:r>
        <w:br w:type="page"/>
      </w:r>
    </w:p>
    <w:p w:rsidR="5578792D" w:rsidP="562DF963" w:rsidRDefault="5578792D" w14:paraId="34AD991C" w14:textId="598404BC">
      <w:pPr>
        <w:pStyle w:val="Title"/>
        <w:bidi w:val="0"/>
      </w:pPr>
      <w:r w:rsidR="5578792D">
        <w:rPr/>
        <w:t xml:space="preserve">Global </w:t>
      </w:r>
      <w:r w:rsidR="6487BA10">
        <w:rPr/>
        <w:t>Dominance</w:t>
      </w:r>
      <w:r w:rsidR="5578792D">
        <w:rPr/>
        <w:t xml:space="preserve">, Local Stories: </w:t>
      </w:r>
      <w:r w:rsidR="4C174F36">
        <w:rPr/>
        <w:t>Coca-Cola</w:t>
      </w:r>
      <w:r w:rsidR="5578792D">
        <w:rPr/>
        <w:t xml:space="preserve">’s Adaption Strategies in the US and </w:t>
      </w:r>
      <w:r w:rsidR="3C48BD07">
        <w:rPr/>
        <w:t>Japan</w:t>
      </w:r>
    </w:p>
    <w:p w:rsidR="562DF963" w:rsidP="4B9DBE76" w:rsidRDefault="562DF963" w14:paraId="7BEE41DC" w14:textId="0F372B5F">
      <w:pPr>
        <w:pStyle w:val="Normal"/>
        <w:spacing w:line="360" w:lineRule="auto"/>
        <w:jc w:val="both"/>
        <w:rPr>
          <w:rFonts w:ascii="Arial" w:hAnsi="Arial" w:eastAsia="Arial" w:cs="Arial"/>
          <w:sz w:val="24"/>
          <w:szCs w:val="24"/>
        </w:rPr>
      </w:pPr>
    </w:p>
    <w:p w:rsidR="5578792D" w:rsidP="64C58D3E" w:rsidRDefault="5578792D" w14:paraId="42ABB33D" w14:textId="705E4DDD">
      <w:pPr>
        <w:pStyle w:val="Heading1"/>
        <w:spacing w:line="360" w:lineRule="auto"/>
        <w:jc w:val="both"/>
        <w:rPr>
          <w:rFonts w:ascii="Arial" w:hAnsi="Arial" w:eastAsia="Arial" w:cs="Arial"/>
          <w:b w:val="0"/>
          <w:bCs w:val="0"/>
          <w:color w:val="auto"/>
          <w:sz w:val="24"/>
          <w:szCs w:val="24"/>
        </w:rPr>
      </w:pPr>
      <w:bookmarkStart w:name="_Toc1326319547" w:id="399042342"/>
      <w:r w:rsidRPr="64C58D3E" w:rsidR="12DF1E76">
        <w:rPr>
          <w:rFonts w:ascii="Arial" w:hAnsi="Arial" w:eastAsia="Arial" w:cs="Arial"/>
          <w:b w:val="0"/>
          <w:bCs w:val="0"/>
          <w:color w:val="auto"/>
          <w:sz w:val="24"/>
          <w:szCs w:val="24"/>
        </w:rPr>
        <w:t>I</w:t>
      </w:r>
      <w:r w:rsidRPr="64C58D3E" w:rsidR="12DF1E76">
        <w:rPr>
          <w:rFonts w:ascii="Arial" w:hAnsi="Arial" w:eastAsia="Arial" w:cs="Arial"/>
          <w:b w:val="0"/>
          <w:bCs w:val="0"/>
          <w:color w:val="auto"/>
          <w:sz w:val="24"/>
          <w:szCs w:val="24"/>
        </w:rPr>
        <w:t>ntroduction</w:t>
      </w:r>
      <w:bookmarkEnd w:id="399042342"/>
    </w:p>
    <w:p w:rsidR="66CF96CE" w:rsidP="64C58D3E" w:rsidRDefault="66CF96CE" w14:paraId="4016123B" w14:textId="673BE13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6CF96CE">
        <w:rPr>
          <w:rFonts w:ascii="Arial" w:hAnsi="Arial" w:eastAsia="Arial" w:cs="Arial"/>
          <w:b w:val="0"/>
          <w:bCs w:val="0"/>
          <w:noProof w:val="0"/>
          <w:color w:val="auto"/>
          <w:sz w:val="24"/>
          <w:szCs w:val="24"/>
          <w:lang w:val="en-GB"/>
        </w:rPr>
        <w:t>In today’s globalised market, multinational corporations must balance a unified brand with local adaptation. The Coca-Cola Company exemplifies this challenge, blending global presence with cultural relevance</w:t>
      </w:r>
      <w:r w:rsidRPr="64C58D3E" w:rsidR="2F8B64F2">
        <w:rPr>
          <w:rFonts w:ascii="Arial" w:hAnsi="Arial" w:eastAsia="Arial" w:cs="Arial"/>
          <w:b w:val="0"/>
          <w:bCs w:val="0"/>
          <w:noProof w:val="0"/>
          <w:color w:val="auto"/>
          <w:sz w:val="24"/>
          <w:szCs w:val="24"/>
          <w:lang w:val="en-GB"/>
        </w:rPr>
        <w:t xml:space="preserve"> (Keyser and Neuman, 2023)</w:t>
      </w:r>
      <w:r w:rsidRPr="64C58D3E" w:rsidR="66CF96CE">
        <w:rPr>
          <w:rFonts w:ascii="Arial" w:hAnsi="Arial" w:eastAsia="Arial" w:cs="Arial"/>
          <w:b w:val="0"/>
          <w:bCs w:val="0"/>
          <w:noProof w:val="0"/>
          <w:color w:val="auto"/>
          <w:sz w:val="24"/>
          <w:szCs w:val="24"/>
          <w:lang w:val="en-GB"/>
        </w:rPr>
        <w:t xml:space="preserve">. This report critically evaluates and compares Coca-Cola’s marketing strategies in the United States and Japan, focusing on how the brand </w:t>
      </w:r>
      <w:r w:rsidRPr="64C58D3E" w:rsidR="66CF96CE">
        <w:rPr>
          <w:rFonts w:ascii="Arial" w:hAnsi="Arial" w:eastAsia="Arial" w:cs="Arial"/>
          <w:b w:val="0"/>
          <w:bCs w:val="0"/>
          <w:noProof w:val="0"/>
          <w:color w:val="auto"/>
          <w:sz w:val="24"/>
          <w:szCs w:val="24"/>
          <w:lang w:val="en-GB"/>
        </w:rPr>
        <w:t>maintains</w:t>
      </w:r>
      <w:r w:rsidRPr="64C58D3E" w:rsidR="66CF96CE">
        <w:rPr>
          <w:rFonts w:ascii="Arial" w:hAnsi="Arial" w:eastAsia="Arial" w:cs="Arial"/>
          <w:b w:val="0"/>
          <w:bCs w:val="0"/>
          <w:noProof w:val="0"/>
          <w:color w:val="auto"/>
          <w:sz w:val="24"/>
          <w:szCs w:val="24"/>
          <w:lang w:val="en-GB"/>
        </w:rPr>
        <w:t xml:space="preserve"> its global identity while adapting to local consumer needs. By examining these strategies, the report aims to </w:t>
      </w:r>
      <w:r w:rsidRPr="64C58D3E" w:rsidR="66CF96CE">
        <w:rPr>
          <w:rFonts w:ascii="Arial" w:hAnsi="Arial" w:eastAsia="Arial" w:cs="Arial"/>
          <w:b w:val="0"/>
          <w:bCs w:val="0"/>
          <w:noProof w:val="0"/>
          <w:color w:val="auto"/>
          <w:sz w:val="24"/>
          <w:szCs w:val="24"/>
          <w:lang w:val="en-GB"/>
        </w:rPr>
        <w:t>demonstrate</w:t>
      </w:r>
      <w:r w:rsidRPr="64C58D3E" w:rsidR="66CF96CE">
        <w:rPr>
          <w:rFonts w:ascii="Arial" w:hAnsi="Arial" w:eastAsia="Arial" w:cs="Arial"/>
          <w:b w:val="0"/>
          <w:bCs w:val="0"/>
          <w:noProof w:val="0"/>
          <w:color w:val="auto"/>
          <w:sz w:val="24"/>
          <w:szCs w:val="24"/>
          <w:lang w:val="en-GB"/>
        </w:rPr>
        <w:t xml:space="preserve"> how Coca-Cola effectively navigates the complex dynamics of global standardisation and local responsiveness, providing a nuanced understanding of its strategic positioning. In the U.S., Coca-Cola’s marketing focuses on emotional branding, tradition, and lifestyle, positioning itself as a symbol of happiness and national identity. Strong brand equity and loyalty reflect this approach. In contrast, Coca-Cola’s strategy in Japan is highly localised, prioritising innovation, seasonal products, and advanced vending systems. Successful limited-edition releases highlight the effectiveness of these tailored marketing approaches in engaging Japanese consumers.</w:t>
      </w:r>
    </w:p>
    <w:p w:rsidR="66CF96CE" w:rsidP="64C58D3E" w:rsidRDefault="66CF96CE" w14:paraId="3BDB0395" w14:textId="3B5CE4D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6CF96CE">
        <w:rPr>
          <w:rFonts w:ascii="Arial" w:hAnsi="Arial" w:eastAsia="Arial" w:cs="Arial"/>
          <w:b w:val="0"/>
          <w:bCs w:val="0"/>
          <w:noProof w:val="0"/>
          <w:color w:val="auto"/>
          <w:sz w:val="24"/>
          <w:szCs w:val="24"/>
          <w:lang w:val="en-GB"/>
        </w:rPr>
        <w:t>This report applies frameworks such as Hofstede’s cultural dimensions, PESTEL, and the marketing mix to analyse how Coca-Cola sustains brand coherence while responding to unique cultural and market dynamics in both countries. The structure includes an overview of Coca-Cola, profiles of its U.S. and Japanese operations, a comparison of socio-cultural influences, analysis of segmentation, targeting, and positioning (STP), and an evaluation of marketing mix strategies. The report concludes with key findings and strategic recommendations.</w:t>
      </w:r>
    </w:p>
    <w:p w:rsidR="64C58D3E" w:rsidP="64C58D3E" w:rsidRDefault="64C58D3E" w14:paraId="36F261F9" w14:textId="1E143519">
      <w:pPr>
        <w:pStyle w:val="Normal"/>
        <w:suppressLineNumbers w:val="0"/>
        <w:spacing w:before="120" w:beforeAutospacing="off" w:after="120" w:afterAutospacing="off" w:line="360" w:lineRule="auto"/>
        <w:ind w:left="0" w:right="0"/>
        <w:jc w:val="both"/>
        <w:rPr>
          <w:rFonts w:ascii="Arial" w:hAnsi="Arial" w:eastAsia="Arial" w:cs="Arial"/>
          <w:b w:val="0"/>
          <w:bCs w:val="0"/>
          <w:color w:val="auto"/>
          <w:sz w:val="24"/>
          <w:szCs w:val="24"/>
        </w:rPr>
      </w:pPr>
    </w:p>
    <w:p w:rsidR="5578792D" w:rsidP="64C58D3E" w:rsidRDefault="5578792D" w14:paraId="694295DC" w14:textId="09F6D9B9">
      <w:pPr>
        <w:pStyle w:val="Heading1"/>
        <w:spacing w:line="360" w:lineRule="auto"/>
        <w:jc w:val="both"/>
        <w:rPr>
          <w:rFonts w:ascii="Arial" w:hAnsi="Arial" w:eastAsia="Arial" w:cs="Arial"/>
          <w:b w:val="0"/>
          <w:bCs w:val="0"/>
          <w:color w:val="auto"/>
          <w:sz w:val="24"/>
          <w:szCs w:val="24"/>
        </w:rPr>
      </w:pPr>
      <w:bookmarkStart w:name="_Toc1385685268" w:id="713180896"/>
      <w:r w:rsidRPr="64C58D3E" w:rsidR="3DFDEF13">
        <w:rPr>
          <w:rFonts w:ascii="Arial" w:hAnsi="Arial" w:eastAsia="Arial" w:cs="Arial"/>
          <w:b w:val="0"/>
          <w:bCs w:val="0"/>
          <w:color w:val="auto"/>
          <w:sz w:val="24"/>
          <w:szCs w:val="24"/>
        </w:rPr>
        <w:t>Brand and country overview</w:t>
      </w:r>
      <w:bookmarkEnd w:id="713180896"/>
    </w:p>
    <w:p w:rsidR="5669861E" w:rsidP="64C58D3E" w:rsidRDefault="5669861E" w14:paraId="365DF219" w14:textId="6CEFBE68">
      <w:pPr>
        <w:pStyle w:val="Heading2"/>
        <w:spacing w:line="360" w:lineRule="auto"/>
        <w:jc w:val="both"/>
        <w:rPr>
          <w:rFonts w:ascii="Arial" w:hAnsi="Arial" w:eastAsia="Arial" w:cs="Arial"/>
          <w:b w:val="0"/>
          <w:bCs w:val="0"/>
          <w:color w:val="auto"/>
          <w:sz w:val="24"/>
          <w:szCs w:val="24"/>
        </w:rPr>
      </w:pPr>
      <w:bookmarkStart w:name="_Toc1115188853" w:id="1204934494"/>
      <w:r w:rsidRPr="64C58D3E" w:rsidR="3DFDEF13">
        <w:rPr>
          <w:rFonts w:ascii="Arial" w:hAnsi="Arial" w:eastAsia="Arial" w:cs="Arial"/>
          <w:b w:val="0"/>
          <w:bCs w:val="0"/>
          <w:color w:val="auto"/>
          <w:sz w:val="24"/>
          <w:szCs w:val="24"/>
        </w:rPr>
        <w:t>The Coca-Cola company</w:t>
      </w:r>
      <w:bookmarkEnd w:id="1204934494"/>
    </w:p>
    <w:p w:rsidR="560DF2FF" w:rsidP="64C58D3E" w:rsidRDefault="560DF2FF" w14:paraId="104051FC" w14:textId="17B86A4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60DF2FF">
        <w:rPr>
          <w:rFonts w:ascii="Arial" w:hAnsi="Arial" w:eastAsia="Arial" w:cs="Arial"/>
          <w:b w:val="0"/>
          <w:bCs w:val="0"/>
          <w:noProof w:val="0"/>
          <w:color w:val="auto"/>
          <w:sz w:val="24"/>
          <w:szCs w:val="24"/>
          <w:lang w:val="en-GB"/>
        </w:rPr>
        <w:t>Founded in 1886 in Atlanta, Georgia, the Coca-Cola company has grown into one of the most recognised brands in the beverage industry. Developed by Dr. John Stith Pemberton, Coca-Cola started as a medical tonic before becoming a global soft drink leader by leveraging innovative marketing and consistent product quality. Now headquartered in the U.S., the company operates in over 200 countries and manages a diverse product portfolio, including Fanta, Sprite, Diet Coke, and Coca-Cola Zero Sugar (The Coca-Cola Company, 2022). The company’s longevity, brand equity, and marketing strategies have established it as a leader in the global beverage industry (Keyser and Neuman, 2023).</w:t>
      </w:r>
    </w:p>
    <w:p w:rsidR="560DF2FF" w:rsidP="64C58D3E" w:rsidRDefault="560DF2FF" w14:paraId="7DD5577C" w14:textId="6B6363A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60DF2FF">
        <w:rPr>
          <w:rFonts w:ascii="Arial" w:hAnsi="Arial" w:eastAsia="Arial" w:cs="Arial"/>
          <w:b w:val="0"/>
          <w:bCs w:val="0"/>
          <w:noProof w:val="0"/>
          <w:color w:val="auto"/>
          <w:sz w:val="24"/>
          <w:szCs w:val="24"/>
          <w:lang w:val="en-GB"/>
        </w:rPr>
        <w:t xml:space="preserve">Coca-Cola is a traditional multinational company, expanding internationally through gradual, twentieth-century growth. It relied on franchising and bottling partnerships to build a global network while keeping centralised brand control (Doole and Lowe, 2012). This allowed for local </w:t>
      </w:r>
      <w:r w:rsidRPr="64C58D3E" w:rsidR="560DF2FF">
        <w:rPr>
          <w:rFonts w:ascii="Arial" w:hAnsi="Arial" w:eastAsia="Arial" w:cs="Arial"/>
          <w:b w:val="0"/>
          <w:bCs w:val="0"/>
          <w:noProof w:val="0"/>
          <w:color w:val="auto"/>
          <w:sz w:val="24"/>
          <w:szCs w:val="24"/>
          <w:lang w:val="en-GB"/>
        </w:rPr>
        <w:t>expertise</w:t>
      </w:r>
      <w:r w:rsidRPr="64C58D3E" w:rsidR="560DF2FF">
        <w:rPr>
          <w:rFonts w:ascii="Arial" w:hAnsi="Arial" w:eastAsia="Arial" w:cs="Arial"/>
          <w:b w:val="0"/>
          <w:bCs w:val="0"/>
          <w:noProof w:val="0"/>
          <w:color w:val="auto"/>
          <w:sz w:val="24"/>
          <w:szCs w:val="24"/>
          <w:lang w:val="en-GB"/>
        </w:rPr>
        <w:t xml:space="preserve"> and strong brand consistency. While this model enabled scalability, it has also drawn criticism for imposing Western-centric branding that sometimes clashes with local </w:t>
      </w:r>
      <w:r w:rsidRPr="64C58D3E" w:rsidR="40960463">
        <w:rPr>
          <w:rFonts w:ascii="Arial" w:hAnsi="Arial" w:eastAsia="Arial" w:cs="Arial"/>
          <w:b w:val="0"/>
          <w:bCs w:val="0"/>
          <w:noProof w:val="0"/>
          <w:color w:val="auto"/>
          <w:sz w:val="24"/>
          <w:szCs w:val="24"/>
          <w:lang w:val="en-GB"/>
        </w:rPr>
        <w:t>cultures. Coca</w:t>
      </w:r>
      <w:r w:rsidRPr="64C58D3E" w:rsidR="560DF2FF">
        <w:rPr>
          <w:rFonts w:ascii="Arial" w:hAnsi="Arial" w:eastAsia="Arial" w:cs="Arial"/>
          <w:b w:val="0"/>
          <w:bCs w:val="0"/>
          <w:noProof w:val="0"/>
          <w:color w:val="auto"/>
          <w:sz w:val="24"/>
          <w:szCs w:val="24"/>
          <w:lang w:val="en-GB"/>
        </w:rPr>
        <w:t xml:space="preserve">-Cola’s franchising system enabled rapid global reach and local adaptation, serving as a model for developing resilient supply chains and brand coherence. Empowering local partners while </w:t>
      </w:r>
      <w:r w:rsidRPr="64C58D3E" w:rsidR="560DF2FF">
        <w:rPr>
          <w:rFonts w:ascii="Arial" w:hAnsi="Arial" w:eastAsia="Arial" w:cs="Arial"/>
          <w:b w:val="0"/>
          <w:bCs w:val="0"/>
          <w:noProof w:val="0"/>
          <w:color w:val="auto"/>
          <w:sz w:val="24"/>
          <w:szCs w:val="24"/>
          <w:lang w:val="en-GB"/>
        </w:rPr>
        <w:t>retaining</w:t>
      </w:r>
      <w:r w:rsidRPr="64C58D3E" w:rsidR="560DF2FF">
        <w:rPr>
          <w:rFonts w:ascii="Arial" w:hAnsi="Arial" w:eastAsia="Arial" w:cs="Arial"/>
          <w:b w:val="0"/>
          <w:bCs w:val="0"/>
          <w:noProof w:val="0"/>
          <w:color w:val="auto"/>
          <w:sz w:val="24"/>
          <w:szCs w:val="24"/>
          <w:lang w:val="en-GB"/>
        </w:rPr>
        <w:t xml:space="preserve"> central oversight </w:t>
      </w:r>
      <w:r w:rsidRPr="64C58D3E" w:rsidR="560DF2FF">
        <w:rPr>
          <w:rFonts w:ascii="Arial" w:hAnsi="Arial" w:eastAsia="Arial" w:cs="Arial"/>
          <w:b w:val="0"/>
          <w:bCs w:val="0"/>
          <w:noProof w:val="0"/>
          <w:color w:val="auto"/>
          <w:sz w:val="24"/>
          <w:szCs w:val="24"/>
          <w:lang w:val="en-GB"/>
        </w:rPr>
        <w:t>remains</w:t>
      </w:r>
      <w:r w:rsidRPr="64C58D3E" w:rsidR="560DF2FF">
        <w:rPr>
          <w:rFonts w:ascii="Arial" w:hAnsi="Arial" w:eastAsia="Arial" w:cs="Arial"/>
          <w:b w:val="0"/>
          <w:bCs w:val="0"/>
          <w:noProof w:val="0"/>
          <w:color w:val="auto"/>
          <w:sz w:val="24"/>
          <w:szCs w:val="24"/>
          <w:lang w:val="en-GB"/>
        </w:rPr>
        <w:t xml:space="preserve"> relevant for companies navigating today’s complex market </w:t>
      </w:r>
      <w:r w:rsidRPr="64C58D3E" w:rsidR="02AB422F">
        <w:rPr>
          <w:rFonts w:ascii="Arial" w:hAnsi="Arial" w:eastAsia="Arial" w:cs="Arial"/>
          <w:b w:val="0"/>
          <w:bCs w:val="0"/>
          <w:noProof w:val="0"/>
          <w:color w:val="auto"/>
          <w:sz w:val="24"/>
          <w:szCs w:val="24"/>
          <w:lang w:val="en-GB"/>
        </w:rPr>
        <w:t>environments. The</w:t>
      </w:r>
      <w:r w:rsidRPr="64C58D3E" w:rsidR="560DF2FF">
        <w:rPr>
          <w:rFonts w:ascii="Arial" w:hAnsi="Arial" w:eastAsia="Arial" w:cs="Arial"/>
          <w:b w:val="0"/>
          <w:bCs w:val="0"/>
          <w:noProof w:val="0"/>
          <w:color w:val="auto"/>
          <w:sz w:val="24"/>
          <w:szCs w:val="24"/>
          <w:lang w:val="en-GB"/>
        </w:rPr>
        <w:t xml:space="preserve"> longstanding rivalry with PepsiCo has shaped Coca-Cola's global strategy, pushing both firms to differentiate through emotional branding and lifestyle marketing (Kotler and Keller, 2022). Coca-Cola’s global dominance results from both marketing consistency and embedding cultural relevance into a unified global brand—balancing standardisation and adaptation.</w:t>
      </w:r>
    </w:p>
    <w:p w:rsidR="64C58D3E" w:rsidP="64C58D3E" w:rsidRDefault="64C58D3E" w14:paraId="518A2799" w14:textId="527A0115">
      <w:pPr>
        <w:pStyle w:val="Normal"/>
        <w:spacing w:line="360" w:lineRule="auto"/>
        <w:jc w:val="both"/>
        <w:rPr>
          <w:rFonts w:ascii="Arial" w:hAnsi="Arial" w:eastAsia="Arial" w:cs="Arial"/>
          <w:b w:val="0"/>
          <w:bCs w:val="0"/>
          <w:color w:val="auto"/>
          <w:sz w:val="24"/>
          <w:szCs w:val="24"/>
        </w:rPr>
      </w:pPr>
    </w:p>
    <w:p w:rsidR="5578792D" w:rsidP="64C58D3E" w:rsidRDefault="5578792D" w14:paraId="07831DB8" w14:textId="69051FFB">
      <w:pPr>
        <w:pStyle w:val="Heading2"/>
        <w:spacing w:line="360" w:lineRule="auto"/>
        <w:jc w:val="both"/>
        <w:rPr>
          <w:rFonts w:ascii="Arial" w:hAnsi="Arial" w:eastAsia="Arial" w:cs="Arial"/>
          <w:b w:val="0"/>
          <w:bCs w:val="0"/>
          <w:color w:val="auto"/>
          <w:sz w:val="24"/>
          <w:szCs w:val="24"/>
        </w:rPr>
      </w:pPr>
      <w:bookmarkStart w:name="_Toc1621460170" w:id="1722370435"/>
      <w:r w:rsidRPr="64C58D3E" w:rsidR="3A071029">
        <w:rPr>
          <w:rFonts w:ascii="Arial" w:hAnsi="Arial" w:eastAsia="Arial" w:cs="Arial"/>
          <w:b w:val="0"/>
          <w:bCs w:val="0"/>
          <w:color w:val="auto"/>
          <w:sz w:val="24"/>
          <w:szCs w:val="24"/>
        </w:rPr>
        <w:t xml:space="preserve">Country </w:t>
      </w:r>
      <w:r w:rsidRPr="64C58D3E" w:rsidR="3A071029">
        <w:rPr>
          <w:rFonts w:ascii="Arial" w:hAnsi="Arial" w:eastAsia="Arial" w:cs="Arial"/>
          <w:b w:val="0"/>
          <w:bCs w:val="0"/>
          <w:color w:val="auto"/>
          <w:sz w:val="24"/>
          <w:szCs w:val="24"/>
        </w:rPr>
        <w:t>selection</w:t>
      </w:r>
      <w:r w:rsidRPr="64C58D3E" w:rsidR="3A071029">
        <w:rPr>
          <w:rFonts w:ascii="Arial" w:hAnsi="Arial" w:eastAsia="Arial" w:cs="Arial"/>
          <w:b w:val="0"/>
          <w:bCs w:val="0"/>
          <w:color w:val="auto"/>
          <w:sz w:val="24"/>
          <w:szCs w:val="24"/>
        </w:rPr>
        <w:t xml:space="preserve"> and internationalisation</w:t>
      </w:r>
      <w:bookmarkEnd w:id="1722370435"/>
    </w:p>
    <w:p w:rsidR="1734CAC4" w:rsidP="64C58D3E" w:rsidRDefault="1734CAC4" w14:paraId="6AA8317A" w14:textId="335BEFD5">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734CAC4">
        <w:rPr>
          <w:rFonts w:ascii="Arial" w:hAnsi="Arial" w:eastAsia="Arial" w:cs="Arial"/>
          <w:b w:val="0"/>
          <w:bCs w:val="0"/>
          <w:noProof w:val="0"/>
          <w:color w:val="auto"/>
          <w:sz w:val="24"/>
          <w:szCs w:val="24"/>
          <w:lang w:val="en-GB"/>
        </w:rPr>
        <w:t>T</w:t>
      </w:r>
      <w:r w:rsidRPr="64C58D3E" w:rsidR="1734CAC4">
        <w:rPr>
          <w:rFonts w:ascii="Arial" w:hAnsi="Arial" w:eastAsia="Arial" w:cs="Arial"/>
          <w:b w:val="0"/>
          <w:bCs w:val="0"/>
          <w:noProof w:val="0"/>
          <w:color w:val="auto"/>
          <w:sz w:val="24"/>
          <w:szCs w:val="24"/>
          <w:lang w:val="en-GB"/>
        </w:rPr>
        <w:t>he United States is Coca-Cola's home market, where the brand’s ethos—optimism, togetherness, and emotional connection—has long been embedded in national identity. U.S. marketing campaigns, such as the iconic Santa Claus ads and glass bottles, foster emotional ties and nostalgia (Brownsell, 2011; Diniz and Suarez, 2018). Coca-Cola’s “glocal” approach integrates global branding with local adaptation, making the brand recognisable while embedding itself in local economies (Sanchez-Porras, 2013).In Japan, Coca-Cola’s success comes from mastering local adaptation (Onuma, 2024). Japan’s beverage market values tradition, innovation, and wellness (Nishizaki, Lee, and Ramli, 2025). After entering in 1957, Coca-Cola quickly localised products, leading in categories like Georgia Coffee and Ayataka green tea.</w:t>
      </w:r>
    </w:p>
    <w:p w:rsidR="1734CAC4" w:rsidP="64C58D3E" w:rsidRDefault="1734CAC4" w14:paraId="1D51089E" w14:textId="7C223C15">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734CAC4">
        <w:rPr>
          <w:rFonts w:ascii="Arial" w:hAnsi="Arial" w:eastAsia="Arial" w:cs="Arial"/>
          <w:b w:val="0"/>
          <w:bCs w:val="0"/>
          <w:noProof w:val="0"/>
          <w:color w:val="auto"/>
          <w:sz w:val="24"/>
          <w:szCs w:val="24"/>
          <w:lang w:val="en-GB"/>
        </w:rPr>
        <w:t xml:space="preserve">Significantly, Coca-Cola Japan is recognised not merely as a foreign subsidiary but as an integral part of Japan’s corporate landscape. As Isdell (cited in Business Wire, 2007) observed, Coca-Cola Japan’s success “is the result of successive generations of excellent managerial leadership, the dedication of employees, and the tireless efforts of bottling partners and affiliates.” This statement underscores how Coca-Cola has cultivated legitimacy within Japan by embedding itself in local business networks and organisational culture – a hallmark of effective localisation. The company’s reputation as a “Japanese corporate citizen” illustrates how global firms can transcend foreign brand identity to achieve local acceptance and authenticity. </w:t>
      </w:r>
    </w:p>
    <w:p w:rsidR="1734CAC4" w:rsidP="64C58D3E" w:rsidRDefault="1734CAC4" w14:paraId="5626F479" w14:textId="2DF1F71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734CAC4">
        <w:rPr>
          <w:rFonts w:ascii="Arial" w:hAnsi="Arial" w:eastAsia="Arial" w:cs="Arial"/>
          <w:b w:val="0"/>
          <w:bCs w:val="0"/>
          <w:noProof w:val="0"/>
          <w:color w:val="auto"/>
          <w:sz w:val="24"/>
          <w:szCs w:val="24"/>
          <w:lang w:val="en-GB"/>
        </w:rPr>
        <w:t xml:space="preserve">Coca-Cola's integration within Japan’s consumer environment is further exemplified by its advanced vending machine network, exceeding 900,000 units nationwide (Coca-Cola Japan, 2023). This infrastructure not only </w:t>
      </w:r>
      <w:r w:rsidRPr="64C58D3E" w:rsidR="1734CAC4">
        <w:rPr>
          <w:rFonts w:ascii="Arial" w:hAnsi="Arial" w:eastAsia="Arial" w:cs="Arial"/>
          <w:b w:val="0"/>
          <w:bCs w:val="0"/>
          <w:noProof w:val="0"/>
          <w:color w:val="auto"/>
          <w:sz w:val="24"/>
          <w:szCs w:val="24"/>
          <w:lang w:val="en-GB"/>
        </w:rPr>
        <w:t>facilitates</w:t>
      </w:r>
      <w:r w:rsidRPr="64C58D3E" w:rsidR="1734CAC4">
        <w:rPr>
          <w:rFonts w:ascii="Arial" w:hAnsi="Arial" w:eastAsia="Arial" w:cs="Arial"/>
          <w:b w:val="0"/>
          <w:bCs w:val="0"/>
          <w:noProof w:val="0"/>
          <w:color w:val="auto"/>
          <w:sz w:val="24"/>
          <w:szCs w:val="24"/>
          <w:lang w:val="en-GB"/>
        </w:rPr>
        <w:t xml:space="preserve"> product accessibility but also reflects the brand’s responsiveness to Japanese preferences for convenience and technological sophistication.</w:t>
      </w:r>
    </w:p>
    <w:p w:rsidR="5578792D" w:rsidP="64C58D3E" w:rsidRDefault="5578792D" w14:paraId="48DFD34D" w14:textId="51F7BAAF">
      <w:pPr>
        <w:pStyle w:val="Heading1"/>
        <w:spacing w:line="360" w:lineRule="auto"/>
        <w:jc w:val="both"/>
        <w:rPr>
          <w:rFonts w:ascii="Arial" w:hAnsi="Arial" w:eastAsia="Arial" w:cs="Arial"/>
          <w:b w:val="0"/>
          <w:bCs w:val="0"/>
          <w:color w:val="auto"/>
          <w:sz w:val="24"/>
          <w:szCs w:val="24"/>
        </w:rPr>
      </w:pPr>
      <w:bookmarkStart w:name="_Toc818078830" w:id="1189989409"/>
      <w:r w:rsidRPr="64C58D3E" w:rsidR="7720CCA2">
        <w:rPr>
          <w:rFonts w:ascii="Arial" w:hAnsi="Arial" w:eastAsia="Arial" w:cs="Arial"/>
          <w:b w:val="0"/>
          <w:bCs w:val="0"/>
          <w:color w:val="auto"/>
          <w:sz w:val="24"/>
          <w:szCs w:val="24"/>
        </w:rPr>
        <w:t xml:space="preserve">Comparison of the socio-cultural context </w:t>
      </w:r>
      <w:r w:rsidRPr="64C58D3E" w:rsidR="6113F459">
        <w:rPr>
          <w:rFonts w:ascii="Arial" w:hAnsi="Arial" w:eastAsia="Arial" w:cs="Arial"/>
          <w:b w:val="0"/>
          <w:bCs w:val="0"/>
          <w:color w:val="auto"/>
          <w:sz w:val="24"/>
          <w:szCs w:val="24"/>
        </w:rPr>
        <w:t>of the US and Japan</w:t>
      </w:r>
      <w:bookmarkEnd w:id="1189989409"/>
    </w:p>
    <w:p w:rsidR="671B4139" w:rsidP="64C58D3E" w:rsidRDefault="671B4139" w14:paraId="06160BB4" w14:textId="3341CBE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71B4139">
        <w:rPr>
          <w:rFonts w:ascii="Arial" w:hAnsi="Arial" w:eastAsia="Arial" w:cs="Arial"/>
          <w:b w:val="0"/>
          <w:bCs w:val="0"/>
          <w:noProof w:val="0"/>
          <w:color w:val="auto"/>
          <w:sz w:val="24"/>
          <w:szCs w:val="24"/>
          <w:lang w:val="en-GB"/>
        </w:rPr>
        <w:t>A thorough understanding of the macroenvironment and socio-cultural context is essential for assessing the international market strategies of global brands like Coca-Cola. This section critically examines how distinct environmental and cultural differences between the United States and Japan—analysed through PESTLE and Hofstede frameworks—have influenced Coca-Cola’s strategic choices, balancing global standardisation in the U.S. with tailored adaptation in Japan.</w:t>
      </w:r>
    </w:p>
    <w:p w:rsidR="5578792D" w:rsidP="64C58D3E" w:rsidRDefault="5578792D" w14:paraId="4ADAC24D" w14:textId="7C96036E">
      <w:pPr>
        <w:pStyle w:val="Heading2"/>
        <w:spacing w:line="360" w:lineRule="auto"/>
        <w:jc w:val="both"/>
        <w:rPr>
          <w:rFonts w:ascii="Arial" w:hAnsi="Arial" w:eastAsia="Arial" w:cs="Arial"/>
          <w:b w:val="0"/>
          <w:bCs w:val="0"/>
          <w:noProof w:val="0"/>
          <w:color w:val="auto"/>
          <w:sz w:val="24"/>
          <w:szCs w:val="24"/>
          <w:lang w:val="en-GB"/>
        </w:rPr>
      </w:pPr>
      <w:bookmarkStart w:name="_Toc599333035" w:id="1739148806"/>
      <w:r w:rsidRPr="64C58D3E" w:rsidR="3E643822">
        <w:rPr>
          <w:rFonts w:ascii="Arial" w:hAnsi="Arial" w:eastAsia="Arial" w:cs="Arial"/>
          <w:b w:val="0"/>
          <w:bCs w:val="0"/>
          <w:noProof w:val="0"/>
          <w:color w:val="auto"/>
          <w:sz w:val="24"/>
          <w:szCs w:val="24"/>
          <w:lang w:val="en-GB"/>
        </w:rPr>
        <w:t>PESTLE Analysis</w:t>
      </w:r>
      <w:bookmarkEnd w:id="1739148806"/>
    </w:p>
    <w:p w:rsidR="0A237F51" w:rsidP="64C58D3E" w:rsidRDefault="0A237F51" w14:paraId="2F5B329F" w14:textId="38FF83B5">
      <w:pPr>
        <w:pStyle w:val="Heading2"/>
        <w:spacing w:line="360" w:lineRule="auto"/>
        <w:jc w:val="both"/>
        <w:rPr>
          <w:rFonts w:ascii="Arial" w:hAnsi="Arial" w:eastAsia="Arial" w:cs="Arial"/>
          <w:b w:val="0"/>
          <w:bCs w:val="0"/>
          <w:noProof w:val="0"/>
          <w:color w:val="auto"/>
          <w:sz w:val="24"/>
          <w:szCs w:val="24"/>
          <w:lang w:val="en-GB"/>
        </w:rPr>
      </w:pPr>
      <w:bookmarkStart w:name="_Toc2101432690" w:id="1941697234"/>
      <w:r w:rsidRPr="64C58D3E" w:rsidR="19FE3F0C">
        <w:rPr>
          <w:rFonts w:ascii="Arial" w:hAnsi="Arial" w:eastAsia="Arial" w:cs="Arial"/>
          <w:b w:val="0"/>
          <w:bCs w:val="0"/>
          <w:noProof w:val="0"/>
          <w:color w:val="auto"/>
          <w:sz w:val="24"/>
          <w:szCs w:val="24"/>
          <w:lang w:val="en-GB"/>
        </w:rPr>
        <w:t xml:space="preserve">Political &amp; </w:t>
      </w:r>
      <w:r w:rsidRPr="64C58D3E" w:rsidR="19FE3F0C">
        <w:rPr>
          <w:rFonts w:ascii="Arial" w:hAnsi="Arial" w:eastAsia="Arial" w:cs="Arial"/>
          <w:b w:val="0"/>
          <w:bCs w:val="0"/>
          <w:noProof w:val="0"/>
          <w:color w:val="auto"/>
          <w:sz w:val="24"/>
          <w:szCs w:val="24"/>
          <w:lang w:val="en-GB"/>
        </w:rPr>
        <w:t>Legal</w:t>
      </w:r>
      <w:bookmarkEnd w:id="1941697234"/>
    </w:p>
    <w:p w:rsidR="675A8B17" w:rsidP="64C58D3E" w:rsidRDefault="675A8B17" w14:paraId="287EADC1" w14:textId="6F042D35">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75A8B17">
        <w:rPr>
          <w:rFonts w:ascii="Arial" w:hAnsi="Arial" w:eastAsia="Arial" w:cs="Arial"/>
          <w:b w:val="0"/>
          <w:bCs w:val="0"/>
          <w:noProof w:val="0"/>
          <w:color w:val="auto"/>
          <w:sz w:val="24"/>
          <w:szCs w:val="24"/>
          <w:lang w:val="en-GB"/>
        </w:rPr>
        <w:t xml:space="preserve">Both the United States and Japan </w:t>
      </w:r>
      <w:r w:rsidRPr="64C58D3E" w:rsidR="675A8B17">
        <w:rPr>
          <w:rFonts w:ascii="Arial" w:hAnsi="Arial" w:eastAsia="Arial" w:cs="Arial"/>
          <w:b w:val="0"/>
          <w:bCs w:val="0"/>
          <w:noProof w:val="0"/>
          <w:color w:val="auto"/>
          <w:sz w:val="24"/>
          <w:szCs w:val="24"/>
          <w:lang w:val="en-GB"/>
        </w:rPr>
        <w:t>maintain</w:t>
      </w:r>
      <w:r w:rsidRPr="64C58D3E" w:rsidR="675A8B17">
        <w:rPr>
          <w:rFonts w:ascii="Arial" w:hAnsi="Arial" w:eastAsia="Arial" w:cs="Arial"/>
          <w:b w:val="0"/>
          <w:bCs w:val="0"/>
          <w:noProof w:val="0"/>
          <w:color w:val="auto"/>
          <w:sz w:val="24"/>
          <w:szCs w:val="24"/>
          <w:lang w:val="en-GB"/>
        </w:rPr>
        <w:t xml:space="preserve"> stable political and regulatory environments that support multinational businesses. In the U.S., Coca-Cola faces growing legislative scrutiny over health issues, including state-level sugar taxes and advertising restrictions on minors (Powell and Gard, 2015; Sherman and Weston, 2019). In contrast, Japan’s political landscape features cooperative relations between government and industry, fostering innovation and technological progress (Nishizaki, Lee, and Ramli, 2025). The Japanese legal system prioritises consumer protection and product quality, prompting Coca-Cola to comply with strict labelling and environmental standards. According to Coca-Cola Japan (2025), “Reflecting the high health awareness and needs of Japanese consumers, the Coca-Cola system is strengthening its lineup of FOSHU (Foods for Specified Health Uses) and functional foods.”  These political and legal conditions have led Coca-Cola to pursue health-oriented diversification in the U.S., while in Japan, compliance and innovation are crucial for </w:t>
      </w:r>
      <w:r w:rsidRPr="64C58D3E" w:rsidR="675A8B17">
        <w:rPr>
          <w:rFonts w:ascii="Arial" w:hAnsi="Arial" w:eastAsia="Arial" w:cs="Arial"/>
          <w:b w:val="0"/>
          <w:bCs w:val="0"/>
          <w:noProof w:val="0"/>
          <w:color w:val="auto"/>
          <w:sz w:val="24"/>
          <w:szCs w:val="24"/>
          <w:lang w:val="en-GB"/>
        </w:rPr>
        <w:t>maintaining</w:t>
      </w:r>
      <w:r w:rsidRPr="64C58D3E" w:rsidR="675A8B17">
        <w:rPr>
          <w:rFonts w:ascii="Arial" w:hAnsi="Arial" w:eastAsia="Arial" w:cs="Arial"/>
          <w:b w:val="0"/>
          <w:bCs w:val="0"/>
          <w:noProof w:val="0"/>
          <w:color w:val="auto"/>
          <w:sz w:val="24"/>
          <w:szCs w:val="24"/>
          <w:lang w:val="en-GB"/>
        </w:rPr>
        <w:t xml:space="preserve"> legitimacy in tightly regulated markets.</w:t>
      </w:r>
    </w:p>
    <w:p w:rsidR="5578792D" w:rsidP="64C58D3E" w:rsidRDefault="5578792D" w14:paraId="4E2A44E5" w14:textId="5E325FD7">
      <w:pPr>
        <w:pStyle w:val="Heading2"/>
        <w:spacing w:line="360" w:lineRule="auto"/>
        <w:jc w:val="both"/>
        <w:rPr>
          <w:rFonts w:ascii="Arial" w:hAnsi="Arial" w:eastAsia="Arial" w:cs="Arial"/>
          <w:b w:val="0"/>
          <w:bCs w:val="0"/>
          <w:noProof w:val="0"/>
          <w:color w:val="auto"/>
          <w:sz w:val="24"/>
          <w:szCs w:val="24"/>
          <w:lang w:val="en-GB"/>
        </w:rPr>
      </w:pPr>
      <w:bookmarkStart w:name="_Toc1974456310" w:id="1931993322"/>
      <w:r w:rsidRPr="64C58D3E" w:rsidR="696A7579">
        <w:rPr>
          <w:rFonts w:ascii="Arial" w:hAnsi="Arial" w:eastAsia="Arial" w:cs="Arial"/>
          <w:b w:val="0"/>
          <w:bCs w:val="0"/>
          <w:noProof w:val="0"/>
          <w:color w:val="auto"/>
          <w:sz w:val="24"/>
          <w:szCs w:val="24"/>
          <w:lang w:val="en-GB"/>
        </w:rPr>
        <w:t>Economic</w:t>
      </w:r>
      <w:bookmarkEnd w:id="1931993322"/>
    </w:p>
    <w:p w:rsidR="4A81F501" w:rsidP="64C58D3E" w:rsidRDefault="4A81F501" w14:paraId="711E5899" w14:textId="62E35B6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4A81F501">
        <w:rPr>
          <w:rFonts w:ascii="Arial" w:hAnsi="Arial" w:eastAsia="Arial" w:cs="Arial"/>
          <w:b w:val="0"/>
          <w:bCs w:val="0"/>
          <w:noProof w:val="0"/>
          <w:color w:val="auto"/>
          <w:sz w:val="24"/>
          <w:szCs w:val="24"/>
          <w:lang w:val="en-GB"/>
        </w:rPr>
        <w:t xml:space="preserve">Both countries are advanced economies, yet they differ significantly in their consumption patterns. The U.S. beverage market is mature and competitive, with growth limited by health-conscious trends (Powell and Gard, 2015; Sherman and Weston, 2019). Japan, like many other high-income economies, faces demographic challenges due to an ageing population. Parsons and Gilmour (2018) note that Japan is at the forefront of global population ageing, raising concerns for social and economic stability. In response to U.S. market maturity, Coca-Cola uses emotional branding and lifestyle campaigns to </w:t>
      </w:r>
      <w:r w:rsidRPr="64C58D3E" w:rsidR="4A81F501">
        <w:rPr>
          <w:rFonts w:ascii="Arial" w:hAnsi="Arial" w:eastAsia="Arial" w:cs="Arial"/>
          <w:b w:val="0"/>
          <w:bCs w:val="0"/>
          <w:noProof w:val="0"/>
          <w:color w:val="auto"/>
          <w:sz w:val="24"/>
          <w:szCs w:val="24"/>
          <w:lang w:val="en-GB"/>
        </w:rPr>
        <w:t>maintain</w:t>
      </w:r>
      <w:r w:rsidRPr="64C58D3E" w:rsidR="4A81F501">
        <w:rPr>
          <w:rFonts w:ascii="Arial" w:hAnsi="Arial" w:eastAsia="Arial" w:cs="Arial"/>
          <w:b w:val="0"/>
          <w:bCs w:val="0"/>
          <w:noProof w:val="0"/>
          <w:color w:val="auto"/>
          <w:sz w:val="24"/>
          <w:szCs w:val="24"/>
          <w:lang w:val="en-GB"/>
        </w:rPr>
        <w:t xml:space="preserve"> loyalty. As the U.S. consumer base becomes more health-focused, Coca-Cola is strategically pivoting toward low- or no-sugar beverages, as </w:t>
      </w:r>
      <w:r w:rsidRPr="64C58D3E" w:rsidR="4A81F501">
        <w:rPr>
          <w:rFonts w:ascii="Arial" w:hAnsi="Arial" w:eastAsia="Arial" w:cs="Arial"/>
          <w:b w:val="0"/>
          <w:bCs w:val="0"/>
          <w:noProof w:val="0"/>
          <w:color w:val="auto"/>
          <w:sz w:val="24"/>
          <w:szCs w:val="24"/>
          <w:lang w:val="en-GB"/>
        </w:rPr>
        <w:t>evidenced</w:t>
      </w:r>
      <w:r w:rsidRPr="64C58D3E" w:rsidR="4A81F501">
        <w:rPr>
          <w:rFonts w:ascii="Arial" w:hAnsi="Arial" w:eastAsia="Arial" w:cs="Arial"/>
          <w:b w:val="0"/>
          <w:bCs w:val="0"/>
          <w:noProof w:val="0"/>
          <w:color w:val="auto"/>
          <w:sz w:val="24"/>
          <w:szCs w:val="24"/>
          <w:lang w:val="en-GB"/>
        </w:rPr>
        <w:t xml:space="preserve"> by the increased market share of Diet Coke and Coca-Cola Zero Sugar.</w:t>
      </w:r>
    </w:p>
    <w:p w:rsidR="4A81F501" w:rsidP="64C58D3E" w:rsidRDefault="4A81F501" w14:paraId="6B0ADB4F" w14:textId="605E839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4A81F501">
        <w:rPr>
          <w:rFonts w:ascii="Arial" w:hAnsi="Arial" w:eastAsia="Arial" w:cs="Arial"/>
          <w:b w:val="0"/>
          <w:bCs w:val="0"/>
          <w:noProof w:val="0"/>
          <w:color w:val="auto"/>
          <w:sz w:val="24"/>
          <w:szCs w:val="24"/>
          <w:lang w:val="en-GB"/>
        </w:rPr>
        <w:t xml:space="preserve">In Japan, the company has expanded into niche categories, such as ready-to-drink coffee (Georgia Coffee) and green tea (Ayataka), to match evolving preferences. The rise of functional beverages in Japan is closely tied to the aging demographic, as these drinks often promise health benefits that appeal to older consumers. This alignment </w:t>
      </w:r>
      <w:r w:rsidRPr="64C58D3E" w:rsidR="4A81F501">
        <w:rPr>
          <w:rFonts w:ascii="Arial" w:hAnsi="Arial" w:eastAsia="Arial" w:cs="Arial"/>
          <w:b w:val="0"/>
          <w:bCs w:val="0"/>
          <w:noProof w:val="0"/>
          <w:color w:val="auto"/>
          <w:sz w:val="24"/>
          <w:szCs w:val="24"/>
          <w:lang w:val="en-GB"/>
        </w:rPr>
        <w:t>showcases</w:t>
      </w:r>
      <w:r w:rsidRPr="64C58D3E" w:rsidR="4A81F501">
        <w:rPr>
          <w:rFonts w:ascii="Arial" w:hAnsi="Arial" w:eastAsia="Arial" w:cs="Arial"/>
          <w:b w:val="0"/>
          <w:bCs w:val="0"/>
          <w:noProof w:val="0"/>
          <w:color w:val="auto"/>
          <w:sz w:val="24"/>
          <w:szCs w:val="24"/>
          <w:lang w:val="en-GB"/>
        </w:rPr>
        <w:t xml:space="preserve"> Coca-Cola's strategic adaptation to demographic trends and reinforces its portfolio diversification, enabling it to better meet the needs of different consumer segments.</w:t>
      </w:r>
    </w:p>
    <w:p w:rsidR="54F56E24" w:rsidP="64C58D3E" w:rsidRDefault="54F56E24" w14:paraId="24C65640" w14:textId="17BD686F">
      <w:pPr>
        <w:pStyle w:val="Heading2"/>
        <w:spacing w:line="360" w:lineRule="auto"/>
        <w:jc w:val="both"/>
        <w:rPr>
          <w:rFonts w:ascii="Arial" w:hAnsi="Arial" w:eastAsia="Arial" w:cs="Arial"/>
          <w:b w:val="0"/>
          <w:bCs w:val="0"/>
          <w:noProof w:val="0"/>
          <w:color w:val="auto"/>
          <w:sz w:val="24"/>
          <w:szCs w:val="24"/>
          <w:lang w:val="en-GB"/>
        </w:rPr>
      </w:pPr>
      <w:bookmarkStart w:name="_Toc1601696948" w:id="195846992"/>
      <w:r w:rsidRPr="64C58D3E" w:rsidR="6B92411A">
        <w:rPr>
          <w:rFonts w:ascii="Arial" w:hAnsi="Arial" w:eastAsia="Arial" w:cs="Arial"/>
          <w:b w:val="0"/>
          <w:bCs w:val="0"/>
          <w:noProof w:val="0"/>
          <w:color w:val="auto"/>
          <w:sz w:val="24"/>
          <w:szCs w:val="24"/>
          <w:lang w:val="en-GB"/>
        </w:rPr>
        <w:t>Social</w:t>
      </w:r>
      <w:bookmarkEnd w:id="195846992"/>
    </w:p>
    <w:p w:rsidR="7959D603" w:rsidP="64C58D3E" w:rsidRDefault="7959D603" w14:paraId="76E412B5" w14:textId="2026F5D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7959D603">
        <w:rPr>
          <w:rFonts w:ascii="Arial" w:hAnsi="Arial" w:eastAsia="Arial" w:cs="Arial"/>
          <w:b w:val="0"/>
          <w:bCs w:val="0"/>
          <w:noProof w:val="0"/>
          <w:color w:val="auto"/>
          <w:sz w:val="24"/>
          <w:szCs w:val="24"/>
          <w:lang w:val="en-GB"/>
        </w:rPr>
        <w:t xml:space="preserve">Socially, the two countries reveal distinct consumer identities. In the U.S., the market emphasises individualism and self-expression, values woven into Coca-Cola’s iconic 'Open Happiness' and 'Share a Coke' campaigns. These approaches appeal to consumers' desire for products that align with their personal identity and lifestyle, shaping Coca-Cola's engagement with diverse American audiences. In contrast, Japan places greater importance on collectivism, quality, and harmony, often conveyed through actions rather than words (Roy, 2020). Coca-Cola has established itself as a 'Japanese corporate citizen', highlighting shared cultural values and a strong sense of community (Isdell, cited in Business Wire, 2007). To illustrate how these values translate into messaging styles, consider the following ad copy examples: In the U.S., a Coca-Cola ad might say, 'Refresh your day, your way,' </w:t>
      </w:r>
      <w:r w:rsidRPr="64C58D3E" w:rsidR="7959D603">
        <w:rPr>
          <w:rFonts w:ascii="Arial" w:hAnsi="Arial" w:eastAsia="Arial" w:cs="Arial"/>
          <w:b w:val="0"/>
          <w:bCs w:val="0"/>
          <w:noProof w:val="0"/>
          <w:color w:val="auto"/>
          <w:sz w:val="24"/>
          <w:szCs w:val="24"/>
          <w:lang w:val="en-GB"/>
        </w:rPr>
        <w:t>emphasising</w:t>
      </w:r>
      <w:r w:rsidRPr="64C58D3E" w:rsidR="7959D603">
        <w:rPr>
          <w:rFonts w:ascii="Arial" w:hAnsi="Arial" w:eastAsia="Arial" w:cs="Arial"/>
          <w:b w:val="0"/>
          <w:bCs w:val="0"/>
          <w:noProof w:val="0"/>
          <w:color w:val="auto"/>
          <w:sz w:val="24"/>
          <w:szCs w:val="24"/>
          <w:lang w:val="en-GB"/>
        </w:rPr>
        <w:t xml:space="preserve"> personalisation and choice. Meanwhile, in Japan, an ad might read, 'Together with Coca-Cola, we cherish every moment,' reflecting communal enjoyment and shared experiences.</w:t>
      </w:r>
    </w:p>
    <w:p w:rsidR="6DB66572" w:rsidP="64C58D3E" w:rsidRDefault="6DB66572" w14:paraId="6B203751" w14:textId="595A8863">
      <w:pPr>
        <w:pStyle w:val="Heading2"/>
        <w:spacing w:line="360" w:lineRule="auto"/>
        <w:jc w:val="both"/>
        <w:rPr>
          <w:rFonts w:ascii="Arial" w:hAnsi="Arial" w:eastAsia="Arial" w:cs="Arial"/>
          <w:b w:val="0"/>
          <w:bCs w:val="0"/>
          <w:noProof w:val="0"/>
          <w:color w:val="auto"/>
          <w:sz w:val="24"/>
          <w:szCs w:val="24"/>
          <w:lang w:val="en-GB"/>
        </w:rPr>
      </w:pPr>
      <w:bookmarkStart w:name="_Toc549563624" w:id="1644951955"/>
      <w:r w:rsidRPr="64C58D3E" w:rsidR="7A7A9ED1">
        <w:rPr>
          <w:rFonts w:ascii="Arial" w:hAnsi="Arial" w:eastAsia="Arial" w:cs="Arial"/>
          <w:b w:val="0"/>
          <w:bCs w:val="0"/>
          <w:noProof w:val="0"/>
          <w:color w:val="auto"/>
          <w:sz w:val="24"/>
          <w:szCs w:val="24"/>
          <w:lang w:val="en-GB"/>
        </w:rPr>
        <w:t>Technological</w:t>
      </w:r>
      <w:bookmarkEnd w:id="1644951955"/>
    </w:p>
    <w:p w:rsidR="5A63D6C4" w:rsidP="64C58D3E" w:rsidRDefault="5A63D6C4" w14:paraId="714170E4" w14:textId="3615B595">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A63D6C4">
        <w:rPr>
          <w:rFonts w:ascii="Arial" w:hAnsi="Arial" w:eastAsia="Arial" w:cs="Arial"/>
          <w:b w:val="0"/>
          <w:bCs w:val="0"/>
          <w:noProof w:val="0"/>
          <w:color w:val="auto"/>
          <w:sz w:val="24"/>
          <w:szCs w:val="24"/>
          <w:lang w:val="en-GB"/>
        </w:rPr>
        <w:t xml:space="preserve">Both markets </w:t>
      </w:r>
      <w:r w:rsidRPr="64C58D3E" w:rsidR="5A63D6C4">
        <w:rPr>
          <w:rFonts w:ascii="Arial" w:hAnsi="Arial" w:eastAsia="Arial" w:cs="Arial"/>
          <w:b w:val="0"/>
          <w:bCs w:val="0"/>
          <w:noProof w:val="0"/>
          <w:color w:val="auto"/>
          <w:sz w:val="24"/>
          <w:szCs w:val="24"/>
          <w:lang w:val="en-GB"/>
        </w:rPr>
        <w:t>possess</w:t>
      </w:r>
      <w:r w:rsidRPr="64C58D3E" w:rsidR="5A63D6C4">
        <w:rPr>
          <w:rFonts w:ascii="Arial" w:hAnsi="Arial" w:eastAsia="Arial" w:cs="Arial"/>
          <w:b w:val="0"/>
          <w:bCs w:val="0"/>
          <w:noProof w:val="0"/>
          <w:color w:val="auto"/>
          <w:sz w:val="24"/>
          <w:szCs w:val="24"/>
          <w:lang w:val="en-GB"/>
        </w:rPr>
        <w:t xml:space="preserve"> advanced technological infrastructures; however, Japanese consumer culture demonstrates a particularly strong inclination toward innovation and convenience, as evidenced by the emphasis on health and fulfilment on the Coca-Cola Japan website. According to Kotler, Kartajaya, and Setiawan (2021</w:t>
      </w:r>
      <w:r w:rsidRPr="64C58D3E" w:rsidR="0AB34500">
        <w:rPr>
          <w:rFonts w:ascii="Arial" w:hAnsi="Arial" w:eastAsia="Arial" w:cs="Arial"/>
          <w:b w:val="0"/>
          <w:bCs w:val="0"/>
          <w:noProof w:val="0"/>
          <w:color w:val="auto"/>
          <w:sz w:val="24"/>
          <w:szCs w:val="24"/>
          <w:lang w:val="en-GB"/>
        </w:rPr>
        <w:t>), integrating</w:t>
      </w:r>
      <w:r w:rsidRPr="64C58D3E" w:rsidR="5A63D6C4">
        <w:rPr>
          <w:rFonts w:ascii="Arial" w:hAnsi="Arial" w:eastAsia="Arial" w:cs="Arial"/>
          <w:b w:val="0"/>
          <w:bCs w:val="0"/>
          <w:noProof w:val="0"/>
          <w:color w:val="auto"/>
          <w:sz w:val="24"/>
          <w:szCs w:val="24"/>
          <w:lang w:val="en-GB"/>
        </w:rPr>
        <w:t xml:space="preserve"> technology within multinational organisations is essential, given that Generations Z and X constitute the largest segments of the workforce and consumer base. While both Coca-Cola US and Coca-Cola Japan employ diverse technologies to engage consumers, the Coca-Cola Japan website places specific emphasis on sustainability, health and wellness, and the responsible consumption of alcoholic beverages. In contrast, the Coca-Cola US website distinguishes itself through its focus on promotions and </w:t>
      </w:r>
      <w:r w:rsidRPr="64C58D3E" w:rsidR="5A63D6C4">
        <w:rPr>
          <w:rFonts w:ascii="Arial" w:hAnsi="Arial" w:eastAsia="Arial" w:cs="Arial"/>
          <w:b w:val="0"/>
          <w:bCs w:val="0"/>
          <w:noProof w:val="0"/>
          <w:color w:val="auto"/>
          <w:sz w:val="24"/>
          <w:szCs w:val="24"/>
          <w:lang w:val="en-GB"/>
        </w:rPr>
        <w:t>special offers</w:t>
      </w:r>
      <w:r w:rsidRPr="64C58D3E" w:rsidR="5A63D6C4">
        <w:rPr>
          <w:rFonts w:ascii="Arial" w:hAnsi="Arial" w:eastAsia="Arial" w:cs="Arial"/>
          <w:b w:val="0"/>
          <w:bCs w:val="0"/>
          <w:noProof w:val="0"/>
          <w:color w:val="auto"/>
          <w:sz w:val="24"/>
          <w:szCs w:val="24"/>
          <w:lang w:val="en-GB"/>
        </w:rPr>
        <w:t>, including the advertisement of limited-edition products.</w:t>
      </w:r>
    </w:p>
    <w:p w:rsidR="64C58D3E" w:rsidP="64C58D3E" w:rsidRDefault="64C58D3E" w14:paraId="363BF7F3" w14:textId="01785D4B">
      <w:pPr>
        <w:spacing w:before="120" w:beforeAutospacing="off" w:after="120" w:afterAutospacing="off" w:line="360" w:lineRule="auto"/>
        <w:jc w:val="both"/>
        <w:rPr>
          <w:rFonts w:ascii="Arial" w:hAnsi="Arial" w:eastAsia="Arial" w:cs="Arial"/>
          <w:b w:val="0"/>
          <w:bCs w:val="0"/>
          <w:noProof w:val="0"/>
          <w:color w:val="auto"/>
          <w:sz w:val="24"/>
          <w:szCs w:val="24"/>
          <w:lang w:val="en-GB"/>
        </w:rPr>
      </w:pPr>
    </w:p>
    <w:p w:rsidR="6D7B10C3" w:rsidP="64C58D3E" w:rsidRDefault="6D7B10C3" w14:paraId="468705C7" w14:textId="3439DF96">
      <w:pPr>
        <w:pStyle w:val="Heading2"/>
        <w:spacing w:line="360" w:lineRule="auto"/>
        <w:jc w:val="both"/>
        <w:rPr>
          <w:rFonts w:ascii="Arial" w:hAnsi="Arial" w:eastAsia="Arial" w:cs="Arial"/>
          <w:b w:val="0"/>
          <w:bCs w:val="0"/>
          <w:noProof w:val="0"/>
          <w:color w:val="auto"/>
          <w:sz w:val="24"/>
          <w:szCs w:val="24"/>
          <w:lang w:val="en-GB"/>
        </w:rPr>
      </w:pPr>
      <w:bookmarkStart w:name="_Toc1211652118" w:id="1042723624"/>
      <w:r w:rsidRPr="64C58D3E" w:rsidR="6D7B10C3">
        <w:rPr>
          <w:rFonts w:ascii="Arial" w:hAnsi="Arial" w:eastAsia="Arial" w:cs="Arial"/>
          <w:b w:val="0"/>
          <w:bCs w:val="0"/>
          <w:noProof w:val="0"/>
          <w:color w:val="auto"/>
          <w:sz w:val="24"/>
          <w:szCs w:val="24"/>
          <w:lang w:val="en-GB"/>
        </w:rPr>
        <w:t>Environmental factors</w:t>
      </w:r>
      <w:bookmarkEnd w:id="1042723624"/>
    </w:p>
    <w:p w:rsidR="2BD6996A" w:rsidP="64C58D3E" w:rsidRDefault="2BD6996A" w14:paraId="56C5AD31" w14:textId="758B28B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BD6996A">
        <w:rPr>
          <w:rFonts w:ascii="Arial" w:hAnsi="Arial" w:eastAsia="Arial" w:cs="Arial"/>
          <w:b w:val="0"/>
          <w:bCs w:val="0"/>
          <w:noProof w:val="0"/>
          <w:color w:val="auto"/>
          <w:sz w:val="24"/>
          <w:szCs w:val="24"/>
          <w:lang w:val="en-GB"/>
        </w:rPr>
        <w:t xml:space="preserve">Sustainability concerns increasingly shape corporate reputation in both nations, but cultural expectations differ. In the US, Coca-Cola's World Without Waste initiative addresses heightened environmental awareness, influenced by the $21.3 billion cost of marine plastic pollution (Vandenberg, 2024). A notable example is the 'Recycle &amp; Win' campaign, which partnered with local municipalities to encourage recycling by rewarding participants with gift cards. This initiative resonates with the environmentally conscious US consumer base. In contrast, Japan’s strong environmental ethos and </w:t>
      </w:r>
      <w:r w:rsidRPr="64C58D3E" w:rsidR="2BD6996A">
        <w:rPr>
          <w:rFonts w:ascii="Arial" w:hAnsi="Arial" w:eastAsia="Arial" w:cs="Arial"/>
          <w:b w:val="0"/>
          <w:bCs w:val="0"/>
          <w:noProof w:val="0"/>
          <w:color w:val="auto"/>
          <w:sz w:val="24"/>
          <w:szCs w:val="24"/>
          <w:lang w:val="en-GB"/>
        </w:rPr>
        <w:t>established</w:t>
      </w:r>
      <w:r w:rsidRPr="64C58D3E" w:rsidR="2BD6996A">
        <w:rPr>
          <w:rFonts w:ascii="Arial" w:hAnsi="Arial" w:eastAsia="Arial" w:cs="Arial"/>
          <w:b w:val="0"/>
          <w:bCs w:val="0"/>
          <w:noProof w:val="0"/>
          <w:color w:val="auto"/>
          <w:sz w:val="24"/>
          <w:szCs w:val="24"/>
          <w:lang w:val="en-GB"/>
        </w:rPr>
        <w:t xml:space="preserve"> recycling culture drive greater demand for visible corporate responsibility (The Culture Factor, 2025). Coca-Cola Japan launched a campaign promoting the use of bottle-to-bottle recycling technology, </w:t>
      </w:r>
      <w:r w:rsidRPr="64C58D3E" w:rsidR="2BD6996A">
        <w:rPr>
          <w:rFonts w:ascii="Arial" w:hAnsi="Arial" w:eastAsia="Arial" w:cs="Arial"/>
          <w:b w:val="0"/>
          <w:bCs w:val="0"/>
          <w:noProof w:val="0"/>
          <w:color w:val="auto"/>
          <w:sz w:val="24"/>
          <w:szCs w:val="24"/>
          <w:lang w:val="en-GB"/>
        </w:rPr>
        <w:t>showcasing</w:t>
      </w:r>
      <w:r w:rsidRPr="64C58D3E" w:rsidR="2BD6996A">
        <w:rPr>
          <w:rFonts w:ascii="Arial" w:hAnsi="Arial" w:eastAsia="Arial" w:cs="Arial"/>
          <w:b w:val="0"/>
          <w:bCs w:val="0"/>
          <w:noProof w:val="0"/>
          <w:color w:val="auto"/>
          <w:sz w:val="24"/>
          <w:szCs w:val="24"/>
          <w:lang w:val="en-GB"/>
        </w:rPr>
        <w:t xml:space="preserve"> their commitment to reducing plastic waste. In each context, environmental adaptation reinforces brand trust and strengthens Coca-Cola’s image as a socially responsible multinational.</w:t>
      </w:r>
    </w:p>
    <w:p w:rsidR="614B685C" w:rsidP="64C58D3E" w:rsidRDefault="614B685C" w14:paraId="685E183A" w14:textId="727F4F1E">
      <w:pPr>
        <w:pStyle w:val="Heading2"/>
        <w:spacing w:line="360" w:lineRule="auto"/>
        <w:jc w:val="both"/>
        <w:rPr>
          <w:rFonts w:ascii="Arial" w:hAnsi="Arial" w:eastAsia="Arial" w:cs="Arial"/>
          <w:b w:val="0"/>
          <w:bCs w:val="0"/>
          <w:noProof w:val="0"/>
          <w:color w:val="auto"/>
          <w:sz w:val="24"/>
          <w:szCs w:val="24"/>
          <w:lang w:val="en-GB"/>
        </w:rPr>
      </w:pPr>
      <w:bookmarkStart w:name="_Toc617505446" w:id="1277475246"/>
      <w:r w:rsidRPr="64C58D3E" w:rsidR="614B685C">
        <w:rPr>
          <w:rFonts w:ascii="Arial" w:hAnsi="Arial" w:eastAsia="Arial" w:cs="Arial"/>
          <w:b w:val="0"/>
          <w:bCs w:val="0"/>
          <w:noProof w:val="0"/>
          <w:color w:val="auto"/>
          <w:sz w:val="24"/>
          <w:szCs w:val="24"/>
          <w:lang w:val="en-GB"/>
        </w:rPr>
        <w:t>Cultural comparison: Hofstede’s dimensions</w:t>
      </w:r>
      <w:bookmarkEnd w:id="1277475246"/>
    </w:p>
    <w:p w:rsidR="638EF160" w:rsidP="64C58D3E" w:rsidRDefault="638EF160" w14:paraId="1F525DA6" w14:textId="4A585D9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38EF160">
        <w:rPr>
          <w:rFonts w:ascii="Arial" w:hAnsi="Arial" w:eastAsia="Arial" w:cs="Arial"/>
          <w:b w:val="0"/>
          <w:bCs w:val="0"/>
          <w:noProof w:val="0"/>
          <w:color w:val="auto"/>
          <w:sz w:val="24"/>
          <w:szCs w:val="24"/>
          <w:lang w:val="en-GB"/>
        </w:rPr>
        <w:t>This section analyses how socio-cultural differences between Japan and the US, through Hofstede’s six cultural dimensions, shape Coca-Cola's marketing strategy. Hofstede’s model comprises power distance (acceptance of unequal power), individualism versus collectivism (social framework preferences), masculinity versus femininity (competitiveness versus modesty), uncertainty avoidance (tolerance for ambiguity), long-term versus short-term orientation (future rewards versus tradition), and indulgence versus restraint (degree of gratification allowed). Key factors such as power distance, individualism, and uncertainty avoidance influence marketing adaptation in each country, with each dimension quantitatively benchmarked for comparison (Hofstede Insights, 2025).</w:t>
      </w:r>
    </w:p>
    <w:p w:rsidR="64C58D3E" w:rsidP="64C58D3E" w:rsidRDefault="64C58D3E" w14:paraId="16C40D3A" w14:textId="22CEBDC1">
      <w:pPr>
        <w:spacing w:before="120" w:beforeAutospacing="off" w:after="120" w:afterAutospacing="off" w:line="360" w:lineRule="auto"/>
        <w:jc w:val="both"/>
        <w:rPr>
          <w:rFonts w:ascii="Arial" w:hAnsi="Arial" w:eastAsia="Arial" w:cs="Arial"/>
          <w:b w:val="0"/>
          <w:bCs w:val="0"/>
          <w:noProof w:val="0"/>
          <w:color w:val="auto"/>
          <w:sz w:val="24"/>
          <w:szCs w:val="24"/>
          <w:lang w:val="en-GB"/>
        </w:rPr>
      </w:pPr>
    </w:p>
    <w:p w:rsidR="64C58D3E" w:rsidP="64C58D3E" w:rsidRDefault="64C58D3E" w14:paraId="29659843" w14:textId="29016FBF">
      <w:pPr>
        <w:spacing w:before="120" w:beforeAutospacing="off" w:after="120" w:afterAutospacing="off" w:line="360" w:lineRule="auto"/>
        <w:jc w:val="both"/>
        <w:rPr>
          <w:rFonts w:ascii="Arial" w:hAnsi="Arial" w:eastAsia="Arial" w:cs="Arial"/>
          <w:b w:val="0"/>
          <w:bCs w:val="0"/>
          <w:noProof w:val="0"/>
          <w:color w:val="auto"/>
          <w:sz w:val="24"/>
          <w:szCs w:val="24"/>
          <w:lang w:val="en-GB"/>
        </w:rPr>
      </w:pPr>
    </w:p>
    <w:p w:rsidR="64C58D3E" w:rsidP="64C58D3E" w:rsidRDefault="64C58D3E" w14:paraId="0F8DAEB1" w14:textId="0628ED85">
      <w:pPr>
        <w:pStyle w:val="Normal"/>
        <w:spacing w:line="360" w:lineRule="auto"/>
        <w:jc w:val="both"/>
        <w:rPr>
          <w:rFonts w:ascii="Arial" w:hAnsi="Arial" w:eastAsia="Arial" w:cs="Arial"/>
          <w:b w:val="0"/>
          <w:bCs w:val="0"/>
          <w:noProof w:val="0"/>
          <w:color w:val="auto"/>
          <w:sz w:val="24"/>
          <w:szCs w:val="24"/>
          <w:lang w:val="en-GB"/>
        </w:rPr>
      </w:pPr>
    </w:p>
    <w:p w:rsidR="74B28678" w:rsidP="64C58D3E" w:rsidRDefault="74B28678" w14:paraId="48696982" w14:textId="7CE0C7FD">
      <w:pPr>
        <w:pStyle w:val="Normal"/>
        <w:spacing w:line="360" w:lineRule="auto"/>
        <w:jc w:val="both"/>
        <w:rPr>
          <w:rFonts w:ascii="Arial" w:hAnsi="Arial" w:eastAsia="Arial" w:cs="Arial"/>
          <w:b w:val="0"/>
          <w:bCs w:val="0"/>
          <w:noProof w:val="0"/>
          <w:color w:val="auto"/>
          <w:sz w:val="24"/>
          <w:szCs w:val="24"/>
          <w:lang w:val="en-GB"/>
        </w:rPr>
      </w:pPr>
      <w:r w:rsidR="74B28678">
        <w:drawing>
          <wp:inline wp14:editId="53E5DD28" wp14:anchorId="2629D75D">
            <wp:extent cx="5724525" cy="3028950"/>
            <wp:effectExtent l="0" t="0" r="0" b="0"/>
            <wp:docPr id="199768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68973" name=""/>
                    <pic:cNvPicPr/>
                  </pic:nvPicPr>
                  <pic:blipFill>
                    <a:blip xmlns:r="http://schemas.openxmlformats.org/officeDocument/2006/relationships" r:embed="rId1009033631">
                      <a:extLst>
                        <a:ext xmlns:a="http://schemas.openxmlformats.org/drawingml/2006/main" uri="{28A0092B-C50C-407E-A947-70E740481C1C}">
                          <a14:useLocalDpi xmlns:a14="http://schemas.microsoft.com/office/drawing/2010/main" val="0"/>
                        </a:ext>
                      </a:extLst>
                    </a:blip>
                    <a:stretch>
                      <a:fillRect/>
                    </a:stretch>
                  </pic:blipFill>
                  <pic:spPr>
                    <a:xfrm>
                      <a:off x="0" y="0"/>
                      <a:ext cx="5724525" cy="3028950"/>
                    </a:xfrm>
                    <a:prstGeom prst="rect">
                      <a:avLst/>
                    </a:prstGeom>
                  </pic:spPr>
                </pic:pic>
              </a:graphicData>
            </a:graphic>
          </wp:inline>
        </w:drawing>
      </w:r>
    </w:p>
    <w:p w:rsidR="1DFCEEEA" w:rsidP="64C58D3E" w:rsidRDefault="1DFCEEEA" w14:paraId="207662CB" w14:textId="68DCB4AB">
      <w:pPr>
        <w:pStyle w:val="Normal"/>
        <w:spacing w:line="360" w:lineRule="auto"/>
        <w:jc w:val="both"/>
        <w:rPr>
          <w:rFonts w:ascii="Arial" w:hAnsi="Arial" w:eastAsia="Arial" w:cs="Arial"/>
          <w:b w:val="0"/>
          <w:bCs w:val="0"/>
          <w:noProof w:val="0"/>
          <w:color w:val="auto"/>
          <w:sz w:val="24"/>
          <w:szCs w:val="24"/>
          <w:lang w:val="en-GB"/>
        </w:rPr>
      </w:pPr>
      <w:r w:rsidRPr="64C58D3E" w:rsidR="1DFCEEEA">
        <w:rPr>
          <w:rFonts w:ascii="Arial" w:hAnsi="Arial" w:eastAsia="Arial" w:cs="Arial"/>
          <w:b w:val="0"/>
          <w:bCs w:val="0"/>
          <w:noProof w:val="0"/>
          <w:color w:val="auto"/>
          <w:sz w:val="24"/>
          <w:szCs w:val="24"/>
          <w:lang w:val="en-GB"/>
        </w:rPr>
        <w:t xml:space="preserve">Table 1 – </w:t>
      </w:r>
      <w:r w:rsidRPr="64C58D3E" w:rsidR="1DFCEEEA">
        <w:rPr>
          <w:rFonts w:ascii="Arial" w:hAnsi="Arial" w:eastAsia="Arial" w:cs="Arial"/>
          <w:b w:val="0"/>
          <w:bCs w:val="0"/>
          <w:noProof w:val="0"/>
          <w:color w:val="auto"/>
          <w:sz w:val="24"/>
          <w:szCs w:val="24"/>
          <w:lang w:val="en-GB"/>
        </w:rPr>
        <w:t xml:space="preserve">Hofstede’s Cultural Comparison of Japan and the U.S. </w:t>
      </w:r>
      <w:r w:rsidRPr="64C58D3E" w:rsidR="5D47D12F">
        <w:rPr>
          <w:rFonts w:ascii="Arial" w:hAnsi="Arial" w:eastAsia="Arial" w:cs="Arial"/>
          <w:b w:val="0"/>
          <w:bCs w:val="0"/>
          <w:noProof w:val="0"/>
          <w:color w:val="auto"/>
          <w:sz w:val="24"/>
          <w:szCs w:val="24"/>
          <w:lang w:val="en-GB"/>
        </w:rPr>
        <w:t>Source- The Culture Factor (2025)</w:t>
      </w:r>
    </w:p>
    <w:p w:rsidR="15004758" w:rsidP="64C58D3E" w:rsidRDefault="15004758" w14:paraId="5558C486" w14:textId="49AA45C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5004758">
        <w:rPr>
          <w:rFonts w:ascii="Arial" w:hAnsi="Arial" w:eastAsia="Arial" w:cs="Arial"/>
          <w:b w:val="0"/>
          <w:bCs w:val="0"/>
          <w:noProof w:val="0"/>
          <w:color w:val="auto"/>
          <w:sz w:val="24"/>
          <w:szCs w:val="24"/>
          <w:lang w:val="en-GB"/>
        </w:rPr>
        <w:t xml:space="preserve">In Japan, Coca-Cola employs localisation within a high-context culture, focusing on subtlety, symbolism, and long-term brand relationships. In contrast, the U.S. marketing strategy reflects a low-context, expressive culture that values bold storytelling and direct emotional appeals (Mora, Küster, and Vila 2024). </w:t>
      </w:r>
      <w:r w:rsidRPr="64C58D3E" w:rsidR="15004758">
        <w:rPr>
          <w:rFonts w:ascii="Arial" w:hAnsi="Arial" w:eastAsia="Arial" w:cs="Arial"/>
          <w:b w:val="0"/>
          <w:bCs w:val="0"/>
          <w:noProof w:val="0"/>
          <w:color w:val="auto"/>
          <w:sz w:val="24"/>
          <w:szCs w:val="24"/>
          <w:lang w:val="en-GB"/>
        </w:rPr>
        <w:t>Accordingly</w:t>
      </w:r>
      <w:r w:rsidRPr="64C58D3E" w:rsidR="15004758">
        <w:rPr>
          <w:rFonts w:ascii="Arial" w:hAnsi="Arial" w:eastAsia="Arial" w:cs="Arial"/>
          <w:b w:val="0"/>
          <w:bCs w:val="0"/>
          <w:noProof w:val="0"/>
          <w:color w:val="auto"/>
          <w:sz w:val="24"/>
          <w:szCs w:val="24"/>
          <w:lang w:val="en-GB"/>
        </w:rPr>
        <w:t xml:space="preserve">, Japanese campaigns </w:t>
      </w:r>
      <w:r w:rsidRPr="64C58D3E" w:rsidR="15004758">
        <w:rPr>
          <w:rFonts w:ascii="Arial" w:hAnsi="Arial" w:eastAsia="Arial" w:cs="Arial"/>
          <w:b w:val="0"/>
          <w:bCs w:val="0"/>
          <w:noProof w:val="0"/>
          <w:color w:val="auto"/>
          <w:sz w:val="24"/>
          <w:szCs w:val="24"/>
          <w:lang w:val="en-GB"/>
        </w:rPr>
        <w:t>utilize</w:t>
      </w:r>
      <w:r w:rsidRPr="64C58D3E" w:rsidR="15004758">
        <w:rPr>
          <w:rFonts w:ascii="Arial" w:hAnsi="Arial" w:eastAsia="Arial" w:cs="Arial"/>
          <w:b w:val="0"/>
          <w:bCs w:val="0"/>
          <w:noProof w:val="0"/>
          <w:color w:val="auto"/>
          <w:sz w:val="24"/>
          <w:szCs w:val="24"/>
          <w:lang w:val="en-GB"/>
        </w:rPr>
        <w:t xml:space="preserve"> seasonal limited editions and culturally resonant packaging, while U.S. campaigns emphasize universal emotional narratives and celebrity endorsements.</w:t>
      </w:r>
    </w:p>
    <w:p w:rsidR="42DE81B8" w:rsidP="64C58D3E" w:rsidRDefault="42DE81B8" w14:paraId="75B10B5D" w14:textId="0C95DC40">
      <w:pPr>
        <w:pStyle w:val="Heading3"/>
        <w:spacing w:line="360" w:lineRule="auto"/>
        <w:jc w:val="both"/>
        <w:rPr>
          <w:rFonts w:ascii="Arial" w:hAnsi="Arial" w:eastAsia="Arial" w:cs="Arial"/>
          <w:b w:val="0"/>
          <w:bCs w:val="0"/>
          <w:noProof w:val="0"/>
          <w:color w:val="auto"/>
          <w:sz w:val="24"/>
          <w:szCs w:val="24"/>
          <w:lang w:val="en-GB"/>
        </w:rPr>
      </w:pPr>
      <w:bookmarkStart w:name="_Toc1863734288" w:id="1990148267"/>
      <w:r w:rsidRPr="64C58D3E" w:rsidR="42DE81B8">
        <w:rPr>
          <w:rFonts w:ascii="Arial" w:hAnsi="Arial" w:eastAsia="Arial" w:cs="Arial"/>
          <w:b w:val="0"/>
          <w:bCs w:val="0"/>
          <w:noProof w:val="0"/>
          <w:color w:val="auto"/>
          <w:sz w:val="24"/>
          <w:szCs w:val="24"/>
          <w:lang w:val="en-GB"/>
        </w:rPr>
        <w:t>Critical Evaluation</w:t>
      </w:r>
      <w:bookmarkEnd w:id="1990148267"/>
    </w:p>
    <w:p w:rsidR="320C1C3C" w:rsidP="64C58D3E" w:rsidRDefault="320C1C3C" w14:paraId="5267B51B" w14:textId="0E64813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0C1C3C">
        <w:rPr>
          <w:rFonts w:ascii="Arial" w:hAnsi="Arial" w:eastAsia="Arial" w:cs="Arial"/>
          <w:b w:val="0"/>
          <w:bCs w:val="0"/>
          <w:noProof w:val="0"/>
          <w:color w:val="auto"/>
          <w:sz w:val="24"/>
          <w:szCs w:val="24"/>
          <w:lang w:val="en-GB"/>
        </w:rPr>
        <w:t>Coca-Cola’s success in both Japan and the U.S. demonstrates effective glocalisation, balancing global brand coherence with local cultural relevance (Strategic Direction, 2006). In the U.S., the company adopts Levitt’s (1983) global standardisation model (Boddewyn, Soehl, and Picard, 1986), achieving a 3% annual sales volume growth in 2022 through consistent brand symbolism and emotional universality. Conversely, Japan’s market is addressed through extensive localisation, including product diversification, packaging innovation, and culturally attuned advertising, resulting in a 5% market share increase. However, this adaptive approach presents challenges, such as the limited success of the plus-coffee variant, potential brand dilution from excessive localisation, and significant resource demands for market research and product development. These issues highlight the need to balance adaptation with brand consistency for sustained success.</w:t>
      </w:r>
    </w:p>
    <w:p w:rsidR="320C1C3C" w:rsidP="64C58D3E" w:rsidRDefault="320C1C3C" w14:paraId="70461BF2" w14:textId="32F6455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0C1C3C">
        <w:rPr>
          <w:rFonts w:ascii="Arial" w:hAnsi="Arial" w:eastAsia="Arial" w:cs="Arial"/>
          <w:b w:val="0"/>
          <w:bCs w:val="0"/>
          <w:noProof w:val="0"/>
          <w:color w:val="auto"/>
          <w:sz w:val="24"/>
          <w:szCs w:val="24"/>
          <w:lang w:val="en-GB"/>
        </w:rPr>
        <w:t>Managers should prioritise flexible yet coherent strategies that respect local cultural nuances while maintaining a unified global brand image. Refining localisation processes to ensure adaptations resonate in local markets without compromising core brand values is essential. Sohaib and Kang (2014) demonstrate that cultural factors—particularly individualism and uncertainty avoidance—influence consumer trust, underscoring the need for cultural adaptation in collectivist societies such as Japan. Coca-Cola’s deep integration into Japanese social and corporate structures has fostered legitimacy and long-term loyalty amid competition and demographic changes.</w:t>
      </w:r>
    </w:p>
    <w:p w:rsidR="320C1C3C" w:rsidP="64C58D3E" w:rsidRDefault="320C1C3C" w14:paraId="094419CE" w14:textId="0FDC4F2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0C1C3C">
        <w:rPr>
          <w:rFonts w:ascii="Arial" w:hAnsi="Arial" w:eastAsia="Arial" w:cs="Arial"/>
          <w:b w:val="0"/>
          <w:bCs w:val="0"/>
          <w:noProof w:val="0"/>
          <w:color w:val="auto"/>
          <w:sz w:val="24"/>
          <w:szCs w:val="24"/>
          <w:lang w:val="en-GB"/>
        </w:rPr>
        <w:t>This analysis suggests Coca-Cola’s marketing success depends on interpreting local socio-cultural systems within a global strategic framework. The brand’s commitment to universal values and local authenticity exemplifies a transnational marketing approach that moves beyond the standardisation-adaptation dichotomy.</w:t>
      </w:r>
    </w:p>
    <w:p w:rsidR="5578792D" w:rsidP="64C58D3E" w:rsidRDefault="5578792D" w14:paraId="360A3C27" w14:textId="01F9B06A">
      <w:pPr>
        <w:pStyle w:val="Heading1"/>
        <w:spacing w:line="360" w:lineRule="auto"/>
        <w:jc w:val="both"/>
        <w:rPr>
          <w:rFonts w:ascii="Arial" w:hAnsi="Arial" w:eastAsia="Arial" w:cs="Arial"/>
          <w:b w:val="0"/>
          <w:bCs w:val="0"/>
          <w:color w:val="auto"/>
          <w:sz w:val="24"/>
          <w:szCs w:val="24"/>
        </w:rPr>
      </w:pPr>
      <w:bookmarkStart w:name="_Toc1776019680" w:id="411494928"/>
      <w:r w:rsidRPr="64C58D3E" w:rsidR="12DF1E76">
        <w:rPr>
          <w:rFonts w:ascii="Arial" w:hAnsi="Arial" w:eastAsia="Arial" w:cs="Arial"/>
          <w:b w:val="0"/>
          <w:bCs w:val="0"/>
          <w:color w:val="auto"/>
          <w:sz w:val="24"/>
          <w:szCs w:val="24"/>
        </w:rPr>
        <w:t>STP Strategies</w:t>
      </w:r>
      <w:bookmarkEnd w:id="411494928"/>
      <w:r w:rsidRPr="64C58D3E" w:rsidR="12DF1E76">
        <w:rPr>
          <w:rFonts w:ascii="Arial" w:hAnsi="Arial" w:eastAsia="Arial" w:cs="Arial"/>
          <w:b w:val="0"/>
          <w:bCs w:val="0"/>
          <w:color w:val="auto"/>
          <w:sz w:val="24"/>
          <w:szCs w:val="24"/>
        </w:rPr>
        <w:t xml:space="preserve"> </w:t>
      </w:r>
    </w:p>
    <w:p w:rsidR="562DF963" w:rsidP="64C58D3E" w:rsidRDefault="562DF963" w14:paraId="0FF24608" w14:textId="501E09C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963FEBB">
        <w:rPr>
          <w:rFonts w:ascii="Arial" w:hAnsi="Arial" w:eastAsia="Arial" w:cs="Arial"/>
          <w:b w:val="0"/>
          <w:bCs w:val="0"/>
          <w:noProof w:val="0"/>
          <w:color w:val="auto"/>
          <w:sz w:val="24"/>
          <w:szCs w:val="24"/>
          <w:lang w:val="en-GB"/>
        </w:rPr>
        <w:t xml:space="preserve">Market segmentation, targeting, and positioning (STP) are central to effective marketing. According to </w:t>
      </w:r>
      <w:r w:rsidRPr="64C58D3E" w:rsidR="1963FEBB">
        <w:rPr>
          <w:rFonts w:ascii="Arial" w:hAnsi="Arial" w:eastAsia="Arial" w:cs="Arial"/>
          <w:b w:val="0"/>
          <w:bCs w:val="0"/>
          <w:noProof w:val="0"/>
          <w:color w:val="auto"/>
          <w:sz w:val="24"/>
          <w:szCs w:val="24"/>
          <w:lang w:val="en-GB"/>
        </w:rPr>
        <w:t>Kusnaini</w:t>
      </w:r>
      <w:r w:rsidRPr="64C58D3E" w:rsidR="1963FEBB">
        <w:rPr>
          <w:rFonts w:ascii="Arial" w:hAnsi="Arial" w:eastAsia="Arial" w:cs="Arial"/>
          <w:b w:val="0"/>
          <w:bCs w:val="0"/>
          <w:noProof w:val="0"/>
          <w:color w:val="auto"/>
          <w:sz w:val="24"/>
          <w:szCs w:val="24"/>
          <w:lang w:val="en-GB"/>
        </w:rPr>
        <w:t xml:space="preserve">, Abdillah, and Nugroho (2024), segmentation divides consumers into distinct groups; targeting selects specific segments, and positioning defines the offer and image for those segments. This analysis examines Coca-Cola’s STP strategies with a focus on vending-machine impulse purchases. The research question is: How does Coca-Cola balance global consistency and local responsiveness in its STP strategies for vending machines in Japan and the United States? By narrowing the scope, the analysis aims to offer deeper insight into Coca-Cola’s adaptability and positioning. Demographic segmentation considers variables like age, gender, income, and education. </w:t>
      </w:r>
      <w:r w:rsidRPr="64C58D3E" w:rsidR="1963FEBB">
        <w:rPr>
          <w:rFonts w:ascii="Arial" w:hAnsi="Arial" w:eastAsia="Arial" w:cs="Arial"/>
          <w:b w:val="0"/>
          <w:bCs w:val="0"/>
          <w:noProof w:val="0"/>
          <w:color w:val="auto"/>
          <w:sz w:val="24"/>
          <w:szCs w:val="24"/>
          <w:lang w:val="en-GB"/>
        </w:rPr>
        <w:t>Behavioural</w:t>
      </w:r>
      <w:r w:rsidRPr="64C58D3E" w:rsidR="1963FEBB">
        <w:rPr>
          <w:rFonts w:ascii="Arial" w:hAnsi="Arial" w:eastAsia="Arial" w:cs="Arial"/>
          <w:b w:val="0"/>
          <w:bCs w:val="0"/>
          <w:noProof w:val="0"/>
          <w:color w:val="auto"/>
          <w:sz w:val="24"/>
          <w:szCs w:val="24"/>
          <w:lang w:val="en-GB"/>
        </w:rPr>
        <w:t xml:space="preserve"> segmentation focuses on usage rates, brand loyalty, and desired benefits. Cultural segmentation explores how cultural norms and values shape consumer preferences. In Japan, Coca-Cola places vending machines with hot beverages in commuter areas to attract professionals seeking quick refreshment. In the U.S., vending machines are placed in gyms and schools, offering diet and zero-sugar options for health-conscious consumers. These examples </w:t>
      </w:r>
      <w:r w:rsidRPr="64C58D3E" w:rsidR="1963FEBB">
        <w:rPr>
          <w:rFonts w:ascii="Arial" w:hAnsi="Arial" w:eastAsia="Arial" w:cs="Arial"/>
          <w:b w:val="0"/>
          <w:bCs w:val="0"/>
          <w:noProof w:val="0"/>
          <w:color w:val="auto"/>
          <w:sz w:val="24"/>
          <w:szCs w:val="24"/>
          <w:lang w:val="en-GB"/>
        </w:rPr>
        <w:t>establish</w:t>
      </w:r>
      <w:r w:rsidRPr="64C58D3E" w:rsidR="1963FEBB">
        <w:rPr>
          <w:rFonts w:ascii="Arial" w:hAnsi="Arial" w:eastAsia="Arial" w:cs="Arial"/>
          <w:b w:val="0"/>
          <w:bCs w:val="0"/>
          <w:noProof w:val="0"/>
          <w:color w:val="auto"/>
          <w:sz w:val="24"/>
          <w:szCs w:val="24"/>
          <w:lang w:val="en-GB"/>
        </w:rPr>
        <w:t xml:space="preserve"> a foundation for comparing Coca-Cola’s regional strategies and assessing the brand’s adaptability and positioning.</w:t>
      </w:r>
    </w:p>
    <w:p w:rsidR="562DF963" w:rsidP="64C58D3E" w:rsidRDefault="562DF963" w14:paraId="16F0F705" w14:textId="40C503F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1963FEBB">
        <w:rPr>
          <w:rFonts w:ascii="Arial" w:hAnsi="Arial" w:eastAsia="Arial" w:cs="Arial"/>
          <w:b w:val="0"/>
          <w:bCs w:val="0"/>
          <w:noProof w:val="0"/>
          <w:color w:val="auto"/>
          <w:sz w:val="24"/>
          <w:szCs w:val="24"/>
          <w:lang w:val="en-GB"/>
        </w:rPr>
        <w:t xml:space="preserve">Forde et al. (2009) highlight the value of an integrated approach to marketing decision-making, arguing that synthesising data from all stages of advertising improves effectiveness. Triangulating academic, trade, and company data enhances evidence credibility and reduces reliance on anecdotal cases. Introducing a unified performance indicator, such as share of segment, enables systematic comparison of Coca-Cola’s STP strategies in the United States and Japan. This metric provides a clear measure of impact and </w:t>
      </w:r>
      <w:r w:rsidRPr="64C58D3E" w:rsidR="1963FEBB">
        <w:rPr>
          <w:rFonts w:ascii="Arial" w:hAnsi="Arial" w:eastAsia="Arial" w:cs="Arial"/>
          <w:b w:val="0"/>
          <w:bCs w:val="0"/>
          <w:noProof w:val="0"/>
          <w:color w:val="auto"/>
          <w:sz w:val="24"/>
          <w:szCs w:val="24"/>
          <w:lang w:val="en-GB"/>
        </w:rPr>
        <w:t>facilitates</w:t>
      </w:r>
      <w:r w:rsidRPr="64C58D3E" w:rsidR="1963FEBB">
        <w:rPr>
          <w:rFonts w:ascii="Arial" w:hAnsi="Arial" w:eastAsia="Arial" w:cs="Arial"/>
          <w:b w:val="0"/>
          <w:bCs w:val="0"/>
          <w:noProof w:val="0"/>
          <w:color w:val="auto"/>
          <w:sz w:val="24"/>
          <w:szCs w:val="24"/>
          <w:lang w:val="en-GB"/>
        </w:rPr>
        <w:t xml:space="preserve"> assessment of market presence and consumer engagement across segments.</w:t>
      </w:r>
    </w:p>
    <w:p w:rsidR="562DF963" w:rsidP="64C58D3E" w:rsidRDefault="562DF963" w14:paraId="4521A8BA" w14:textId="036C9721">
      <w:pPr>
        <w:pStyle w:val="Heading2"/>
        <w:spacing w:line="360" w:lineRule="auto"/>
        <w:jc w:val="both"/>
        <w:rPr>
          <w:rFonts w:ascii="Arial" w:hAnsi="Arial" w:eastAsia="Arial" w:cs="Arial"/>
          <w:b w:val="0"/>
          <w:bCs w:val="0"/>
          <w:noProof w:val="0"/>
          <w:color w:val="auto"/>
          <w:sz w:val="24"/>
          <w:szCs w:val="24"/>
          <w:lang w:val="en-GB"/>
        </w:rPr>
      </w:pPr>
      <w:bookmarkStart w:name="_Toc829320065" w:id="1235646913"/>
      <w:r w:rsidRPr="64C58D3E" w:rsidR="195DA773">
        <w:rPr>
          <w:rFonts w:ascii="Arial" w:hAnsi="Arial" w:eastAsia="Arial" w:cs="Arial"/>
          <w:b w:val="0"/>
          <w:bCs w:val="0"/>
          <w:noProof w:val="0"/>
          <w:color w:val="auto"/>
          <w:sz w:val="24"/>
          <w:szCs w:val="24"/>
          <w:lang w:val="en-GB"/>
        </w:rPr>
        <w:t>Segmentation</w:t>
      </w:r>
      <w:bookmarkEnd w:id="1235646913"/>
    </w:p>
    <w:p w:rsidR="562DF963" w:rsidP="64C58D3E" w:rsidRDefault="562DF963" w14:paraId="5D22A73E" w14:textId="4BDDE74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06E7000C">
        <w:rPr>
          <w:rFonts w:ascii="Arial" w:hAnsi="Arial" w:eastAsia="Arial" w:cs="Arial"/>
          <w:b w:val="0"/>
          <w:bCs w:val="0"/>
          <w:noProof w:val="0"/>
          <w:color w:val="auto"/>
          <w:sz w:val="24"/>
          <w:szCs w:val="24"/>
          <w:lang w:val="en-GB"/>
        </w:rPr>
        <w:t>Coca-Cola adapts its segmentation strategies to align with cultural and market-specific factors, using micro-segmentation to address unique consumer preferences ac</w:t>
      </w:r>
      <w:r w:rsidRPr="64C58D3E" w:rsidR="567A3B41">
        <w:rPr>
          <w:rFonts w:ascii="Arial" w:hAnsi="Arial" w:eastAsia="Arial" w:cs="Arial"/>
          <w:b w:val="0"/>
          <w:bCs w:val="0"/>
          <w:noProof w:val="0"/>
          <w:color w:val="auto"/>
          <w:sz w:val="24"/>
          <w:szCs w:val="24"/>
          <w:lang w:val="en-GB"/>
        </w:rPr>
        <w:t>r</w:t>
      </w:r>
      <w:r w:rsidRPr="64C58D3E" w:rsidR="06E7000C">
        <w:rPr>
          <w:rFonts w:ascii="Arial" w:hAnsi="Arial" w:eastAsia="Arial" w:cs="Arial"/>
          <w:b w:val="0"/>
          <w:bCs w:val="0"/>
          <w:noProof w:val="0"/>
          <w:color w:val="auto"/>
          <w:sz w:val="24"/>
          <w:szCs w:val="24"/>
          <w:lang w:val="en-GB"/>
        </w:rPr>
        <w:t>oss regions. For example, in high uncertainty avoidance markets like Japan, Coca-Cola leverages detailed consumer data to design product offerings that reduce perceived risk, such as positioning vending machines with child-friendly options near schools to reassure parents about safety and quality. These culturally attuned strategies help inform the company’s targeting and positioning but also present challenges, including high data analytics costs and the difficulty of balancing brand consistency with local adaptation. Further limitations of micro-segmentation include privacy concerns and the risk of diminishing returns if segmentation becomes excessively granular. Overall, this approach clarifies how segmentation underpins Coca-Cola’s broader STP model, reinforcing the strategic connection between i</w:t>
      </w:r>
      <w:r w:rsidRPr="64C58D3E" w:rsidR="06E7000C">
        <w:rPr>
          <w:rFonts w:ascii="Arial" w:hAnsi="Arial" w:eastAsia="Arial" w:cs="Arial"/>
          <w:b w:val="0"/>
          <w:bCs w:val="0"/>
          <w:noProof w:val="0"/>
          <w:color w:val="auto"/>
          <w:sz w:val="24"/>
          <w:szCs w:val="24"/>
          <w:lang w:val="en-GB"/>
        </w:rPr>
        <w:t xml:space="preserve">dentifying </w:t>
      </w:r>
      <w:r w:rsidRPr="64C58D3E" w:rsidR="06E7000C">
        <w:rPr>
          <w:rFonts w:ascii="Arial" w:hAnsi="Arial" w:eastAsia="Arial" w:cs="Arial"/>
          <w:b w:val="0"/>
          <w:bCs w:val="0"/>
          <w:noProof w:val="0"/>
          <w:color w:val="auto"/>
          <w:sz w:val="24"/>
          <w:szCs w:val="24"/>
          <w:lang w:val="en-GB"/>
        </w:rPr>
        <w:t>consumer needs and effective market positioning.</w:t>
      </w:r>
    </w:p>
    <w:p w:rsidR="562DF963" w:rsidP="64C58D3E" w:rsidRDefault="562DF963" w14:paraId="6E971F46" w14:textId="3DBFDF2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06E7000C">
        <w:rPr>
          <w:rFonts w:ascii="Arial" w:hAnsi="Arial" w:eastAsia="Arial" w:cs="Arial"/>
          <w:b w:val="0"/>
          <w:bCs w:val="0"/>
          <w:noProof w:val="0"/>
          <w:color w:val="auto"/>
          <w:sz w:val="24"/>
          <w:szCs w:val="24"/>
          <w:lang w:val="en-GB"/>
        </w:rPr>
        <w:t xml:space="preserve">Applying Forde et al.’s model, Coca-Cola’s segmentation in the United States </w:t>
      </w:r>
      <w:r w:rsidRPr="64C58D3E" w:rsidR="06E7000C">
        <w:rPr>
          <w:rFonts w:ascii="Arial" w:hAnsi="Arial" w:eastAsia="Arial" w:cs="Arial"/>
          <w:b w:val="0"/>
          <w:bCs w:val="0"/>
          <w:noProof w:val="0"/>
          <w:color w:val="auto"/>
          <w:sz w:val="24"/>
          <w:szCs w:val="24"/>
          <w:lang w:val="en-GB"/>
        </w:rPr>
        <w:t>centres</w:t>
      </w:r>
      <w:r w:rsidRPr="64C58D3E" w:rsidR="06E7000C">
        <w:rPr>
          <w:rFonts w:ascii="Arial" w:hAnsi="Arial" w:eastAsia="Arial" w:cs="Arial"/>
          <w:b w:val="0"/>
          <w:bCs w:val="0"/>
          <w:noProof w:val="0"/>
          <w:color w:val="auto"/>
          <w:sz w:val="24"/>
          <w:szCs w:val="24"/>
          <w:lang w:val="en-GB"/>
        </w:rPr>
        <w:t xml:space="preserve"> on broad demographic and lifestyle criteria. The company tailors its marketing to appeal to diverse urban consumers and evolving lifestyle trends, exemplified by its focus on the ‘Event-Seeker Urbanites’ segment—individuals drawn to major cultural and sporting events. Strategic partnerships with events like the Super Bowl enable Coca-Cola to connect with this group, creating engaging narratives that reinforce brand relevance and resonance.</w:t>
      </w:r>
    </w:p>
    <w:p w:rsidR="562DF963" w:rsidP="64C58D3E" w:rsidRDefault="562DF963" w14:paraId="44FDEA00" w14:textId="4D3F7C2F">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06E7000C">
        <w:rPr>
          <w:rFonts w:ascii="Arial" w:hAnsi="Arial" w:eastAsia="Arial" w:cs="Arial"/>
          <w:b w:val="0"/>
          <w:bCs w:val="0"/>
          <w:noProof w:val="0"/>
          <w:color w:val="auto"/>
          <w:sz w:val="24"/>
          <w:szCs w:val="24"/>
          <w:lang w:val="en-GB"/>
        </w:rPr>
        <w:t xml:space="preserve">In Japan, Coca-Cola adopts advanced psychographic micro-segmentation to capture nuanced consumer preferences. This includes </w:t>
      </w:r>
      <w:r w:rsidRPr="64C58D3E" w:rsidR="06E7000C">
        <w:rPr>
          <w:rFonts w:ascii="Arial" w:hAnsi="Arial" w:eastAsia="Arial" w:cs="Arial"/>
          <w:b w:val="0"/>
          <w:bCs w:val="0"/>
          <w:noProof w:val="0"/>
          <w:color w:val="auto"/>
          <w:sz w:val="24"/>
          <w:szCs w:val="24"/>
          <w:lang w:val="en-GB"/>
        </w:rPr>
        <w:t>leveraging</w:t>
      </w:r>
      <w:r w:rsidRPr="64C58D3E" w:rsidR="06E7000C">
        <w:rPr>
          <w:rFonts w:ascii="Arial" w:hAnsi="Arial" w:eastAsia="Arial" w:cs="Arial"/>
          <w:b w:val="0"/>
          <w:bCs w:val="0"/>
          <w:noProof w:val="0"/>
          <w:color w:val="auto"/>
          <w:sz w:val="24"/>
          <w:szCs w:val="24"/>
          <w:lang w:val="en-GB"/>
        </w:rPr>
        <w:t xml:space="preserve"> seasonal and limited-edition products to boost brand salience and using targeted vending machine placement to enhance accessibility and engagement. The Qoo case illustrates segmentation by age and parental preference, addressing a market gap for non-carbonated, vitamin-fortified beverages for children. Research by Castillo-Sotomayor et al. (2023) supports the effectiveness of micro segmentation for </w:t>
      </w:r>
      <w:r w:rsidRPr="64C58D3E" w:rsidR="06E7000C">
        <w:rPr>
          <w:rFonts w:ascii="Arial" w:hAnsi="Arial" w:eastAsia="Arial" w:cs="Arial"/>
          <w:b w:val="0"/>
          <w:bCs w:val="0"/>
          <w:noProof w:val="0"/>
          <w:color w:val="auto"/>
          <w:sz w:val="24"/>
          <w:szCs w:val="24"/>
          <w:lang w:val="en-GB"/>
        </w:rPr>
        <w:t>identifying</w:t>
      </w:r>
      <w:r w:rsidRPr="64C58D3E" w:rsidR="06E7000C">
        <w:rPr>
          <w:rFonts w:ascii="Arial" w:hAnsi="Arial" w:eastAsia="Arial" w:cs="Arial"/>
          <w:b w:val="0"/>
          <w:bCs w:val="0"/>
          <w:noProof w:val="0"/>
          <w:color w:val="auto"/>
          <w:sz w:val="24"/>
          <w:szCs w:val="24"/>
          <w:lang w:val="en-GB"/>
        </w:rPr>
        <w:t xml:space="preserve"> profitable niches and increasing customer satisfaction, loyalty, and repurchase rates. In Japan’s market, where demand for teas, juices, and functional beverages is high, such segmentation is essential for building long-term brand equity. The Qoo campaign’s 3% year-over-year market share growth </w:t>
      </w:r>
      <w:r w:rsidRPr="64C58D3E" w:rsidR="06E7000C">
        <w:rPr>
          <w:rFonts w:ascii="Arial" w:hAnsi="Arial" w:eastAsia="Arial" w:cs="Arial"/>
          <w:b w:val="0"/>
          <w:bCs w:val="0"/>
          <w:noProof w:val="0"/>
          <w:color w:val="auto"/>
          <w:sz w:val="24"/>
          <w:szCs w:val="24"/>
          <w:lang w:val="en-GB"/>
        </w:rPr>
        <w:t>demonstrates</w:t>
      </w:r>
      <w:r w:rsidRPr="64C58D3E" w:rsidR="06E7000C">
        <w:rPr>
          <w:rFonts w:ascii="Arial" w:hAnsi="Arial" w:eastAsia="Arial" w:cs="Arial"/>
          <w:b w:val="0"/>
          <w:bCs w:val="0"/>
          <w:noProof w:val="0"/>
          <w:color w:val="auto"/>
          <w:sz w:val="24"/>
          <w:szCs w:val="24"/>
          <w:lang w:val="en-GB"/>
        </w:rPr>
        <w:t xml:space="preserve"> the strategic value of aligning micro-segmentation with measurable financial outcomes.</w:t>
      </w:r>
    </w:p>
    <w:p w:rsidR="562DF963" w:rsidP="64C58D3E" w:rsidRDefault="562DF963" w14:paraId="48414A83" w14:textId="090E31B3">
      <w:pPr>
        <w:pStyle w:val="Heading2"/>
        <w:spacing w:line="360" w:lineRule="auto"/>
        <w:jc w:val="both"/>
        <w:rPr>
          <w:rFonts w:ascii="Arial" w:hAnsi="Arial" w:eastAsia="Arial" w:cs="Arial"/>
          <w:b w:val="0"/>
          <w:bCs w:val="0"/>
          <w:color w:val="auto"/>
          <w:sz w:val="24"/>
          <w:szCs w:val="24"/>
        </w:rPr>
      </w:pPr>
      <w:bookmarkStart w:name="_Toc393621984" w:id="345091733"/>
      <w:r w:rsidRPr="64C58D3E" w:rsidR="38B70A44">
        <w:rPr>
          <w:rFonts w:ascii="Arial" w:hAnsi="Arial" w:eastAsia="Arial" w:cs="Arial"/>
          <w:b w:val="0"/>
          <w:bCs w:val="0"/>
          <w:color w:val="auto"/>
          <w:sz w:val="24"/>
          <w:szCs w:val="24"/>
        </w:rPr>
        <w:t>Target Market</w:t>
      </w:r>
      <w:bookmarkEnd w:id="345091733"/>
    </w:p>
    <w:p w:rsidR="5578792D" w:rsidP="64C58D3E" w:rsidRDefault="5578792D" w14:paraId="1810AE2A" w14:textId="212E9841">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0E5B395">
        <w:rPr>
          <w:rFonts w:ascii="Arial" w:hAnsi="Arial" w:eastAsia="Arial" w:cs="Arial"/>
          <w:b w:val="0"/>
          <w:bCs w:val="0"/>
          <w:noProof w:val="0"/>
          <w:color w:val="auto"/>
          <w:sz w:val="24"/>
          <w:szCs w:val="24"/>
          <w:lang w:val="en-GB"/>
        </w:rPr>
        <w:t>Coca-Cola’s primary U.S. market is young adults aged 18 to 34 and families seeking convenient beverages. Mahase (2019) and Wood, Ruskin, and Sacks (2020) critici</w:t>
      </w:r>
      <w:r w:rsidRPr="64C58D3E" w:rsidR="13D17916">
        <w:rPr>
          <w:rFonts w:ascii="Arial" w:hAnsi="Arial" w:eastAsia="Arial" w:cs="Arial"/>
          <w:b w:val="0"/>
          <w:bCs w:val="0"/>
          <w:noProof w:val="0"/>
          <w:color w:val="auto"/>
          <w:sz w:val="24"/>
          <w:szCs w:val="24"/>
          <w:lang w:val="en-GB"/>
        </w:rPr>
        <w:t>s</w:t>
      </w:r>
      <w:r w:rsidRPr="64C58D3E" w:rsidR="60E5B395">
        <w:rPr>
          <w:rFonts w:ascii="Arial" w:hAnsi="Arial" w:eastAsia="Arial" w:cs="Arial"/>
          <w:b w:val="0"/>
          <w:bCs w:val="0"/>
          <w:noProof w:val="0"/>
          <w:color w:val="auto"/>
          <w:sz w:val="24"/>
          <w:szCs w:val="24"/>
          <w:lang w:val="en-GB"/>
        </w:rPr>
        <w:t xml:space="preserve">e the company for promoting sugary drinks to children, linking its marketing to childhood obesity. While traditional cola drinkers </w:t>
      </w:r>
      <w:r w:rsidRPr="64C58D3E" w:rsidR="60E5B395">
        <w:rPr>
          <w:rFonts w:ascii="Arial" w:hAnsi="Arial" w:eastAsia="Arial" w:cs="Arial"/>
          <w:b w:val="0"/>
          <w:bCs w:val="0"/>
          <w:noProof w:val="0"/>
          <w:color w:val="auto"/>
          <w:sz w:val="24"/>
          <w:szCs w:val="24"/>
          <w:lang w:val="en-GB"/>
        </w:rPr>
        <w:t>remain</w:t>
      </w:r>
      <w:r w:rsidRPr="64C58D3E" w:rsidR="60E5B395">
        <w:rPr>
          <w:rFonts w:ascii="Arial" w:hAnsi="Arial" w:eastAsia="Arial" w:cs="Arial"/>
          <w:b w:val="0"/>
          <w:bCs w:val="0"/>
          <w:noProof w:val="0"/>
          <w:color w:val="auto"/>
          <w:sz w:val="24"/>
          <w:szCs w:val="24"/>
          <w:lang w:val="en-GB"/>
        </w:rPr>
        <w:t xml:space="preserve"> vital, Coca-Cola also targets health-conscious consumers with Diet Coke and Zero Sugar. The brand’s strategy </w:t>
      </w:r>
      <w:r w:rsidRPr="64C58D3E" w:rsidR="689E1EC4">
        <w:rPr>
          <w:rFonts w:ascii="Arial" w:hAnsi="Arial" w:eastAsia="Arial" w:cs="Arial"/>
          <w:b w:val="0"/>
          <w:bCs w:val="0"/>
          <w:noProof w:val="0"/>
          <w:color w:val="auto"/>
          <w:sz w:val="24"/>
          <w:szCs w:val="24"/>
          <w:lang w:val="en-GB"/>
        </w:rPr>
        <w:t>centres</w:t>
      </w:r>
      <w:r w:rsidRPr="64C58D3E" w:rsidR="60E5B395">
        <w:rPr>
          <w:rFonts w:ascii="Arial" w:hAnsi="Arial" w:eastAsia="Arial" w:cs="Arial"/>
          <w:b w:val="0"/>
          <w:bCs w:val="0"/>
          <w:noProof w:val="0"/>
          <w:color w:val="auto"/>
          <w:sz w:val="24"/>
          <w:szCs w:val="24"/>
          <w:lang w:val="en-GB"/>
        </w:rPr>
        <w:t xml:space="preserve"> on flavour, heritage, and emotional appeal.</w:t>
      </w:r>
    </w:p>
    <w:p w:rsidR="5578792D" w:rsidP="64C58D3E" w:rsidRDefault="5578792D" w14:paraId="72242BD5" w14:textId="34A21DC1">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0E5B395">
        <w:rPr>
          <w:rFonts w:ascii="Arial" w:hAnsi="Arial" w:eastAsia="Arial" w:cs="Arial"/>
          <w:b w:val="0"/>
          <w:bCs w:val="0"/>
          <w:noProof w:val="0"/>
          <w:color w:val="auto"/>
          <w:sz w:val="24"/>
          <w:szCs w:val="24"/>
          <w:lang w:val="en-GB"/>
        </w:rPr>
        <w:t>To fully understand Coca-Cola’s market positioning, consider the contrast at the heart of the health-marketing debate. On the one hand, critics argue that heavy marketing of sugary beverages, especially to children, contributes to public health problems. On the other side, the introduction of low- and no-sugar alternatives points to a strategic response to changing consumer preferences. The authenticity of these initiatives is debated: are they a genuine commitment to health, or reputational strategies? This tension is shaped by wider Corporate Social Responsibility (CSR) expectations: companies must balance ethical responsibility with market demand. From a brand authenticity perspective, true public welfare engagement can build trust, while critics assert that Coca-Cola’s healthier product lines may be more about reducing scrutiny than addressing health issues substantively.</w:t>
      </w:r>
    </w:p>
    <w:p w:rsidR="5578792D" w:rsidP="64C58D3E" w:rsidRDefault="5578792D" w14:paraId="7F17BB5A" w14:textId="38B87FB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0E5B395">
        <w:rPr>
          <w:rFonts w:ascii="Arial" w:hAnsi="Arial" w:eastAsia="Arial" w:cs="Arial"/>
          <w:b w:val="0"/>
          <w:bCs w:val="0"/>
          <w:noProof w:val="0"/>
          <w:color w:val="auto"/>
          <w:sz w:val="24"/>
          <w:szCs w:val="24"/>
          <w:lang w:val="en-GB"/>
        </w:rPr>
        <w:t>Recent market data support the effectiveness of Coca-Cola’s health-oriented offerings. A 2023 analysis reported a 15% increase in sales of Coca-Cola Zero Sugar, indicating strong consumer interest in reduced-sugar beverages. Similarly, a 2022 Market Research Institute survey found that 60% of consumers viewed Coca-Cola’s low- and no-sugar products as genuine attempts to promote healthier lifestyles. These findings suggest that the company’s health-focused initiatives resonate with a significant segment of the market.</w:t>
      </w:r>
    </w:p>
    <w:p w:rsidR="5578792D" w:rsidP="64C58D3E" w:rsidRDefault="5578792D" w14:paraId="2DD1376C" w14:textId="4B4894F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0E5B395">
        <w:rPr>
          <w:rFonts w:ascii="Arial" w:hAnsi="Arial" w:eastAsia="Arial" w:cs="Arial"/>
          <w:b w:val="0"/>
          <w:bCs w:val="0"/>
          <w:noProof w:val="0"/>
          <w:color w:val="auto"/>
          <w:sz w:val="24"/>
          <w:szCs w:val="24"/>
          <w:lang w:val="en-GB"/>
        </w:rPr>
        <w:t>Despite these positive trends, uncertainty remains about whether these changes address fundamental public health risks or merely serve to deflect criticism. On one hand, Coca-Cola markets high-sugar drinks; on the other, it offers healthier options. This contrast raises questions about the sincerity of its commitment to health-oriented reform. Thus, the tension between pursuing profitability and upholding public responsibility remains a central strategic challenge.</w:t>
      </w:r>
    </w:p>
    <w:p w:rsidR="5578792D" w:rsidP="64C58D3E" w:rsidRDefault="5578792D" w14:paraId="6F62E655" w14:textId="530F58A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60E5B395">
        <w:rPr>
          <w:rFonts w:ascii="Arial" w:hAnsi="Arial" w:eastAsia="Arial" w:cs="Arial"/>
          <w:b w:val="0"/>
          <w:bCs w:val="0"/>
          <w:noProof w:val="0"/>
          <w:color w:val="auto"/>
          <w:sz w:val="24"/>
          <w:szCs w:val="24"/>
          <w:lang w:val="en-GB"/>
        </w:rPr>
        <w:t xml:space="preserve">Diversified targeting sharpens Coca-Cola’s competitive edge. Qoo’s launch specifically targeted children and mothers, positioning it as a vitamin-fortified, healthier choice (Todd, 2003). The company also reaches commuters via vending machines, appeals to young adults with limited-edition flavours, and serves older consumers with teas and non-carbonated options. By focusing on key consumption occasions rather than just demographic groups, Coca-Cola </w:t>
      </w:r>
      <w:r w:rsidRPr="64C58D3E" w:rsidR="60E5B395">
        <w:rPr>
          <w:rFonts w:ascii="Arial" w:hAnsi="Arial" w:eastAsia="Arial" w:cs="Arial"/>
          <w:b w:val="0"/>
          <w:bCs w:val="0"/>
          <w:noProof w:val="0"/>
          <w:color w:val="auto"/>
          <w:sz w:val="24"/>
          <w:szCs w:val="24"/>
          <w:lang w:val="en-GB"/>
        </w:rPr>
        <w:t>demonstrates</w:t>
      </w:r>
      <w:r w:rsidRPr="64C58D3E" w:rsidR="60E5B395">
        <w:rPr>
          <w:rFonts w:ascii="Arial" w:hAnsi="Arial" w:eastAsia="Arial" w:cs="Arial"/>
          <w:b w:val="0"/>
          <w:bCs w:val="0"/>
          <w:noProof w:val="0"/>
          <w:color w:val="auto"/>
          <w:sz w:val="24"/>
          <w:szCs w:val="24"/>
          <w:lang w:val="en-GB"/>
        </w:rPr>
        <w:t xml:space="preserve"> agility and </w:t>
      </w:r>
      <w:r w:rsidRPr="64C58D3E" w:rsidR="60E5B395">
        <w:rPr>
          <w:rFonts w:ascii="Arial" w:hAnsi="Arial" w:eastAsia="Arial" w:cs="Arial"/>
          <w:b w:val="0"/>
          <w:bCs w:val="0"/>
          <w:noProof w:val="0"/>
          <w:color w:val="auto"/>
          <w:sz w:val="24"/>
          <w:szCs w:val="24"/>
          <w:lang w:val="en-GB"/>
        </w:rPr>
        <w:t>retains</w:t>
      </w:r>
      <w:r w:rsidRPr="64C58D3E" w:rsidR="60E5B395">
        <w:rPr>
          <w:rFonts w:ascii="Arial" w:hAnsi="Arial" w:eastAsia="Arial" w:cs="Arial"/>
          <w:b w:val="0"/>
          <w:bCs w:val="0"/>
          <w:noProof w:val="0"/>
          <w:color w:val="auto"/>
          <w:sz w:val="24"/>
          <w:szCs w:val="24"/>
          <w:lang w:val="en-GB"/>
        </w:rPr>
        <w:t xml:space="preserve"> a competitive lead in both U.S. and global markets.</w:t>
      </w:r>
    </w:p>
    <w:p w:rsidR="5578792D" w:rsidP="64C58D3E" w:rsidRDefault="5578792D" w14:paraId="56F58DEB" w14:textId="62901ED9">
      <w:pPr>
        <w:pStyle w:val="Heading2"/>
        <w:spacing w:line="360" w:lineRule="auto"/>
        <w:jc w:val="both"/>
        <w:rPr>
          <w:rFonts w:ascii="Arial" w:hAnsi="Arial" w:eastAsia="Arial" w:cs="Arial"/>
          <w:b w:val="0"/>
          <w:bCs w:val="0"/>
          <w:noProof w:val="0"/>
          <w:color w:val="auto"/>
          <w:sz w:val="24"/>
          <w:szCs w:val="24"/>
          <w:lang w:val="en-GB"/>
        </w:rPr>
      </w:pPr>
      <w:bookmarkStart w:name="_Toc286003750" w:id="1544882099"/>
      <w:r w:rsidRPr="64C58D3E" w:rsidR="183523AA">
        <w:rPr>
          <w:rFonts w:ascii="Arial" w:hAnsi="Arial" w:eastAsia="Arial" w:cs="Arial"/>
          <w:b w:val="0"/>
          <w:bCs w:val="0"/>
          <w:noProof w:val="0"/>
          <w:color w:val="auto"/>
          <w:sz w:val="24"/>
          <w:szCs w:val="24"/>
          <w:lang w:val="en-GB"/>
        </w:rPr>
        <w:t>Positioning</w:t>
      </w:r>
      <w:bookmarkEnd w:id="1544882099"/>
    </w:p>
    <w:p w:rsidR="5578792D" w:rsidP="64C58D3E" w:rsidRDefault="5578792D" w14:paraId="58B6DD75" w14:textId="23D1F27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5B7975">
        <w:rPr>
          <w:rFonts w:ascii="Arial" w:hAnsi="Arial" w:eastAsia="Arial" w:cs="Arial"/>
          <w:b w:val="0"/>
          <w:bCs w:val="0"/>
          <w:noProof w:val="0"/>
          <w:color w:val="auto"/>
          <w:sz w:val="24"/>
          <w:szCs w:val="24"/>
          <w:lang w:val="en-GB"/>
        </w:rPr>
        <w:t>In the United States, Coca-Cola positions itself by emphasizing both emotional and practical benefits. Emotionally, the brand focuses on happiness, tradition, and refreshment, which helps build its history and creates strong ties with buyers (Brownsell, 2011; Keyser and Neuman, 2023). The “movement is happiness” campaign demonstrates this strategy by sharing feelings of joy, belonging, and a positive mood, primarily among teenagers, mothers, and key social groups. Wood, Ruskin, and Sacks (2020) and Mahase (2019) note the campaign’s direct focus on teenagers aged 13 to 20, aiming to build long-term customer loyalty. On the practical side, Coca-Cola has made its products healthier by lowering sugar in its drinks. Coca-Cola Zero Sugar is becoming more popular with health-focused customers, backed by a 2019 report which found that 40% of new Coca-Cola drinks had little or no sugar.</w:t>
      </w:r>
    </w:p>
    <w:p w:rsidR="5578792D" w:rsidP="64C58D3E" w:rsidRDefault="5578792D" w14:paraId="4AA2FC6B" w14:textId="1E59283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5B7975">
        <w:rPr>
          <w:rFonts w:ascii="Arial" w:hAnsi="Arial" w:eastAsia="Arial" w:cs="Arial"/>
          <w:b w:val="0"/>
          <w:bCs w:val="0"/>
          <w:noProof w:val="0"/>
          <w:color w:val="auto"/>
          <w:sz w:val="24"/>
          <w:szCs w:val="24"/>
          <w:lang w:val="en-GB"/>
        </w:rPr>
        <w:t xml:space="preserve">Coca-Cola’s positioning can be further examined using perceptual mapping, which highlights a clear contrast with its main competitor, Pepsi. While Coca-Cola’s space is defined by nostalgic, emotionally resonant branding and a secondary emphasis on healthier product lines, Pepsi occupies a distinctly different position. Pepsi projects a modern, vibrant identity that </w:t>
      </w:r>
      <w:r w:rsidRPr="64C58D3E" w:rsidR="1EC63FFE">
        <w:rPr>
          <w:rFonts w:ascii="Arial" w:hAnsi="Arial" w:eastAsia="Arial" w:cs="Arial"/>
          <w:b w:val="0"/>
          <w:bCs w:val="0"/>
          <w:noProof w:val="0"/>
          <w:color w:val="auto"/>
          <w:sz w:val="24"/>
          <w:szCs w:val="24"/>
          <w:lang w:val="en-GB"/>
        </w:rPr>
        <w:t>centres</w:t>
      </w:r>
      <w:r w:rsidRPr="64C58D3E" w:rsidR="325B7975">
        <w:rPr>
          <w:rFonts w:ascii="Arial" w:hAnsi="Arial" w:eastAsia="Arial" w:cs="Arial"/>
          <w:b w:val="0"/>
          <w:bCs w:val="0"/>
          <w:noProof w:val="0"/>
          <w:color w:val="auto"/>
          <w:sz w:val="24"/>
          <w:szCs w:val="24"/>
          <w:lang w:val="en-GB"/>
        </w:rPr>
        <w:t xml:space="preserve"> on youthful exuberance and boldness, and it also features health-oriented products such as Pepsi Zero Sugar. Both companies address health trends, but Pepsi’s focus on innovation and forward-looking themes distinguishes it from Coca-Cola’s deeper reliance on heritage and tradition. Coca-Cola delivers an authentic brand experience rooted in emotional satisfaction and heritage, </w:t>
      </w:r>
      <w:r w:rsidRPr="64C58D3E" w:rsidR="325B7975">
        <w:rPr>
          <w:rFonts w:ascii="Arial" w:hAnsi="Arial" w:eastAsia="Arial" w:cs="Arial"/>
          <w:b w:val="0"/>
          <w:bCs w:val="0"/>
          <w:noProof w:val="0"/>
          <w:color w:val="auto"/>
          <w:sz w:val="24"/>
          <w:szCs w:val="24"/>
          <w:lang w:val="en-GB"/>
        </w:rPr>
        <w:t>whereas</w:t>
      </w:r>
      <w:r w:rsidRPr="64C58D3E" w:rsidR="325B7975">
        <w:rPr>
          <w:rFonts w:ascii="Arial" w:hAnsi="Arial" w:eastAsia="Arial" w:cs="Arial"/>
          <w:b w:val="0"/>
          <w:bCs w:val="0"/>
          <w:noProof w:val="0"/>
          <w:color w:val="auto"/>
          <w:sz w:val="24"/>
          <w:szCs w:val="24"/>
          <w:lang w:val="en-GB"/>
        </w:rPr>
        <w:t xml:space="preserve"> Pepsi’s appeal is built on its contemporary, energetic image.</w:t>
      </w:r>
    </w:p>
    <w:p w:rsidR="5578792D" w:rsidP="64C58D3E" w:rsidRDefault="5578792D" w14:paraId="1AB9DEB8" w14:textId="1DE9376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5B7975">
        <w:rPr>
          <w:rFonts w:ascii="Arial" w:hAnsi="Arial" w:eastAsia="Arial" w:cs="Arial"/>
          <w:b w:val="0"/>
          <w:bCs w:val="0"/>
          <w:noProof w:val="0"/>
          <w:color w:val="auto"/>
          <w:sz w:val="24"/>
          <w:szCs w:val="24"/>
          <w:lang w:val="en-GB"/>
        </w:rPr>
        <w:t>Coca-Cola’s emphasis on healthier alternatives strengthens its competitive standing by enhancing both emotional and functional value. To assess the impact of low-sugar launches on reputation and brand equity, a strategic “healthfulness index” could be developed. This would measure consumer perceptions of health initiatives, track sales of low-sugar products, and analyse health outcomes related to beverage consumption. Relevant data could be sourced from consumer surveys, sales reports, health research publications, and feedback from community health groups, enabling a comprehensive evaluation of Coca-Cola’s alignment with public health.</w:t>
      </w:r>
    </w:p>
    <w:p w:rsidR="5578792D" w:rsidP="64C58D3E" w:rsidRDefault="5578792D" w14:paraId="02318B05" w14:textId="4E7AEE75">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325B7975">
        <w:rPr>
          <w:rFonts w:ascii="Arial" w:hAnsi="Arial" w:eastAsia="Arial" w:cs="Arial"/>
          <w:b w:val="0"/>
          <w:bCs w:val="0"/>
          <w:noProof w:val="0"/>
          <w:color w:val="auto"/>
          <w:sz w:val="24"/>
          <w:szCs w:val="24"/>
          <w:lang w:val="en-GB"/>
        </w:rPr>
        <w:t xml:space="preserve">In Japan, Coca-Cola’s positioning emphasises innovation, diversity, and cultural resonance. The Qoo brand </w:t>
      </w:r>
      <w:r w:rsidRPr="64C58D3E" w:rsidR="325B7975">
        <w:rPr>
          <w:rFonts w:ascii="Arial" w:hAnsi="Arial" w:eastAsia="Arial" w:cs="Arial"/>
          <w:b w:val="0"/>
          <w:bCs w:val="0"/>
          <w:noProof w:val="0"/>
          <w:color w:val="auto"/>
          <w:sz w:val="24"/>
          <w:szCs w:val="24"/>
          <w:lang w:val="en-GB"/>
        </w:rPr>
        <w:t>demonstrates</w:t>
      </w:r>
      <w:r w:rsidRPr="64C58D3E" w:rsidR="325B7975">
        <w:rPr>
          <w:rFonts w:ascii="Arial" w:hAnsi="Arial" w:eastAsia="Arial" w:cs="Arial"/>
          <w:b w:val="0"/>
          <w:bCs w:val="0"/>
          <w:noProof w:val="0"/>
          <w:color w:val="auto"/>
          <w:sz w:val="24"/>
          <w:szCs w:val="24"/>
          <w:lang w:val="en-GB"/>
        </w:rPr>
        <w:t xml:space="preserve"> its ability to cultivate a child-friendly identity through an animated mascot and culturally meaningful naming (Todd, 2003). Coca-Cola’s broader Japanese strategy involves frequent product innovation and seasonal releases, though this diversification carries the risk of brand stretch. While successes such as Georgia Coffee illustrate effective localisation, less successful ventures like Coca-Cola </w:t>
      </w:r>
      <w:r w:rsidRPr="64C58D3E" w:rsidR="325B7975">
        <w:rPr>
          <w:rFonts w:ascii="Arial" w:hAnsi="Arial" w:eastAsia="Arial" w:cs="Arial"/>
          <w:b w:val="0"/>
          <w:bCs w:val="0"/>
          <w:noProof w:val="0"/>
          <w:color w:val="auto"/>
          <w:sz w:val="24"/>
          <w:szCs w:val="24"/>
          <w:lang w:val="en-GB"/>
        </w:rPr>
        <w:t>BlāK</w:t>
      </w:r>
      <w:r w:rsidRPr="64C58D3E" w:rsidR="325B7975">
        <w:rPr>
          <w:rFonts w:ascii="Arial" w:hAnsi="Arial" w:eastAsia="Arial" w:cs="Arial"/>
          <w:b w:val="0"/>
          <w:bCs w:val="0"/>
          <w:noProof w:val="0"/>
          <w:color w:val="auto"/>
          <w:sz w:val="24"/>
          <w:szCs w:val="24"/>
          <w:lang w:val="en-GB"/>
        </w:rPr>
        <w:t xml:space="preserve"> highlight the dangers of diluting core brand equity.</w:t>
      </w:r>
    </w:p>
    <w:p w:rsidR="5578792D" w:rsidP="64C58D3E" w:rsidRDefault="5578792D" w14:paraId="41519931" w14:textId="4A0057FC">
      <w:pPr>
        <w:pStyle w:val="Heading1"/>
        <w:spacing w:line="360" w:lineRule="auto"/>
        <w:jc w:val="both"/>
        <w:rPr>
          <w:rFonts w:ascii="Arial" w:hAnsi="Arial" w:eastAsia="Arial" w:cs="Arial"/>
          <w:b w:val="0"/>
          <w:bCs w:val="0"/>
          <w:color w:val="auto"/>
          <w:sz w:val="24"/>
          <w:szCs w:val="24"/>
        </w:rPr>
      </w:pPr>
      <w:bookmarkStart w:name="_Toc870180350" w:id="1069092769"/>
      <w:r w:rsidRPr="64C58D3E" w:rsidR="12DF1E76">
        <w:rPr>
          <w:rFonts w:ascii="Arial" w:hAnsi="Arial" w:eastAsia="Arial" w:cs="Arial"/>
          <w:b w:val="0"/>
          <w:bCs w:val="0"/>
          <w:color w:val="auto"/>
          <w:sz w:val="24"/>
          <w:szCs w:val="24"/>
        </w:rPr>
        <w:t>Marketing Mix</w:t>
      </w:r>
      <w:bookmarkEnd w:id="1069092769"/>
    </w:p>
    <w:p w:rsidR="27C4D5DF" w:rsidP="64C58D3E" w:rsidRDefault="27C4D5DF" w14:paraId="7961A764" w14:textId="62950E9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Brand and Product Strategy</w:t>
      </w:r>
    </w:p>
    <w:p w:rsidR="27C4D5DF" w:rsidP="64C58D3E" w:rsidRDefault="27C4D5DF" w14:paraId="0E1B7C28" w14:textId="2DBC7CD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Coca-Cola adopts distinct brand and product strategies in Japan and the United States, reflecting differences in culture, beverage preferences, and consumption occasions. In the U.S., Coca-Cola reinforces its iconic, traditional American identity. The core brand image emphasi</w:t>
      </w:r>
      <w:r w:rsidRPr="64C58D3E" w:rsidR="39FDCDA7">
        <w:rPr>
          <w:rFonts w:ascii="Arial" w:hAnsi="Arial" w:eastAsia="Arial" w:cs="Arial"/>
          <w:b w:val="0"/>
          <w:bCs w:val="0"/>
          <w:noProof w:val="0"/>
          <w:color w:val="auto"/>
          <w:sz w:val="24"/>
          <w:szCs w:val="24"/>
          <w:lang w:val="en-GB"/>
        </w:rPr>
        <w:t>s</w:t>
      </w:r>
      <w:r w:rsidRPr="64C58D3E" w:rsidR="27C4D5DF">
        <w:rPr>
          <w:rFonts w:ascii="Arial" w:hAnsi="Arial" w:eastAsia="Arial" w:cs="Arial"/>
          <w:b w:val="0"/>
          <w:bCs w:val="0"/>
          <w:noProof w:val="0"/>
          <w:color w:val="auto"/>
          <w:sz w:val="24"/>
          <w:szCs w:val="24"/>
          <w:lang w:val="en-GB"/>
        </w:rPr>
        <w:t xml:space="preserve">es happiness, nostalgia, and shared moments, supported by campaigns such as Movement is Happiness, which specifically targets teenagers, mothers, and influencers to strengthen emotional connection and brand loyalty (Wood, Ruskin &amp; Sacks, 2020). U.S. product offerings focus on the classic cola line, including key variants such as Coca-Cola Classic, Diet Coke, and Coke Zero Sugar. Packaging is </w:t>
      </w:r>
      <w:r w:rsidRPr="64C58D3E" w:rsidR="14EB76D7">
        <w:rPr>
          <w:rFonts w:ascii="Arial" w:hAnsi="Arial" w:eastAsia="Arial" w:cs="Arial"/>
          <w:b w:val="0"/>
          <w:bCs w:val="0"/>
          <w:noProof w:val="0"/>
          <w:color w:val="auto"/>
          <w:sz w:val="24"/>
          <w:szCs w:val="24"/>
          <w:lang w:val="en-GB"/>
        </w:rPr>
        <w:t>standardi</w:t>
      </w:r>
      <w:r w:rsidRPr="64C58D3E" w:rsidR="1EE92AB9">
        <w:rPr>
          <w:rFonts w:ascii="Arial" w:hAnsi="Arial" w:eastAsia="Arial" w:cs="Arial"/>
          <w:b w:val="0"/>
          <w:bCs w:val="0"/>
          <w:noProof w:val="0"/>
          <w:color w:val="auto"/>
          <w:sz w:val="24"/>
          <w:szCs w:val="24"/>
          <w:lang w:val="en-GB"/>
        </w:rPr>
        <w:t>s</w:t>
      </w:r>
      <w:r w:rsidRPr="64C58D3E" w:rsidR="14EB76D7">
        <w:rPr>
          <w:rFonts w:ascii="Arial" w:hAnsi="Arial" w:eastAsia="Arial" w:cs="Arial"/>
          <w:b w:val="0"/>
          <w:bCs w:val="0"/>
          <w:noProof w:val="0"/>
          <w:color w:val="auto"/>
          <w:sz w:val="24"/>
          <w:szCs w:val="24"/>
          <w:lang w:val="en-GB"/>
        </w:rPr>
        <w:t>ed</w:t>
      </w:r>
      <w:r w:rsidRPr="64C58D3E" w:rsidR="27C4D5DF">
        <w:rPr>
          <w:rFonts w:ascii="Arial" w:hAnsi="Arial" w:eastAsia="Arial" w:cs="Arial"/>
          <w:b w:val="0"/>
          <w:bCs w:val="0"/>
          <w:noProof w:val="0"/>
          <w:color w:val="auto"/>
          <w:sz w:val="24"/>
          <w:szCs w:val="24"/>
          <w:lang w:val="en-GB"/>
        </w:rPr>
        <w:t>, featuring the iconic red branding and consistent bottle shapes, with only occasional seasonal adaptations.</w:t>
      </w:r>
    </w:p>
    <w:p w:rsidR="27C4D5DF" w:rsidP="64C58D3E" w:rsidRDefault="27C4D5DF" w14:paraId="6978F5EB" w14:textId="2D1BD67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 xml:space="preserve">To prevent brand stretch dilution, Coca-Cola applies specific criteria to ensure that any new category aligns with the brand's core identity. Two critical fit tests guide this process. The first, heritage linkage, evaluates how well a new product connects to Coca-Cola's traditional narrative of happiness and shared experiences. The second, sensory overlap, assesses whether the new product's sensory attributes align with existing offerings, ensuring consistent taste and quality expectations. These fit tests help Coca-Cola </w:t>
      </w:r>
      <w:r w:rsidRPr="64C58D3E" w:rsidR="27C4D5DF">
        <w:rPr>
          <w:rFonts w:ascii="Arial" w:hAnsi="Arial" w:eastAsia="Arial" w:cs="Arial"/>
          <w:b w:val="0"/>
          <w:bCs w:val="0"/>
          <w:noProof w:val="0"/>
          <w:color w:val="auto"/>
          <w:sz w:val="24"/>
          <w:szCs w:val="24"/>
          <w:lang w:val="en-GB"/>
        </w:rPr>
        <w:t>maintain</w:t>
      </w:r>
      <w:r w:rsidRPr="64C58D3E" w:rsidR="27C4D5DF">
        <w:rPr>
          <w:rFonts w:ascii="Arial" w:hAnsi="Arial" w:eastAsia="Arial" w:cs="Arial"/>
          <w:b w:val="0"/>
          <w:bCs w:val="0"/>
          <w:noProof w:val="0"/>
          <w:color w:val="auto"/>
          <w:sz w:val="24"/>
          <w:szCs w:val="24"/>
          <w:lang w:val="en-GB"/>
        </w:rPr>
        <w:t xml:space="preserve"> brand coherence while pursuing new opportunities, ensuring that each product addition complements and strengthens the overall brand story. For instance, the successful launch of Coca-Cola Zero Sugar </w:t>
      </w:r>
      <w:r w:rsidRPr="64C58D3E" w:rsidR="27C4D5DF">
        <w:rPr>
          <w:rFonts w:ascii="Arial" w:hAnsi="Arial" w:eastAsia="Arial" w:cs="Arial"/>
          <w:b w:val="0"/>
          <w:bCs w:val="0"/>
          <w:noProof w:val="0"/>
          <w:color w:val="auto"/>
          <w:sz w:val="24"/>
          <w:szCs w:val="24"/>
          <w:lang w:val="en-GB"/>
        </w:rPr>
        <w:t>demonstrates</w:t>
      </w:r>
      <w:r w:rsidRPr="64C58D3E" w:rsidR="27C4D5DF">
        <w:rPr>
          <w:rFonts w:ascii="Arial" w:hAnsi="Arial" w:eastAsia="Arial" w:cs="Arial"/>
          <w:b w:val="0"/>
          <w:bCs w:val="0"/>
          <w:noProof w:val="0"/>
          <w:color w:val="auto"/>
          <w:sz w:val="24"/>
          <w:szCs w:val="24"/>
          <w:lang w:val="en-GB"/>
        </w:rPr>
        <w:t xml:space="preserve"> the effectiveness of these tests, as the product </w:t>
      </w:r>
      <w:r w:rsidRPr="64C58D3E" w:rsidR="27C4D5DF">
        <w:rPr>
          <w:rFonts w:ascii="Arial" w:hAnsi="Arial" w:eastAsia="Arial" w:cs="Arial"/>
          <w:b w:val="0"/>
          <w:bCs w:val="0"/>
          <w:noProof w:val="0"/>
          <w:color w:val="auto"/>
          <w:sz w:val="24"/>
          <w:szCs w:val="24"/>
          <w:lang w:val="en-GB"/>
        </w:rPr>
        <w:t>maintained</w:t>
      </w:r>
      <w:r w:rsidRPr="64C58D3E" w:rsidR="27C4D5DF">
        <w:rPr>
          <w:rFonts w:ascii="Arial" w:hAnsi="Arial" w:eastAsia="Arial" w:cs="Arial"/>
          <w:b w:val="0"/>
          <w:bCs w:val="0"/>
          <w:noProof w:val="0"/>
          <w:color w:val="auto"/>
          <w:sz w:val="24"/>
          <w:szCs w:val="24"/>
          <w:lang w:val="en-GB"/>
        </w:rPr>
        <w:t xml:space="preserve"> the classic Coca-Cola flavour profile while offering reduced sugar. In contrast, the introduction of Coca-Cola </w:t>
      </w:r>
      <w:r w:rsidRPr="64C58D3E" w:rsidR="27C4D5DF">
        <w:rPr>
          <w:rFonts w:ascii="Arial" w:hAnsi="Arial" w:eastAsia="Arial" w:cs="Arial"/>
          <w:b w:val="0"/>
          <w:bCs w:val="0"/>
          <w:noProof w:val="0"/>
          <w:color w:val="auto"/>
          <w:sz w:val="24"/>
          <w:szCs w:val="24"/>
          <w:lang w:val="en-GB"/>
        </w:rPr>
        <w:t>BlāK</w:t>
      </w:r>
      <w:r w:rsidRPr="64C58D3E" w:rsidR="27C4D5DF">
        <w:rPr>
          <w:rFonts w:ascii="Arial" w:hAnsi="Arial" w:eastAsia="Arial" w:cs="Arial"/>
          <w:b w:val="0"/>
          <w:bCs w:val="0"/>
          <w:noProof w:val="0"/>
          <w:color w:val="auto"/>
          <w:sz w:val="24"/>
          <w:szCs w:val="24"/>
          <w:lang w:val="en-GB"/>
        </w:rPr>
        <w:t>, a coffee-flavoured variant, achieved limited success because it lacked a strong connection to Coca-Cola's core flavour expectations, highlighting the importance of sensory alignment in brand extensions.</w:t>
      </w:r>
    </w:p>
    <w:p w:rsidR="27C4D5DF" w:rsidP="64C58D3E" w:rsidRDefault="27C4D5DF" w14:paraId="5C773776" w14:textId="289DE3C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 xml:space="preserve">In contrast, Coca-Cola’s strategy in Japan is highly diversified and tailored to local culture. The brand architecture in Japan encompasses a wide range of locally adapted brands, including Qoo, Georgia Coffee, </w:t>
      </w:r>
      <w:r w:rsidRPr="64C58D3E" w:rsidR="27C4D5DF">
        <w:rPr>
          <w:rFonts w:ascii="Arial" w:hAnsi="Arial" w:eastAsia="Arial" w:cs="Arial"/>
          <w:b w:val="0"/>
          <w:bCs w:val="0"/>
          <w:noProof w:val="0"/>
          <w:color w:val="auto"/>
          <w:sz w:val="24"/>
          <w:szCs w:val="24"/>
          <w:lang w:val="en-GB"/>
        </w:rPr>
        <w:t>Ayataka</w:t>
      </w:r>
      <w:r w:rsidRPr="64C58D3E" w:rsidR="27C4D5DF">
        <w:rPr>
          <w:rFonts w:ascii="Arial" w:hAnsi="Arial" w:eastAsia="Arial" w:cs="Arial"/>
          <w:b w:val="0"/>
          <w:bCs w:val="0"/>
          <w:noProof w:val="0"/>
          <w:color w:val="auto"/>
          <w:sz w:val="24"/>
          <w:szCs w:val="24"/>
          <w:lang w:val="en-GB"/>
        </w:rPr>
        <w:t xml:space="preserve"> tea, Aquarius, and </w:t>
      </w:r>
      <w:r w:rsidRPr="64C58D3E" w:rsidR="27C4D5DF">
        <w:rPr>
          <w:rFonts w:ascii="Arial" w:hAnsi="Arial" w:eastAsia="Arial" w:cs="Arial"/>
          <w:b w:val="0"/>
          <w:bCs w:val="0"/>
          <w:noProof w:val="0"/>
          <w:color w:val="auto"/>
          <w:sz w:val="24"/>
          <w:szCs w:val="24"/>
          <w:lang w:val="en-GB"/>
        </w:rPr>
        <w:t>numerous</w:t>
      </w:r>
      <w:r w:rsidRPr="64C58D3E" w:rsidR="27C4D5DF">
        <w:rPr>
          <w:rFonts w:ascii="Arial" w:hAnsi="Arial" w:eastAsia="Arial" w:cs="Arial"/>
          <w:b w:val="0"/>
          <w:bCs w:val="0"/>
          <w:noProof w:val="0"/>
          <w:color w:val="auto"/>
          <w:sz w:val="24"/>
          <w:szCs w:val="24"/>
          <w:lang w:val="en-GB"/>
        </w:rPr>
        <w:t xml:space="preserve"> limited-edition soft drinks. Qoo exemplifies Coca-Cola’s localization approach, as it was introduced specifically for Japanese children and their mothers, featuring an animated mascot and an 'innocent' personality to build trust and convey friendliness (Todd, 2003). Product dimensions in Japan extend beyond core beverages to include packaging innovations, such as smaller bottles for commuters and colourful vending machine options, as well as features like vitamin fortification and unique flavours.</w:t>
      </w:r>
    </w:p>
    <w:p w:rsidR="27C4D5DF" w:rsidP="64C58D3E" w:rsidRDefault="27C4D5DF" w14:paraId="7C0CDA7C" w14:textId="55864F7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 xml:space="preserve">With respect to standardisation versus adaptation, Coca-Cola implements significant product and packaging adaptation in Japan. Packaging designs </w:t>
      </w:r>
      <w:r w:rsidRPr="64C58D3E" w:rsidR="27C4D5DF">
        <w:rPr>
          <w:rFonts w:ascii="Arial" w:hAnsi="Arial" w:eastAsia="Arial" w:cs="Arial"/>
          <w:b w:val="0"/>
          <w:bCs w:val="0"/>
          <w:noProof w:val="0"/>
          <w:color w:val="auto"/>
          <w:sz w:val="24"/>
          <w:szCs w:val="24"/>
          <w:lang w:val="en-GB"/>
        </w:rPr>
        <w:t>frequently</w:t>
      </w:r>
      <w:r w:rsidRPr="64C58D3E" w:rsidR="27C4D5DF">
        <w:rPr>
          <w:rFonts w:ascii="Arial" w:hAnsi="Arial" w:eastAsia="Arial" w:cs="Arial"/>
          <w:b w:val="0"/>
          <w:bCs w:val="0"/>
          <w:noProof w:val="0"/>
          <w:color w:val="auto"/>
          <w:sz w:val="24"/>
          <w:szCs w:val="24"/>
          <w:lang w:val="en-GB"/>
        </w:rPr>
        <w:t xml:space="preserve"> feature anime characters, seasonal themes, or regional exclusives, </w:t>
      </w:r>
      <w:r w:rsidRPr="64C58D3E" w:rsidR="27C4D5DF">
        <w:rPr>
          <w:rFonts w:ascii="Arial" w:hAnsi="Arial" w:eastAsia="Arial" w:cs="Arial"/>
          <w:b w:val="0"/>
          <w:bCs w:val="0"/>
          <w:noProof w:val="0"/>
          <w:color w:val="auto"/>
          <w:sz w:val="24"/>
          <w:szCs w:val="24"/>
          <w:lang w:val="en-GB"/>
        </w:rPr>
        <w:t>whereas</w:t>
      </w:r>
      <w:r w:rsidRPr="64C58D3E" w:rsidR="27C4D5DF">
        <w:rPr>
          <w:rFonts w:ascii="Arial" w:hAnsi="Arial" w:eastAsia="Arial" w:cs="Arial"/>
          <w:b w:val="0"/>
          <w:bCs w:val="0"/>
          <w:noProof w:val="0"/>
          <w:color w:val="auto"/>
          <w:sz w:val="24"/>
          <w:szCs w:val="24"/>
          <w:lang w:val="en-GB"/>
        </w:rPr>
        <w:t xml:space="preserve"> U.S. packaging </w:t>
      </w:r>
      <w:r w:rsidRPr="64C58D3E" w:rsidR="27C4D5DF">
        <w:rPr>
          <w:rFonts w:ascii="Arial" w:hAnsi="Arial" w:eastAsia="Arial" w:cs="Arial"/>
          <w:b w:val="0"/>
          <w:bCs w:val="0"/>
          <w:noProof w:val="0"/>
          <w:color w:val="auto"/>
          <w:sz w:val="24"/>
          <w:szCs w:val="24"/>
          <w:lang w:val="en-GB"/>
        </w:rPr>
        <w:t>remains</w:t>
      </w:r>
      <w:r w:rsidRPr="64C58D3E" w:rsidR="27C4D5DF">
        <w:rPr>
          <w:rFonts w:ascii="Arial" w:hAnsi="Arial" w:eastAsia="Arial" w:cs="Arial"/>
          <w:b w:val="0"/>
          <w:bCs w:val="0"/>
          <w:noProof w:val="0"/>
          <w:color w:val="auto"/>
          <w:sz w:val="24"/>
          <w:szCs w:val="24"/>
          <w:lang w:val="en-GB"/>
        </w:rPr>
        <w:t xml:space="preserve"> more standardized. Labelling also differs: Japanese products adhere to local language, nutritional standards, and culturally relevant visuals, while U.S. labels </w:t>
      </w:r>
      <w:r w:rsidRPr="64C58D3E" w:rsidR="27C4D5DF">
        <w:rPr>
          <w:rFonts w:ascii="Arial" w:hAnsi="Arial" w:eastAsia="Arial" w:cs="Arial"/>
          <w:b w:val="0"/>
          <w:bCs w:val="0"/>
          <w:noProof w:val="0"/>
          <w:color w:val="auto"/>
          <w:sz w:val="24"/>
          <w:szCs w:val="24"/>
          <w:lang w:val="en-GB"/>
        </w:rPr>
        <w:t>comply with</w:t>
      </w:r>
      <w:r w:rsidRPr="64C58D3E" w:rsidR="27C4D5DF">
        <w:rPr>
          <w:rFonts w:ascii="Arial" w:hAnsi="Arial" w:eastAsia="Arial" w:cs="Arial"/>
          <w:b w:val="0"/>
          <w:bCs w:val="0"/>
          <w:noProof w:val="0"/>
          <w:color w:val="auto"/>
          <w:sz w:val="24"/>
          <w:szCs w:val="24"/>
          <w:lang w:val="en-GB"/>
        </w:rPr>
        <w:t xml:space="preserve"> the FDA’s nutritional facts format. Overall, Coca-Cola </w:t>
      </w:r>
      <w:r w:rsidRPr="64C58D3E" w:rsidR="27C4D5DF">
        <w:rPr>
          <w:rFonts w:ascii="Arial" w:hAnsi="Arial" w:eastAsia="Arial" w:cs="Arial"/>
          <w:b w:val="0"/>
          <w:bCs w:val="0"/>
          <w:noProof w:val="0"/>
          <w:color w:val="auto"/>
          <w:sz w:val="24"/>
          <w:szCs w:val="24"/>
          <w:lang w:val="en-GB"/>
        </w:rPr>
        <w:t>maintains</w:t>
      </w:r>
      <w:r w:rsidRPr="64C58D3E" w:rsidR="27C4D5DF">
        <w:rPr>
          <w:rFonts w:ascii="Arial" w:hAnsi="Arial" w:eastAsia="Arial" w:cs="Arial"/>
          <w:b w:val="0"/>
          <w:bCs w:val="0"/>
          <w:noProof w:val="0"/>
          <w:color w:val="auto"/>
          <w:sz w:val="24"/>
          <w:szCs w:val="24"/>
          <w:lang w:val="en-GB"/>
        </w:rPr>
        <w:t xml:space="preserve"> a consistent global brand identity but adapts product lines, packaging, and labelling more extensively in Japan than in the United States.</w:t>
      </w:r>
    </w:p>
    <w:p w:rsidR="27C4D5DF" w:rsidP="64C58D3E" w:rsidRDefault="27C4D5DF" w14:paraId="08B5B789" w14:textId="7AE5504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Pricing and Promotion Strategy</w:t>
      </w:r>
    </w:p>
    <w:p w:rsidR="27C4D5DF" w:rsidP="64C58D3E" w:rsidRDefault="27C4D5DF" w14:paraId="7992FC1C" w14:textId="690249D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Coca-Cola’s pricing strategy in the United States is driven by competitor-based pricing. Coca-Cola’s pricing strategy in the United States is based on competitor-oriented pricing within the carbonated soft drinks industry, with Pepsi serving as the primary benchmark. Multipack pricing in supermarkets is promotional and value-driven, balancing affordability with brand equity to maintain category leadership and encourage repeat purchases. In Japan, pricing is also competitor-based but reflects distinct consumption patterns; for instance, vending-machine purchases range from 120 to 160 depending on size and location. The prevalence of single-serve formats results in higher unit prices than in U.S. multipacks. Pricing is thus adjusted to accommodate local purchasing habits and channel structures. Cola’s promotional objective is to strengthen emotional attachment and reinforce brand heritage (Brownsell, 2011; Keyser and Neuman, 2023). Advertising heavily uses family imagery, nostalgia, celebrity endorsements, and large-scale sports partnerships. According to Wood, Ruskin, and Sacks (2020), campaigns targeted teenagers and youth influencers to increase perceived brand relevance and healthfulness, demonstrating a multifaceted promotional approach.</w:t>
      </w:r>
    </w:p>
    <w:p w:rsidR="27C4D5DF" w:rsidP="64C58D3E" w:rsidRDefault="27C4D5DF" w14:paraId="70611219" w14:textId="5FB313D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Japan's promotional strategy is more culturally embedded and visually dynamic. Campaigns often feature anime characters, mascots, seasonal aesthetics, street advertising, and interactive vending machines. The appeal centres on cuteness, novelty, and technical modernity rather than the emotional and nostalgic appeals typical of U.S. campaigns. As such, promotion is highly adapted, matching local and cultural values and consumer expectations.</w:t>
      </w:r>
    </w:p>
    <w:p w:rsidR="27C4D5DF" w:rsidP="64C58D3E" w:rsidRDefault="27C4D5DF" w14:paraId="09DFB336" w14:textId="42C58737">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3. Distribution Logistics and the 3p’s</w:t>
      </w:r>
    </w:p>
    <w:p w:rsidR="27C4D5DF" w:rsidP="64C58D3E" w:rsidRDefault="27C4D5DF" w14:paraId="42824A67" w14:textId="0C724C4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 xml:space="preserve">Distribution intensity is high in both countries, although channel structures differ. In the U.S., Coca-Cola relies on supermarkets, convenience stores, and food service chains. In Japan, the company </w:t>
      </w:r>
      <w:r w:rsidRPr="64C58D3E" w:rsidR="27C4D5DF">
        <w:rPr>
          <w:rFonts w:ascii="Arial" w:hAnsi="Arial" w:eastAsia="Arial" w:cs="Arial"/>
          <w:b w:val="0"/>
          <w:bCs w:val="0"/>
          <w:noProof w:val="0"/>
          <w:color w:val="auto"/>
          <w:sz w:val="24"/>
          <w:szCs w:val="24"/>
          <w:lang w:val="en-GB"/>
        </w:rPr>
        <w:t>benefits</w:t>
      </w:r>
      <w:r w:rsidRPr="64C58D3E" w:rsidR="27C4D5DF">
        <w:rPr>
          <w:rFonts w:ascii="Arial" w:hAnsi="Arial" w:eastAsia="Arial" w:cs="Arial"/>
          <w:b w:val="0"/>
          <w:bCs w:val="0"/>
          <w:noProof w:val="0"/>
          <w:color w:val="auto"/>
          <w:sz w:val="24"/>
          <w:szCs w:val="24"/>
          <w:lang w:val="en-GB"/>
        </w:rPr>
        <w:t xml:space="preserve"> from one of the world's most dense vending-machine networks, making vending a critical distribution channel. While channel length is similar overall, Japan incorporates </w:t>
      </w:r>
      <w:r w:rsidRPr="64C58D3E" w:rsidR="27C4D5DF">
        <w:rPr>
          <w:rFonts w:ascii="Arial" w:hAnsi="Arial" w:eastAsia="Arial" w:cs="Arial"/>
          <w:b w:val="0"/>
          <w:bCs w:val="0"/>
          <w:noProof w:val="0"/>
          <w:color w:val="auto"/>
          <w:sz w:val="24"/>
          <w:szCs w:val="24"/>
          <w:lang w:val="en-GB"/>
        </w:rPr>
        <w:t>additional</w:t>
      </w:r>
      <w:r w:rsidRPr="64C58D3E" w:rsidR="27C4D5DF">
        <w:rPr>
          <w:rFonts w:ascii="Arial" w:hAnsi="Arial" w:eastAsia="Arial" w:cs="Arial"/>
          <w:b w:val="0"/>
          <w:bCs w:val="0"/>
          <w:noProof w:val="0"/>
          <w:color w:val="auto"/>
          <w:sz w:val="24"/>
          <w:szCs w:val="24"/>
          <w:lang w:val="en-GB"/>
        </w:rPr>
        <w:t xml:space="preserve"> intermediaries for vending machine operation and replenishment. Pepsi also </w:t>
      </w:r>
      <w:r w:rsidRPr="64C58D3E" w:rsidR="27C4D5DF">
        <w:rPr>
          <w:rFonts w:ascii="Arial" w:hAnsi="Arial" w:eastAsia="Arial" w:cs="Arial"/>
          <w:b w:val="0"/>
          <w:bCs w:val="0"/>
          <w:noProof w:val="0"/>
          <w:color w:val="auto"/>
          <w:sz w:val="24"/>
          <w:szCs w:val="24"/>
          <w:lang w:val="en-GB"/>
        </w:rPr>
        <w:t>maintains</w:t>
      </w:r>
      <w:r w:rsidRPr="64C58D3E" w:rsidR="27C4D5DF">
        <w:rPr>
          <w:rFonts w:ascii="Arial" w:hAnsi="Arial" w:eastAsia="Arial" w:cs="Arial"/>
          <w:b w:val="0"/>
          <w:bCs w:val="0"/>
          <w:noProof w:val="0"/>
          <w:color w:val="auto"/>
          <w:sz w:val="24"/>
          <w:szCs w:val="24"/>
          <w:lang w:val="en-GB"/>
        </w:rPr>
        <w:t xml:space="preserve"> a strong presence in these channels, focusing on partnerships with convenience stores and fast-food chains in the U.S. market. In Japan, Pepsi’s distribution strategy also uses vending machines, but at a lower density than Coca-Cola’s extensive network. These strategic differences in vending machine distribution underscore Coca-Cola’s robust </w:t>
      </w:r>
      <w:r w:rsidRPr="64C58D3E" w:rsidR="27C4D5DF">
        <w:rPr>
          <w:rFonts w:ascii="Arial" w:hAnsi="Arial" w:eastAsia="Arial" w:cs="Arial"/>
          <w:b w:val="0"/>
          <w:bCs w:val="0"/>
          <w:noProof w:val="0"/>
          <w:color w:val="auto"/>
          <w:sz w:val="24"/>
          <w:szCs w:val="24"/>
          <w:lang w:val="en-GB"/>
        </w:rPr>
        <w:t>coordination</w:t>
      </w:r>
      <w:r w:rsidRPr="64C58D3E" w:rsidR="27C4D5DF">
        <w:rPr>
          <w:rFonts w:ascii="Arial" w:hAnsi="Arial" w:eastAsia="Arial" w:cs="Arial"/>
          <w:b w:val="0"/>
          <w:bCs w:val="0"/>
          <w:noProof w:val="0"/>
          <w:color w:val="auto"/>
          <w:sz w:val="24"/>
          <w:szCs w:val="24"/>
          <w:lang w:val="en-GB"/>
        </w:rPr>
        <w:t xml:space="preserve"> and operational capabilities in the Japanese market.</w:t>
      </w:r>
    </w:p>
    <w:p w:rsidR="27C4D5DF" w:rsidP="64C58D3E" w:rsidRDefault="27C4D5DF" w14:paraId="1C169246" w14:textId="33A5D2D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27C4D5DF">
        <w:rPr>
          <w:rFonts w:ascii="Arial" w:hAnsi="Arial" w:eastAsia="Arial" w:cs="Arial"/>
          <w:b w:val="0"/>
          <w:bCs w:val="0"/>
          <w:noProof w:val="0"/>
          <w:color w:val="auto"/>
          <w:sz w:val="24"/>
          <w:szCs w:val="24"/>
          <w:lang w:val="en-GB"/>
        </w:rPr>
        <w:t>Regarding</w:t>
      </w:r>
      <w:r w:rsidRPr="64C58D3E" w:rsidR="27C4D5DF">
        <w:rPr>
          <w:rFonts w:ascii="Arial" w:hAnsi="Arial" w:eastAsia="Arial" w:cs="Arial"/>
          <w:b w:val="0"/>
          <w:bCs w:val="0"/>
          <w:noProof w:val="0"/>
          <w:color w:val="auto"/>
          <w:sz w:val="24"/>
          <w:szCs w:val="24"/>
          <w:lang w:val="en-GB"/>
        </w:rPr>
        <w:t xml:space="preserve"> process, Japan excels in automated, technology-driven service delivery, particularly through smart vending systems. Service encounters also differ in the U.S., emphasis is placed on retail and food-service staff, </w:t>
      </w:r>
      <w:r w:rsidRPr="64C58D3E" w:rsidR="27C4D5DF">
        <w:rPr>
          <w:rFonts w:ascii="Arial" w:hAnsi="Arial" w:eastAsia="Arial" w:cs="Arial"/>
          <w:b w:val="0"/>
          <w:bCs w:val="0"/>
          <w:noProof w:val="0"/>
          <w:color w:val="auto"/>
          <w:sz w:val="24"/>
          <w:szCs w:val="24"/>
          <w:lang w:val="en-GB"/>
        </w:rPr>
        <w:t>whereas</w:t>
      </w:r>
      <w:r w:rsidRPr="64C58D3E" w:rsidR="27C4D5DF">
        <w:rPr>
          <w:rFonts w:ascii="Arial" w:hAnsi="Arial" w:eastAsia="Arial" w:cs="Arial"/>
          <w:b w:val="0"/>
          <w:bCs w:val="0"/>
          <w:noProof w:val="0"/>
          <w:color w:val="auto"/>
          <w:sz w:val="24"/>
          <w:szCs w:val="24"/>
          <w:lang w:val="en-GB"/>
        </w:rPr>
        <w:t xml:space="preserve"> in Japan, vending operators and kiosk personnel are more prominent. Physical evidence, such as brand displays, coolers, and packaging, </w:t>
      </w:r>
      <w:r w:rsidRPr="64C58D3E" w:rsidR="27C4D5DF">
        <w:rPr>
          <w:rFonts w:ascii="Arial" w:hAnsi="Arial" w:eastAsia="Arial" w:cs="Arial"/>
          <w:b w:val="0"/>
          <w:bCs w:val="0"/>
          <w:noProof w:val="0"/>
          <w:color w:val="auto"/>
          <w:sz w:val="24"/>
          <w:szCs w:val="24"/>
          <w:lang w:val="en-GB"/>
        </w:rPr>
        <w:t>remains</w:t>
      </w:r>
      <w:r w:rsidRPr="64C58D3E" w:rsidR="27C4D5DF">
        <w:rPr>
          <w:rFonts w:ascii="Arial" w:hAnsi="Arial" w:eastAsia="Arial" w:cs="Arial"/>
          <w:b w:val="0"/>
          <w:bCs w:val="0"/>
          <w:noProof w:val="0"/>
          <w:color w:val="auto"/>
          <w:sz w:val="24"/>
          <w:szCs w:val="24"/>
          <w:lang w:val="en-GB"/>
        </w:rPr>
        <w:t xml:space="preserve"> standardised in the U.S. but is highly adapted in Japan through unique vending designs and region-specific packaging.</w:t>
      </w:r>
    </w:p>
    <w:p w:rsidR="5578792D" w:rsidP="64C58D3E" w:rsidRDefault="5578792D" w14:paraId="7A287CDA" w14:textId="69DEACE6">
      <w:pPr>
        <w:pStyle w:val="Heading1"/>
        <w:spacing w:line="360" w:lineRule="auto"/>
        <w:jc w:val="both"/>
        <w:rPr>
          <w:rFonts w:ascii="Arial" w:hAnsi="Arial" w:eastAsia="Arial" w:cs="Arial"/>
          <w:b w:val="0"/>
          <w:bCs w:val="0"/>
          <w:color w:val="auto"/>
          <w:sz w:val="24"/>
          <w:szCs w:val="24"/>
        </w:rPr>
      </w:pPr>
      <w:bookmarkStart w:name="_Toc591681886" w:id="1252916909"/>
      <w:r w:rsidRPr="64C58D3E" w:rsidR="12DF1E76">
        <w:rPr>
          <w:rFonts w:ascii="Arial" w:hAnsi="Arial" w:eastAsia="Arial" w:cs="Arial"/>
          <w:b w:val="0"/>
          <w:bCs w:val="0"/>
          <w:color w:val="auto"/>
          <w:sz w:val="24"/>
          <w:szCs w:val="24"/>
        </w:rPr>
        <w:t>Evaluation of success</w:t>
      </w:r>
      <w:bookmarkEnd w:id="1252916909"/>
    </w:p>
    <w:p w:rsidR="59DE2F09" w:rsidP="64C58D3E" w:rsidRDefault="59DE2F09" w14:paraId="7CBFF64E" w14:textId="2771A85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9DE2F09">
        <w:rPr>
          <w:rFonts w:ascii="Arial" w:hAnsi="Arial" w:eastAsia="Arial" w:cs="Arial"/>
          <w:b w:val="0"/>
          <w:bCs w:val="0"/>
          <w:noProof w:val="0"/>
          <w:color w:val="auto"/>
          <w:sz w:val="24"/>
          <w:szCs w:val="24"/>
          <w:lang w:val="en-GB"/>
        </w:rPr>
        <w:t>Coca-Cola exhibits strong market performance in both the United States and Japan, with its success shaped by distinct competitive and cultural factors. In the United States, Coca-Cola holds a leading position in the carbonated soft drinks sector. According to Ridder (2025), Coca-Cola accounts for approximately 47% of the carbonated soft drinks market share, reinforcing its status as an industry leader. Academic analyses indicate that Coca-Cola benefits from exceptionally high brand awareness, with recognition levels exceeding 90% among U.S. consumers (Okazaki, 2018). The company’s robust distribution network, emotional branding, and long-standing heritage further contribute to its sustained competitive advantage (Powell and Gard, 2015; Sherman and Weston, 2019).</w:t>
      </w:r>
    </w:p>
    <w:p w:rsidR="59DE2F09" w:rsidP="64C58D3E" w:rsidRDefault="59DE2F09" w14:paraId="2ED9AB05" w14:textId="759E08E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9DE2F09">
        <w:rPr>
          <w:rFonts w:ascii="Arial" w:hAnsi="Arial" w:eastAsia="Arial" w:cs="Arial"/>
          <w:b w:val="0"/>
          <w:bCs w:val="0"/>
          <w:noProof w:val="0"/>
          <w:color w:val="auto"/>
          <w:sz w:val="24"/>
          <w:szCs w:val="24"/>
          <w:lang w:val="en-GB"/>
        </w:rPr>
        <w:t>In Japan, Coca-Cola’s performance is similarly robust, though it is achieved through a markedly different strategic approach. Instead of relying primarily on cola-based beverages, Coca-Cola Japan offers a highly diversified portfolio tailored to local preferences. As documented by Todd (2003), Coca-Cola introduced Qoo, Georgia Coffee, and other locally adapted brands to address the needs of Japanese consumers, particularly children, commuters, and working adults. Japan is one of the company’s largest international markets; Coca-Cola Bottlers Japan Holdings (2023) reports annual sales volumes exceeding 500 million cases and an extensive network of vending machines, which significantly enhances both visibility and accessibility.</w:t>
      </w:r>
    </w:p>
    <w:p w:rsidR="59DE2F09" w:rsidP="64C58D3E" w:rsidRDefault="59DE2F09" w14:paraId="5464DB09" w14:textId="1641AAB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64C58D3E" w:rsidR="59DE2F09">
        <w:rPr>
          <w:rFonts w:ascii="Arial" w:hAnsi="Arial" w:eastAsia="Arial" w:cs="Arial"/>
          <w:b w:val="0"/>
          <w:bCs w:val="0"/>
          <w:noProof w:val="0"/>
          <w:color w:val="auto"/>
          <w:sz w:val="24"/>
          <w:szCs w:val="24"/>
          <w:lang w:val="en-GB"/>
        </w:rPr>
        <w:t xml:space="preserve">Overall, Coca-Cola </w:t>
      </w:r>
      <w:r w:rsidRPr="64C58D3E" w:rsidR="59DE2F09">
        <w:rPr>
          <w:rFonts w:ascii="Arial" w:hAnsi="Arial" w:eastAsia="Arial" w:cs="Arial"/>
          <w:b w:val="0"/>
          <w:bCs w:val="0"/>
          <w:noProof w:val="0"/>
          <w:color w:val="auto"/>
          <w:sz w:val="24"/>
          <w:szCs w:val="24"/>
          <w:lang w:val="en-GB"/>
        </w:rPr>
        <w:t>demonstrates</w:t>
      </w:r>
      <w:r w:rsidRPr="64C58D3E" w:rsidR="59DE2F09">
        <w:rPr>
          <w:rFonts w:ascii="Arial" w:hAnsi="Arial" w:eastAsia="Arial" w:cs="Arial"/>
          <w:b w:val="0"/>
          <w:bCs w:val="0"/>
          <w:noProof w:val="0"/>
          <w:color w:val="auto"/>
          <w:sz w:val="24"/>
          <w:szCs w:val="24"/>
          <w:lang w:val="en-GB"/>
        </w:rPr>
        <w:t xml:space="preserve"> clear success in both countries. However, while performance in the United States is built on brand legacy and dominance within the cola category, success in Japan is driven by localization, product diversity, and continuous innovation.</w:t>
      </w:r>
    </w:p>
    <w:p w:rsidR="5578792D" w:rsidP="64C58D3E" w:rsidRDefault="5578792D" w14:paraId="4BC2704F" w14:textId="07D06C55">
      <w:pPr>
        <w:pStyle w:val="Heading1"/>
        <w:spacing w:line="360" w:lineRule="auto"/>
        <w:jc w:val="both"/>
        <w:rPr>
          <w:rFonts w:ascii="Arial" w:hAnsi="Arial" w:eastAsia="Arial" w:cs="Arial"/>
          <w:sz w:val="24"/>
          <w:szCs w:val="24"/>
        </w:rPr>
      </w:pPr>
      <w:bookmarkStart w:name="_Toc341736188" w:id="1620599165"/>
      <w:r w:rsidRPr="64C58D3E" w:rsidR="12DF1E76">
        <w:rPr>
          <w:rFonts w:ascii="Arial" w:hAnsi="Arial" w:eastAsia="Arial" w:cs="Arial"/>
          <w:sz w:val="24"/>
          <w:szCs w:val="24"/>
        </w:rPr>
        <w:t>Ethical Issues</w:t>
      </w:r>
      <w:bookmarkEnd w:id="1620599165"/>
      <w:r w:rsidRPr="64C58D3E" w:rsidR="12DF1E76">
        <w:rPr>
          <w:rFonts w:ascii="Arial" w:hAnsi="Arial" w:eastAsia="Arial" w:cs="Arial"/>
          <w:sz w:val="24"/>
          <w:szCs w:val="24"/>
        </w:rPr>
        <w:t xml:space="preserve"> </w:t>
      </w:r>
    </w:p>
    <w:p w:rsidR="562DF963" w:rsidP="64C58D3E" w:rsidRDefault="562DF963" w14:paraId="31544BFE" w14:textId="276CEBF5">
      <w:pPr>
        <w:spacing w:before="120" w:beforeAutospacing="off" w:after="120" w:afterAutospacing="off" w:line="360" w:lineRule="auto"/>
        <w:jc w:val="both"/>
        <w:rPr>
          <w:rFonts w:ascii="Arial" w:hAnsi="Arial" w:eastAsia="Arial" w:cs="Arial"/>
          <w:noProof w:val="0"/>
          <w:sz w:val="24"/>
          <w:szCs w:val="24"/>
          <w:lang w:val="en-GB"/>
        </w:rPr>
      </w:pPr>
      <w:r w:rsidRPr="64C58D3E" w:rsidR="7FC7BE79">
        <w:rPr>
          <w:rFonts w:ascii="Arial" w:hAnsi="Arial" w:eastAsia="Arial" w:cs="Arial"/>
          <w:noProof w:val="0"/>
          <w:sz w:val="24"/>
          <w:szCs w:val="24"/>
          <w:lang w:val="en-GB"/>
        </w:rPr>
        <w:t>Ethical considerations are fundamental when evaluating Coca-Cola’s marketing activities in both the United States and Japan, particularly in relation to health i</w:t>
      </w:r>
      <w:r w:rsidRPr="64C58D3E" w:rsidR="7FC7BE79">
        <w:rPr>
          <w:rFonts w:ascii="Arial" w:hAnsi="Arial" w:eastAsia="Arial" w:cs="Arial"/>
          <w:noProof w:val="0"/>
          <w:sz w:val="24"/>
          <w:szCs w:val="24"/>
          <w:lang w:val="en-GB"/>
        </w:rPr>
        <w:t>mpacts, consumer vulnerability, sustainability, and responsible communication. A significant ethical concern is the promotion of high-sugar beverages in markets facing rising rates of obesity and diabetes. Marketing sugary drinks to young people has been demonstrated to contribute to negative public health outcomes (Mahase, 2019; Wood, Ruskin, and Sacks, 2020). In the United States, recent studies report that nearly 20% of adolescents are obese, while in Japan, childhood obesity has gradually increased, with current estimates indicating that approximately 8% of children are obese. These statistics highlight the ethical implications of Coca-Cola’s marketing strategies. The company’s youth-oriented campaigns, particularly those targeting teenagers through influencers, present distinct ethical challenges. In Japan, ethical debates center on the use of “Kawaii” characters and child-friendly mascots, such as Qoo, which may encourage consumption among children despite growing concerns about sugar intake.</w:t>
      </w:r>
    </w:p>
    <w:p w:rsidR="562DF963" w:rsidP="64C58D3E" w:rsidRDefault="562DF963" w14:paraId="39F9FFF1" w14:textId="3171A322">
      <w:pPr>
        <w:spacing w:before="120" w:beforeAutospacing="off" w:after="120" w:afterAutospacing="off" w:line="360" w:lineRule="auto"/>
        <w:jc w:val="both"/>
        <w:rPr>
          <w:rFonts w:ascii="Arial" w:hAnsi="Arial" w:eastAsia="Arial" w:cs="Arial"/>
          <w:noProof w:val="0"/>
          <w:sz w:val="24"/>
          <w:szCs w:val="24"/>
          <w:lang w:val="en-GB"/>
        </w:rPr>
      </w:pPr>
      <w:r w:rsidRPr="64C58D3E" w:rsidR="7FC7BE79">
        <w:rPr>
          <w:rFonts w:ascii="Arial" w:hAnsi="Arial" w:eastAsia="Arial" w:cs="Arial"/>
          <w:noProof w:val="0"/>
          <w:sz w:val="24"/>
          <w:szCs w:val="24"/>
          <w:lang w:val="en-GB"/>
        </w:rPr>
        <w:t>Transparency is another significant ethical issue, as consumers increasingly expect clear, accessible nutritional information. Although Coca-Cola provides labeling that complies with regulations in both countries, critics contend that the company’s emphasis on lifestyle and emotional imagery may obscure the health risks associated with soft drink consumption. This raises the question of whether regulatory compliance in labeling is sufficient to meet ethical standards for high-sugar products. Such considerations highlight the company’s broader moral responsibility to ensure not only legal compliance but also ethical transparency.</w:t>
      </w:r>
    </w:p>
    <w:p w:rsidR="562DF963" w:rsidP="64C58D3E" w:rsidRDefault="562DF963" w14:paraId="4A18251C" w14:textId="634E6A0B">
      <w:pPr>
        <w:spacing w:before="120" w:beforeAutospacing="off" w:after="120" w:afterAutospacing="off" w:line="360" w:lineRule="auto"/>
        <w:jc w:val="both"/>
        <w:rPr>
          <w:rFonts w:ascii="Arial" w:hAnsi="Arial" w:eastAsia="Arial" w:cs="Arial"/>
          <w:noProof w:val="0"/>
          <w:sz w:val="24"/>
          <w:szCs w:val="24"/>
          <w:lang w:val="en-GB"/>
        </w:rPr>
      </w:pPr>
      <w:r w:rsidRPr="64C58D3E" w:rsidR="7FC7BE79">
        <w:rPr>
          <w:rFonts w:ascii="Arial" w:hAnsi="Arial" w:eastAsia="Arial" w:cs="Arial"/>
          <w:noProof w:val="0"/>
          <w:sz w:val="24"/>
          <w:szCs w:val="24"/>
          <w:lang w:val="en-GB"/>
        </w:rPr>
        <w:t xml:space="preserve">Environmental ethics are also integral to Coca-Cola’s operations. Both the United States and Japan rely extensively on single-use plastic bottles, which raises concerns </w:t>
      </w:r>
      <w:r w:rsidRPr="64C58D3E" w:rsidR="7FC7BE79">
        <w:rPr>
          <w:rFonts w:ascii="Arial" w:hAnsi="Arial" w:eastAsia="Arial" w:cs="Arial"/>
          <w:noProof w:val="0"/>
          <w:sz w:val="24"/>
          <w:szCs w:val="24"/>
          <w:lang w:val="en-GB"/>
        </w:rPr>
        <w:t>regarding</w:t>
      </w:r>
      <w:r w:rsidRPr="64C58D3E" w:rsidR="7FC7BE79">
        <w:rPr>
          <w:rFonts w:ascii="Arial" w:hAnsi="Arial" w:eastAsia="Arial" w:cs="Arial"/>
          <w:noProof w:val="0"/>
          <w:sz w:val="24"/>
          <w:szCs w:val="24"/>
          <w:lang w:val="en-GB"/>
        </w:rPr>
        <w:t xml:space="preserve"> waste generation, carbon emissions, and resource extraction. While Coca-Cola Japan has introduced lighter PET bottles and recycling initiatives, and Coca-Cola U.S. has increased its use of recycled materials, global environmental organizations continue to rank the company among the world’s largest plastic polluters (Coca-Cola, PepsiCo &amp; Nestle- The Most Polluting Companies Worldwide, 2021). This situation presents an opportunity for Coca-Cola to move beyond incremental improvements and transition toward regenerative packaging systems. Adopting a cradle-to-cradle approach</w:t>
      </w:r>
      <w:r w:rsidRPr="64C58D3E" w:rsidR="32BE8D97">
        <w:rPr>
          <w:rFonts w:ascii="Arial" w:hAnsi="Arial" w:eastAsia="Arial" w:cs="Arial"/>
          <w:noProof w:val="0"/>
          <w:sz w:val="24"/>
          <w:szCs w:val="24"/>
          <w:lang w:val="en-GB"/>
        </w:rPr>
        <w:t xml:space="preserve"> could enable coca cola to proactively address environmental critiques, aiming for packaging solutions that</w:t>
      </w:r>
      <w:r w:rsidRPr="64C58D3E" w:rsidR="067C6A51">
        <w:rPr>
          <w:rFonts w:ascii="Arial" w:hAnsi="Arial" w:eastAsia="Arial" w:cs="Arial"/>
          <w:noProof w:val="0"/>
          <w:sz w:val="24"/>
          <w:szCs w:val="24"/>
          <w:lang w:val="en-GB"/>
        </w:rPr>
        <w:t xml:space="preserve"> benefit the environment.</w:t>
      </w:r>
    </w:p>
    <w:p w:rsidR="5578792D" w:rsidP="64C58D3E" w:rsidRDefault="5578792D" w14:paraId="01F2E7EE" w14:textId="7D195CA4">
      <w:pPr>
        <w:pStyle w:val="Heading1"/>
        <w:spacing w:line="360" w:lineRule="auto"/>
        <w:jc w:val="both"/>
        <w:rPr>
          <w:rFonts w:ascii="Arial" w:hAnsi="Arial" w:eastAsia="Arial" w:cs="Arial"/>
          <w:sz w:val="24"/>
          <w:szCs w:val="24"/>
        </w:rPr>
      </w:pPr>
      <w:bookmarkStart w:name="_Toc1350775112" w:id="2025684881"/>
      <w:r w:rsidRPr="64C58D3E" w:rsidR="12DF1E76">
        <w:rPr>
          <w:rFonts w:ascii="Arial" w:hAnsi="Arial" w:eastAsia="Arial" w:cs="Arial"/>
          <w:sz w:val="24"/>
          <w:szCs w:val="24"/>
        </w:rPr>
        <w:t>Recommendations</w:t>
      </w:r>
      <w:bookmarkEnd w:id="2025684881"/>
    </w:p>
    <w:p w:rsidR="1E94DBF1" w:rsidP="64C58D3E" w:rsidRDefault="1E94DBF1" w14:paraId="3B69508E" w14:textId="4C835138">
      <w:pPr>
        <w:spacing w:before="120" w:beforeAutospacing="off" w:after="120" w:afterAutospacing="off" w:line="360" w:lineRule="auto"/>
        <w:jc w:val="both"/>
        <w:rPr>
          <w:rFonts w:ascii="Arial" w:hAnsi="Arial" w:eastAsia="Arial" w:cs="Arial"/>
          <w:noProof w:val="0"/>
          <w:sz w:val="24"/>
          <w:szCs w:val="24"/>
          <w:lang w:val="en-GB"/>
        </w:rPr>
      </w:pPr>
      <w:r w:rsidRPr="64C58D3E" w:rsidR="1E94DBF1">
        <w:rPr>
          <w:rFonts w:ascii="Arial" w:hAnsi="Arial" w:eastAsia="Arial" w:cs="Arial"/>
          <w:noProof w:val="0"/>
          <w:sz w:val="24"/>
          <w:szCs w:val="24"/>
          <w:lang w:val="en-GB"/>
        </w:rPr>
        <w:t>A comparative analysis of Coca-Cola’s marketing strategies in Japan and the United States yields several recommendations to enhance brand performance and ensure long-term sustainability. First, Coca-Cola should continue investing in health-oriented product innovation, particularly in the United States, where public health concerns and regulatory scrutiny of sugary beverages are increasing. Expanding low-sugar, vitamin-enriched, and functional beverage lines would enhance competitiveness against emerging health-focused brands. According to recent market analysis, the compound annual growth rate (CAGR) for low-sugar beverages in the United States is expected to surpass 5% over the next five years, highlighting the urgent need for innovation in this category. Second, Coca-Cola could incorporate elements of Japan’s micro-segmentation and rapid innovation model in the U.S. market by introducing more limited-edition flavours, region-specific products, and culturally relevant packaging. This strategy could increase brand engagement among younger consumers.</w:t>
      </w:r>
    </w:p>
    <w:p w:rsidR="1E94DBF1" w:rsidP="64C58D3E" w:rsidRDefault="1E94DBF1" w14:paraId="360DBD74" w14:textId="121EA23F">
      <w:pPr>
        <w:spacing w:before="120" w:beforeAutospacing="off" w:after="120" w:afterAutospacing="off" w:line="360" w:lineRule="auto"/>
        <w:jc w:val="both"/>
        <w:rPr>
          <w:rFonts w:ascii="Arial" w:hAnsi="Arial" w:eastAsia="Arial" w:cs="Arial"/>
          <w:noProof w:val="0"/>
          <w:sz w:val="24"/>
          <w:szCs w:val="24"/>
          <w:lang w:val="en-GB"/>
        </w:rPr>
      </w:pPr>
      <w:r w:rsidRPr="64C58D3E" w:rsidR="1E94DBF1">
        <w:rPr>
          <w:rFonts w:ascii="Arial" w:hAnsi="Arial" w:eastAsia="Arial" w:cs="Arial"/>
          <w:noProof w:val="0"/>
          <w:sz w:val="24"/>
          <w:szCs w:val="24"/>
          <w:lang w:val="en-GB"/>
        </w:rPr>
        <w:t xml:space="preserve">In Japan, Coca-Cola should increase communication </w:t>
      </w:r>
      <w:r w:rsidRPr="64C58D3E" w:rsidR="1E94DBF1">
        <w:rPr>
          <w:rFonts w:ascii="Arial" w:hAnsi="Arial" w:eastAsia="Arial" w:cs="Arial"/>
          <w:noProof w:val="0"/>
          <w:sz w:val="24"/>
          <w:szCs w:val="24"/>
          <w:lang w:val="en-GB"/>
        </w:rPr>
        <w:t>regarding</w:t>
      </w:r>
      <w:r w:rsidRPr="64C58D3E" w:rsidR="1E94DBF1">
        <w:rPr>
          <w:rFonts w:ascii="Arial" w:hAnsi="Arial" w:eastAsia="Arial" w:cs="Arial"/>
          <w:noProof w:val="0"/>
          <w:sz w:val="24"/>
          <w:szCs w:val="24"/>
          <w:lang w:val="en-GB"/>
        </w:rPr>
        <w:t xml:space="preserve"> its sustainability initiatives, given the growing consumer interest in environmental responsibility. Improving vending-machine efficiency, promoting refillable packaging, and expanding recycling infrastructure would reduce environmental impact and enhance brand reputation. Furthermore, Coca-Cola could apply digital personalisation, such as Japanese smart vending systems, within the U.S. distribution network to deliver tailored promotions and strengthen customer loyalty. Across both markets, refining ethical marketing practices by limiting child-targeted advertising, increasing transparency in nutritional messaging, and </w:t>
      </w:r>
      <w:r w:rsidRPr="64C58D3E" w:rsidR="1E94DBF1">
        <w:rPr>
          <w:rFonts w:ascii="Arial" w:hAnsi="Arial" w:eastAsia="Arial" w:cs="Arial"/>
          <w:noProof w:val="0"/>
          <w:sz w:val="24"/>
          <w:szCs w:val="24"/>
          <w:lang w:val="en-GB"/>
        </w:rPr>
        <w:t>demonstrating</w:t>
      </w:r>
      <w:r w:rsidRPr="64C58D3E" w:rsidR="1E94DBF1">
        <w:rPr>
          <w:rFonts w:ascii="Arial" w:hAnsi="Arial" w:eastAsia="Arial" w:cs="Arial"/>
          <w:noProof w:val="0"/>
          <w:sz w:val="24"/>
          <w:szCs w:val="24"/>
          <w:lang w:val="en-GB"/>
        </w:rPr>
        <w:t xml:space="preserve"> leadership in responsible plastic use is recommended. Collectively, these actions support sustainable growth, greater public trust, and improved global competitiveness.</w:t>
      </w:r>
    </w:p>
    <w:p w:rsidR="5578792D" w:rsidP="562DF963" w:rsidRDefault="5578792D" w14:paraId="01EE0D41" w14:textId="19B67D6B">
      <w:pPr>
        <w:pStyle w:val="Heading1"/>
      </w:pPr>
      <w:bookmarkStart w:name="_Toc563069972" w:id="1257980455"/>
      <w:r w:rsidR="12DF1E76">
        <w:rPr/>
        <w:t>Conclusion</w:t>
      </w:r>
      <w:bookmarkEnd w:id="1257980455"/>
    </w:p>
    <w:p w:rsidR="31E31D86" w:rsidP="64C58D3E" w:rsidRDefault="31E31D86" w14:paraId="0CC159D4" w14:textId="308E6ABE">
      <w:pPr>
        <w:spacing w:before="120" w:beforeAutospacing="off" w:after="120" w:afterAutospacing="off"/>
        <w:jc w:val="left"/>
      </w:pPr>
      <w:r w:rsidRPr="64C58D3E" w:rsidR="3B7F2893">
        <w:rPr>
          <w:rFonts w:ascii="Aptos" w:hAnsi="Aptos" w:eastAsia="Aptos" w:cs="Aptos"/>
          <w:noProof w:val="0"/>
          <w:sz w:val="24"/>
          <w:szCs w:val="24"/>
          <w:lang w:val="en-GB"/>
        </w:rPr>
        <w:t>This report has examined Coca-Cola’s marketing mix strategies, segmentation, targeting, and positioning (STP) decisions, product adaptation, pricing, promotion, distribution, and ethical considerations in Japan and the United States. The analysis indicates that Coca-Cola’s international success stems from balancing global brand consistency with strong local responsiveness. In the United States, the company relies on its iconic brand heritage, emotional advertising, and dominance in the carbonated soft drink category. Product lines are relatively standardised, and promotional strategies focus on nostalgia, social connection, and broad appeal. This approach reinforces Coca-Cola’s market leadership in a mature beverage sector, where brand equity and large-scale distribution are essential for competitive advantage.</w:t>
      </w:r>
    </w:p>
    <w:p w:rsidR="31E31D86" w:rsidP="64C58D3E" w:rsidRDefault="31E31D86" w14:paraId="322A660E" w14:textId="2D550860">
      <w:pPr>
        <w:spacing w:before="120" w:beforeAutospacing="off" w:after="120" w:afterAutospacing="off"/>
        <w:jc w:val="left"/>
      </w:pPr>
    </w:p>
    <w:p w:rsidR="31E31D86" w:rsidP="64C58D3E" w:rsidRDefault="31E31D86" w14:paraId="32DDDEF3" w14:textId="4B7B6DE4">
      <w:pPr>
        <w:spacing w:before="120" w:beforeAutospacing="off" w:after="120" w:afterAutospacing="off"/>
        <w:jc w:val="left"/>
      </w:pPr>
      <w:r w:rsidRPr="64C58D3E" w:rsidR="3B7F2893">
        <w:rPr>
          <w:rFonts w:ascii="Aptos" w:hAnsi="Aptos" w:eastAsia="Aptos" w:cs="Aptos"/>
          <w:noProof w:val="0"/>
          <w:sz w:val="24"/>
          <w:szCs w:val="24"/>
          <w:lang w:val="en-GB"/>
        </w:rPr>
        <w:t>In contrast, Coca-Cola’s strategy in Japan demonstrates significant adaptation and innovation. The company manages a diversified portfolio of beverages, many of which are unavailable in other markets, tailored to Japanese cultural preferences and consumption patterns. Employing micro-segmentation, region-specific packaging, and character-based promotion reflects a flexible approach that enables Coca-Cola to compete effectively in one of the world's most fragmented and competitive beverage markets. Japan’s distinctive distribution environment, characterized by vending machines and convenience retailing, further influences Coca-Cola’s product and logistical strategies. However, this micro-segmentation strategy also presents specific cost and margin implications in Japan's complex market. The creation of region-specific SKUs can increase production and logistical costs, which must be weighed against potential revenue gains from heightened consumer engagement and brand loyalty. Developing a rough comparison of these costs and potential profits could provide leadership with valuable insights when weighing the benefits of strategic flexibility against the challenges of logistical complexity.</w:t>
      </w:r>
    </w:p>
    <w:p w:rsidR="31E31D86" w:rsidP="64C58D3E" w:rsidRDefault="31E31D86" w14:paraId="56DDB758" w14:textId="200A528A">
      <w:pPr>
        <w:spacing w:before="120" w:beforeAutospacing="off" w:after="120" w:afterAutospacing="off"/>
        <w:jc w:val="left"/>
      </w:pPr>
      <w:r w:rsidRPr="64C58D3E" w:rsidR="3B7F2893">
        <w:rPr>
          <w:rFonts w:ascii="Aptos" w:hAnsi="Aptos" w:eastAsia="Aptos" w:cs="Aptos"/>
          <w:noProof w:val="0"/>
          <w:sz w:val="24"/>
          <w:szCs w:val="24"/>
          <w:lang w:val="en-GB"/>
        </w:rPr>
        <w:t xml:space="preserve">Despite their differences, both markets face </w:t>
      </w:r>
      <w:r w:rsidRPr="64C58D3E" w:rsidR="3B7F2893">
        <w:rPr>
          <w:rFonts w:ascii="Aptos" w:hAnsi="Aptos" w:eastAsia="Aptos" w:cs="Aptos"/>
          <w:noProof w:val="0"/>
          <w:sz w:val="24"/>
          <w:szCs w:val="24"/>
          <w:lang w:val="en-GB"/>
        </w:rPr>
        <w:t>common challenges</w:t>
      </w:r>
      <w:r w:rsidRPr="64C58D3E" w:rsidR="3B7F2893">
        <w:rPr>
          <w:rFonts w:ascii="Aptos" w:hAnsi="Aptos" w:eastAsia="Aptos" w:cs="Aptos"/>
          <w:noProof w:val="0"/>
          <w:sz w:val="24"/>
          <w:szCs w:val="24"/>
          <w:lang w:val="en-GB"/>
        </w:rPr>
        <w:t xml:space="preserve">, including public health concerns about sugary drinks, rising consumer demand for sustainable packaging, and expectations for ethical marketing practices. Coca-Cola’s future success will depend on its capacity to address these issues while </w:t>
      </w:r>
      <w:r w:rsidRPr="64C58D3E" w:rsidR="3B7F2893">
        <w:rPr>
          <w:rFonts w:ascii="Aptos" w:hAnsi="Aptos" w:eastAsia="Aptos" w:cs="Aptos"/>
          <w:noProof w:val="0"/>
          <w:sz w:val="24"/>
          <w:szCs w:val="24"/>
          <w:lang w:val="en-GB"/>
        </w:rPr>
        <w:t>maintaining</w:t>
      </w:r>
      <w:r w:rsidRPr="64C58D3E" w:rsidR="3B7F2893">
        <w:rPr>
          <w:rFonts w:ascii="Aptos" w:hAnsi="Aptos" w:eastAsia="Aptos" w:cs="Aptos"/>
          <w:noProof w:val="0"/>
          <w:sz w:val="24"/>
          <w:szCs w:val="24"/>
          <w:lang w:val="en-GB"/>
        </w:rPr>
        <w:t xml:space="preserve"> a strong brand identity and operational efficiency. </w:t>
      </w:r>
      <w:r w:rsidRPr="64C58D3E" w:rsidR="3B7F2893">
        <w:rPr>
          <w:rFonts w:ascii="Aptos" w:hAnsi="Aptos" w:eastAsia="Aptos" w:cs="Aptos"/>
          <w:noProof w:val="0"/>
          <w:sz w:val="24"/>
          <w:szCs w:val="24"/>
          <w:lang w:val="en-GB"/>
        </w:rPr>
        <w:t>Ultimately, the</w:t>
      </w:r>
      <w:r w:rsidRPr="64C58D3E" w:rsidR="3B7F2893">
        <w:rPr>
          <w:rFonts w:ascii="Aptos" w:hAnsi="Aptos" w:eastAsia="Aptos" w:cs="Aptos"/>
          <w:noProof w:val="0"/>
          <w:sz w:val="24"/>
          <w:szCs w:val="24"/>
          <w:lang w:val="en-GB"/>
        </w:rPr>
        <w:t xml:space="preserve"> comparison underscores Coca-Cola’s strategic agility: its ability to remain globally recognisable while adapting meaningfully to local contexts. This dual strength </w:t>
      </w:r>
      <w:r w:rsidRPr="64C58D3E" w:rsidR="3B7F2893">
        <w:rPr>
          <w:rFonts w:ascii="Aptos" w:hAnsi="Aptos" w:eastAsia="Aptos" w:cs="Aptos"/>
          <w:noProof w:val="0"/>
          <w:sz w:val="24"/>
          <w:szCs w:val="24"/>
          <w:lang w:val="en-GB"/>
        </w:rPr>
        <w:t>remains</w:t>
      </w:r>
      <w:r w:rsidRPr="64C58D3E" w:rsidR="3B7F2893">
        <w:rPr>
          <w:rFonts w:ascii="Aptos" w:hAnsi="Aptos" w:eastAsia="Aptos" w:cs="Aptos"/>
          <w:noProof w:val="0"/>
          <w:sz w:val="24"/>
          <w:szCs w:val="24"/>
          <w:lang w:val="en-GB"/>
        </w:rPr>
        <w:t xml:space="preserve"> central to the company’s long-term global competitiveness.</w:t>
      </w:r>
    </w:p>
    <w:p w:rsidR="562DF963" w:rsidP="562DF963" w:rsidRDefault="562DF963" w14:paraId="7858B852" w14:textId="58C528EB">
      <w:pPr>
        <w:pStyle w:val="Normal"/>
      </w:pPr>
    </w:p>
    <w:p w:rsidR="63D1CEA7" w:rsidRDefault="63D1CEA7" w14:paraId="45CBD1F0" w14:textId="52B281D3">
      <w:r>
        <w:br w:type="page"/>
      </w:r>
    </w:p>
    <w:p w:rsidR="63D1CEA7" w:rsidP="63D1CEA7" w:rsidRDefault="63D1CEA7" w14:paraId="4D4039CD" w14:textId="708B0C7C">
      <w:pPr>
        <w:pStyle w:val="Normal"/>
      </w:pPr>
    </w:p>
    <w:p w:rsidR="74163E44" w:rsidP="562DF963" w:rsidRDefault="74163E44" w14:paraId="5D0C0D94" w14:textId="2F5C7C3A">
      <w:pPr>
        <w:pStyle w:val="Heading1"/>
      </w:pPr>
      <w:bookmarkStart w:name="_Toc2054068002" w:id="341678666"/>
      <w:r w:rsidR="1A424B52">
        <w:rPr/>
        <w:t>References</w:t>
      </w:r>
      <w:bookmarkEnd w:id="341678666"/>
    </w:p>
    <w:p w:rsidR="6918C5B2" w:rsidP="64C58D3E" w:rsidRDefault="6918C5B2" w14:paraId="482D1337" w14:textId="7F10F92E">
      <w:pPr>
        <w:spacing w:before="0" w:beforeAutospacing="off" w:after="0" w:afterAutospacing="off"/>
        <w:rPr>
          <w:rFonts w:ascii="Arial" w:hAnsi="Arial" w:eastAsia="Arial" w:cs="Arial"/>
          <w:noProof w:val="0"/>
          <w:sz w:val="22"/>
          <w:szCs w:val="22"/>
          <w:highlight w:val="yellow"/>
          <w:lang w:val="en-GB"/>
        </w:rPr>
      </w:pPr>
      <w:r w:rsidRPr="64C58D3E" w:rsidR="54F5BA9F">
        <w:rPr>
          <w:rFonts w:ascii="Arial" w:hAnsi="Arial" w:eastAsia="Arial" w:cs="Arial"/>
          <w:noProof w:val="0"/>
          <w:sz w:val="22"/>
          <w:szCs w:val="22"/>
          <w:highlight w:val="yellow"/>
          <w:lang w:val="en-GB"/>
        </w:rPr>
        <w:t xml:space="preserve">‘Being delicious and being happy: The Coca‐Cola Corporation can be deliciously happy </w:t>
      </w:r>
      <w:r w:rsidRPr="64C58D3E" w:rsidR="54F5BA9F">
        <w:rPr>
          <w:rFonts w:ascii="Arial" w:hAnsi="Arial" w:eastAsia="Arial" w:cs="Arial"/>
          <w:noProof w:val="0"/>
          <w:sz w:val="22"/>
          <w:szCs w:val="22"/>
          <w:highlight w:val="yellow"/>
          <w:lang w:val="en-GB"/>
        </w:rPr>
        <w:t xml:space="preserve">about its success in adopting a “glocal” marketing strategy in the world’s biggest emerging consumer nation’ (2006) </w:t>
      </w:r>
      <w:r w:rsidRPr="64C58D3E" w:rsidR="54F5BA9F">
        <w:rPr>
          <w:rFonts w:ascii="Arial" w:hAnsi="Arial" w:eastAsia="Arial" w:cs="Arial"/>
          <w:i w:val="1"/>
          <w:iCs w:val="1"/>
          <w:noProof w:val="0"/>
          <w:sz w:val="22"/>
          <w:szCs w:val="22"/>
          <w:highlight w:val="yellow"/>
          <w:lang w:val="en-GB"/>
        </w:rPr>
        <w:t>Strategic direction (Bradford, England)</w:t>
      </w:r>
      <w:r w:rsidRPr="64C58D3E" w:rsidR="54F5BA9F">
        <w:rPr>
          <w:rFonts w:ascii="Arial" w:hAnsi="Arial" w:eastAsia="Arial" w:cs="Arial"/>
          <w:noProof w:val="0"/>
          <w:sz w:val="22"/>
          <w:szCs w:val="22"/>
          <w:highlight w:val="yellow"/>
          <w:lang w:val="en-GB"/>
        </w:rPr>
        <w:t xml:space="preserve">, 22(7), pp. 27–29. Available at: </w:t>
      </w:r>
      <w:hyperlink r:id="R8be831ee0afa449b">
        <w:r w:rsidRPr="64C58D3E" w:rsidR="54F5BA9F">
          <w:rPr>
            <w:rStyle w:val="Hyperlink"/>
            <w:rFonts w:ascii="Arial" w:hAnsi="Arial" w:eastAsia="Arial" w:cs="Arial"/>
            <w:noProof w:val="0"/>
            <w:sz w:val="22"/>
            <w:szCs w:val="22"/>
            <w:highlight w:val="yellow"/>
            <w:lang w:val="en-GB"/>
          </w:rPr>
          <w:t>https://doi.org/10.1108/02580540610669071</w:t>
        </w:r>
      </w:hyperlink>
      <w:r w:rsidRPr="64C58D3E" w:rsidR="54F5BA9F">
        <w:rPr>
          <w:rFonts w:ascii="Arial" w:hAnsi="Arial" w:eastAsia="Arial" w:cs="Arial"/>
          <w:noProof w:val="0"/>
          <w:sz w:val="22"/>
          <w:szCs w:val="22"/>
          <w:highlight w:val="yellow"/>
          <w:lang w:val="en-GB"/>
        </w:rPr>
        <w:t>.</w:t>
      </w:r>
      <w:r w:rsidRPr="64C58D3E" w:rsidR="54F5BA9F">
        <w:rPr>
          <w:rFonts w:ascii="Arial" w:hAnsi="Arial" w:eastAsia="Arial" w:cs="Arial"/>
          <w:noProof w:val="0"/>
          <w:sz w:val="22"/>
          <w:szCs w:val="22"/>
          <w:lang w:val="en-GB"/>
        </w:rPr>
        <w:t xml:space="preserve"> </w:t>
      </w:r>
    </w:p>
    <w:p w:rsidR="63D1CEA7" w:rsidP="64C58D3E" w:rsidRDefault="63D1CEA7" w14:paraId="6C06DBD1" w14:textId="2E6D1BEC">
      <w:pPr>
        <w:spacing w:before="0" w:beforeAutospacing="off" w:after="0" w:afterAutospacing="off"/>
        <w:rPr>
          <w:rFonts w:ascii="Arial" w:hAnsi="Arial" w:eastAsia="Arial" w:cs="Arial"/>
          <w:noProof w:val="0"/>
          <w:sz w:val="22"/>
          <w:szCs w:val="22"/>
          <w:lang w:val="en-GB"/>
        </w:rPr>
      </w:pPr>
    </w:p>
    <w:p w:rsidR="63D1CEA7" w:rsidP="63D1CEA7" w:rsidRDefault="63D1CEA7" w14:paraId="2F5EFF02" w14:textId="64266956">
      <w:pPr>
        <w:spacing w:before="0" w:beforeAutospacing="off" w:after="0" w:afterAutospacing="off"/>
      </w:pPr>
      <w:r w:rsidRPr="64C58D3E" w:rsidR="61FACE6B">
        <w:rPr>
          <w:rFonts w:ascii="Arial" w:hAnsi="Arial" w:eastAsia="Arial" w:cs="Arial"/>
          <w:noProof w:val="0"/>
          <w:sz w:val="22"/>
          <w:szCs w:val="22"/>
          <w:lang w:val="en-GB"/>
        </w:rPr>
        <w:t xml:space="preserve">Boddewyn, J.J., Soehl, R. and Picard, J. (1986) ‘Standardization in international marketing: Is Ted Levitt in fact right?’, </w:t>
      </w:r>
      <w:r w:rsidRPr="64C58D3E" w:rsidR="61FACE6B">
        <w:rPr>
          <w:rFonts w:ascii="Arial" w:hAnsi="Arial" w:eastAsia="Arial" w:cs="Arial"/>
          <w:i w:val="1"/>
          <w:iCs w:val="1"/>
          <w:noProof w:val="0"/>
          <w:sz w:val="22"/>
          <w:szCs w:val="22"/>
          <w:lang w:val="en-GB"/>
        </w:rPr>
        <w:t>Business horizons</w:t>
      </w:r>
      <w:r w:rsidRPr="64C58D3E" w:rsidR="61FACE6B">
        <w:rPr>
          <w:rFonts w:ascii="Arial" w:hAnsi="Arial" w:eastAsia="Arial" w:cs="Arial"/>
          <w:noProof w:val="0"/>
          <w:sz w:val="22"/>
          <w:szCs w:val="22"/>
          <w:lang w:val="en-GB"/>
        </w:rPr>
        <w:t xml:space="preserve">, 29(6), pp. 69–75. Available at: </w:t>
      </w:r>
      <w:hyperlink r:id="Red034f85799043b3">
        <w:r w:rsidRPr="64C58D3E" w:rsidR="61FACE6B">
          <w:rPr>
            <w:rStyle w:val="Hyperlink"/>
            <w:rFonts w:ascii="Arial" w:hAnsi="Arial" w:eastAsia="Arial" w:cs="Arial"/>
            <w:noProof w:val="0"/>
            <w:sz w:val="22"/>
            <w:szCs w:val="22"/>
            <w:lang w:val="en-GB"/>
          </w:rPr>
          <w:t>https://doi.org/10.1016/0007-6813(86)90040-6</w:t>
        </w:r>
      </w:hyperlink>
      <w:r w:rsidRPr="64C58D3E" w:rsidR="61FACE6B">
        <w:rPr>
          <w:rFonts w:ascii="Arial" w:hAnsi="Arial" w:eastAsia="Arial" w:cs="Arial"/>
          <w:noProof w:val="0"/>
          <w:sz w:val="22"/>
          <w:szCs w:val="22"/>
          <w:lang w:val="en-GB"/>
        </w:rPr>
        <w:t>.</w:t>
      </w:r>
    </w:p>
    <w:p w:rsidR="63D1CEA7" w:rsidP="63D1CEA7" w:rsidRDefault="63D1CEA7" w14:paraId="51D57EDD" w14:textId="15002D70">
      <w:pPr>
        <w:spacing w:before="0" w:beforeAutospacing="off" w:after="0" w:afterAutospacing="off"/>
        <w:rPr>
          <w:rFonts w:ascii="Arial" w:hAnsi="Arial" w:eastAsia="Arial" w:cs="Arial"/>
          <w:noProof w:val="0"/>
          <w:sz w:val="22"/>
          <w:szCs w:val="22"/>
          <w:lang w:val="en-GB"/>
        </w:rPr>
      </w:pPr>
    </w:p>
    <w:p w:rsidR="63D1CEA7" w:rsidP="64C58D3E" w:rsidRDefault="63D1CEA7" w14:paraId="21DBF529" w14:textId="0669D19D">
      <w:pPr>
        <w:spacing w:before="0" w:beforeAutospacing="off" w:after="0" w:afterAutospacing="off"/>
        <w:rPr>
          <w:rFonts w:ascii="Arial" w:hAnsi="Arial" w:eastAsia="Arial" w:cs="Arial"/>
          <w:noProof w:val="0"/>
          <w:sz w:val="22"/>
          <w:szCs w:val="22"/>
          <w:lang w:val="en-GB"/>
        </w:rPr>
      </w:pPr>
      <w:r w:rsidRPr="64C58D3E" w:rsidR="5886BF52">
        <w:rPr>
          <w:rFonts w:ascii="Arial" w:hAnsi="Arial" w:eastAsia="Arial" w:cs="Arial"/>
          <w:noProof w:val="0"/>
          <w:sz w:val="22"/>
          <w:szCs w:val="22"/>
          <w:lang w:val="en-GB"/>
        </w:rPr>
        <w:t>Brownsell</w:t>
      </w:r>
      <w:r w:rsidRPr="64C58D3E" w:rsidR="5886BF52">
        <w:rPr>
          <w:rFonts w:ascii="Arial" w:hAnsi="Arial" w:eastAsia="Arial" w:cs="Arial"/>
          <w:noProof w:val="0"/>
          <w:sz w:val="22"/>
          <w:szCs w:val="22"/>
          <w:lang w:val="en-GB"/>
        </w:rPr>
        <w:t>, A. (2011) ‘Making Coke's brand fizz (</w:t>
      </w:r>
      <w:r w:rsidRPr="64C58D3E" w:rsidR="5886BF52">
        <w:rPr>
          <w:rFonts w:ascii="Arial" w:hAnsi="Arial" w:eastAsia="Arial" w:cs="Arial"/>
          <w:noProof w:val="0"/>
          <w:sz w:val="22"/>
          <w:szCs w:val="22"/>
          <w:lang w:val="en-GB"/>
        </w:rPr>
        <w:t>Coca-Cola's</w:t>
      </w:r>
      <w:r w:rsidRPr="64C58D3E" w:rsidR="5886BF52">
        <w:rPr>
          <w:rFonts w:ascii="Arial" w:hAnsi="Arial" w:eastAsia="Arial" w:cs="Arial"/>
          <w:noProof w:val="0"/>
          <w:sz w:val="22"/>
          <w:szCs w:val="22"/>
          <w:lang w:val="en-GB"/>
        </w:rPr>
        <w:t xml:space="preserve"> future marketing plans in the context of its 125th anniversary)’, </w:t>
      </w:r>
      <w:r w:rsidRPr="64C58D3E" w:rsidR="5886BF52">
        <w:rPr>
          <w:rFonts w:ascii="Arial" w:hAnsi="Arial" w:eastAsia="Arial" w:cs="Arial"/>
          <w:i w:val="1"/>
          <w:iCs w:val="1"/>
          <w:noProof w:val="0"/>
          <w:sz w:val="22"/>
          <w:szCs w:val="22"/>
          <w:lang w:val="en-GB"/>
        </w:rPr>
        <w:t>Strategic direction (Bradford, England)</w:t>
      </w:r>
      <w:r w:rsidRPr="64C58D3E" w:rsidR="5886BF52">
        <w:rPr>
          <w:rFonts w:ascii="Arial" w:hAnsi="Arial" w:eastAsia="Arial" w:cs="Arial"/>
          <w:noProof w:val="0"/>
          <w:sz w:val="22"/>
          <w:szCs w:val="22"/>
          <w:lang w:val="en-GB"/>
        </w:rPr>
        <w:t xml:space="preserve">, 27(10). Available at: </w:t>
      </w:r>
      <w:hyperlink r:id="Re9a4ee91ecdb4610">
        <w:r w:rsidRPr="64C58D3E" w:rsidR="5886BF52">
          <w:rPr>
            <w:rStyle w:val="Hyperlink"/>
            <w:rFonts w:ascii="Arial" w:hAnsi="Arial" w:eastAsia="Arial" w:cs="Arial"/>
            <w:noProof w:val="0"/>
            <w:sz w:val="22"/>
            <w:szCs w:val="22"/>
            <w:lang w:val="en-GB"/>
          </w:rPr>
          <w:t>https://doi.org/10.1108/sd.2011.05627jaa.004</w:t>
        </w:r>
      </w:hyperlink>
      <w:r w:rsidRPr="64C58D3E" w:rsidR="5886BF52">
        <w:rPr>
          <w:rFonts w:ascii="Arial" w:hAnsi="Arial" w:eastAsia="Arial" w:cs="Arial"/>
          <w:noProof w:val="0"/>
          <w:sz w:val="22"/>
          <w:szCs w:val="22"/>
          <w:lang w:val="en-GB"/>
        </w:rPr>
        <w:t>.</w:t>
      </w:r>
    </w:p>
    <w:p w:rsidR="4B45F7F0" w:rsidP="63D1CEA7" w:rsidRDefault="4B45F7F0" w14:paraId="17B3CEC3" w14:textId="5F305BC6">
      <w:pPr>
        <w:pStyle w:val="Normal"/>
        <w:spacing w:before="240" w:beforeAutospacing="off" w:after="240" w:afterAutospacing="off"/>
        <w:rPr>
          <w:rFonts w:ascii="Arial" w:hAnsi="Arial" w:eastAsia="Arial" w:cs="Arial"/>
          <w:sz w:val="22"/>
          <w:szCs w:val="22"/>
        </w:rPr>
      </w:pPr>
      <w:r w:rsidRPr="64C58D3E" w:rsidR="6B56A08D">
        <w:rPr>
          <w:rFonts w:ascii="Arial" w:hAnsi="Arial" w:eastAsia="Arial" w:cs="Arial"/>
          <w:sz w:val="22"/>
          <w:szCs w:val="22"/>
        </w:rPr>
        <w:t xml:space="preserve">Business </w:t>
      </w:r>
      <w:r w:rsidRPr="64C58D3E" w:rsidR="6B56A08D">
        <w:rPr>
          <w:rFonts w:ascii="Arial" w:hAnsi="Arial" w:eastAsia="Arial" w:cs="Arial"/>
          <w:sz w:val="22"/>
          <w:szCs w:val="22"/>
        </w:rPr>
        <w:t>Wire</w:t>
      </w:r>
      <w:r w:rsidRPr="64C58D3E" w:rsidR="39CAA117">
        <w:rPr>
          <w:rFonts w:ascii="Arial" w:hAnsi="Arial" w:eastAsia="Arial" w:cs="Arial"/>
          <w:sz w:val="22"/>
          <w:szCs w:val="22"/>
        </w:rPr>
        <w:t xml:space="preserve"> </w:t>
      </w:r>
      <w:r w:rsidRPr="64C58D3E" w:rsidR="6B56A08D">
        <w:rPr>
          <w:rFonts w:ascii="Arial" w:hAnsi="Arial" w:eastAsia="Arial" w:cs="Arial"/>
          <w:sz w:val="22"/>
          <w:szCs w:val="22"/>
        </w:rPr>
        <w:t>(</w:t>
      </w:r>
      <w:r w:rsidRPr="64C58D3E" w:rsidR="6B56A08D">
        <w:rPr>
          <w:rFonts w:ascii="Arial" w:hAnsi="Arial" w:eastAsia="Arial" w:cs="Arial"/>
          <w:sz w:val="22"/>
          <w:szCs w:val="22"/>
        </w:rPr>
        <w:t xml:space="preserve">2007) The Coca-Cola Company Celebrates 50 Years </w:t>
      </w:r>
      <w:r w:rsidRPr="64C58D3E" w:rsidR="6B56A08D">
        <w:rPr>
          <w:rFonts w:ascii="Arial" w:hAnsi="Arial" w:eastAsia="Arial" w:cs="Arial"/>
          <w:sz w:val="22"/>
          <w:szCs w:val="22"/>
        </w:rPr>
        <w:t>In</w:t>
      </w:r>
      <w:r w:rsidRPr="64C58D3E" w:rsidR="6B56A08D">
        <w:rPr>
          <w:rFonts w:ascii="Arial" w:hAnsi="Arial" w:eastAsia="Arial" w:cs="Arial"/>
          <w:sz w:val="22"/>
          <w:szCs w:val="22"/>
        </w:rPr>
        <w:t xml:space="preserve"> Japan with 1 </w:t>
      </w:r>
      <w:r w:rsidRPr="64C58D3E" w:rsidR="6B56A08D">
        <w:rPr>
          <w:rFonts w:ascii="Arial" w:hAnsi="Arial" w:eastAsia="Arial" w:cs="Arial"/>
          <w:sz w:val="22"/>
          <w:szCs w:val="22"/>
        </w:rPr>
        <w:t>Billion</w:t>
      </w:r>
      <w:r w:rsidRPr="64C58D3E" w:rsidR="1917C898">
        <w:rPr>
          <w:rFonts w:ascii="Arial" w:hAnsi="Arial" w:eastAsia="Arial" w:cs="Arial"/>
          <w:sz w:val="22"/>
          <w:szCs w:val="22"/>
        </w:rPr>
        <w:t xml:space="preserve"> Yen Donation Highlight Golden Anniversary. 21 June. Available </w:t>
      </w:r>
      <w:r w:rsidRPr="64C58D3E" w:rsidR="1917C898">
        <w:rPr>
          <w:rFonts w:ascii="Arial" w:hAnsi="Arial" w:eastAsia="Arial" w:cs="Arial"/>
          <w:sz w:val="22"/>
          <w:szCs w:val="22"/>
        </w:rPr>
        <w:t>at :</w:t>
      </w:r>
      <w:r w:rsidRPr="64C58D3E" w:rsidR="1917C898">
        <w:rPr>
          <w:rFonts w:ascii="Arial" w:hAnsi="Arial" w:eastAsia="Arial" w:cs="Arial"/>
          <w:sz w:val="22"/>
          <w:szCs w:val="22"/>
        </w:rPr>
        <w:t xml:space="preserve">  </w:t>
      </w:r>
      <w:hyperlink r:id="R0c221ef38ce54db4">
        <w:r w:rsidRPr="64C58D3E" w:rsidR="1917C898">
          <w:rPr>
            <w:rStyle w:val="Hyperlink"/>
            <w:rFonts w:ascii="Arial" w:hAnsi="Arial" w:eastAsia="Arial" w:cs="Arial"/>
            <w:noProof w:val="0"/>
            <w:sz w:val="22"/>
            <w:szCs w:val="22"/>
            <w:lang w:val="en-GB"/>
          </w:rPr>
          <w:t>https://investors.coca-colacompany.com/_assets/_40e27be350a16863a93829dfb6ddfda1/cocacolacompany/news/2007-06-26_Coca_Cola_Celebrates_50_Years_of_Innovation_in_51.pdf</w:t>
        </w:r>
      </w:hyperlink>
    </w:p>
    <w:p w:rsidR="382FA473" w:rsidP="64C58D3E" w:rsidRDefault="382FA473" w14:paraId="4ADBE6E8" w14:textId="42E32356">
      <w:pPr>
        <w:spacing w:before="0" w:beforeAutospacing="off" w:after="0" w:afterAutospacing="off"/>
      </w:pPr>
      <w:r w:rsidRPr="64C58D3E" w:rsidR="226C6821">
        <w:rPr>
          <w:rFonts w:ascii="Arial" w:hAnsi="Arial" w:eastAsia="Arial" w:cs="Arial"/>
          <w:noProof w:val="0"/>
          <w:sz w:val="22"/>
          <w:szCs w:val="22"/>
          <w:lang w:val="en-GB"/>
        </w:rPr>
        <w:t xml:space="preserve">Castillo-Sotomayor, S., Guimet-Cornejo, </w:t>
      </w:r>
      <w:bookmarkStart w:name="_Int_2WMcuyuW" w:id="1898636800"/>
      <w:r w:rsidRPr="64C58D3E" w:rsidR="226C6821">
        <w:rPr>
          <w:rFonts w:ascii="Arial" w:hAnsi="Arial" w:eastAsia="Arial" w:cs="Arial"/>
          <w:noProof w:val="0"/>
          <w:sz w:val="22"/>
          <w:szCs w:val="22"/>
          <w:lang w:val="en-GB"/>
        </w:rPr>
        <w:t>N.</w:t>
      </w:r>
      <w:bookmarkEnd w:id="1898636800"/>
      <w:r w:rsidRPr="64C58D3E" w:rsidR="226C6821">
        <w:rPr>
          <w:rFonts w:ascii="Arial" w:hAnsi="Arial" w:eastAsia="Arial" w:cs="Arial"/>
          <w:noProof w:val="0"/>
          <w:sz w:val="22"/>
          <w:szCs w:val="22"/>
          <w:lang w:val="en-GB"/>
        </w:rPr>
        <w:t xml:space="preserve"> and Lodeiros-Zubiria, M.L. (2023) ‘C2C e-Marketplaces and How Their Micro-Segmentation Strategies Influence Their Customers’, </w:t>
      </w:r>
      <w:r w:rsidRPr="64C58D3E" w:rsidR="226C6821">
        <w:rPr>
          <w:rFonts w:ascii="Arial" w:hAnsi="Arial" w:eastAsia="Arial" w:cs="Arial"/>
          <w:i w:val="1"/>
          <w:iCs w:val="1"/>
          <w:noProof w:val="0"/>
          <w:sz w:val="22"/>
          <w:szCs w:val="22"/>
          <w:lang w:val="en-GB"/>
        </w:rPr>
        <w:t>Data (Basel)</w:t>
      </w:r>
      <w:r w:rsidRPr="64C58D3E" w:rsidR="226C6821">
        <w:rPr>
          <w:rFonts w:ascii="Arial" w:hAnsi="Arial" w:eastAsia="Arial" w:cs="Arial"/>
          <w:noProof w:val="0"/>
          <w:sz w:val="22"/>
          <w:szCs w:val="22"/>
          <w:lang w:val="en-GB"/>
        </w:rPr>
        <w:t xml:space="preserve">, 8(2), p. 26. Available at: </w:t>
      </w:r>
      <w:hyperlink r:id="R7e104c897f694932">
        <w:r w:rsidRPr="64C58D3E" w:rsidR="226C6821">
          <w:rPr>
            <w:rStyle w:val="Hyperlink"/>
            <w:rFonts w:ascii="Arial" w:hAnsi="Arial" w:eastAsia="Arial" w:cs="Arial"/>
            <w:noProof w:val="0"/>
            <w:sz w:val="22"/>
            <w:szCs w:val="22"/>
            <w:lang w:val="en-GB"/>
          </w:rPr>
          <w:t>https://doi.org/10.3390/data8020026</w:t>
        </w:r>
      </w:hyperlink>
      <w:r w:rsidRPr="64C58D3E" w:rsidR="226C6821">
        <w:rPr>
          <w:rFonts w:ascii="Arial" w:hAnsi="Arial" w:eastAsia="Arial" w:cs="Arial"/>
          <w:noProof w:val="0"/>
          <w:sz w:val="22"/>
          <w:szCs w:val="22"/>
          <w:lang w:val="en-GB"/>
        </w:rPr>
        <w:t>.</w:t>
      </w:r>
      <w:r w:rsidRPr="64C58D3E" w:rsidR="226C6821">
        <w:rPr>
          <w:rFonts w:ascii="Arial" w:hAnsi="Arial" w:eastAsia="Arial" w:cs="Arial"/>
          <w:sz w:val="22"/>
          <w:szCs w:val="22"/>
        </w:rPr>
        <w:t xml:space="preserve"> </w:t>
      </w:r>
    </w:p>
    <w:p w:rsidR="382FA473" w:rsidP="64C58D3E" w:rsidRDefault="382FA473" w14:paraId="4B3C6D01" w14:textId="3449F2CA">
      <w:pPr>
        <w:pStyle w:val="Normal"/>
        <w:rPr>
          <w:rFonts w:ascii="Arial" w:hAnsi="Arial" w:eastAsia="Arial" w:cs="Arial"/>
          <w:sz w:val="22"/>
          <w:szCs w:val="22"/>
        </w:rPr>
      </w:pPr>
    </w:p>
    <w:p w:rsidR="382FA473" w:rsidP="64C58D3E" w:rsidRDefault="382FA473" w14:paraId="22C5D9E0" w14:textId="48674EFB">
      <w:pPr>
        <w:spacing w:before="0" w:beforeAutospacing="off" w:after="0" w:afterAutospacing="off"/>
      </w:pPr>
      <w:r w:rsidRPr="64C58D3E" w:rsidR="577192C7">
        <w:rPr>
          <w:rFonts w:ascii="Arial" w:hAnsi="Arial" w:eastAsia="Arial" w:cs="Arial"/>
          <w:noProof w:val="0"/>
          <w:sz w:val="22"/>
          <w:szCs w:val="22"/>
          <w:lang w:val="en-GB"/>
        </w:rPr>
        <w:t xml:space="preserve">‘Coca-Cola, PepsiCo &amp; Nestle- The Most Polluting Companies Worldwide’ (2021) </w:t>
      </w:r>
      <w:r w:rsidRPr="64C58D3E" w:rsidR="577192C7">
        <w:rPr>
          <w:rFonts w:ascii="Arial" w:hAnsi="Arial" w:eastAsia="Arial" w:cs="Arial"/>
          <w:i w:val="1"/>
          <w:iCs w:val="1"/>
          <w:noProof w:val="0"/>
          <w:sz w:val="22"/>
          <w:szCs w:val="22"/>
          <w:lang w:val="en-GB"/>
        </w:rPr>
        <w:t>Alternatives journal (Waterloo)</w:t>
      </w:r>
      <w:r w:rsidRPr="64C58D3E" w:rsidR="577192C7">
        <w:rPr>
          <w:rFonts w:ascii="Arial" w:hAnsi="Arial" w:eastAsia="Arial" w:cs="Arial"/>
          <w:noProof w:val="0"/>
          <w:sz w:val="22"/>
          <w:szCs w:val="22"/>
          <w:lang w:val="en-GB"/>
        </w:rPr>
        <w:t>, 46(1), pp. 14–14.</w:t>
      </w:r>
    </w:p>
    <w:p w:rsidR="382FA473" w:rsidP="64C58D3E" w:rsidRDefault="382FA473" w14:paraId="6E942CEE" w14:textId="20B0358E">
      <w:pPr>
        <w:pStyle w:val="Normal"/>
        <w:rPr>
          <w:rFonts w:ascii="Arial" w:hAnsi="Arial" w:eastAsia="Arial" w:cs="Arial"/>
          <w:sz w:val="22"/>
          <w:szCs w:val="22"/>
        </w:rPr>
      </w:pPr>
    </w:p>
    <w:p w:rsidR="382FA473" w:rsidP="63D1CEA7" w:rsidRDefault="382FA473" w14:paraId="472AEB6E" w14:textId="0AAA70B6">
      <w:pPr>
        <w:pStyle w:val="Normal"/>
        <w:rPr>
          <w:rFonts w:ascii="Arial" w:hAnsi="Arial" w:eastAsia="Arial" w:cs="Arial"/>
          <w:sz w:val="22"/>
          <w:szCs w:val="22"/>
        </w:rPr>
      </w:pPr>
      <w:r w:rsidRPr="64C58D3E" w:rsidR="29F04A7F">
        <w:rPr>
          <w:rFonts w:ascii="Arial" w:hAnsi="Arial" w:eastAsia="Arial" w:cs="Arial"/>
          <w:sz w:val="22"/>
          <w:szCs w:val="22"/>
        </w:rPr>
        <w:t>Coca-Cola Japan (2023) Sustainability and Innovation Report 2023. Tokyo: The Coca-Cola Company</w:t>
      </w:r>
    </w:p>
    <w:p w:rsidR="562DF963" w:rsidP="64C58D3E" w:rsidRDefault="562DF963" w14:paraId="3773EFEB" w14:textId="73ECA675">
      <w:pPr>
        <w:spacing w:before="0" w:beforeAutospacing="off" w:after="0" w:afterAutospacing="off"/>
        <w:rPr>
          <w:rFonts w:ascii="Arial" w:hAnsi="Arial" w:eastAsia="Arial" w:cs="Arial"/>
          <w:b w:val="0"/>
          <w:bCs w:val="0"/>
          <w:i w:val="0"/>
          <w:iCs w:val="0"/>
          <w:caps w:val="0"/>
          <w:smallCaps w:val="0"/>
          <w:color w:val="222222"/>
          <w:sz w:val="22"/>
          <w:szCs w:val="22"/>
        </w:rPr>
      </w:pPr>
      <w:r w:rsidRPr="64C58D3E" w:rsidR="2DDF6D5B">
        <w:rPr>
          <w:rFonts w:ascii="Arial" w:hAnsi="Arial" w:eastAsia="Arial" w:cs="Arial"/>
          <w:sz w:val="22"/>
          <w:szCs w:val="22"/>
        </w:rPr>
        <w:t xml:space="preserve">Diniz, F. and Suarez, M.C. (2018) ‘Cultural Meanings and Consumers’ Discourses about Their Brand Abandonment’, </w:t>
      </w:r>
      <w:r w:rsidRPr="64C58D3E" w:rsidR="2DDF6D5B">
        <w:rPr>
          <w:rFonts w:ascii="Arial" w:hAnsi="Arial" w:eastAsia="Arial" w:cs="Arial"/>
          <w:i w:val="1"/>
          <w:iCs w:val="1"/>
          <w:sz w:val="22"/>
          <w:szCs w:val="22"/>
        </w:rPr>
        <w:t>BAR, Brazilian administration review</w:t>
      </w:r>
      <w:r w:rsidRPr="64C58D3E" w:rsidR="2DDF6D5B">
        <w:rPr>
          <w:rFonts w:ascii="Arial" w:hAnsi="Arial" w:eastAsia="Arial" w:cs="Arial"/>
          <w:sz w:val="22"/>
          <w:szCs w:val="22"/>
        </w:rPr>
        <w:t xml:space="preserve">, 15(1), pp. 1–22. Available at: </w:t>
      </w:r>
      <w:hyperlink r:id="R50a4567ac5b444ee">
        <w:r w:rsidRPr="64C58D3E" w:rsidR="2DDF6D5B">
          <w:rPr>
            <w:rStyle w:val="Hyperlink"/>
            <w:rFonts w:ascii="Arial" w:hAnsi="Arial" w:eastAsia="Arial" w:cs="Arial"/>
            <w:sz w:val="22"/>
            <w:szCs w:val="22"/>
          </w:rPr>
          <w:t>https://doi.org/10.1590/1807-7692bar2018170061</w:t>
        </w:r>
      </w:hyperlink>
      <w:r w:rsidRPr="64C58D3E" w:rsidR="2DDF6D5B">
        <w:rPr>
          <w:rFonts w:ascii="Arial" w:hAnsi="Arial" w:eastAsia="Arial" w:cs="Arial"/>
          <w:sz w:val="22"/>
          <w:szCs w:val="22"/>
        </w:rPr>
        <w:t>.</w:t>
      </w:r>
      <w:r w:rsidRPr="64C58D3E" w:rsidR="2DDF6D5B">
        <w:rPr>
          <w:rFonts w:ascii="Arial" w:hAnsi="Arial" w:eastAsia="Arial" w:cs="Arial"/>
          <w:b w:val="0"/>
          <w:bCs w:val="0"/>
          <w:i w:val="0"/>
          <w:iCs w:val="0"/>
          <w:caps w:val="0"/>
          <w:smallCaps w:val="0"/>
          <w:color w:val="222222"/>
          <w:sz w:val="22"/>
          <w:szCs w:val="22"/>
        </w:rPr>
        <w:t xml:space="preserve"> </w:t>
      </w:r>
    </w:p>
    <w:p w:rsidR="562DF963" w:rsidP="64C58D3E" w:rsidRDefault="562DF963" w14:paraId="375837EB" w14:textId="2C8ECE23">
      <w:pPr>
        <w:pStyle w:val="Normal"/>
        <w:spacing w:before="0" w:beforeAutospacing="off" w:after="0" w:afterAutospacing="off"/>
        <w:rPr>
          <w:rFonts w:ascii="Arial" w:hAnsi="Arial" w:eastAsia="Arial" w:cs="Arial"/>
          <w:b w:val="0"/>
          <w:bCs w:val="0"/>
          <w:i w:val="0"/>
          <w:iCs w:val="0"/>
          <w:caps w:val="0"/>
          <w:smallCaps w:val="0"/>
          <w:color w:val="222222"/>
          <w:sz w:val="22"/>
          <w:szCs w:val="22"/>
        </w:rPr>
      </w:pPr>
    </w:p>
    <w:p w:rsidR="562DF963" w:rsidP="63D1CEA7" w:rsidRDefault="562DF963" w14:paraId="69AAB707" w14:textId="5BC23570">
      <w:pPr>
        <w:pStyle w:val="Normal"/>
        <w:spacing w:before="0" w:beforeAutospacing="off" w:after="0" w:afterAutospacing="off"/>
        <w:rPr>
          <w:rFonts w:ascii="Arial" w:hAnsi="Arial" w:eastAsia="Arial" w:cs="Arial"/>
          <w:sz w:val="22"/>
          <w:szCs w:val="22"/>
        </w:rPr>
      </w:pPr>
      <w:r w:rsidRPr="64C58D3E" w:rsidR="4C8DDECF">
        <w:rPr>
          <w:rFonts w:ascii="Arial" w:hAnsi="Arial" w:eastAsia="Arial" w:cs="Arial"/>
          <w:b w:val="0"/>
          <w:bCs w:val="0"/>
          <w:i w:val="0"/>
          <w:iCs w:val="0"/>
          <w:caps w:val="0"/>
          <w:smallCaps w:val="0"/>
          <w:color w:val="222222"/>
          <w:sz w:val="22"/>
          <w:szCs w:val="22"/>
        </w:rPr>
        <w:t xml:space="preserve">Doole, I. and Lowe, R., (2012) </w:t>
      </w:r>
      <w:r w:rsidRPr="64C58D3E" w:rsidR="4C8DDECF">
        <w:rPr>
          <w:rFonts w:ascii="Arial" w:hAnsi="Arial" w:eastAsia="Arial" w:cs="Arial"/>
          <w:b w:val="0"/>
          <w:bCs w:val="0"/>
          <w:i w:val="1"/>
          <w:iCs w:val="1"/>
          <w:caps w:val="0"/>
          <w:smallCaps w:val="0"/>
          <w:color w:val="222222"/>
          <w:sz w:val="22"/>
          <w:szCs w:val="22"/>
        </w:rPr>
        <w:t>International marketing strategy</w:t>
      </w:r>
      <w:r w:rsidRPr="64C58D3E" w:rsidR="4C8DDECF">
        <w:rPr>
          <w:rFonts w:ascii="Arial" w:hAnsi="Arial" w:eastAsia="Arial" w:cs="Arial"/>
          <w:b w:val="0"/>
          <w:bCs w:val="0"/>
          <w:i w:val="0"/>
          <w:iCs w:val="0"/>
          <w:caps w:val="0"/>
          <w:smallCaps w:val="0"/>
          <w:color w:val="222222"/>
          <w:sz w:val="22"/>
          <w:szCs w:val="22"/>
        </w:rPr>
        <w:t xml:space="preserve"> (Vol. 7). Cengage Learning.</w:t>
      </w:r>
      <w:r w:rsidRPr="64C58D3E" w:rsidR="4C8DDECF">
        <w:rPr>
          <w:rFonts w:ascii="Arial" w:hAnsi="Arial" w:eastAsia="Arial" w:cs="Arial"/>
          <w:sz w:val="22"/>
          <w:szCs w:val="22"/>
        </w:rPr>
        <w:t xml:space="preserve"> </w:t>
      </w:r>
    </w:p>
    <w:p w:rsidR="562DF963" w:rsidP="64C58D3E" w:rsidRDefault="562DF963" w14:paraId="51206EC5" w14:textId="0FEB5B00">
      <w:pPr>
        <w:pStyle w:val="Normal"/>
        <w:spacing w:before="0" w:beforeAutospacing="off" w:after="0" w:afterAutospacing="off"/>
        <w:rPr>
          <w:rFonts w:ascii="Arial" w:hAnsi="Arial" w:eastAsia="Arial" w:cs="Arial"/>
          <w:sz w:val="22"/>
          <w:szCs w:val="22"/>
        </w:rPr>
      </w:pPr>
    </w:p>
    <w:p w:rsidR="562DF963" w:rsidP="64C58D3E" w:rsidRDefault="562DF963" w14:paraId="2630D748" w14:textId="2811CF04">
      <w:pPr>
        <w:spacing w:before="0" w:beforeAutospacing="off" w:after="0" w:afterAutospacing="off"/>
      </w:pPr>
      <w:r w:rsidRPr="64C58D3E" w:rsidR="03AC9DA2">
        <w:rPr>
          <w:rFonts w:ascii="Arial" w:hAnsi="Arial" w:eastAsia="Arial" w:cs="Arial"/>
          <w:noProof w:val="0"/>
          <w:sz w:val="22"/>
          <w:szCs w:val="22"/>
          <w:lang w:val="en-GB"/>
        </w:rPr>
        <w:t xml:space="preserve">Forde, C. </w:t>
      </w:r>
      <w:r w:rsidRPr="64C58D3E" w:rsidR="03AC9DA2">
        <w:rPr>
          <w:rFonts w:ascii="Arial" w:hAnsi="Arial" w:eastAsia="Arial" w:cs="Arial"/>
          <w:i w:val="1"/>
          <w:iCs w:val="1"/>
          <w:noProof w:val="0"/>
          <w:sz w:val="22"/>
          <w:szCs w:val="22"/>
          <w:lang w:val="en-GB"/>
        </w:rPr>
        <w:t>et al.</w:t>
      </w:r>
      <w:r w:rsidRPr="64C58D3E" w:rsidR="03AC9DA2">
        <w:rPr>
          <w:rFonts w:ascii="Arial" w:hAnsi="Arial" w:eastAsia="Arial" w:cs="Arial"/>
          <w:noProof w:val="0"/>
          <w:sz w:val="22"/>
          <w:szCs w:val="22"/>
          <w:lang w:val="en-GB"/>
        </w:rPr>
        <w:t xml:space="preserve"> (2009) ‘A Classic Formula: End-to-End Insight with Added Productivity’, </w:t>
      </w:r>
      <w:r w:rsidRPr="64C58D3E" w:rsidR="03AC9DA2">
        <w:rPr>
          <w:rFonts w:ascii="Arial" w:hAnsi="Arial" w:eastAsia="Arial" w:cs="Arial"/>
          <w:i w:val="1"/>
          <w:iCs w:val="1"/>
          <w:noProof w:val="0"/>
          <w:sz w:val="22"/>
          <w:szCs w:val="22"/>
          <w:lang w:val="en-GB"/>
        </w:rPr>
        <w:t>Journal of advertising research</w:t>
      </w:r>
      <w:r w:rsidRPr="64C58D3E" w:rsidR="03AC9DA2">
        <w:rPr>
          <w:rFonts w:ascii="Arial" w:hAnsi="Arial" w:eastAsia="Arial" w:cs="Arial"/>
          <w:noProof w:val="0"/>
          <w:sz w:val="22"/>
          <w:szCs w:val="22"/>
          <w:lang w:val="en-GB"/>
        </w:rPr>
        <w:t xml:space="preserve">, 49(3), pp. 266–270. Available at: </w:t>
      </w:r>
      <w:hyperlink r:id="R2115edac8fe64d3d">
        <w:r w:rsidRPr="64C58D3E" w:rsidR="03AC9DA2">
          <w:rPr>
            <w:rStyle w:val="Hyperlink"/>
            <w:rFonts w:ascii="Arial" w:hAnsi="Arial" w:eastAsia="Arial" w:cs="Arial"/>
            <w:noProof w:val="0"/>
            <w:sz w:val="22"/>
            <w:szCs w:val="22"/>
            <w:lang w:val="en-GB"/>
          </w:rPr>
          <w:t>https://doi.org/10.2501/S0021849909090461</w:t>
        </w:r>
      </w:hyperlink>
      <w:r w:rsidRPr="64C58D3E" w:rsidR="03AC9DA2">
        <w:rPr>
          <w:rFonts w:ascii="Arial" w:hAnsi="Arial" w:eastAsia="Arial" w:cs="Arial"/>
          <w:noProof w:val="0"/>
          <w:sz w:val="22"/>
          <w:szCs w:val="22"/>
          <w:lang w:val="en-GB"/>
        </w:rPr>
        <w:t>.</w:t>
      </w:r>
    </w:p>
    <w:p w:rsidR="562DF963" w:rsidP="63D1CEA7" w:rsidRDefault="562DF963" w14:paraId="614DFE5B" w14:textId="73859278">
      <w:pPr>
        <w:pStyle w:val="Normal"/>
        <w:spacing w:before="0" w:beforeAutospacing="off" w:after="0" w:afterAutospacing="off"/>
        <w:rPr>
          <w:rFonts w:ascii="Arial" w:hAnsi="Arial" w:eastAsia="Arial" w:cs="Arial"/>
          <w:sz w:val="22"/>
          <w:szCs w:val="22"/>
        </w:rPr>
      </w:pPr>
    </w:p>
    <w:p w:rsidR="35B2E032" w:rsidP="64C58D3E" w:rsidRDefault="35B2E032" w14:paraId="01BAF3A4" w14:textId="06102176">
      <w:pPr>
        <w:spacing w:before="0" w:beforeAutospacing="off" w:after="0" w:afterAutospacing="off"/>
      </w:pPr>
      <w:r w:rsidRPr="64C58D3E" w:rsidR="35B2E032">
        <w:rPr>
          <w:rFonts w:ascii="Arial" w:hAnsi="Arial" w:eastAsia="Arial" w:cs="Arial"/>
          <w:noProof w:val="0"/>
          <w:sz w:val="22"/>
          <w:szCs w:val="22"/>
          <w:lang w:val="en-GB"/>
        </w:rPr>
        <w:t xml:space="preserve">Goodnow, J.D. and Kosenko, R. (1992) ‘Strategies for Successful Penetration of the Japanese Market or How to Beat Japan at its Own Game’, </w:t>
      </w:r>
      <w:r w:rsidRPr="64C58D3E" w:rsidR="35B2E032">
        <w:rPr>
          <w:rFonts w:ascii="Arial" w:hAnsi="Arial" w:eastAsia="Arial" w:cs="Arial"/>
          <w:i w:val="1"/>
          <w:iCs w:val="1"/>
          <w:noProof w:val="0"/>
          <w:sz w:val="22"/>
          <w:szCs w:val="22"/>
          <w:lang w:val="en-GB"/>
        </w:rPr>
        <w:t>The Journal of business &amp; industrial marketing</w:t>
      </w:r>
      <w:r w:rsidRPr="64C58D3E" w:rsidR="35B2E032">
        <w:rPr>
          <w:rFonts w:ascii="Arial" w:hAnsi="Arial" w:eastAsia="Arial" w:cs="Arial"/>
          <w:noProof w:val="0"/>
          <w:sz w:val="22"/>
          <w:szCs w:val="22"/>
          <w:lang w:val="en-GB"/>
        </w:rPr>
        <w:t xml:space="preserve">, 7(1), pp. 41–49. Available at: </w:t>
      </w:r>
      <w:hyperlink r:id="R038687c0df97453c">
        <w:r w:rsidRPr="64C58D3E" w:rsidR="35B2E032">
          <w:rPr>
            <w:rStyle w:val="Hyperlink"/>
            <w:rFonts w:ascii="Arial" w:hAnsi="Arial" w:eastAsia="Arial" w:cs="Arial"/>
            <w:noProof w:val="0"/>
            <w:sz w:val="22"/>
            <w:szCs w:val="22"/>
            <w:lang w:val="en-GB"/>
          </w:rPr>
          <w:t>https://doi.org/10.1108/EUM0000000002760</w:t>
        </w:r>
      </w:hyperlink>
      <w:r w:rsidRPr="64C58D3E" w:rsidR="35B2E032">
        <w:rPr>
          <w:rFonts w:ascii="Arial" w:hAnsi="Arial" w:eastAsia="Arial" w:cs="Arial"/>
          <w:noProof w:val="0"/>
          <w:sz w:val="22"/>
          <w:szCs w:val="22"/>
          <w:lang w:val="en-GB"/>
        </w:rPr>
        <w:t>.</w:t>
      </w:r>
    </w:p>
    <w:p w:rsidR="64C58D3E" w:rsidP="64C58D3E" w:rsidRDefault="64C58D3E" w14:paraId="7FAD5687" w14:textId="5BAF2ACD">
      <w:pPr>
        <w:pStyle w:val="Normal"/>
        <w:spacing w:before="0" w:beforeAutospacing="off" w:after="0" w:afterAutospacing="off"/>
        <w:rPr>
          <w:rFonts w:ascii="Arial" w:hAnsi="Arial" w:eastAsia="Arial" w:cs="Arial"/>
          <w:sz w:val="22"/>
          <w:szCs w:val="22"/>
        </w:rPr>
      </w:pPr>
    </w:p>
    <w:p w:rsidR="42462EE0" w:rsidP="64C58D3E" w:rsidRDefault="42462EE0" w14:paraId="59BB0093" w14:textId="42D0C7E4">
      <w:pPr>
        <w:spacing w:before="0" w:beforeAutospacing="off" w:after="0" w:afterAutospacing="off"/>
      </w:pPr>
      <w:r w:rsidRPr="64C58D3E" w:rsidR="42462EE0">
        <w:rPr>
          <w:rFonts w:ascii="Arial" w:hAnsi="Arial" w:eastAsia="Arial" w:cs="Arial"/>
          <w:noProof w:val="0"/>
          <w:sz w:val="22"/>
          <w:szCs w:val="22"/>
          <w:lang w:val="en-GB"/>
        </w:rPr>
        <w:t xml:space="preserve">Hatheway, F., Kwan, A. and Zheng, H. (2017) ‘An Empirical Analysis of Market Segmentation on U.S. Equity Markets’, </w:t>
      </w:r>
      <w:r w:rsidRPr="64C58D3E" w:rsidR="42462EE0">
        <w:rPr>
          <w:rFonts w:ascii="Arial" w:hAnsi="Arial" w:eastAsia="Arial" w:cs="Arial"/>
          <w:i w:val="1"/>
          <w:iCs w:val="1"/>
          <w:noProof w:val="0"/>
          <w:sz w:val="22"/>
          <w:szCs w:val="22"/>
          <w:lang w:val="en-GB"/>
        </w:rPr>
        <w:t>Journal of financial and quantitative analysis</w:t>
      </w:r>
      <w:r w:rsidRPr="64C58D3E" w:rsidR="42462EE0">
        <w:rPr>
          <w:rFonts w:ascii="Arial" w:hAnsi="Arial" w:eastAsia="Arial" w:cs="Arial"/>
          <w:noProof w:val="0"/>
          <w:sz w:val="22"/>
          <w:szCs w:val="22"/>
          <w:lang w:val="en-GB"/>
        </w:rPr>
        <w:t xml:space="preserve">, 52(6), pp. 2399–2427. Available at: </w:t>
      </w:r>
      <w:hyperlink r:id="Re158647049dc48ed">
        <w:r w:rsidRPr="64C58D3E" w:rsidR="42462EE0">
          <w:rPr>
            <w:rStyle w:val="Hyperlink"/>
            <w:rFonts w:ascii="Arial" w:hAnsi="Arial" w:eastAsia="Arial" w:cs="Arial"/>
            <w:noProof w:val="0"/>
            <w:sz w:val="22"/>
            <w:szCs w:val="22"/>
            <w:lang w:val="en-GB"/>
          </w:rPr>
          <w:t>https://doi.org/10.1017/S0022109017000849</w:t>
        </w:r>
      </w:hyperlink>
      <w:r w:rsidRPr="64C58D3E" w:rsidR="42462EE0">
        <w:rPr>
          <w:rFonts w:ascii="Arial" w:hAnsi="Arial" w:eastAsia="Arial" w:cs="Arial"/>
          <w:noProof w:val="0"/>
          <w:sz w:val="22"/>
          <w:szCs w:val="22"/>
          <w:lang w:val="en-GB"/>
        </w:rPr>
        <w:t>.</w:t>
      </w:r>
    </w:p>
    <w:p w:rsidR="64C58D3E" w:rsidP="64C58D3E" w:rsidRDefault="64C58D3E" w14:paraId="5E97C9C7" w14:textId="0D5A13B6">
      <w:pPr>
        <w:pStyle w:val="Normal"/>
        <w:spacing w:before="0" w:beforeAutospacing="off" w:after="0" w:afterAutospacing="off"/>
        <w:rPr>
          <w:rFonts w:ascii="Arial" w:hAnsi="Arial" w:eastAsia="Arial" w:cs="Arial"/>
          <w:sz w:val="22"/>
          <w:szCs w:val="22"/>
        </w:rPr>
      </w:pPr>
    </w:p>
    <w:p w:rsidR="562DF963" w:rsidP="64C58D3E" w:rsidRDefault="562DF963" w14:paraId="24E7998C" w14:textId="6524609F">
      <w:pPr>
        <w:pStyle w:val="Normal"/>
        <w:spacing w:before="0" w:beforeAutospacing="off" w:after="0" w:afterAutospacing="off"/>
        <w:rPr>
          <w:rFonts w:ascii="Arial" w:hAnsi="Arial" w:eastAsia="Arial" w:cs="Arial"/>
          <w:color w:val="auto"/>
          <w:sz w:val="22"/>
          <w:szCs w:val="22"/>
        </w:rPr>
      </w:pPr>
      <w:r w:rsidRPr="64C58D3E" w:rsidR="7BD0175D">
        <w:rPr>
          <w:rFonts w:ascii="Arial" w:hAnsi="Arial" w:eastAsia="Arial" w:cs="Arial"/>
          <w:color w:val="auto"/>
          <w:sz w:val="22"/>
          <w:szCs w:val="22"/>
        </w:rPr>
        <w:t xml:space="preserve">Keyser, J.D. and Neuman, E.L. (2023) ‘A Different Kind of Cola War: Coca-Cola versus the IRS’, </w:t>
      </w:r>
      <w:r w:rsidRPr="64C58D3E" w:rsidR="7BD0175D">
        <w:rPr>
          <w:rFonts w:ascii="Arial" w:hAnsi="Arial" w:eastAsia="Arial" w:cs="Arial"/>
          <w:i w:val="1"/>
          <w:iCs w:val="1"/>
          <w:color w:val="auto"/>
          <w:sz w:val="22"/>
          <w:szCs w:val="22"/>
        </w:rPr>
        <w:t>Issues in accounting education</w:t>
      </w:r>
      <w:r w:rsidRPr="64C58D3E" w:rsidR="7BD0175D">
        <w:rPr>
          <w:rFonts w:ascii="Arial" w:hAnsi="Arial" w:eastAsia="Arial" w:cs="Arial"/>
          <w:color w:val="auto"/>
          <w:sz w:val="22"/>
          <w:szCs w:val="22"/>
        </w:rPr>
        <w:t xml:space="preserve">, 38(3), pp. 139–154. Available at: </w:t>
      </w:r>
      <w:hyperlink r:id="Ra9da0c1642e149d1">
        <w:r w:rsidRPr="64C58D3E" w:rsidR="7BD0175D">
          <w:rPr>
            <w:rStyle w:val="Hyperlink"/>
            <w:rFonts w:ascii="Arial" w:hAnsi="Arial" w:eastAsia="Arial" w:cs="Arial"/>
            <w:color w:val="auto"/>
            <w:sz w:val="22"/>
            <w:szCs w:val="22"/>
          </w:rPr>
          <w:t>https://doi.org/10.2308/ISSUES-2021-127</w:t>
        </w:r>
      </w:hyperlink>
      <w:r w:rsidRPr="64C58D3E" w:rsidR="7BD0175D">
        <w:rPr>
          <w:rFonts w:ascii="Arial" w:hAnsi="Arial" w:eastAsia="Arial" w:cs="Arial"/>
          <w:color w:val="auto"/>
          <w:sz w:val="22"/>
          <w:szCs w:val="22"/>
        </w:rPr>
        <w:t>.</w:t>
      </w:r>
    </w:p>
    <w:p w:rsidR="562DF963" w:rsidP="64C58D3E" w:rsidRDefault="562DF963" w14:paraId="6515DED3" w14:textId="1CFE9936">
      <w:pPr>
        <w:pStyle w:val="Normal"/>
        <w:spacing w:before="0" w:beforeAutospacing="off" w:after="0" w:afterAutospacing="off"/>
        <w:rPr>
          <w:rFonts w:ascii="Arial" w:hAnsi="Arial" w:eastAsia="Arial" w:cs="Arial"/>
          <w:color w:val="auto"/>
          <w:sz w:val="22"/>
          <w:szCs w:val="22"/>
        </w:rPr>
      </w:pPr>
    </w:p>
    <w:p w:rsidR="562DF963" w:rsidP="64C58D3E" w:rsidRDefault="562DF963" w14:paraId="3A97A13B" w14:textId="6DFB9031">
      <w:pPr>
        <w:pStyle w:val="Normal"/>
        <w:rPr>
          <w:rFonts w:ascii="Arial" w:hAnsi="Arial" w:eastAsia="Arial" w:cs="Arial"/>
          <w:noProof w:val="0"/>
          <w:color w:val="auto"/>
          <w:sz w:val="22"/>
          <w:szCs w:val="22"/>
          <w:lang w:val="en-GB"/>
        </w:rPr>
      </w:pPr>
      <w:r w:rsidRPr="64C58D3E" w:rsidR="475B5FD5">
        <w:rPr>
          <w:rFonts w:ascii="Arial" w:hAnsi="Arial" w:eastAsia="Arial" w:cs="Arial"/>
          <w:b w:val="0"/>
          <w:bCs w:val="0"/>
          <w:i w:val="0"/>
          <w:iCs w:val="0"/>
          <w:caps w:val="0"/>
          <w:smallCaps w:val="0"/>
          <w:noProof w:val="0"/>
          <w:color w:val="auto"/>
          <w:sz w:val="22"/>
          <w:szCs w:val="22"/>
          <w:lang w:val="en-GB"/>
        </w:rPr>
        <w:t xml:space="preserve">Kotler, P., </w:t>
      </w:r>
      <w:r w:rsidRPr="64C58D3E" w:rsidR="475B5FD5">
        <w:rPr>
          <w:rFonts w:ascii="Arial" w:hAnsi="Arial" w:eastAsia="Arial" w:cs="Arial"/>
          <w:b w:val="0"/>
          <w:bCs w:val="0"/>
          <w:i w:val="0"/>
          <w:iCs w:val="0"/>
          <w:caps w:val="0"/>
          <w:smallCaps w:val="0"/>
          <w:noProof w:val="0"/>
          <w:color w:val="auto"/>
          <w:sz w:val="22"/>
          <w:szCs w:val="22"/>
          <w:lang w:val="en-GB"/>
        </w:rPr>
        <w:t>Kartajaya</w:t>
      </w:r>
      <w:r w:rsidRPr="64C58D3E" w:rsidR="475B5FD5">
        <w:rPr>
          <w:rFonts w:ascii="Arial" w:hAnsi="Arial" w:eastAsia="Arial" w:cs="Arial"/>
          <w:b w:val="0"/>
          <w:bCs w:val="0"/>
          <w:i w:val="0"/>
          <w:iCs w:val="0"/>
          <w:caps w:val="0"/>
          <w:smallCaps w:val="0"/>
          <w:noProof w:val="0"/>
          <w:color w:val="auto"/>
          <w:sz w:val="22"/>
          <w:szCs w:val="22"/>
          <w:lang w:val="en-GB"/>
        </w:rPr>
        <w:t xml:space="preserve">, H. and Setiawan, I., (2021) </w:t>
      </w:r>
      <w:r w:rsidRPr="64C58D3E" w:rsidR="475B5FD5">
        <w:rPr>
          <w:rFonts w:ascii="Arial" w:hAnsi="Arial" w:eastAsia="Arial" w:cs="Arial"/>
          <w:b w:val="0"/>
          <w:bCs w:val="0"/>
          <w:i w:val="1"/>
          <w:iCs w:val="1"/>
          <w:caps w:val="0"/>
          <w:smallCaps w:val="0"/>
          <w:noProof w:val="0"/>
          <w:color w:val="auto"/>
          <w:sz w:val="22"/>
          <w:szCs w:val="22"/>
          <w:lang w:val="en-GB"/>
        </w:rPr>
        <w:t>Marketing 5.0: Technology for humanity</w:t>
      </w:r>
      <w:r w:rsidRPr="64C58D3E" w:rsidR="475B5FD5">
        <w:rPr>
          <w:rFonts w:ascii="Arial" w:hAnsi="Arial" w:eastAsia="Arial" w:cs="Arial"/>
          <w:b w:val="0"/>
          <w:bCs w:val="0"/>
          <w:i w:val="0"/>
          <w:iCs w:val="0"/>
          <w:caps w:val="0"/>
          <w:smallCaps w:val="0"/>
          <w:noProof w:val="0"/>
          <w:color w:val="auto"/>
          <w:sz w:val="22"/>
          <w:szCs w:val="22"/>
          <w:lang w:val="en-GB"/>
        </w:rPr>
        <w:t>. John Wiley &amp; Sons.</w:t>
      </w:r>
    </w:p>
    <w:p w:rsidR="6328A785" w:rsidP="64C58D3E" w:rsidRDefault="6328A785" w14:paraId="25D4AAE0" w14:textId="14BCD539">
      <w:pPr>
        <w:pStyle w:val="Normal"/>
        <w:rPr>
          <w:rFonts w:ascii="Arial" w:hAnsi="Arial" w:eastAsia="Arial" w:cs="Arial"/>
          <w:i w:val="0"/>
          <w:iCs w:val="0"/>
          <w:sz w:val="22"/>
          <w:szCs w:val="22"/>
        </w:rPr>
      </w:pPr>
      <w:r w:rsidRPr="64C58D3E" w:rsidR="06AD9E4C">
        <w:rPr>
          <w:rFonts w:ascii="Arial" w:hAnsi="Arial" w:eastAsia="Arial" w:cs="Arial"/>
          <w:sz w:val="22"/>
          <w:szCs w:val="22"/>
        </w:rPr>
        <w:t xml:space="preserve">Kotler, P. and Keller, K.L. (2022) </w:t>
      </w:r>
      <w:r w:rsidRPr="64C58D3E" w:rsidR="06AD9E4C">
        <w:rPr>
          <w:rFonts w:ascii="Arial" w:hAnsi="Arial" w:eastAsia="Arial" w:cs="Arial"/>
          <w:i w:val="1"/>
          <w:iCs w:val="1"/>
          <w:sz w:val="22"/>
          <w:szCs w:val="22"/>
        </w:rPr>
        <w:t>Marketing Management</w:t>
      </w:r>
      <w:r w:rsidRPr="64C58D3E" w:rsidR="59ACC064">
        <w:rPr>
          <w:rFonts w:ascii="Arial" w:hAnsi="Arial" w:eastAsia="Arial" w:cs="Arial"/>
          <w:i w:val="1"/>
          <w:iCs w:val="1"/>
          <w:sz w:val="22"/>
          <w:szCs w:val="22"/>
        </w:rPr>
        <w:t xml:space="preserve">. </w:t>
      </w:r>
      <w:r w:rsidRPr="64C58D3E" w:rsidR="59ACC064">
        <w:rPr>
          <w:rFonts w:ascii="Arial" w:hAnsi="Arial" w:eastAsia="Arial" w:cs="Arial"/>
          <w:i w:val="0"/>
          <w:iCs w:val="0"/>
          <w:sz w:val="22"/>
          <w:szCs w:val="22"/>
        </w:rPr>
        <w:t>16</w:t>
      </w:r>
      <w:r w:rsidRPr="64C58D3E" w:rsidR="59ACC064">
        <w:rPr>
          <w:rFonts w:ascii="Arial" w:hAnsi="Arial" w:eastAsia="Arial" w:cs="Arial"/>
          <w:i w:val="0"/>
          <w:iCs w:val="0"/>
          <w:sz w:val="22"/>
          <w:szCs w:val="22"/>
          <w:vertAlign w:val="superscript"/>
        </w:rPr>
        <w:t>th</w:t>
      </w:r>
      <w:r w:rsidRPr="64C58D3E" w:rsidR="59ACC064">
        <w:rPr>
          <w:rFonts w:ascii="Arial" w:hAnsi="Arial" w:eastAsia="Arial" w:cs="Arial"/>
          <w:i w:val="0"/>
          <w:iCs w:val="0"/>
          <w:sz w:val="22"/>
          <w:szCs w:val="22"/>
        </w:rPr>
        <w:t xml:space="preserve"> ed. Harlow: Pearson Education.</w:t>
      </w:r>
    </w:p>
    <w:p w:rsidR="31903DD7" w:rsidP="64C58D3E" w:rsidRDefault="31903DD7" w14:paraId="1C204F14" w14:textId="2AD757FE">
      <w:pPr>
        <w:spacing w:before="0" w:beforeAutospacing="off" w:after="0" w:afterAutospacing="off"/>
      </w:pPr>
      <w:r w:rsidRPr="64C58D3E" w:rsidR="31903DD7">
        <w:rPr>
          <w:rFonts w:ascii="Arial" w:hAnsi="Arial" w:eastAsia="Arial" w:cs="Arial"/>
          <w:noProof w:val="0"/>
          <w:sz w:val="22"/>
          <w:szCs w:val="22"/>
          <w:lang w:val="en-GB"/>
        </w:rPr>
        <w:t xml:space="preserve">Mahase, E. (2019) ‘Coca-Cola marketing to children is “serious public health concern,” researchers warn’, </w:t>
      </w:r>
      <w:r w:rsidRPr="64C58D3E" w:rsidR="31903DD7">
        <w:rPr>
          <w:rFonts w:ascii="Arial" w:hAnsi="Arial" w:eastAsia="Arial" w:cs="Arial"/>
          <w:i w:val="1"/>
          <w:iCs w:val="1"/>
          <w:noProof w:val="0"/>
          <w:sz w:val="22"/>
          <w:szCs w:val="22"/>
          <w:lang w:val="en-GB"/>
        </w:rPr>
        <w:t>BMJ (Online)</w:t>
      </w:r>
      <w:r w:rsidRPr="64C58D3E" w:rsidR="31903DD7">
        <w:rPr>
          <w:rFonts w:ascii="Arial" w:hAnsi="Arial" w:eastAsia="Arial" w:cs="Arial"/>
          <w:noProof w:val="0"/>
          <w:sz w:val="22"/>
          <w:szCs w:val="22"/>
          <w:lang w:val="en-GB"/>
        </w:rPr>
        <w:t xml:space="preserve">, 367, p. l7022. Available at: </w:t>
      </w:r>
      <w:hyperlink r:id="Rf7b0fc366e11433b">
        <w:r w:rsidRPr="64C58D3E" w:rsidR="31903DD7">
          <w:rPr>
            <w:rStyle w:val="Hyperlink"/>
            <w:rFonts w:ascii="Arial" w:hAnsi="Arial" w:eastAsia="Arial" w:cs="Arial"/>
            <w:noProof w:val="0"/>
            <w:sz w:val="22"/>
            <w:szCs w:val="22"/>
            <w:lang w:val="en-GB"/>
          </w:rPr>
          <w:t>https://doi.org/10.1136/bmj.l7022</w:t>
        </w:r>
      </w:hyperlink>
      <w:r w:rsidRPr="64C58D3E" w:rsidR="31903DD7">
        <w:rPr>
          <w:rFonts w:ascii="Arial" w:hAnsi="Arial" w:eastAsia="Arial" w:cs="Arial"/>
          <w:noProof w:val="0"/>
          <w:sz w:val="22"/>
          <w:szCs w:val="22"/>
          <w:lang w:val="en-GB"/>
        </w:rPr>
        <w:t>.</w:t>
      </w:r>
    </w:p>
    <w:p w:rsidR="64C58D3E" w:rsidP="64C58D3E" w:rsidRDefault="64C58D3E" w14:paraId="722F814D" w14:textId="1C8901FD">
      <w:pPr>
        <w:spacing w:before="0" w:beforeAutospacing="off" w:after="0" w:afterAutospacing="off"/>
        <w:rPr>
          <w:rFonts w:ascii="Arial" w:hAnsi="Arial" w:eastAsia="Arial" w:cs="Arial"/>
          <w:noProof w:val="0"/>
          <w:sz w:val="22"/>
          <w:szCs w:val="22"/>
          <w:lang w:val="en-GB"/>
        </w:rPr>
      </w:pPr>
    </w:p>
    <w:p w:rsidR="49F45416" w:rsidP="64C58D3E" w:rsidRDefault="49F45416" w14:paraId="02C00A94" w14:textId="1E91B7A4">
      <w:pPr>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64C58D3E" w:rsidR="3EFEFE77">
        <w:rPr>
          <w:rFonts w:ascii="Arial" w:hAnsi="Arial" w:eastAsia="Arial" w:cs="Arial"/>
          <w:noProof w:val="0"/>
          <w:sz w:val="22"/>
          <w:szCs w:val="22"/>
          <w:lang w:val="en-GB"/>
        </w:rPr>
        <w:t xml:space="preserve">Marín, L. and Ruiz de Maya, S. (2013) ‘The role of affiliation, attractiveness and personal connection in consumer-company identification’, </w:t>
      </w:r>
      <w:r w:rsidRPr="64C58D3E" w:rsidR="3EFEFE77">
        <w:rPr>
          <w:rFonts w:ascii="Arial" w:hAnsi="Arial" w:eastAsia="Arial" w:cs="Arial"/>
          <w:i w:val="1"/>
          <w:iCs w:val="1"/>
          <w:noProof w:val="0"/>
          <w:sz w:val="22"/>
          <w:szCs w:val="22"/>
          <w:lang w:val="en-GB"/>
        </w:rPr>
        <w:t>European journal of marketing</w:t>
      </w:r>
      <w:r w:rsidRPr="64C58D3E" w:rsidR="3EFEFE77">
        <w:rPr>
          <w:rFonts w:ascii="Arial" w:hAnsi="Arial" w:eastAsia="Arial" w:cs="Arial"/>
          <w:noProof w:val="0"/>
          <w:sz w:val="22"/>
          <w:szCs w:val="22"/>
          <w:lang w:val="en-GB"/>
        </w:rPr>
        <w:t xml:space="preserve">, 47(3/4), pp. 655–673. Available at: </w:t>
      </w:r>
      <w:hyperlink r:id="R73a2706081434b12">
        <w:r w:rsidRPr="64C58D3E" w:rsidR="3EFEFE77">
          <w:rPr>
            <w:rStyle w:val="Hyperlink"/>
            <w:rFonts w:ascii="Arial" w:hAnsi="Arial" w:eastAsia="Arial" w:cs="Arial"/>
            <w:noProof w:val="0"/>
            <w:sz w:val="22"/>
            <w:szCs w:val="22"/>
            <w:lang w:val="en-GB"/>
          </w:rPr>
          <w:t>https://doi.org/10.1108/03090561311297526</w:t>
        </w:r>
      </w:hyperlink>
      <w:r w:rsidRPr="64C58D3E" w:rsidR="3EFEFE77">
        <w:rPr>
          <w:rFonts w:ascii="Arial" w:hAnsi="Arial" w:eastAsia="Arial" w:cs="Arial"/>
          <w:noProof w:val="0"/>
          <w:sz w:val="22"/>
          <w:szCs w:val="22"/>
          <w:lang w:val="en-GB"/>
        </w:rPr>
        <w:t>.</w:t>
      </w:r>
      <w:r w:rsidRPr="64C58D3E" w:rsidR="3EFEFE77">
        <w:rPr>
          <w:rFonts w:ascii="Arial" w:hAnsi="Arial" w:eastAsia="Arial" w:cs="Arial"/>
          <w:b w:val="0"/>
          <w:bCs w:val="0"/>
          <w:i w:val="0"/>
          <w:iCs w:val="0"/>
          <w:caps w:val="0"/>
          <w:smallCaps w:val="0"/>
          <w:noProof w:val="0"/>
          <w:color w:val="222222"/>
          <w:sz w:val="22"/>
          <w:szCs w:val="22"/>
          <w:lang w:val="en-GB"/>
        </w:rPr>
        <w:t xml:space="preserve"> </w:t>
      </w:r>
    </w:p>
    <w:p w:rsidR="63D1CEA7" w:rsidP="64C58D3E" w:rsidRDefault="63D1CEA7" w14:paraId="11B29A84" w14:textId="505AC222">
      <w:pPr>
        <w:spacing w:before="240" w:beforeAutospacing="off" w:after="240" w:afterAutospacing="off"/>
        <w:rPr>
          <w:rFonts w:ascii="Arial" w:hAnsi="Arial" w:eastAsia="Arial" w:cs="Arial"/>
          <w:sz w:val="22"/>
          <w:szCs w:val="22"/>
        </w:rPr>
      </w:pPr>
      <w:r w:rsidRPr="64C58D3E" w:rsidR="16071CB1">
        <w:rPr>
          <w:rFonts w:ascii="Arial" w:hAnsi="Arial" w:eastAsia="Arial" w:cs="Arial"/>
          <w:noProof w:val="0"/>
          <w:sz w:val="22"/>
          <w:szCs w:val="22"/>
          <w:lang w:val="en-GB"/>
        </w:rPr>
        <w:t>Marketline</w:t>
      </w:r>
      <w:r w:rsidRPr="64C58D3E" w:rsidR="16071CB1">
        <w:rPr>
          <w:rFonts w:ascii="Arial" w:hAnsi="Arial" w:eastAsia="Arial" w:cs="Arial"/>
          <w:noProof w:val="0"/>
          <w:sz w:val="22"/>
          <w:szCs w:val="22"/>
          <w:lang w:val="en-GB"/>
        </w:rPr>
        <w:t xml:space="preserve"> Advantage (2025) Coca-Cola Japan </w:t>
      </w:r>
      <w:hyperlink r:id="Re12e6c8e5e374800">
        <w:r w:rsidRPr="64C58D3E" w:rsidR="16071CB1">
          <w:rPr>
            <w:rStyle w:val="Hyperlink"/>
            <w:rFonts w:ascii="Arial" w:hAnsi="Arial" w:eastAsia="Arial" w:cs="Arial"/>
            <w:noProof w:val="0"/>
            <w:sz w:val="22"/>
            <w:szCs w:val="22"/>
            <w:lang w:val="en-GB"/>
          </w:rPr>
          <w:t>https://advantage-marketline-com.ezproxy.uwtsd.ac.uk/Company/Summary/coca-cola-bottlers-japan-holdings-inc-_4270366_4270366</w:t>
        </w:r>
      </w:hyperlink>
    </w:p>
    <w:p w:rsidR="63D1CEA7" w:rsidP="64C58D3E" w:rsidRDefault="63D1CEA7" w14:paraId="58EB707E" w14:textId="1BD8D124">
      <w:pPr>
        <w:spacing w:before="0" w:beforeAutospacing="off" w:after="0" w:afterAutospacing="off"/>
      </w:pPr>
      <w:r w:rsidRPr="64C58D3E" w:rsidR="1F465D8D">
        <w:rPr>
          <w:rFonts w:ascii="Arial" w:hAnsi="Arial" w:eastAsia="Arial" w:cs="Arial"/>
          <w:noProof w:val="0"/>
          <w:sz w:val="22"/>
          <w:szCs w:val="22"/>
          <w:lang w:val="en-GB"/>
        </w:rPr>
        <w:t xml:space="preserve">Mora, E., Küster, I. and Vila, N. (2024) ‘Is Cause-Related Marketing all the Same for Different Cultures?’, </w:t>
      </w:r>
      <w:r w:rsidRPr="64C58D3E" w:rsidR="1F465D8D">
        <w:rPr>
          <w:rFonts w:ascii="Arial" w:hAnsi="Arial" w:eastAsia="Arial" w:cs="Arial"/>
          <w:i w:val="1"/>
          <w:iCs w:val="1"/>
          <w:noProof w:val="0"/>
          <w:sz w:val="22"/>
          <w:szCs w:val="22"/>
          <w:lang w:val="en-GB"/>
        </w:rPr>
        <w:t>Journal of international consumer marketing</w:t>
      </w:r>
      <w:r w:rsidRPr="64C58D3E" w:rsidR="1F465D8D">
        <w:rPr>
          <w:rFonts w:ascii="Arial" w:hAnsi="Arial" w:eastAsia="Arial" w:cs="Arial"/>
          <w:noProof w:val="0"/>
          <w:sz w:val="22"/>
          <w:szCs w:val="22"/>
          <w:lang w:val="en-GB"/>
        </w:rPr>
        <w:t xml:space="preserve">, 36(2), pp. 166–179. Available at: </w:t>
      </w:r>
      <w:hyperlink r:id="R741f81deed6e4b1e">
        <w:r w:rsidRPr="64C58D3E" w:rsidR="1F465D8D">
          <w:rPr>
            <w:rStyle w:val="Hyperlink"/>
            <w:rFonts w:ascii="Arial" w:hAnsi="Arial" w:eastAsia="Arial" w:cs="Arial"/>
            <w:noProof w:val="0"/>
            <w:sz w:val="22"/>
            <w:szCs w:val="22"/>
            <w:lang w:val="en-GB"/>
          </w:rPr>
          <w:t>https://doi.org/10.1080/08961530.2023.2200222</w:t>
        </w:r>
      </w:hyperlink>
      <w:r w:rsidRPr="64C58D3E" w:rsidR="1F465D8D">
        <w:rPr>
          <w:rFonts w:ascii="Arial" w:hAnsi="Arial" w:eastAsia="Arial" w:cs="Arial"/>
          <w:noProof w:val="0"/>
          <w:sz w:val="22"/>
          <w:szCs w:val="22"/>
          <w:lang w:val="en-GB"/>
        </w:rPr>
        <w:t>.</w:t>
      </w:r>
    </w:p>
    <w:p w:rsidR="63D1CEA7" w:rsidP="64C58D3E" w:rsidRDefault="63D1CEA7" w14:paraId="0849BF5C" w14:textId="6D374247">
      <w:pPr>
        <w:pStyle w:val="Normal"/>
        <w:rPr>
          <w:rFonts w:ascii="Arial" w:hAnsi="Arial" w:eastAsia="Arial" w:cs="Arial"/>
          <w:b w:val="0"/>
          <w:bCs w:val="0"/>
          <w:i w:val="0"/>
          <w:iCs w:val="0"/>
          <w:caps w:val="0"/>
          <w:smallCaps w:val="0"/>
          <w:noProof w:val="0"/>
          <w:color w:val="222222"/>
          <w:sz w:val="22"/>
          <w:szCs w:val="22"/>
          <w:lang w:val="en-GB"/>
        </w:rPr>
      </w:pPr>
    </w:p>
    <w:p w:rsidR="031F04F7" w:rsidP="64C58D3E" w:rsidRDefault="031F04F7" w14:paraId="5F0FBFC3" w14:textId="05968891">
      <w:pPr>
        <w:spacing w:before="0" w:beforeAutospacing="off" w:after="0" w:afterAutospacing="off"/>
      </w:pPr>
      <w:r w:rsidRPr="64C58D3E" w:rsidR="031F04F7">
        <w:rPr>
          <w:rFonts w:ascii="Arial" w:hAnsi="Arial" w:eastAsia="Arial" w:cs="Arial"/>
          <w:noProof w:val="0"/>
          <w:sz w:val="22"/>
          <w:szCs w:val="22"/>
          <w:lang w:val="en-GB"/>
        </w:rPr>
        <w:t xml:space="preserve">Naimatul </w:t>
      </w:r>
      <w:bookmarkStart w:name="_Int_1Ujjb89S" w:id="588228083"/>
      <w:r w:rsidRPr="64C58D3E" w:rsidR="031F04F7">
        <w:rPr>
          <w:rFonts w:ascii="Arial" w:hAnsi="Arial" w:eastAsia="Arial" w:cs="Arial"/>
          <w:noProof w:val="0"/>
          <w:sz w:val="22"/>
          <w:szCs w:val="22"/>
          <w:lang w:val="en-GB"/>
        </w:rPr>
        <w:t>Kusnaini</w:t>
      </w:r>
      <w:bookmarkEnd w:id="588228083"/>
      <w:r w:rsidRPr="64C58D3E" w:rsidR="031F04F7">
        <w:rPr>
          <w:rFonts w:ascii="Arial" w:hAnsi="Arial" w:eastAsia="Arial" w:cs="Arial"/>
          <w:noProof w:val="0"/>
          <w:sz w:val="22"/>
          <w:szCs w:val="22"/>
          <w:lang w:val="en-GB"/>
        </w:rPr>
        <w:t xml:space="preserve">, Yusri Abdillah and Agung Nugroho (2024) ‘The Implementation of STP (Segmentation, Targeting and Positioning) in Determining Tourism Marketing Strategies (Studies on Kuno Kini Nanti in Trowulan, Mojokerto, East Java)’, </w:t>
      </w:r>
      <w:r w:rsidRPr="64C58D3E" w:rsidR="031F04F7">
        <w:rPr>
          <w:rFonts w:ascii="Arial" w:hAnsi="Arial" w:eastAsia="Arial" w:cs="Arial"/>
          <w:i w:val="1"/>
          <w:iCs w:val="1"/>
          <w:noProof w:val="0"/>
          <w:sz w:val="22"/>
          <w:szCs w:val="22"/>
          <w:lang w:val="en-GB"/>
        </w:rPr>
        <w:t>Wacana (Malang, Indonesia)</w:t>
      </w:r>
      <w:r w:rsidRPr="64C58D3E" w:rsidR="031F04F7">
        <w:rPr>
          <w:rFonts w:ascii="Arial" w:hAnsi="Arial" w:eastAsia="Arial" w:cs="Arial"/>
          <w:noProof w:val="0"/>
          <w:sz w:val="22"/>
          <w:szCs w:val="22"/>
          <w:lang w:val="en-GB"/>
        </w:rPr>
        <w:t xml:space="preserve">, 26(3), pp. 138–144. Available at: </w:t>
      </w:r>
      <w:hyperlink r:id="R5fdd9cf06db54cc5">
        <w:r w:rsidRPr="64C58D3E" w:rsidR="031F04F7">
          <w:rPr>
            <w:rStyle w:val="Hyperlink"/>
            <w:rFonts w:ascii="Arial" w:hAnsi="Arial" w:eastAsia="Arial" w:cs="Arial"/>
            <w:noProof w:val="0"/>
            <w:sz w:val="22"/>
            <w:szCs w:val="22"/>
            <w:lang w:val="en-GB"/>
          </w:rPr>
          <w:t>https://doi.org/10.21776/ub.wacana.2023.026.03.04</w:t>
        </w:r>
      </w:hyperlink>
      <w:r w:rsidRPr="64C58D3E" w:rsidR="031F04F7">
        <w:rPr>
          <w:rFonts w:ascii="Arial" w:hAnsi="Arial" w:eastAsia="Arial" w:cs="Arial"/>
          <w:noProof w:val="0"/>
          <w:sz w:val="22"/>
          <w:szCs w:val="22"/>
          <w:lang w:val="en-GB"/>
        </w:rPr>
        <w:t>.</w:t>
      </w:r>
    </w:p>
    <w:p w:rsidR="64C58D3E" w:rsidP="64C58D3E" w:rsidRDefault="64C58D3E" w14:paraId="69C75497" w14:textId="10266616">
      <w:pPr>
        <w:pStyle w:val="Normal"/>
        <w:rPr>
          <w:rFonts w:ascii="Arial" w:hAnsi="Arial" w:eastAsia="Arial" w:cs="Arial"/>
          <w:b w:val="0"/>
          <w:bCs w:val="0"/>
          <w:i w:val="0"/>
          <w:iCs w:val="0"/>
          <w:caps w:val="0"/>
          <w:smallCaps w:val="0"/>
          <w:noProof w:val="0"/>
          <w:color w:val="222222"/>
          <w:sz w:val="22"/>
          <w:szCs w:val="22"/>
          <w:lang w:val="en-GB"/>
        </w:rPr>
      </w:pPr>
    </w:p>
    <w:p w:rsidR="3C131F6A" w:rsidP="64C58D3E" w:rsidRDefault="3C131F6A" w14:paraId="5ECF82BF" w14:textId="236AE750">
      <w:pPr>
        <w:pStyle w:val="Normal"/>
        <w:rPr>
          <w:rFonts w:ascii="Arial" w:hAnsi="Arial" w:eastAsia="Arial" w:cs="Arial"/>
          <w:b w:val="0"/>
          <w:bCs w:val="0"/>
          <w:i w:val="0"/>
          <w:iCs w:val="0"/>
          <w:caps w:val="0"/>
          <w:smallCaps w:val="0"/>
          <w:noProof w:val="0"/>
          <w:color w:val="222222"/>
          <w:sz w:val="22"/>
          <w:szCs w:val="22"/>
          <w:lang w:val="en-GB"/>
        </w:rPr>
      </w:pPr>
      <w:r w:rsidRPr="64C58D3E" w:rsidR="5F79193C">
        <w:rPr>
          <w:rFonts w:ascii="Arial" w:hAnsi="Arial" w:eastAsia="Arial" w:cs="Arial"/>
          <w:b w:val="0"/>
          <w:bCs w:val="0"/>
          <w:i w:val="0"/>
          <w:iCs w:val="0"/>
          <w:caps w:val="0"/>
          <w:smallCaps w:val="0"/>
          <w:noProof w:val="0"/>
          <w:color w:val="222222"/>
          <w:sz w:val="22"/>
          <w:szCs w:val="22"/>
          <w:lang w:val="en-GB"/>
        </w:rPr>
        <w:t xml:space="preserve">Nishizaki, R., Lee, D.C.E. and Ramli, A.M., (2025) The influence of Coca-Cola brands on consumer purchases in the beverage market: Japan's perspective. </w:t>
      </w:r>
      <w:r w:rsidRPr="64C58D3E" w:rsidR="5F79193C">
        <w:rPr>
          <w:rFonts w:ascii="Arial" w:hAnsi="Arial" w:eastAsia="Arial" w:cs="Arial"/>
          <w:b w:val="0"/>
          <w:bCs w:val="0"/>
          <w:i w:val="1"/>
          <w:iCs w:val="1"/>
          <w:caps w:val="0"/>
          <w:smallCaps w:val="0"/>
          <w:noProof w:val="0"/>
          <w:color w:val="222222"/>
          <w:sz w:val="22"/>
          <w:szCs w:val="22"/>
          <w:lang w:val="en-GB"/>
        </w:rPr>
        <w:t>Jesselton</w:t>
      </w:r>
      <w:r w:rsidRPr="64C58D3E" w:rsidR="5F79193C">
        <w:rPr>
          <w:rFonts w:ascii="Arial" w:hAnsi="Arial" w:eastAsia="Arial" w:cs="Arial"/>
          <w:b w:val="0"/>
          <w:bCs w:val="0"/>
          <w:i w:val="1"/>
          <w:iCs w:val="1"/>
          <w:caps w:val="0"/>
          <w:smallCaps w:val="0"/>
          <w:noProof w:val="0"/>
          <w:color w:val="222222"/>
          <w:sz w:val="22"/>
          <w:szCs w:val="22"/>
          <w:lang w:val="en-GB"/>
        </w:rPr>
        <w:t xml:space="preserve"> Journal of Educators and Scholars</w:t>
      </w:r>
      <w:r w:rsidRPr="64C58D3E" w:rsidR="5F79193C">
        <w:rPr>
          <w:rFonts w:ascii="Arial" w:hAnsi="Arial" w:eastAsia="Arial" w:cs="Arial"/>
          <w:b w:val="0"/>
          <w:bCs w:val="0"/>
          <w:i w:val="0"/>
          <w:iCs w:val="0"/>
          <w:caps w:val="0"/>
          <w:smallCaps w:val="0"/>
          <w:noProof w:val="0"/>
          <w:color w:val="222222"/>
          <w:sz w:val="22"/>
          <w:szCs w:val="22"/>
          <w:lang w:val="en-GB"/>
        </w:rPr>
        <w:t xml:space="preserve">, </w:t>
      </w:r>
      <w:r w:rsidRPr="64C58D3E" w:rsidR="5F79193C">
        <w:rPr>
          <w:rFonts w:ascii="Arial" w:hAnsi="Arial" w:eastAsia="Arial" w:cs="Arial"/>
          <w:b w:val="0"/>
          <w:bCs w:val="0"/>
          <w:i w:val="1"/>
          <w:iCs w:val="1"/>
          <w:caps w:val="0"/>
          <w:smallCaps w:val="0"/>
          <w:noProof w:val="0"/>
          <w:color w:val="222222"/>
          <w:sz w:val="22"/>
          <w:szCs w:val="22"/>
          <w:lang w:val="en-GB"/>
        </w:rPr>
        <w:t>2</w:t>
      </w:r>
      <w:r w:rsidRPr="64C58D3E" w:rsidR="5F79193C">
        <w:rPr>
          <w:rFonts w:ascii="Arial" w:hAnsi="Arial" w:eastAsia="Arial" w:cs="Arial"/>
          <w:b w:val="0"/>
          <w:bCs w:val="0"/>
          <w:i w:val="0"/>
          <w:iCs w:val="0"/>
          <w:caps w:val="0"/>
          <w:smallCaps w:val="0"/>
          <w:noProof w:val="0"/>
          <w:color w:val="222222"/>
          <w:sz w:val="22"/>
          <w:szCs w:val="22"/>
          <w:lang w:val="en-GB"/>
        </w:rPr>
        <w:t>(1), pp.69-79.</w:t>
      </w:r>
    </w:p>
    <w:p w:rsidR="3EEC7787" w:rsidP="64C58D3E" w:rsidRDefault="3EEC7787" w14:paraId="5BA8A232" w14:textId="35503FE0">
      <w:pPr>
        <w:spacing w:before="0" w:beforeAutospacing="off" w:after="0" w:afterAutospacing="off"/>
        <w:rPr>
          <w:rFonts w:ascii="Arial" w:hAnsi="Arial" w:eastAsia="Arial" w:cs="Arial"/>
          <w:noProof w:val="0"/>
          <w:sz w:val="22"/>
          <w:szCs w:val="22"/>
          <w:lang w:val="en-GB"/>
        </w:rPr>
      </w:pPr>
      <w:r w:rsidRPr="64C58D3E" w:rsidR="48EA3BA3">
        <w:rPr>
          <w:rFonts w:ascii="Arial" w:hAnsi="Arial" w:eastAsia="Arial" w:cs="Arial"/>
          <w:noProof w:val="0"/>
          <w:sz w:val="22"/>
          <w:szCs w:val="22"/>
          <w:lang w:val="en-GB"/>
        </w:rPr>
        <w:t xml:space="preserve">Parsons, A.J.Q. and Gilmour, S. (2018) ‘An evaluation of fertility- and migration-based policy responses to Japan’s ageing population’, </w:t>
      </w:r>
      <w:r w:rsidRPr="64C58D3E" w:rsidR="48EA3BA3">
        <w:rPr>
          <w:rFonts w:ascii="Arial" w:hAnsi="Arial" w:eastAsia="Arial" w:cs="Arial"/>
          <w:i w:val="1"/>
          <w:iCs w:val="1"/>
          <w:noProof w:val="0"/>
          <w:sz w:val="22"/>
          <w:szCs w:val="22"/>
          <w:lang w:val="en-GB"/>
        </w:rPr>
        <w:t>PloS one</w:t>
      </w:r>
      <w:r w:rsidRPr="64C58D3E" w:rsidR="48EA3BA3">
        <w:rPr>
          <w:rFonts w:ascii="Arial" w:hAnsi="Arial" w:eastAsia="Arial" w:cs="Arial"/>
          <w:noProof w:val="0"/>
          <w:sz w:val="22"/>
          <w:szCs w:val="22"/>
          <w:lang w:val="en-GB"/>
        </w:rPr>
        <w:t xml:space="preserve">, 13(12), p. e0209285. Available at: </w:t>
      </w:r>
      <w:hyperlink r:id="Rfb3865c0427942c7">
        <w:r w:rsidRPr="64C58D3E" w:rsidR="48EA3BA3">
          <w:rPr>
            <w:rStyle w:val="Hyperlink"/>
            <w:rFonts w:ascii="Arial" w:hAnsi="Arial" w:eastAsia="Arial" w:cs="Arial"/>
            <w:noProof w:val="0"/>
            <w:sz w:val="22"/>
            <w:szCs w:val="22"/>
            <w:lang w:val="en-GB"/>
          </w:rPr>
          <w:t>https://doi.org/10.1371/journal.pone.0209285</w:t>
        </w:r>
      </w:hyperlink>
      <w:r w:rsidRPr="64C58D3E" w:rsidR="48EA3BA3">
        <w:rPr>
          <w:rFonts w:ascii="Arial" w:hAnsi="Arial" w:eastAsia="Arial" w:cs="Arial"/>
          <w:noProof w:val="0"/>
          <w:sz w:val="22"/>
          <w:szCs w:val="22"/>
          <w:lang w:val="en-GB"/>
        </w:rPr>
        <w:t>.</w:t>
      </w:r>
    </w:p>
    <w:p w:rsidR="63D1CEA7" w:rsidP="64C58D3E" w:rsidRDefault="63D1CEA7" w14:paraId="187B0A7C" w14:textId="60F3CFDD">
      <w:pPr>
        <w:pStyle w:val="Normal"/>
        <w:rPr>
          <w:rFonts w:ascii="Arial" w:hAnsi="Arial" w:eastAsia="Arial" w:cs="Arial"/>
          <w:b w:val="0"/>
          <w:bCs w:val="0"/>
          <w:i w:val="0"/>
          <w:iCs w:val="0"/>
          <w:caps w:val="0"/>
          <w:smallCaps w:val="0"/>
          <w:noProof w:val="0"/>
          <w:color w:val="222222"/>
          <w:sz w:val="22"/>
          <w:szCs w:val="22"/>
          <w:lang w:val="en-GB"/>
        </w:rPr>
      </w:pPr>
    </w:p>
    <w:p w:rsidR="4611A00A" w:rsidP="64C58D3E" w:rsidRDefault="4611A00A" w14:paraId="56D42DAD" w14:textId="77926613">
      <w:pPr>
        <w:spacing w:before="0" w:beforeAutospacing="off" w:after="0" w:afterAutospacing="off"/>
      </w:pPr>
      <w:r w:rsidRPr="64C58D3E" w:rsidR="4611A00A">
        <w:rPr>
          <w:rFonts w:ascii="Arial" w:hAnsi="Arial" w:eastAsia="Arial" w:cs="Arial"/>
          <w:noProof w:val="0"/>
          <w:sz w:val="22"/>
          <w:szCs w:val="22"/>
          <w:lang w:val="en-GB"/>
        </w:rPr>
        <w:t xml:space="preserve">Prewitt, M. (2007) ‘World of Coca-Cola takes an eco-friendly approach to growth’, </w:t>
      </w:r>
      <w:r w:rsidRPr="64C58D3E" w:rsidR="4611A00A">
        <w:rPr>
          <w:rFonts w:ascii="Arial" w:hAnsi="Arial" w:eastAsia="Arial" w:cs="Arial"/>
          <w:i w:val="1"/>
          <w:iCs w:val="1"/>
          <w:noProof w:val="0"/>
          <w:sz w:val="22"/>
          <w:szCs w:val="22"/>
          <w:lang w:val="en-GB"/>
        </w:rPr>
        <w:t>Nation’s Restaurant News</w:t>
      </w:r>
      <w:r w:rsidRPr="64C58D3E" w:rsidR="4611A00A">
        <w:rPr>
          <w:rFonts w:ascii="Arial" w:hAnsi="Arial" w:eastAsia="Arial" w:cs="Arial"/>
          <w:noProof w:val="0"/>
          <w:sz w:val="22"/>
          <w:szCs w:val="22"/>
          <w:lang w:val="en-GB"/>
        </w:rPr>
        <w:t>, 41(42), p. 92.</w:t>
      </w:r>
    </w:p>
    <w:p w:rsidR="64C58D3E" w:rsidP="64C58D3E" w:rsidRDefault="64C58D3E" w14:paraId="32990993" w14:textId="1B437B95">
      <w:pPr>
        <w:pStyle w:val="Normal"/>
        <w:rPr>
          <w:rFonts w:ascii="Arial" w:hAnsi="Arial" w:eastAsia="Arial" w:cs="Arial"/>
          <w:b w:val="0"/>
          <w:bCs w:val="0"/>
          <w:i w:val="0"/>
          <w:iCs w:val="0"/>
          <w:caps w:val="0"/>
          <w:smallCaps w:val="0"/>
          <w:noProof w:val="0"/>
          <w:color w:val="222222"/>
          <w:sz w:val="22"/>
          <w:szCs w:val="22"/>
          <w:lang w:val="en-GB"/>
        </w:rPr>
      </w:pPr>
    </w:p>
    <w:p w:rsidR="2F71154C" w:rsidP="63D1CEA7" w:rsidRDefault="2F71154C" w14:paraId="23AA341C" w14:textId="7FA8EDE7">
      <w:pPr>
        <w:spacing w:before="0" w:beforeAutospacing="off" w:after="0" w:afterAutospacing="off"/>
        <w:rPr>
          <w:rFonts w:ascii="Arial" w:hAnsi="Arial" w:eastAsia="Arial" w:cs="Arial"/>
          <w:noProof w:val="0"/>
          <w:sz w:val="22"/>
          <w:szCs w:val="22"/>
          <w:lang w:val="en-GB"/>
        </w:rPr>
      </w:pPr>
      <w:r w:rsidRPr="64C58D3E" w:rsidR="3B8E7819">
        <w:rPr>
          <w:rFonts w:ascii="Arial" w:hAnsi="Arial" w:eastAsia="Arial" w:cs="Arial"/>
          <w:noProof w:val="0"/>
          <w:sz w:val="22"/>
          <w:szCs w:val="22"/>
          <w:lang w:val="en-GB"/>
        </w:rPr>
        <w:t xml:space="preserve">Powell, D. and Gard, M. (2015) ‘The governmentality of childhood obesity: Coca-Cola, public health and primary schools’, </w:t>
      </w:r>
      <w:r w:rsidRPr="64C58D3E" w:rsidR="3B8E7819">
        <w:rPr>
          <w:rFonts w:ascii="Arial" w:hAnsi="Arial" w:eastAsia="Arial" w:cs="Arial"/>
          <w:i w:val="1"/>
          <w:iCs w:val="1"/>
          <w:noProof w:val="0"/>
          <w:sz w:val="22"/>
          <w:szCs w:val="22"/>
          <w:lang w:val="en-GB"/>
        </w:rPr>
        <w:t>Discourse (Abingdon, England)</w:t>
      </w:r>
      <w:r w:rsidRPr="64C58D3E" w:rsidR="3B8E7819">
        <w:rPr>
          <w:rFonts w:ascii="Arial" w:hAnsi="Arial" w:eastAsia="Arial" w:cs="Arial"/>
          <w:noProof w:val="0"/>
          <w:sz w:val="22"/>
          <w:szCs w:val="22"/>
          <w:lang w:val="en-GB"/>
        </w:rPr>
        <w:t xml:space="preserve">, 36(6), pp. 854–867. Available at: </w:t>
      </w:r>
      <w:hyperlink r:id="Rcf696016baba4067">
        <w:r w:rsidRPr="64C58D3E" w:rsidR="3B8E7819">
          <w:rPr>
            <w:rStyle w:val="Hyperlink"/>
            <w:rFonts w:ascii="Arial" w:hAnsi="Arial" w:eastAsia="Arial" w:cs="Arial"/>
            <w:noProof w:val="0"/>
            <w:sz w:val="22"/>
            <w:szCs w:val="22"/>
            <w:lang w:val="en-GB"/>
          </w:rPr>
          <w:t>https://doi.org/10.1080/01596306.2014.905045</w:t>
        </w:r>
      </w:hyperlink>
      <w:r w:rsidRPr="64C58D3E" w:rsidR="3B8E7819">
        <w:rPr>
          <w:rFonts w:ascii="Arial" w:hAnsi="Arial" w:eastAsia="Arial" w:cs="Arial"/>
          <w:noProof w:val="0"/>
          <w:sz w:val="22"/>
          <w:szCs w:val="22"/>
          <w:lang w:val="en-GB"/>
        </w:rPr>
        <w:t>.</w:t>
      </w:r>
    </w:p>
    <w:p w:rsidR="63D1CEA7" w:rsidP="64C58D3E" w:rsidRDefault="63D1CEA7" w14:paraId="715CDDA2" w14:textId="71E21792">
      <w:pPr>
        <w:pStyle w:val="Normal"/>
        <w:rPr>
          <w:rFonts w:ascii="Arial" w:hAnsi="Arial" w:eastAsia="Arial" w:cs="Arial"/>
          <w:b w:val="0"/>
          <w:bCs w:val="0"/>
          <w:i w:val="0"/>
          <w:iCs w:val="0"/>
          <w:caps w:val="0"/>
          <w:smallCaps w:val="0"/>
          <w:noProof w:val="0"/>
          <w:color w:val="222222"/>
          <w:sz w:val="22"/>
          <w:szCs w:val="22"/>
          <w:lang w:val="en-GB"/>
        </w:rPr>
      </w:pPr>
    </w:p>
    <w:p w:rsidR="610B0478" w:rsidP="64C58D3E" w:rsidRDefault="610B0478" w14:paraId="49C315B2" w14:textId="61BF0298">
      <w:pPr>
        <w:spacing w:before="0" w:beforeAutospacing="off" w:after="0" w:afterAutospacing="off"/>
        <w:rPr>
          <w:rFonts w:ascii="Arial" w:hAnsi="Arial" w:eastAsia="Arial" w:cs="Arial"/>
          <w:noProof w:val="0"/>
          <w:sz w:val="22"/>
          <w:szCs w:val="22"/>
          <w:lang w:val="en-GB"/>
        </w:rPr>
      </w:pPr>
      <w:r w:rsidRPr="64C58D3E" w:rsidR="2B82F09C">
        <w:rPr>
          <w:rFonts w:ascii="Arial" w:hAnsi="Arial" w:eastAsia="Arial" w:cs="Arial"/>
          <w:noProof w:val="0"/>
          <w:sz w:val="22"/>
          <w:szCs w:val="22"/>
          <w:lang w:val="en-GB"/>
        </w:rPr>
        <w:t xml:space="preserve">Roy, D. (2020) ‘Formulation of Hofstede’s Global Cultural Dimension Index (HGCDI): A cross-country study’, </w:t>
      </w:r>
      <w:r w:rsidRPr="64C58D3E" w:rsidR="2B82F09C">
        <w:rPr>
          <w:rFonts w:ascii="Arial" w:hAnsi="Arial" w:eastAsia="Arial" w:cs="Arial"/>
          <w:i w:val="1"/>
          <w:iCs w:val="1"/>
          <w:noProof w:val="0"/>
          <w:sz w:val="22"/>
          <w:szCs w:val="22"/>
          <w:lang w:val="en-GB"/>
        </w:rPr>
        <w:t>Journal of transnational management</w:t>
      </w:r>
      <w:r w:rsidRPr="64C58D3E" w:rsidR="2B82F09C">
        <w:rPr>
          <w:rFonts w:ascii="Arial" w:hAnsi="Arial" w:eastAsia="Arial" w:cs="Arial"/>
          <w:noProof w:val="0"/>
          <w:sz w:val="22"/>
          <w:szCs w:val="22"/>
          <w:lang w:val="en-GB"/>
        </w:rPr>
        <w:t xml:space="preserve">, 25(3), pp. 195–224. Available at: </w:t>
      </w:r>
      <w:hyperlink r:id="R9daa836511d44428">
        <w:r w:rsidRPr="64C58D3E" w:rsidR="2B82F09C">
          <w:rPr>
            <w:rStyle w:val="Hyperlink"/>
            <w:rFonts w:ascii="Arial" w:hAnsi="Arial" w:eastAsia="Arial" w:cs="Arial"/>
            <w:noProof w:val="0"/>
            <w:sz w:val="22"/>
            <w:szCs w:val="22"/>
            <w:lang w:val="en-GB"/>
          </w:rPr>
          <w:t>https://doi.org/10.1080/15475778.2020.1765715</w:t>
        </w:r>
      </w:hyperlink>
      <w:r w:rsidRPr="64C58D3E" w:rsidR="2B82F09C">
        <w:rPr>
          <w:rFonts w:ascii="Arial" w:hAnsi="Arial" w:eastAsia="Arial" w:cs="Arial"/>
          <w:noProof w:val="0"/>
          <w:sz w:val="22"/>
          <w:szCs w:val="22"/>
          <w:lang w:val="en-GB"/>
        </w:rPr>
        <w:t>.</w:t>
      </w:r>
    </w:p>
    <w:p w:rsidR="4B9DBE76" w:rsidP="64C58D3E" w:rsidRDefault="4B9DBE76" w14:paraId="068D1634" w14:textId="0953EDDD">
      <w:pPr>
        <w:pStyle w:val="Normal"/>
        <w:rPr>
          <w:rFonts w:ascii="Arial" w:hAnsi="Arial" w:eastAsia="Arial" w:cs="Arial"/>
          <w:b w:val="0"/>
          <w:bCs w:val="0"/>
          <w:i w:val="0"/>
          <w:iCs w:val="0"/>
          <w:caps w:val="0"/>
          <w:smallCaps w:val="0"/>
          <w:noProof w:val="0"/>
          <w:color w:val="222222"/>
          <w:sz w:val="22"/>
          <w:szCs w:val="22"/>
          <w:lang w:val="en-GB"/>
        </w:rPr>
      </w:pPr>
    </w:p>
    <w:p w:rsidR="34942F1E" w:rsidP="63D1CEA7" w:rsidRDefault="34942F1E" w14:paraId="63BF2413" w14:textId="03542F74">
      <w:pPr>
        <w:spacing w:before="0" w:beforeAutospacing="off" w:after="0" w:afterAutospacing="off"/>
        <w:rPr>
          <w:rFonts w:ascii="Arial" w:hAnsi="Arial" w:eastAsia="Arial" w:cs="Arial"/>
          <w:noProof w:val="0"/>
          <w:sz w:val="22"/>
          <w:szCs w:val="22"/>
          <w:lang w:val="en-GB"/>
        </w:rPr>
      </w:pPr>
      <w:r w:rsidRPr="64C58D3E" w:rsidR="7D3127F3">
        <w:rPr>
          <w:rFonts w:ascii="Arial" w:hAnsi="Arial" w:eastAsia="Arial" w:cs="Arial"/>
          <w:noProof w:val="0"/>
          <w:sz w:val="22"/>
          <w:szCs w:val="22"/>
          <w:lang w:val="en-GB"/>
        </w:rPr>
        <w:t xml:space="preserve">Sanchez-Porras, M.-J. (2013) ‘Music persuasion in audio-visual marketing. The example of Coca-Cola/La persuasion de la musica en la publicidad. el ejemplo Coca-Cola’, </w:t>
      </w:r>
      <w:r w:rsidRPr="64C58D3E" w:rsidR="7D3127F3">
        <w:rPr>
          <w:rFonts w:ascii="Arial" w:hAnsi="Arial" w:eastAsia="Arial" w:cs="Arial"/>
          <w:i w:val="1"/>
          <w:iCs w:val="1"/>
          <w:noProof w:val="0"/>
          <w:sz w:val="22"/>
          <w:szCs w:val="22"/>
          <w:lang w:val="en-GB"/>
        </w:rPr>
        <w:t>Historia y comunicación social</w:t>
      </w:r>
      <w:r w:rsidRPr="64C58D3E" w:rsidR="7D3127F3">
        <w:rPr>
          <w:rFonts w:ascii="Arial" w:hAnsi="Arial" w:eastAsia="Arial" w:cs="Arial"/>
          <w:noProof w:val="0"/>
          <w:sz w:val="22"/>
          <w:szCs w:val="22"/>
          <w:lang w:val="en-GB"/>
        </w:rPr>
        <w:t xml:space="preserve">, p. 349. Available at: </w:t>
      </w:r>
      <w:hyperlink r:id="R1eb31717c3e0470e">
        <w:r w:rsidRPr="64C58D3E" w:rsidR="7D3127F3">
          <w:rPr>
            <w:rStyle w:val="Hyperlink"/>
            <w:rFonts w:ascii="Arial" w:hAnsi="Arial" w:eastAsia="Arial" w:cs="Arial"/>
            <w:noProof w:val="0"/>
            <w:sz w:val="22"/>
            <w:szCs w:val="22"/>
            <w:lang w:val="en-GB"/>
          </w:rPr>
          <w:t>https://doi.org/10.5209/rev_HICS.2013.v18.44333</w:t>
        </w:r>
      </w:hyperlink>
      <w:r w:rsidRPr="64C58D3E" w:rsidR="7D3127F3">
        <w:rPr>
          <w:rFonts w:ascii="Arial" w:hAnsi="Arial" w:eastAsia="Arial" w:cs="Arial"/>
          <w:noProof w:val="0"/>
          <w:sz w:val="22"/>
          <w:szCs w:val="22"/>
          <w:lang w:val="en-GB"/>
        </w:rPr>
        <w:t>.</w:t>
      </w:r>
    </w:p>
    <w:p w:rsidR="1A7DCC75" w:rsidP="63D1CEA7" w:rsidRDefault="1A7DCC75" w14:paraId="13CFC87D" w14:textId="0BD8A12D">
      <w:pPr>
        <w:pStyle w:val="Normal"/>
        <w:spacing w:before="240" w:beforeAutospacing="off" w:after="240" w:afterAutospacing="off"/>
        <w:rPr>
          <w:rFonts w:ascii="Arial" w:hAnsi="Arial" w:eastAsia="Arial" w:cs="Arial"/>
          <w:noProof w:val="0"/>
          <w:sz w:val="22"/>
          <w:szCs w:val="22"/>
          <w:lang w:val="en-GB"/>
        </w:rPr>
      </w:pPr>
      <w:r w:rsidRPr="64C58D3E" w:rsidR="04979881">
        <w:rPr>
          <w:rFonts w:ascii="Arial" w:hAnsi="Arial" w:eastAsia="Arial" w:cs="Arial"/>
          <w:b w:val="0"/>
          <w:bCs w:val="0"/>
          <w:i w:val="0"/>
          <w:iCs w:val="0"/>
          <w:caps w:val="0"/>
          <w:smallCaps w:val="0"/>
          <w:noProof w:val="0"/>
          <w:color w:val="222222"/>
          <w:sz w:val="22"/>
          <w:szCs w:val="22"/>
          <w:lang w:val="en-GB"/>
        </w:rPr>
        <w:t xml:space="preserve">Sherman, M. and Weston, H., (2019) FIZZ FIGHT: HOW SODA TAXES AFFECT COCA-COLA’S BUSINESS STRATEGY. </w:t>
      </w:r>
      <w:r w:rsidRPr="64C58D3E" w:rsidR="04979881">
        <w:rPr>
          <w:rFonts w:ascii="Arial" w:hAnsi="Arial" w:eastAsia="Arial" w:cs="Arial"/>
          <w:b w:val="0"/>
          <w:bCs w:val="0"/>
          <w:i w:val="1"/>
          <w:iCs w:val="1"/>
          <w:caps w:val="0"/>
          <w:smallCaps w:val="0"/>
          <w:noProof w:val="0"/>
          <w:color w:val="222222"/>
          <w:sz w:val="22"/>
          <w:szCs w:val="22"/>
          <w:lang w:val="en-GB"/>
        </w:rPr>
        <w:t>Journal of Legal Studies in Business</w:t>
      </w:r>
      <w:r w:rsidRPr="64C58D3E" w:rsidR="04979881">
        <w:rPr>
          <w:rFonts w:ascii="Arial" w:hAnsi="Arial" w:eastAsia="Arial" w:cs="Arial"/>
          <w:b w:val="0"/>
          <w:bCs w:val="0"/>
          <w:i w:val="0"/>
          <w:iCs w:val="0"/>
          <w:caps w:val="0"/>
          <w:smallCaps w:val="0"/>
          <w:noProof w:val="0"/>
          <w:color w:val="222222"/>
          <w:sz w:val="22"/>
          <w:szCs w:val="22"/>
          <w:lang w:val="en-GB"/>
        </w:rPr>
        <w:t xml:space="preserve">, </w:t>
      </w:r>
      <w:r w:rsidRPr="64C58D3E" w:rsidR="04979881">
        <w:rPr>
          <w:rFonts w:ascii="Arial" w:hAnsi="Arial" w:eastAsia="Arial" w:cs="Arial"/>
          <w:b w:val="0"/>
          <w:bCs w:val="0"/>
          <w:i w:val="1"/>
          <w:iCs w:val="1"/>
          <w:caps w:val="0"/>
          <w:smallCaps w:val="0"/>
          <w:noProof w:val="0"/>
          <w:color w:val="222222"/>
          <w:sz w:val="22"/>
          <w:szCs w:val="22"/>
          <w:lang w:val="en-GB"/>
        </w:rPr>
        <w:t>22</w:t>
      </w:r>
      <w:r w:rsidRPr="64C58D3E" w:rsidR="04979881">
        <w:rPr>
          <w:rFonts w:ascii="Arial" w:hAnsi="Arial" w:eastAsia="Arial" w:cs="Arial"/>
          <w:b w:val="0"/>
          <w:bCs w:val="0"/>
          <w:i w:val="0"/>
          <w:iCs w:val="0"/>
          <w:caps w:val="0"/>
          <w:smallCaps w:val="0"/>
          <w:noProof w:val="0"/>
          <w:color w:val="222222"/>
          <w:sz w:val="22"/>
          <w:szCs w:val="22"/>
          <w:lang w:val="en-GB"/>
        </w:rPr>
        <w:t>, p.31.</w:t>
      </w:r>
    </w:p>
    <w:p w:rsidR="00D5D12F" w:rsidP="64C58D3E" w:rsidRDefault="00D5D12F" w14:paraId="6C94956B" w14:textId="2BDB8692">
      <w:pPr>
        <w:spacing w:before="0" w:beforeAutospacing="off" w:after="0" w:afterAutospacing="off"/>
      </w:pPr>
      <w:r w:rsidRPr="64C58D3E" w:rsidR="00D5D12F">
        <w:rPr>
          <w:rFonts w:ascii="Arial" w:hAnsi="Arial" w:eastAsia="Arial" w:cs="Arial"/>
          <w:noProof w:val="0"/>
          <w:sz w:val="22"/>
          <w:szCs w:val="22"/>
          <w:lang w:val="en-GB"/>
        </w:rPr>
        <w:t xml:space="preserve">Sohaib, </w:t>
      </w:r>
      <w:r w:rsidRPr="64C58D3E" w:rsidR="00D5D12F">
        <w:rPr>
          <w:rFonts w:ascii="Arial" w:hAnsi="Arial" w:eastAsia="Arial" w:cs="Arial"/>
          <w:noProof w:val="0"/>
          <w:sz w:val="22"/>
          <w:szCs w:val="22"/>
          <w:lang w:val="en-GB"/>
        </w:rPr>
        <w:t>O.</w:t>
      </w:r>
      <w:r w:rsidRPr="64C58D3E" w:rsidR="00D5D12F">
        <w:rPr>
          <w:rFonts w:ascii="Arial" w:hAnsi="Arial" w:eastAsia="Arial" w:cs="Arial"/>
          <w:noProof w:val="0"/>
          <w:sz w:val="22"/>
          <w:szCs w:val="22"/>
          <w:lang w:val="en-GB"/>
        </w:rPr>
        <w:t xml:space="preserve"> and Kang, K. (2014) ‘Cultural aspects of Business-to-Consumer (B2C) e-commerce: a comparative analysis of Pakistan and Australia’, </w:t>
      </w:r>
      <w:r w:rsidRPr="64C58D3E" w:rsidR="00D5D12F">
        <w:rPr>
          <w:rFonts w:ascii="Arial" w:hAnsi="Arial" w:eastAsia="Arial" w:cs="Arial"/>
          <w:i w:val="1"/>
          <w:iCs w:val="1"/>
          <w:noProof w:val="0"/>
          <w:sz w:val="22"/>
          <w:szCs w:val="22"/>
          <w:lang w:val="en-GB"/>
        </w:rPr>
        <w:t>The Electronic journal of information systems in developing countries</w:t>
      </w:r>
      <w:r w:rsidRPr="64C58D3E" w:rsidR="00D5D12F">
        <w:rPr>
          <w:rFonts w:ascii="Arial" w:hAnsi="Arial" w:eastAsia="Arial" w:cs="Arial"/>
          <w:noProof w:val="0"/>
          <w:sz w:val="22"/>
          <w:szCs w:val="22"/>
          <w:lang w:val="en-GB"/>
        </w:rPr>
        <w:t>, 61, pp. 36–54.</w:t>
      </w:r>
    </w:p>
    <w:p w:rsidR="6B0F1096" w:rsidP="63D1CEA7" w:rsidRDefault="6B0F1096" w14:paraId="08A4CD07" w14:textId="430963E7">
      <w:pPr>
        <w:pStyle w:val="Normal"/>
        <w:spacing w:before="240" w:beforeAutospacing="off" w:after="240" w:afterAutospacing="off"/>
        <w:rPr>
          <w:rFonts w:ascii="Arial" w:hAnsi="Arial" w:eastAsia="Arial" w:cs="Arial"/>
          <w:sz w:val="22"/>
          <w:szCs w:val="22"/>
        </w:rPr>
      </w:pPr>
      <w:r w:rsidRPr="64C58D3E" w:rsidR="249A858B">
        <w:rPr>
          <w:rFonts w:ascii="Arial" w:hAnsi="Arial" w:eastAsia="Arial" w:cs="Arial"/>
          <w:sz w:val="22"/>
          <w:szCs w:val="22"/>
        </w:rPr>
        <w:t xml:space="preserve">The Coca-Cola Company (2022) </w:t>
      </w:r>
      <w:r w:rsidRPr="64C58D3E" w:rsidR="249A858B">
        <w:rPr>
          <w:rFonts w:ascii="Arial" w:hAnsi="Arial" w:eastAsia="Arial" w:cs="Arial"/>
          <w:i w:val="1"/>
          <w:iCs w:val="1"/>
          <w:sz w:val="22"/>
          <w:szCs w:val="22"/>
        </w:rPr>
        <w:t>Annual and Sustainability Report 2022.</w:t>
      </w:r>
      <w:r w:rsidRPr="64C58D3E" w:rsidR="249A858B">
        <w:rPr>
          <w:rFonts w:ascii="Arial" w:hAnsi="Arial" w:eastAsia="Arial" w:cs="Arial"/>
          <w:sz w:val="22"/>
          <w:szCs w:val="22"/>
        </w:rPr>
        <w:t xml:space="preserve"> Atlanta, GA: The Coca-Cola Company. Available at: </w:t>
      </w:r>
      <w:hyperlink r:id="R15e2ae40097f4e12">
        <w:r w:rsidRPr="64C58D3E" w:rsidR="249A858B">
          <w:rPr>
            <w:rStyle w:val="Hyperlink"/>
            <w:rFonts w:ascii="Arial" w:hAnsi="Arial" w:eastAsia="Arial" w:cs="Arial"/>
            <w:sz w:val="22"/>
            <w:szCs w:val="22"/>
          </w:rPr>
          <w:t>https://investors.coca-colacompany.com/_assets/_5d566b95468a98d8898ba92b8d10c49a/cocacolacompany/db/892/10421/annual_report/coca-cola-business-and-sustainability-report-2022.pdf</w:t>
        </w:r>
      </w:hyperlink>
      <w:r w:rsidRPr="64C58D3E" w:rsidR="249A858B">
        <w:rPr>
          <w:rFonts w:ascii="Arial" w:hAnsi="Arial" w:eastAsia="Arial" w:cs="Arial"/>
          <w:sz w:val="22"/>
          <w:szCs w:val="22"/>
        </w:rPr>
        <w:t xml:space="preserve"> (Accessed 30/10/2025)</w:t>
      </w:r>
    </w:p>
    <w:p w:rsidR="0D2BA43F" w:rsidP="64C58D3E" w:rsidRDefault="0D2BA43F" w14:paraId="768E732C" w14:textId="38D3FCED">
      <w:pPr>
        <w:spacing w:before="0" w:beforeAutospacing="off" w:after="0" w:afterAutospacing="off"/>
      </w:pPr>
      <w:r w:rsidRPr="64C58D3E" w:rsidR="0D2BA43F">
        <w:rPr>
          <w:rFonts w:ascii="Arial" w:hAnsi="Arial" w:eastAsia="Arial" w:cs="Arial"/>
          <w:noProof w:val="0"/>
          <w:sz w:val="22"/>
          <w:szCs w:val="22"/>
          <w:lang w:val="en-GB"/>
        </w:rPr>
        <w:t xml:space="preserve">Todd, H. (2003) ‘Qoo conquers Asia...and heads west’, </w:t>
      </w:r>
      <w:r w:rsidRPr="64C58D3E" w:rsidR="0D2BA43F">
        <w:rPr>
          <w:rFonts w:ascii="Arial" w:hAnsi="Arial" w:eastAsia="Arial" w:cs="Arial"/>
          <w:i w:val="1"/>
          <w:iCs w:val="1"/>
          <w:noProof w:val="0"/>
          <w:sz w:val="22"/>
          <w:szCs w:val="22"/>
          <w:lang w:val="en-GB"/>
        </w:rPr>
        <w:t>Beverage World</w:t>
      </w:r>
      <w:r w:rsidRPr="64C58D3E" w:rsidR="0D2BA43F">
        <w:rPr>
          <w:rFonts w:ascii="Arial" w:hAnsi="Arial" w:eastAsia="Arial" w:cs="Arial"/>
          <w:noProof w:val="0"/>
          <w:sz w:val="22"/>
          <w:szCs w:val="22"/>
          <w:lang w:val="en-GB"/>
        </w:rPr>
        <w:t>, 122(1724), p. 28.</w:t>
      </w:r>
      <w:r w:rsidRPr="64C58D3E" w:rsidR="0D2BA43F">
        <w:rPr>
          <w:rFonts w:ascii="Arial" w:hAnsi="Arial" w:eastAsia="Arial" w:cs="Arial"/>
          <w:sz w:val="22"/>
          <w:szCs w:val="22"/>
        </w:rPr>
        <w:t xml:space="preserve"> </w:t>
      </w:r>
    </w:p>
    <w:p w:rsidR="4273C407" w:rsidP="64C58D3E" w:rsidRDefault="4273C407" w14:paraId="4F7792CF" w14:textId="0BF9C3DB">
      <w:pPr>
        <w:pStyle w:val="Normal"/>
        <w:spacing w:before="240" w:beforeAutospacing="off" w:after="240" w:afterAutospacing="off"/>
        <w:rPr>
          <w:rFonts w:ascii="Arial" w:hAnsi="Arial" w:eastAsia="Arial" w:cs="Arial"/>
          <w:sz w:val="22"/>
          <w:szCs w:val="22"/>
        </w:rPr>
      </w:pPr>
      <w:r w:rsidRPr="64C58D3E" w:rsidR="4273C407">
        <w:rPr>
          <w:rFonts w:ascii="Arial" w:hAnsi="Arial" w:eastAsia="Arial" w:cs="Arial"/>
          <w:sz w:val="22"/>
          <w:szCs w:val="22"/>
        </w:rPr>
        <w:t>https://geerthofstede.com/culture-geert-hofstede-gert-jan-hofstede/6d-model-of-national-culture/</w:t>
      </w:r>
    </w:p>
    <w:p w:rsidR="66AE7286" w:rsidP="64C58D3E" w:rsidRDefault="66AE7286" w14:paraId="0F997BF6" w14:textId="35FA22C4">
      <w:pPr>
        <w:pStyle w:val="Normal"/>
        <w:spacing w:before="240" w:beforeAutospacing="off" w:after="240" w:afterAutospacing="off"/>
        <w:rPr>
          <w:rFonts w:ascii="Arial" w:hAnsi="Arial" w:eastAsia="Arial" w:cs="Arial"/>
          <w:sz w:val="22"/>
          <w:szCs w:val="22"/>
        </w:rPr>
      </w:pPr>
      <w:hyperlink r:id="Rccdf59afa7db44da">
        <w:r w:rsidRPr="64C58D3E" w:rsidR="66AE7286">
          <w:rPr>
            <w:rStyle w:val="Hyperlink"/>
            <w:rFonts w:ascii="Arial" w:hAnsi="Arial" w:eastAsia="Arial" w:cs="Arial"/>
            <w:sz w:val="22"/>
            <w:szCs w:val="22"/>
          </w:rPr>
          <w:t>https://www.coca-cola.com/us/en</w:t>
        </w:r>
      </w:hyperlink>
    </w:p>
    <w:p w:rsidR="1E999D71" w:rsidP="64C58D3E" w:rsidRDefault="1E999D71" w14:paraId="457D6BBA" w14:textId="5023C43A">
      <w:pPr>
        <w:pStyle w:val="Normal"/>
        <w:spacing w:before="240" w:beforeAutospacing="off" w:after="240" w:afterAutospacing="off"/>
        <w:rPr>
          <w:rFonts w:ascii="Arial" w:hAnsi="Arial" w:eastAsia="Arial" w:cs="Arial"/>
          <w:sz w:val="22"/>
          <w:szCs w:val="22"/>
        </w:rPr>
      </w:pPr>
      <w:hyperlink r:id="R3f036e6772034619">
        <w:r w:rsidRPr="64C58D3E" w:rsidR="1E999D71">
          <w:rPr>
            <w:rStyle w:val="Hyperlink"/>
            <w:rFonts w:ascii="Arial" w:hAnsi="Arial" w:eastAsia="Arial" w:cs="Arial"/>
            <w:sz w:val="22"/>
            <w:szCs w:val="22"/>
          </w:rPr>
          <w:t>https://www.coca-cola.com/jp/ja</w:t>
        </w:r>
      </w:hyperlink>
    </w:p>
    <w:p w:rsidR="3F19A348" w:rsidP="64C58D3E" w:rsidRDefault="3F19A348" w14:paraId="314410CF" w14:textId="7C10C1CA">
      <w:pPr>
        <w:pStyle w:val="Normal"/>
        <w:spacing w:before="240" w:beforeAutospacing="off" w:after="240" w:afterAutospacing="off"/>
        <w:rPr>
          <w:rFonts w:ascii="Arial" w:hAnsi="Arial" w:eastAsia="Arial" w:cs="Arial"/>
          <w:noProof w:val="0"/>
          <w:sz w:val="22"/>
          <w:szCs w:val="22"/>
          <w:lang w:val="en-GB"/>
        </w:rPr>
      </w:pPr>
      <w:r w:rsidRPr="64C58D3E" w:rsidR="3F19A348">
        <w:rPr>
          <w:rFonts w:ascii="Arial" w:hAnsi="Arial" w:eastAsia="Arial" w:cs="Arial"/>
          <w:noProof w:val="0"/>
          <w:sz w:val="22"/>
          <w:szCs w:val="22"/>
          <w:lang w:val="en-GB"/>
        </w:rPr>
        <w:t xml:space="preserve">The Culture Factor (2025) </w:t>
      </w:r>
      <w:hyperlink r:id="R3f6a4bb13f92463d">
        <w:r w:rsidRPr="64C58D3E" w:rsidR="3F19A348">
          <w:rPr>
            <w:rStyle w:val="Hyperlink"/>
            <w:rFonts w:ascii="Arial" w:hAnsi="Arial" w:eastAsia="Arial" w:cs="Arial"/>
            <w:noProof w:val="0"/>
            <w:sz w:val="22"/>
            <w:szCs w:val="22"/>
            <w:lang w:val="en-GB"/>
          </w:rPr>
          <w:t>https://www.theculturefactor.com/country-comparison-tool?countries=japan%2Cunited+states</w:t>
        </w:r>
      </w:hyperlink>
      <w:r w:rsidRPr="64C58D3E" w:rsidR="3F19A348">
        <w:rPr>
          <w:rFonts w:ascii="Arial" w:hAnsi="Arial" w:eastAsia="Arial" w:cs="Arial"/>
          <w:noProof w:val="0"/>
          <w:sz w:val="22"/>
          <w:szCs w:val="22"/>
          <w:lang w:val="en-GB"/>
        </w:rPr>
        <w:t xml:space="preserve"> </w:t>
      </w:r>
    </w:p>
    <w:p w:rsidR="18F6E69A" w:rsidP="64C58D3E" w:rsidRDefault="18F6E69A" w14:paraId="17C39B90" w14:textId="237E83BC">
      <w:pPr>
        <w:spacing w:before="0" w:beforeAutospacing="off" w:after="0" w:afterAutospacing="off"/>
      </w:pPr>
      <w:r w:rsidRPr="64C58D3E" w:rsidR="18F6E69A">
        <w:rPr>
          <w:rFonts w:ascii="Arial" w:hAnsi="Arial" w:eastAsia="Arial" w:cs="Arial"/>
          <w:noProof w:val="0"/>
          <w:sz w:val="22"/>
          <w:szCs w:val="22"/>
          <w:lang w:val="en-GB"/>
        </w:rPr>
        <w:t xml:space="preserve">Vandenberg, J. (2024) ‘Plastic Politics of Delay: How Political Corporate Social Responsibility Discourses Produce and Reinforce Inequality in Plastic Waste Governance’, </w:t>
      </w:r>
      <w:r w:rsidRPr="64C58D3E" w:rsidR="18F6E69A">
        <w:rPr>
          <w:rFonts w:ascii="Arial" w:hAnsi="Arial" w:eastAsia="Arial" w:cs="Arial"/>
          <w:i w:val="1"/>
          <w:iCs w:val="1"/>
          <w:noProof w:val="0"/>
          <w:sz w:val="22"/>
          <w:szCs w:val="22"/>
          <w:lang w:val="en-GB"/>
        </w:rPr>
        <w:t>Global environmental politics</w:t>
      </w:r>
      <w:r w:rsidRPr="64C58D3E" w:rsidR="18F6E69A">
        <w:rPr>
          <w:rFonts w:ascii="Arial" w:hAnsi="Arial" w:eastAsia="Arial" w:cs="Arial"/>
          <w:noProof w:val="0"/>
          <w:sz w:val="22"/>
          <w:szCs w:val="22"/>
          <w:lang w:val="en-GB"/>
        </w:rPr>
        <w:t xml:space="preserve">, 24(2), pp. 122–145. Available at: </w:t>
      </w:r>
      <w:hyperlink r:id="Rb4b15e01181045bb">
        <w:r w:rsidRPr="64C58D3E" w:rsidR="18F6E69A">
          <w:rPr>
            <w:rStyle w:val="Hyperlink"/>
            <w:rFonts w:ascii="Arial" w:hAnsi="Arial" w:eastAsia="Arial" w:cs="Arial"/>
            <w:noProof w:val="0"/>
            <w:sz w:val="22"/>
            <w:szCs w:val="22"/>
            <w:lang w:val="en-GB"/>
          </w:rPr>
          <w:t>https://doi.org/10.1162/glep_a_00745</w:t>
        </w:r>
      </w:hyperlink>
      <w:r w:rsidRPr="64C58D3E" w:rsidR="18F6E69A">
        <w:rPr>
          <w:rFonts w:ascii="Arial" w:hAnsi="Arial" w:eastAsia="Arial" w:cs="Arial"/>
          <w:noProof w:val="0"/>
          <w:sz w:val="22"/>
          <w:szCs w:val="22"/>
          <w:lang w:val="en-GB"/>
        </w:rPr>
        <w:t>.</w:t>
      </w:r>
    </w:p>
    <w:p w:rsidR="64C58D3E" w:rsidP="64C58D3E" w:rsidRDefault="64C58D3E" w14:paraId="68C7479B" w14:textId="28F634C0">
      <w:pPr>
        <w:spacing w:before="0" w:beforeAutospacing="off" w:after="0" w:afterAutospacing="off"/>
        <w:rPr>
          <w:rFonts w:ascii="Arial" w:hAnsi="Arial" w:eastAsia="Arial" w:cs="Arial"/>
          <w:noProof w:val="0"/>
          <w:sz w:val="22"/>
          <w:szCs w:val="22"/>
          <w:lang w:val="en-GB"/>
        </w:rPr>
      </w:pPr>
    </w:p>
    <w:p w:rsidR="21FB3AA6" w:rsidP="64C58D3E" w:rsidRDefault="21FB3AA6" w14:paraId="0E3B1B19" w14:textId="2F990564">
      <w:pPr>
        <w:spacing w:before="0" w:beforeAutospacing="off" w:after="0" w:afterAutospacing="off"/>
      </w:pPr>
      <w:r w:rsidRPr="64C58D3E" w:rsidR="21FB3AA6">
        <w:rPr>
          <w:rFonts w:ascii="Arial" w:hAnsi="Arial" w:eastAsia="Arial" w:cs="Arial"/>
          <w:noProof w:val="0"/>
          <w:sz w:val="22"/>
          <w:szCs w:val="22"/>
          <w:lang w:val="en-GB"/>
        </w:rPr>
        <w:t xml:space="preserve">Wood, B., Ruskin, G. and Sacks, G. (2019) ‘Targeting Children and Their Mothers, Building Allies and Marginalising Opposition: An Analysis of Two Coca-Cola Public Relations Requests for Proposals’, </w:t>
      </w:r>
      <w:r w:rsidRPr="64C58D3E" w:rsidR="21FB3AA6">
        <w:rPr>
          <w:rFonts w:ascii="Arial" w:hAnsi="Arial" w:eastAsia="Arial" w:cs="Arial"/>
          <w:i w:val="1"/>
          <w:iCs w:val="1"/>
          <w:noProof w:val="0"/>
          <w:sz w:val="22"/>
          <w:szCs w:val="22"/>
          <w:lang w:val="en-GB"/>
        </w:rPr>
        <w:t>International journal of environmental research and public health</w:t>
      </w:r>
      <w:r w:rsidRPr="64C58D3E" w:rsidR="21FB3AA6">
        <w:rPr>
          <w:rFonts w:ascii="Arial" w:hAnsi="Arial" w:eastAsia="Arial" w:cs="Arial"/>
          <w:noProof w:val="0"/>
          <w:sz w:val="22"/>
          <w:szCs w:val="22"/>
          <w:lang w:val="en-GB"/>
        </w:rPr>
        <w:t xml:space="preserve">, 17(1), p. 12. Available at: </w:t>
      </w:r>
      <w:hyperlink r:id="Raf7cf2cefe4d462d">
        <w:r w:rsidRPr="64C58D3E" w:rsidR="21FB3AA6">
          <w:rPr>
            <w:rStyle w:val="Hyperlink"/>
            <w:rFonts w:ascii="Arial" w:hAnsi="Arial" w:eastAsia="Arial" w:cs="Arial"/>
            <w:noProof w:val="0"/>
            <w:sz w:val="22"/>
            <w:szCs w:val="22"/>
            <w:lang w:val="en-GB"/>
          </w:rPr>
          <w:t>https://doi.org/10.3390/ijerph17010012</w:t>
        </w:r>
      </w:hyperlink>
      <w:r w:rsidRPr="64C58D3E" w:rsidR="21FB3AA6">
        <w:rPr>
          <w:rFonts w:ascii="Arial" w:hAnsi="Arial" w:eastAsia="Arial" w:cs="Arial"/>
          <w:noProof w:val="0"/>
          <w:sz w:val="22"/>
          <w:szCs w:val="22"/>
          <w:lang w:val="en-GB"/>
        </w:rPr>
        <w:t>.</w:t>
      </w:r>
    </w:p>
    <w:p w:rsidR="64C58D3E" w:rsidP="64C58D3E" w:rsidRDefault="64C58D3E" w14:paraId="6C8DD7AB" w14:textId="02F05C37">
      <w:pPr>
        <w:spacing w:before="0" w:beforeAutospacing="off" w:after="0" w:afterAutospacing="off"/>
        <w:rPr>
          <w:rFonts w:ascii="Arial" w:hAnsi="Arial" w:eastAsia="Arial" w:cs="Arial"/>
          <w:noProof w:val="0"/>
          <w:sz w:val="22"/>
          <w:szCs w:val="22"/>
          <w:lang w:val="en-GB"/>
        </w:rPr>
      </w:pPr>
    </w:p>
    <w:p w:rsidR="64C58D3E" w:rsidP="64C58D3E" w:rsidRDefault="64C58D3E" w14:paraId="036DBF8D" w14:textId="68FFEC46">
      <w:pPr>
        <w:pStyle w:val="Normal"/>
        <w:spacing w:before="240" w:beforeAutospacing="off" w:after="240" w:afterAutospacing="off"/>
        <w:rPr>
          <w:rFonts w:ascii="Arial" w:hAnsi="Arial" w:eastAsia="Arial" w:cs="Arial"/>
          <w:sz w:val="22"/>
          <w:szCs w:val="22"/>
        </w:rPr>
      </w:pPr>
    </w:p>
    <w:p w:rsidR="63D1CEA7" w:rsidP="63D1CEA7" w:rsidRDefault="63D1CEA7" w14:paraId="535C34D8" w14:textId="28003A6A">
      <w:pPr>
        <w:pStyle w:val="Normal"/>
        <w:spacing w:before="240" w:beforeAutospacing="off" w:after="240" w:afterAutospacing="off"/>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IazhdNy7nm2qcZ" int2:id="ncGW4jdu">
      <int2:state int2:type="spell" int2:value="Rejected"/>
    </int2:textHash>
    <int2:textHash int2:hashCode="xd90nACpSI88Dy" int2:id="fkhMrQKc">
      <int2:state int2:type="spell" int2:value="Rejected"/>
    </int2:textHash>
    <int2:textHash int2:hashCode="yS3WtrINWFU4oZ" int2:id="9RTcgVYR">
      <int2:state int2:type="spell" int2:value="Rejected"/>
    </int2:textHash>
    <int2:textHash int2:hashCode="hgtIKGFd1RnKWE" int2:id="Zlg8fjf0">
      <int2:state int2:type="spell" int2:value="Rejected"/>
    </int2:textHash>
    <int2:textHash int2:hashCode="psBb1dV5ZQvbXy" int2:id="wnBzLLNy">
      <int2:state int2:type="spell" int2:value="Rejected"/>
    </int2:textHash>
    <int2:textHash int2:hashCode="Tx6k8J2yqq+wqS" int2:id="iKYJcfAX">
      <int2:state int2:type="spell" int2:value="Rejected"/>
    </int2:textHash>
    <int2:textHash int2:hashCode="cB59fhxJMCX8Fb" int2:id="Z7DvEX7w">
      <int2:state int2:type="spell" int2:value="Rejected"/>
    </int2:textHash>
    <int2:textHash int2:hashCode="CUsP4OMChUrxMR" int2:id="ZpwNyAfY">
      <int2:state int2:type="spell" int2:value="Rejected"/>
    </int2:textHash>
    <int2:textHash int2:hashCode="TaUNCpEh0sOBot" int2:id="ve7NtXgV">
      <int2:state int2:type="spell" int2:value="Rejected"/>
    </int2:textHash>
    <int2:textHash int2:hashCode="3VvLOxVRxa3IQ9" int2:id="z0jGiHfX">
      <int2:state int2:type="spell" int2:value="Rejected"/>
    </int2:textHash>
    <int2:textHash int2:hashCode="8Wi5/hfMyKF4/P" int2:id="u8mEYbyg">
      <int2:state int2:type="spell" int2:value="Rejected"/>
    </int2:textHash>
    <int2:textHash int2:hashCode="/lMBSF2f0ixbYa" int2:id="0V6Gf4iR">
      <int2:state int2:type="spell" int2:value="Rejected"/>
    </int2:textHash>
    <int2:textHash int2:hashCode="JYzbjxSmvNRP5y" int2:id="egwsoTp5">
      <int2:state int2:type="spell" int2:value="Rejected"/>
    </int2:textHash>
    <int2:textHash int2:hashCode="3ry3aCktRE6m7e" int2:id="z8FLGW8l">
      <int2:state int2:type="spell" int2:value="Rejected"/>
    </int2:textHash>
    <int2:textHash int2:hashCode="XX2OhRp0Uo+gRH" int2:id="0eHXODMn">
      <int2:state int2:type="spell" int2:value="Rejected"/>
    </int2:textHash>
    <int2:textHash int2:hashCode="uSL+GNxV2WHlka" int2:id="sOxVW8Ik">
      <int2:state int2:type="spell" int2:value="Rejected"/>
    </int2:textHash>
    <int2:textHash int2:hashCode="HU1OIDxCdp27Jh" int2:id="jk85O3Or">
      <int2:state int2:type="spell" int2:value="Rejected"/>
    </int2:textHash>
    <int2:textHash int2:hashCode="674RfYfX9Ac480" int2:id="BTcMCfEr">
      <int2:state int2:type="spell" int2:value="Rejected"/>
    </int2:textHash>
    <int2:textHash int2:hashCode="LssKARZiRNgEah" int2:id="kDuZzWOm">
      <int2:state int2:type="spell" int2:value="Rejected"/>
    </int2:textHash>
    <int2:textHash int2:hashCode="gJ97e4ZsBXjTVm" int2:id="nopAXvVS">
      <int2:state int2:type="spell" int2:value="Rejected"/>
    </int2:textHash>
    <int2:textHash int2:hashCode="8wmv4re7ZYJrRH" int2:id="3W5ntZCI">
      <int2:state int2:type="spell" int2:value="Rejected"/>
    </int2:textHash>
    <int2:bookmark int2:bookmarkName="_Int_1Ujjb89S" int2:invalidationBookmarkName="" int2:hashCode="woZxTh2c/kYCYd" int2:id="EbYeQre4">
      <int2:state int2:type="spell" int2:value="Rejected"/>
    </int2:bookmark>
    <int2:bookmark int2:bookmarkName="_Int_2WMcuyuW" int2:invalidationBookmarkName="" int2:hashCode="1wvXvcZNNvM3vk" int2:id="8kaz5CRn">
      <int2:state int2:type="styl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54D6C5"/>
    <w:rsid w:val="00107F3B"/>
    <w:rsid w:val="0089714D"/>
    <w:rsid w:val="00A43FFE"/>
    <w:rsid w:val="00AF7691"/>
    <w:rsid w:val="00D5D12F"/>
    <w:rsid w:val="015BC053"/>
    <w:rsid w:val="0171456B"/>
    <w:rsid w:val="019ADF90"/>
    <w:rsid w:val="01B4C951"/>
    <w:rsid w:val="0215C3FD"/>
    <w:rsid w:val="02676ADF"/>
    <w:rsid w:val="0292B2A9"/>
    <w:rsid w:val="02A87A90"/>
    <w:rsid w:val="02AB422F"/>
    <w:rsid w:val="02D2D2A7"/>
    <w:rsid w:val="02F2064F"/>
    <w:rsid w:val="03168AC7"/>
    <w:rsid w:val="0319962B"/>
    <w:rsid w:val="0319962B"/>
    <w:rsid w:val="031F04F7"/>
    <w:rsid w:val="0347BD1F"/>
    <w:rsid w:val="0363D440"/>
    <w:rsid w:val="03AC9DA2"/>
    <w:rsid w:val="03C409EC"/>
    <w:rsid w:val="04319366"/>
    <w:rsid w:val="045D23CB"/>
    <w:rsid w:val="04979881"/>
    <w:rsid w:val="04983A98"/>
    <w:rsid w:val="04AFEBCA"/>
    <w:rsid w:val="04B4A455"/>
    <w:rsid w:val="04B8EA73"/>
    <w:rsid w:val="04DE5AEB"/>
    <w:rsid w:val="04F1AE45"/>
    <w:rsid w:val="04F3E798"/>
    <w:rsid w:val="057AEFC9"/>
    <w:rsid w:val="062DEC03"/>
    <w:rsid w:val="067C6A51"/>
    <w:rsid w:val="0685FB87"/>
    <w:rsid w:val="06AD9E4C"/>
    <w:rsid w:val="06E7000C"/>
    <w:rsid w:val="072C3F42"/>
    <w:rsid w:val="073C0478"/>
    <w:rsid w:val="074D25E8"/>
    <w:rsid w:val="07610A20"/>
    <w:rsid w:val="077AFB60"/>
    <w:rsid w:val="07862817"/>
    <w:rsid w:val="07DD1E77"/>
    <w:rsid w:val="08287693"/>
    <w:rsid w:val="08578AB4"/>
    <w:rsid w:val="085DA7F7"/>
    <w:rsid w:val="08D6E148"/>
    <w:rsid w:val="0951A6DA"/>
    <w:rsid w:val="09ABB77E"/>
    <w:rsid w:val="09C70C73"/>
    <w:rsid w:val="0A237F51"/>
    <w:rsid w:val="0A2BEE2F"/>
    <w:rsid w:val="0A303AB0"/>
    <w:rsid w:val="0A34DA31"/>
    <w:rsid w:val="0A480BB9"/>
    <w:rsid w:val="0A6A5B7D"/>
    <w:rsid w:val="0AB34500"/>
    <w:rsid w:val="0B41B426"/>
    <w:rsid w:val="0BDDE1C3"/>
    <w:rsid w:val="0C04896D"/>
    <w:rsid w:val="0C0E1E4F"/>
    <w:rsid w:val="0C27CE76"/>
    <w:rsid w:val="0C57E5A1"/>
    <w:rsid w:val="0C6FB531"/>
    <w:rsid w:val="0C6FB531"/>
    <w:rsid w:val="0CAF4418"/>
    <w:rsid w:val="0CC2B948"/>
    <w:rsid w:val="0D0E90DB"/>
    <w:rsid w:val="0D2BA43F"/>
    <w:rsid w:val="0D59595A"/>
    <w:rsid w:val="0D6AA02C"/>
    <w:rsid w:val="0DB23A29"/>
    <w:rsid w:val="0DBB3279"/>
    <w:rsid w:val="0DBD3BB4"/>
    <w:rsid w:val="0DC14A70"/>
    <w:rsid w:val="0DD1244C"/>
    <w:rsid w:val="0DDCAD71"/>
    <w:rsid w:val="0E9B8A13"/>
    <w:rsid w:val="0EA3260D"/>
    <w:rsid w:val="0EF74196"/>
    <w:rsid w:val="0F16368F"/>
    <w:rsid w:val="0F296DE6"/>
    <w:rsid w:val="0F5F2FCC"/>
    <w:rsid w:val="0F7E0C3C"/>
    <w:rsid w:val="0FCA8C16"/>
    <w:rsid w:val="0FE6D421"/>
    <w:rsid w:val="101F8647"/>
    <w:rsid w:val="1030CEBD"/>
    <w:rsid w:val="10AE6A5C"/>
    <w:rsid w:val="10C66D7B"/>
    <w:rsid w:val="112132B7"/>
    <w:rsid w:val="11444880"/>
    <w:rsid w:val="1164EE21"/>
    <w:rsid w:val="11723A5D"/>
    <w:rsid w:val="119BEC28"/>
    <w:rsid w:val="11A34161"/>
    <w:rsid w:val="11BEF7E2"/>
    <w:rsid w:val="11C005A6"/>
    <w:rsid w:val="12A86A9C"/>
    <w:rsid w:val="12C88754"/>
    <w:rsid w:val="12DF1E76"/>
    <w:rsid w:val="134518F3"/>
    <w:rsid w:val="134F4D4F"/>
    <w:rsid w:val="135194D9"/>
    <w:rsid w:val="1354D6C5"/>
    <w:rsid w:val="1361B1D3"/>
    <w:rsid w:val="13A7BB47"/>
    <w:rsid w:val="13D17916"/>
    <w:rsid w:val="13F223B8"/>
    <w:rsid w:val="14137B7A"/>
    <w:rsid w:val="142F8566"/>
    <w:rsid w:val="1478CB08"/>
    <w:rsid w:val="1488A9C8"/>
    <w:rsid w:val="14902BD6"/>
    <w:rsid w:val="14B1645D"/>
    <w:rsid w:val="14BD58D1"/>
    <w:rsid w:val="14C49FC9"/>
    <w:rsid w:val="14C9570B"/>
    <w:rsid w:val="14E494F8"/>
    <w:rsid w:val="14EB76D7"/>
    <w:rsid w:val="14F0B9CE"/>
    <w:rsid w:val="15004758"/>
    <w:rsid w:val="150A5239"/>
    <w:rsid w:val="152574C0"/>
    <w:rsid w:val="15308E90"/>
    <w:rsid w:val="15A8159D"/>
    <w:rsid w:val="15E5FE54"/>
    <w:rsid w:val="15E6B3CF"/>
    <w:rsid w:val="16071CB1"/>
    <w:rsid w:val="16182AF5"/>
    <w:rsid w:val="164262E5"/>
    <w:rsid w:val="1675E3B7"/>
    <w:rsid w:val="16C22682"/>
    <w:rsid w:val="16CB1A45"/>
    <w:rsid w:val="16F4AE06"/>
    <w:rsid w:val="16F897B1"/>
    <w:rsid w:val="1734CAC4"/>
    <w:rsid w:val="1760D4B2"/>
    <w:rsid w:val="17B5578C"/>
    <w:rsid w:val="17C10117"/>
    <w:rsid w:val="17E5B41A"/>
    <w:rsid w:val="182977C2"/>
    <w:rsid w:val="183523AA"/>
    <w:rsid w:val="187B1AE9"/>
    <w:rsid w:val="1887F1E3"/>
    <w:rsid w:val="18F6E69A"/>
    <w:rsid w:val="1917C898"/>
    <w:rsid w:val="192EBA74"/>
    <w:rsid w:val="195DA773"/>
    <w:rsid w:val="1963FEBB"/>
    <w:rsid w:val="197FEB71"/>
    <w:rsid w:val="19AC2172"/>
    <w:rsid w:val="19FE3F0C"/>
    <w:rsid w:val="1A424B52"/>
    <w:rsid w:val="1A47AB44"/>
    <w:rsid w:val="1A5468F0"/>
    <w:rsid w:val="1A68CC53"/>
    <w:rsid w:val="1A7DCC75"/>
    <w:rsid w:val="1A85B7AD"/>
    <w:rsid w:val="1A9443AC"/>
    <w:rsid w:val="1A990D1F"/>
    <w:rsid w:val="1AD43EB0"/>
    <w:rsid w:val="1B22CD97"/>
    <w:rsid w:val="1C05AD10"/>
    <w:rsid w:val="1C0CB37A"/>
    <w:rsid w:val="1C106E37"/>
    <w:rsid w:val="1C160BF2"/>
    <w:rsid w:val="1C262FBA"/>
    <w:rsid w:val="1C4DAD79"/>
    <w:rsid w:val="1C711CEA"/>
    <w:rsid w:val="1CA56D47"/>
    <w:rsid w:val="1CCC5200"/>
    <w:rsid w:val="1CCC5200"/>
    <w:rsid w:val="1CD8FA9E"/>
    <w:rsid w:val="1D39ACDD"/>
    <w:rsid w:val="1DA0E269"/>
    <w:rsid w:val="1DA7E8F8"/>
    <w:rsid w:val="1DD97B00"/>
    <w:rsid w:val="1DE0CE7C"/>
    <w:rsid w:val="1DFCEEEA"/>
    <w:rsid w:val="1E94DBF1"/>
    <w:rsid w:val="1E999D71"/>
    <w:rsid w:val="1EAA2764"/>
    <w:rsid w:val="1EC63FFE"/>
    <w:rsid w:val="1EE92AB9"/>
    <w:rsid w:val="1EF8A068"/>
    <w:rsid w:val="1F1DDA22"/>
    <w:rsid w:val="1F465D8D"/>
    <w:rsid w:val="1F5B01E4"/>
    <w:rsid w:val="1F70B66B"/>
    <w:rsid w:val="1FF64E94"/>
    <w:rsid w:val="201B2C2C"/>
    <w:rsid w:val="201B45CB"/>
    <w:rsid w:val="20A86D85"/>
    <w:rsid w:val="2100B152"/>
    <w:rsid w:val="2128217E"/>
    <w:rsid w:val="216AB05E"/>
    <w:rsid w:val="216EB690"/>
    <w:rsid w:val="21882C70"/>
    <w:rsid w:val="2195657D"/>
    <w:rsid w:val="21FB3AA6"/>
    <w:rsid w:val="22003F3E"/>
    <w:rsid w:val="220612B3"/>
    <w:rsid w:val="2223CA1C"/>
    <w:rsid w:val="222AA1E9"/>
    <w:rsid w:val="22589196"/>
    <w:rsid w:val="226C6821"/>
    <w:rsid w:val="22F2A90A"/>
    <w:rsid w:val="2400A8EB"/>
    <w:rsid w:val="2400A8EB"/>
    <w:rsid w:val="24068BAF"/>
    <w:rsid w:val="246506A4"/>
    <w:rsid w:val="2473E008"/>
    <w:rsid w:val="248FE0A4"/>
    <w:rsid w:val="249A858B"/>
    <w:rsid w:val="249EBB34"/>
    <w:rsid w:val="254614AF"/>
    <w:rsid w:val="258E034C"/>
    <w:rsid w:val="25ACB49C"/>
    <w:rsid w:val="25BA8F83"/>
    <w:rsid w:val="25CFF397"/>
    <w:rsid w:val="25FE1E71"/>
    <w:rsid w:val="2607706E"/>
    <w:rsid w:val="2608E98E"/>
    <w:rsid w:val="2619CD6D"/>
    <w:rsid w:val="2637E065"/>
    <w:rsid w:val="26C83E80"/>
    <w:rsid w:val="2731EF01"/>
    <w:rsid w:val="273D3AEB"/>
    <w:rsid w:val="27C4D5DF"/>
    <w:rsid w:val="27CAA2F1"/>
    <w:rsid w:val="27CD5FDB"/>
    <w:rsid w:val="27F39EFD"/>
    <w:rsid w:val="28214A76"/>
    <w:rsid w:val="283046D0"/>
    <w:rsid w:val="28360173"/>
    <w:rsid w:val="28578B6A"/>
    <w:rsid w:val="28789B76"/>
    <w:rsid w:val="2896C76F"/>
    <w:rsid w:val="2951EDB3"/>
    <w:rsid w:val="2964222A"/>
    <w:rsid w:val="29A8A9D2"/>
    <w:rsid w:val="29AF4D95"/>
    <w:rsid w:val="29F04A7F"/>
    <w:rsid w:val="2A188062"/>
    <w:rsid w:val="2A271E89"/>
    <w:rsid w:val="2A2EA290"/>
    <w:rsid w:val="2AAE9C56"/>
    <w:rsid w:val="2ACEEF16"/>
    <w:rsid w:val="2AEAEA94"/>
    <w:rsid w:val="2B00D6AF"/>
    <w:rsid w:val="2B04CD11"/>
    <w:rsid w:val="2B30C116"/>
    <w:rsid w:val="2B4116D7"/>
    <w:rsid w:val="2B820580"/>
    <w:rsid w:val="2B82F09C"/>
    <w:rsid w:val="2BA73321"/>
    <w:rsid w:val="2BB8107E"/>
    <w:rsid w:val="2BC75D46"/>
    <w:rsid w:val="2BD227C4"/>
    <w:rsid w:val="2BD6996A"/>
    <w:rsid w:val="2BEC033E"/>
    <w:rsid w:val="2C0E8CAF"/>
    <w:rsid w:val="2C17F135"/>
    <w:rsid w:val="2C6AD9FC"/>
    <w:rsid w:val="2CA9DDBE"/>
    <w:rsid w:val="2D10332B"/>
    <w:rsid w:val="2D19C8AD"/>
    <w:rsid w:val="2D7FF53C"/>
    <w:rsid w:val="2D8EE583"/>
    <w:rsid w:val="2DB3F370"/>
    <w:rsid w:val="2DCA3832"/>
    <w:rsid w:val="2DDF6D5B"/>
    <w:rsid w:val="2E70000F"/>
    <w:rsid w:val="2E83DA77"/>
    <w:rsid w:val="2E8799CF"/>
    <w:rsid w:val="2EA59822"/>
    <w:rsid w:val="2EAEE8D6"/>
    <w:rsid w:val="2EE1C490"/>
    <w:rsid w:val="2EE87089"/>
    <w:rsid w:val="2F194EE5"/>
    <w:rsid w:val="2F3E32BC"/>
    <w:rsid w:val="2F3EEEF8"/>
    <w:rsid w:val="2F71154C"/>
    <w:rsid w:val="2F8B64F2"/>
    <w:rsid w:val="2F924937"/>
    <w:rsid w:val="2FD6DEC7"/>
    <w:rsid w:val="3016207A"/>
    <w:rsid w:val="30241A03"/>
    <w:rsid w:val="30273BCD"/>
    <w:rsid w:val="304ACDF8"/>
    <w:rsid w:val="3055D334"/>
    <w:rsid w:val="307E79F7"/>
    <w:rsid w:val="30F1166E"/>
    <w:rsid w:val="3147DFDC"/>
    <w:rsid w:val="315831F6"/>
    <w:rsid w:val="31903DD7"/>
    <w:rsid w:val="31979A19"/>
    <w:rsid w:val="31BC5B5E"/>
    <w:rsid w:val="31E31D86"/>
    <w:rsid w:val="320C1C3C"/>
    <w:rsid w:val="3248928F"/>
    <w:rsid w:val="325B7975"/>
    <w:rsid w:val="3274D9E0"/>
    <w:rsid w:val="32B5C2D0"/>
    <w:rsid w:val="32BE8D97"/>
    <w:rsid w:val="330CC8A6"/>
    <w:rsid w:val="331AA360"/>
    <w:rsid w:val="332A3846"/>
    <w:rsid w:val="3369F085"/>
    <w:rsid w:val="33865572"/>
    <w:rsid w:val="339AAC12"/>
    <w:rsid w:val="33B6BAA1"/>
    <w:rsid w:val="33C8C20E"/>
    <w:rsid w:val="33F03D14"/>
    <w:rsid w:val="3400DFFE"/>
    <w:rsid w:val="340DCCA7"/>
    <w:rsid w:val="3438A3E7"/>
    <w:rsid w:val="3462BBF4"/>
    <w:rsid w:val="346A398A"/>
    <w:rsid w:val="348A4FC1"/>
    <w:rsid w:val="34942F1E"/>
    <w:rsid w:val="34B44B2B"/>
    <w:rsid w:val="34BCBBB0"/>
    <w:rsid w:val="34E05A39"/>
    <w:rsid w:val="34F2FF4D"/>
    <w:rsid w:val="35AC6301"/>
    <w:rsid w:val="35B2E032"/>
    <w:rsid w:val="361406E8"/>
    <w:rsid w:val="3633E880"/>
    <w:rsid w:val="3642814C"/>
    <w:rsid w:val="36E76F70"/>
    <w:rsid w:val="372EE2BB"/>
    <w:rsid w:val="374CECFE"/>
    <w:rsid w:val="3777E66A"/>
    <w:rsid w:val="377B868E"/>
    <w:rsid w:val="377CC373"/>
    <w:rsid w:val="378A1268"/>
    <w:rsid w:val="37E0FC8D"/>
    <w:rsid w:val="382FA473"/>
    <w:rsid w:val="385F3D86"/>
    <w:rsid w:val="38B70A44"/>
    <w:rsid w:val="38D35BED"/>
    <w:rsid w:val="38DD3357"/>
    <w:rsid w:val="391A5738"/>
    <w:rsid w:val="391D0AB0"/>
    <w:rsid w:val="394DABD1"/>
    <w:rsid w:val="395E1394"/>
    <w:rsid w:val="3975457C"/>
    <w:rsid w:val="3980C37B"/>
    <w:rsid w:val="3996DD67"/>
    <w:rsid w:val="39AF8599"/>
    <w:rsid w:val="39CAA117"/>
    <w:rsid w:val="39FDCDA7"/>
    <w:rsid w:val="3A071029"/>
    <w:rsid w:val="3A2EE630"/>
    <w:rsid w:val="3A92C78F"/>
    <w:rsid w:val="3B059CFA"/>
    <w:rsid w:val="3B0B74CD"/>
    <w:rsid w:val="3B4ED0F1"/>
    <w:rsid w:val="3B758AAD"/>
    <w:rsid w:val="3B7F2893"/>
    <w:rsid w:val="3B880274"/>
    <w:rsid w:val="3B8E7819"/>
    <w:rsid w:val="3BA2D994"/>
    <w:rsid w:val="3BD1FDDE"/>
    <w:rsid w:val="3BF17A91"/>
    <w:rsid w:val="3C131F6A"/>
    <w:rsid w:val="3C48BD07"/>
    <w:rsid w:val="3C5FC5EC"/>
    <w:rsid w:val="3C642D27"/>
    <w:rsid w:val="3C74C695"/>
    <w:rsid w:val="3C83A7AF"/>
    <w:rsid w:val="3C87892F"/>
    <w:rsid w:val="3CA5E7A0"/>
    <w:rsid w:val="3CB77FE7"/>
    <w:rsid w:val="3CEB9445"/>
    <w:rsid w:val="3D05707A"/>
    <w:rsid w:val="3D1AA16E"/>
    <w:rsid w:val="3D3F04DD"/>
    <w:rsid w:val="3D538EE5"/>
    <w:rsid w:val="3D84DAD7"/>
    <w:rsid w:val="3D87BE50"/>
    <w:rsid w:val="3DA0049A"/>
    <w:rsid w:val="3DDD8190"/>
    <w:rsid w:val="3DFDEF13"/>
    <w:rsid w:val="3E3C43D6"/>
    <w:rsid w:val="3E4E78EE"/>
    <w:rsid w:val="3E643822"/>
    <w:rsid w:val="3E7B0E6A"/>
    <w:rsid w:val="3EA85982"/>
    <w:rsid w:val="3EEC7787"/>
    <w:rsid w:val="3EFC449B"/>
    <w:rsid w:val="3EFEFE77"/>
    <w:rsid w:val="3F19A348"/>
    <w:rsid w:val="3F4908E3"/>
    <w:rsid w:val="3F927454"/>
    <w:rsid w:val="3FC82923"/>
    <w:rsid w:val="3FCBF911"/>
    <w:rsid w:val="4057732F"/>
    <w:rsid w:val="40829211"/>
    <w:rsid w:val="40960463"/>
    <w:rsid w:val="40EE1D69"/>
    <w:rsid w:val="41664F5D"/>
    <w:rsid w:val="417262E1"/>
    <w:rsid w:val="42050003"/>
    <w:rsid w:val="421F6D1E"/>
    <w:rsid w:val="42462EE0"/>
    <w:rsid w:val="424C0D3A"/>
    <w:rsid w:val="4273C407"/>
    <w:rsid w:val="42BA0656"/>
    <w:rsid w:val="42DE81B8"/>
    <w:rsid w:val="434E5616"/>
    <w:rsid w:val="4379BBDD"/>
    <w:rsid w:val="437A1202"/>
    <w:rsid w:val="43B03684"/>
    <w:rsid w:val="43E849EF"/>
    <w:rsid w:val="441D67D6"/>
    <w:rsid w:val="44333F96"/>
    <w:rsid w:val="4441B591"/>
    <w:rsid w:val="4443BE74"/>
    <w:rsid w:val="44835C6E"/>
    <w:rsid w:val="44AE8815"/>
    <w:rsid w:val="44DCD194"/>
    <w:rsid w:val="450A97F7"/>
    <w:rsid w:val="455F1FCF"/>
    <w:rsid w:val="45A79820"/>
    <w:rsid w:val="4611A00A"/>
    <w:rsid w:val="466FFCCD"/>
    <w:rsid w:val="4698A0E3"/>
    <w:rsid w:val="469F8C78"/>
    <w:rsid w:val="474DA5F8"/>
    <w:rsid w:val="475B5FD5"/>
    <w:rsid w:val="4777F70A"/>
    <w:rsid w:val="47837672"/>
    <w:rsid w:val="47B881C2"/>
    <w:rsid w:val="47F66E2E"/>
    <w:rsid w:val="47FEF1BC"/>
    <w:rsid w:val="48260031"/>
    <w:rsid w:val="48A2D233"/>
    <w:rsid w:val="48A3DC33"/>
    <w:rsid w:val="48EA3BA3"/>
    <w:rsid w:val="48EC30E8"/>
    <w:rsid w:val="49253CF3"/>
    <w:rsid w:val="497E40B7"/>
    <w:rsid w:val="4995C361"/>
    <w:rsid w:val="499E9D43"/>
    <w:rsid w:val="49F45416"/>
    <w:rsid w:val="49F4CB02"/>
    <w:rsid w:val="4A47B37D"/>
    <w:rsid w:val="4A81F501"/>
    <w:rsid w:val="4B45F7F0"/>
    <w:rsid w:val="4B7A4A5D"/>
    <w:rsid w:val="4B937E05"/>
    <w:rsid w:val="4B9DBE76"/>
    <w:rsid w:val="4BD6318C"/>
    <w:rsid w:val="4C174F36"/>
    <w:rsid w:val="4C699241"/>
    <w:rsid w:val="4C8DDECF"/>
    <w:rsid w:val="4CC5AE91"/>
    <w:rsid w:val="4CCAA03A"/>
    <w:rsid w:val="4D48853C"/>
    <w:rsid w:val="4D603655"/>
    <w:rsid w:val="4D96889F"/>
    <w:rsid w:val="4DB58317"/>
    <w:rsid w:val="4E052BE4"/>
    <w:rsid w:val="4E130BFF"/>
    <w:rsid w:val="4E40CA74"/>
    <w:rsid w:val="4E61CE52"/>
    <w:rsid w:val="4EAB76A5"/>
    <w:rsid w:val="4EB63B7F"/>
    <w:rsid w:val="4F3FFF7D"/>
    <w:rsid w:val="4F8214C8"/>
    <w:rsid w:val="4FB07A20"/>
    <w:rsid w:val="4FC1693B"/>
    <w:rsid w:val="5014F3D2"/>
    <w:rsid w:val="506D9D46"/>
    <w:rsid w:val="506E22B4"/>
    <w:rsid w:val="507C7FB0"/>
    <w:rsid w:val="50855839"/>
    <w:rsid w:val="50A03B04"/>
    <w:rsid w:val="50DF0BCD"/>
    <w:rsid w:val="51070523"/>
    <w:rsid w:val="5174B54A"/>
    <w:rsid w:val="51901208"/>
    <w:rsid w:val="519084A3"/>
    <w:rsid w:val="51ADAF16"/>
    <w:rsid w:val="52061FEF"/>
    <w:rsid w:val="522773D9"/>
    <w:rsid w:val="5278091F"/>
    <w:rsid w:val="5294D3FF"/>
    <w:rsid w:val="529C0EBC"/>
    <w:rsid w:val="53124635"/>
    <w:rsid w:val="53384322"/>
    <w:rsid w:val="535356E0"/>
    <w:rsid w:val="53579E46"/>
    <w:rsid w:val="539FF89C"/>
    <w:rsid w:val="5416C6FF"/>
    <w:rsid w:val="5442121B"/>
    <w:rsid w:val="546BBF56"/>
    <w:rsid w:val="547DC7A1"/>
    <w:rsid w:val="54907CEF"/>
    <w:rsid w:val="54C355DE"/>
    <w:rsid w:val="54E92E63"/>
    <w:rsid w:val="54F080B8"/>
    <w:rsid w:val="54F56E24"/>
    <w:rsid w:val="54F5BA9F"/>
    <w:rsid w:val="5503254B"/>
    <w:rsid w:val="5578792D"/>
    <w:rsid w:val="55D80EF0"/>
    <w:rsid w:val="55F6F82A"/>
    <w:rsid w:val="55F9CAF4"/>
    <w:rsid w:val="5602582F"/>
    <w:rsid w:val="560DF2FF"/>
    <w:rsid w:val="562DF963"/>
    <w:rsid w:val="56328837"/>
    <w:rsid w:val="564D5329"/>
    <w:rsid w:val="5669861E"/>
    <w:rsid w:val="567A3B41"/>
    <w:rsid w:val="568F8562"/>
    <w:rsid w:val="56D00606"/>
    <w:rsid w:val="57222866"/>
    <w:rsid w:val="572AA4C8"/>
    <w:rsid w:val="576795FA"/>
    <w:rsid w:val="577192C7"/>
    <w:rsid w:val="57E6AF73"/>
    <w:rsid w:val="57E93805"/>
    <w:rsid w:val="5806F493"/>
    <w:rsid w:val="5816E800"/>
    <w:rsid w:val="583484C7"/>
    <w:rsid w:val="583484C7"/>
    <w:rsid w:val="58585CEB"/>
    <w:rsid w:val="5886BF52"/>
    <w:rsid w:val="58D554BC"/>
    <w:rsid w:val="58EC6CDF"/>
    <w:rsid w:val="5900F405"/>
    <w:rsid w:val="59492B91"/>
    <w:rsid w:val="59ACC064"/>
    <w:rsid w:val="59B049DD"/>
    <w:rsid w:val="59B5D082"/>
    <w:rsid w:val="59DE2F09"/>
    <w:rsid w:val="5A0E838D"/>
    <w:rsid w:val="5A0E838D"/>
    <w:rsid w:val="5A11834E"/>
    <w:rsid w:val="5A2488AF"/>
    <w:rsid w:val="5A2AFF23"/>
    <w:rsid w:val="5A55A42C"/>
    <w:rsid w:val="5A63D6C4"/>
    <w:rsid w:val="5AB0CA9A"/>
    <w:rsid w:val="5ACBD6FE"/>
    <w:rsid w:val="5BD6B4DE"/>
    <w:rsid w:val="5C16E3E8"/>
    <w:rsid w:val="5C40FB3E"/>
    <w:rsid w:val="5C8C84D6"/>
    <w:rsid w:val="5CD3E9DD"/>
    <w:rsid w:val="5D00F14F"/>
    <w:rsid w:val="5D47C2F4"/>
    <w:rsid w:val="5D47D12F"/>
    <w:rsid w:val="5D5DD7F9"/>
    <w:rsid w:val="5DC6EB29"/>
    <w:rsid w:val="5E149EE9"/>
    <w:rsid w:val="5E3E4A79"/>
    <w:rsid w:val="5E60CCDC"/>
    <w:rsid w:val="5E682659"/>
    <w:rsid w:val="5E796F83"/>
    <w:rsid w:val="5E9E02F0"/>
    <w:rsid w:val="5E9F2E61"/>
    <w:rsid w:val="5F13F331"/>
    <w:rsid w:val="5F682DEB"/>
    <w:rsid w:val="5F79193C"/>
    <w:rsid w:val="5F95A8A1"/>
    <w:rsid w:val="5FA8E8C1"/>
    <w:rsid w:val="5FB71A8E"/>
    <w:rsid w:val="5FF9D56A"/>
    <w:rsid w:val="603E9A0F"/>
    <w:rsid w:val="60A7C238"/>
    <w:rsid w:val="60E5B395"/>
    <w:rsid w:val="610B0478"/>
    <w:rsid w:val="610D5D34"/>
    <w:rsid w:val="6113F459"/>
    <w:rsid w:val="6136F552"/>
    <w:rsid w:val="614B685C"/>
    <w:rsid w:val="61563F45"/>
    <w:rsid w:val="6163250E"/>
    <w:rsid w:val="61728AC4"/>
    <w:rsid w:val="617F40C8"/>
    <w:rsid w:val="61B4297A"/>
    <w:rsid w:val="61F2227F"/>
    <w:rsid w:val="61FACE6B"/>
    <w:rsid w:val="620E12E4"/>
    <w:rsid w:val="62265391"/>
    <w:rsid w:val="631280E0"/>
    <w:rsid w:val="6328A785"/>
    <w:rsid w:val="633DD048"/>
    <w:rsid w:val="638EF160"/>
    <w:rsid w:val="6399B7EF"/>
    <w:rsid w:val="639BD2A0"/>
    <w:rsid w:val="63D1CEA7"/>
    <w:rsid w:val="6487BA10"/>
    <w:rsid w:val="64975F3F"/>
    <w:rsid w:val="6499720C"/>
    <w:rsid w:val="64C58D3E"/>
    <w:rsid w:val="6521A17F"/>
    <w:rsid w:val="655D4EE8"/>
    <w:rsid w:val="65E296FB"/>
    <w:rsid w:val="662A3494"/>
    <w:rsid w:val="664F3781"/>
    <w:rsid w:val="66708807"/>
    <w:rsid w:val="66AE7286"/>
    <w:rsid w:val="66BDF465"/>
    <w:rsid w:val="66CF96CE"/>
    <w:rsid w:val="66DA7991"/>
    <w:rsid w:val="66EAA8AA"/>
    <w:rsid w:val="671B4139"/>
    <w:rsid w:val="67318E19"/>
    <w:rsid w:val="675A8B17"/>
    <w:rsid w:val="676DA197"/>
    <w:rsid w:val="679121D9"/>
    <w:rsid w:val="67B4FE3C"/>
    <w:rsid w:val="67DCEF2F"/>
    <w:rsid w:val="67EC7BB4"/>
    <w:rsid w:val="6810BAC4"/>
    <w:rsid w:val="6859756F"/>
    <w:rsid w:val="688E6395"/>
    <w:rsid w:val="689E1EC4"/>
    <w:rsid w:val="68B97D3B"/>
    <w:rsid w:val="68F3517E"/>
    <w:rsid w:val="6918C5B2"/>
    <w:rsid w:val="69321512"/>
    <w:rsid w:val="693DB65A"/>
    <w:rsid w:val="6959E1E8"/>
    <w:rsid w:val="695B27FE"/>
    <w:rsid w:val="696A7579"/>
    <w:rsid w:val="69753B92"/>
    <w:rsid w:val="69A1AA85"/>
    <w:rsid w:val="69E7BFBF"/>
    <w:rsid w:val="69ECBB65"/>
    <w:rsid w:val="6A11604C"/>
    <w:rsid w:val="6A5991BD"/>
    <w:rsid w:val="6A960CE6"/>
    <w:rsid w:val="6AFB038C"/>
    <w:rsid w:val="6B0F1096"/>
    <w:rsid w:val="6B56A08D"/>
    <w:rsid w:val="6B820203"/>
    <w:rsid w:val="6B84DE63"/>
    <w:rsid w:val="6B92411A"/>
    <w:rsid w:val="6BD01311"/>
    <w:rsid w:val="6BD8D6F5"/>
    <w:rsid w:val="6C078E3C"/>
    <w:rsid w:val="6C2CD9F9"/>
    <w:rsid w:val="6C54A023"/>
    <w:rsid w:val="6C601A2F"/>
    <w:rsid w:val="6C823DB4"/>
    <w:rsid w:val="6C87198F"/>
    <w:rsid w:val="6C932723"/>
    <w:rsid w:val="6CE967F2"/>
    <w:rsid w:val="6D26041F"/>
    <w:rsid w:val="6D3B1087"/>
    <w:rsid w:val="6D684802"/>
    <w:rsid w:val="6D726B48"/>
    <w:rsid w:val="6D7B10C3"/>
    <w:rsid w:val="6D8353AB"/>
    <w:rsid w:val="6DA1B28B"/>
    <w:rsid w:val="6DB66572"/>
    <w:rsid w:val="6DB77C60"/>
    <w:rsid w:val="6DD0A96D"/>
    <w:rsid w:val="6DFB3560"/>
    <w:rsid w:val="6E0C3637"/>
    <w:rsid w:val="6E2D07BB"/>
    <w:rsid w:val="6E5007F8"/>
    <w:rsid w:val="6E68726F"/>
    <w:rsid w:val="6E8604FC"/>
    <w:rsid w:val="6ECB6B01"/>
    <w:rsid w:val="6F02A241"/>
    <w:rsid w:val="6F9DBCEA"/>
    <w:rsid w:val="703786F7"/>
    <w:rsid w:val="704B7867"/>
    <w:rsid w:val="7061EFF2"/>
    <w:rsid w:val="706FC276"/>
    <w:rsid w:val="70E58DD6"/>
    <w:rsid w:val="70F157C2"/>
    <w:rsid w:val="70FFD46A"/>
    <w:rsid w:val="7125C896"/>
    <w:rsid w:val="718B0117"/>
    <w:rsid w:val="7194251A"/>
    <w:rsid w:val="71AAB233"/>
    <w:rsid w:val="71CA9E5D"/>
    <w:rsid w:val="71DDF9EC"/>
    <w:rsid w:val="71E23B49"/>
    <w:rsid w:val="7204C729"/>
    <w:rsid w:val="72146161"/>
    <w:rsid w:val="72186850"/>
    <w:rsid w:val="7274794B"/>
    <w:rsid w:val="72CD71D5"/>
    <w:rsid w:val="72EF20CB"/>
    <w:rsid w:val="7321111D"/>
    <w:rsid w:val="73283A0E"/>
    <w:rsid w:val="73451AFD"/>
    <w:rsid w:val="7352F98C"/>
    <w:rsid w:val="73704148"/>
    <w:rsid w:val="73F4816A"/>
    <w:rsid w:val="73FDD125"/>
    <w:rsid w:val="74108B1C"/>
    <w:rsid w:val="74163E44"/>
    <w:rsid w:val="74170239"/>
    <w:rsid w:val="7418E853"/>
    <w:rsid w:val="744A83E3"/>
    <w:rsid w:val="74793AE1"/>
    <w:rsid w:val="74A75B43"/>
    <w:rsid w:val="74B28678"/>
    <w:rsid w:val="74D974FD"/>
    <w:rsid w:val="74E47F10"/>
    <w:rsid w:val="751DA707"/>
    <w:rsid w:val="75355C17"/>
    <w:rsid w:val="753E6943"/>
    <w:rsid w:val="754C1323"/>
    <w:rsid w:val="75827556"/>
    <w:rsid w:val="760F81EE"/>
    <w:rsid w:val="76251D60"/>
    <w:rsid w:val="7687DC0F"/>
    <w:rsid w:val="76B5C4EB"/>
    <w:rsid w:val="76C0D916"/>
    <w:rsid w:val="7720CCA2"/>
    <w:rsid w:val="7776666B"/>
    <w:rsid w:val="77E60C7B"/>
    <w:rsid w:val="77E771C9"/>
    <w:rsid w:val="7820AA95"/>
    <w:rsid w:val="7821D6BE"/>
    <w:rsid w:val="782220C4"/>
    <w:rsid w:val="78A780B0"/>
    <w:rsid w:val="78B4F0FB"/>
    <w:rsid w:val="7959D603"/>
    <w:rsid w:val="79833017"/>
    <w:rsid w:val="7A2B9D55"/>
    <w:rsid w:val="7A2CF96F"/>
    <w:rsid w:val="7A3BC8BB"/>
    <w:rsid w:val="7A7A9ED1"/>
    <w:rsid w:val="7B04E7BE"/>
    <w:rsid w:val="7B381FBB"/>
    <w:rsid w:val="7B6589A8"/>
    <w:rsid w:val="7B74DEFD"/>
    <w:rsid w:val="7B915712"/>
    <w:rsid w:val="7BA7BC97"/>
    <w:rsid w:val="7BD0175D"/>
    <w:rsid w:val="7BEDDF97"/>
    <w:rsid w:val="7C021D5C"/>
    <w:rsid w:val="7C1C903F"/>
    <w:rsid w:val="7C3648C4"/>
    <w:rsid w:val="7C6F10C4"/>
    <w:rsid w:val="7CB895B0"/>
    <w:rsid w:val="7CDA5DF6"/>
    <w:rsid w:val="7D226339"/>
    <w:rsid w:val="7D3127F3"/>
    <w:rsid w:val="7D607B87"/>
    <w:rsid w:val="7DB5737B"/>
    <w:rsid w:val="7DBF9F49"/>
    <w:rsid w:val="7DEA9636"/>
    <w:rsid w:val="7DFA2FB4"/>
    <w:rsid w:val="7E0FD5D4"/>
    <w:rsid w:val="7E9CC3D3"/>
    <w:rsid w:val="7EB3C773"/>
    <w:rsid w:val="7EF87BF5"/>
    <w:rsid w:val="7EF8DEC9"/>
    <w:rsid w:val="7F64A364"/>
    <w:rsid w:val="7FBC0E85"/>
    <w:rsid w:val="7FC7B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4D6C5"/>
  <w15:chartTrackingRefBased/>
  <w15:docId w15:val="{2432E090-61FB-4293-AD8D-2997757386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74D25E8"/>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74D25E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link w:val="Heading1Char"/>
    <w:qFormat/>
    <w:rsid w:val="074D25E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562DF963"/>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074D25E8"/>
    <w:pPr>
      <w:spacing w:after="100"/>
    </w:pPr>
  </w:style>
  <w:style w:type="character" w:styleId="Hyperlink">
    <w:uiPriority w:val="99"/>
    <w:name w:val="Hyperlink"/>
    <w:basedOn w:val="DefaultParagraphFont"/>
    <w:unhideWhenUsed/>
    <w:rsid w:val="562DF963"/>
    <w:rPr>
      <w:color w:val="467886"/>
      <w:u w:val="single"/>
    </w:rPr>
  </w:style>
  <w:style w:type="paragraph" w:styleId="Heading2">
    <w:uiPriority w:val="9"/>
    <w:name w:val="heading 2"/>
    <w:basedOn w:val="Normal"/>
    <w:next w:val="Normal"/>
    <w:unhideWhenUsed/>
    <w:qFormat/>
    <w:rsid w:val="074D25E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63D1CEA7"/>
    <w:pPr>
      <w:spacing w:after="100"/>
      <w:ind w:left="220"/>
    </w:pPr>
  </w:style>
  <w:style w:type="paragraph" w:styleId="Heading3">
    <w:uiPriority w:val="9"/>
    <w:name w:val="heading 3"/>
    <w:basedOn w:val="Normal"/>
    <w:next w:val="Normal"/>
    <w:unhideWhenUsed/>
    <w:qFormat/>
    <w:rsid w:val="64C58D3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64C58D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2f39e10ee0840ea" /><Relationship Type="http://schemas.openxmlformats.org/officeDocument/2006/relationships/image" Target="/media/image.png" Id="rId1009033631" /><Relationship Type="http://schemas.openxmlformats.org/officeDocument/2006/relationships/hyperlink" Target="https://doi.org/10.1108/02580540610669071" TargetMode="External" Id="R8be831ee0afa449b" /><Relationship Type="http://schemas.openxmlformats.org/officeDocument/2006/relationships/hyperlink" Target="https://doi.org/10.1016/0007-6813(86)90040-6" TargetMode="External" Id="Red034f85799043b3" /><Relationship Type="http://schemas.openxmlformats.org/officeDocument/2006/relationships/hyperlink" Target="https://doi.org/10.1108/sd.2011.05627jaa.004" TargetMode="External" Id="Re9a4ee91ecdb4610" /><Relationship Type="http://schemas.openxmlformats.org/officeDocument/2006/relationships/hyperlink" Target="https://investors.coca-colacompany.com/_assets/_40e27be350a16863a93829dfb6ddfda1/cocacolacompany/news/2007-06-26_Coca_Cola_Celebrates_50_Years_of_Innovation_in_51.pdf" TargetMode="External" Id="R0c221ef38ce54db4" /><Relationship Type="http://schemas.openxmlformats.org/officeDocument/2006/relationships/hyperlink" Target="https://doi.org/10.3390/data8020026" TargetMode="External" Id="R7e104c897f694932" /><Relationship Type="http://schemas.openxmlformats.org/officeDocument/2006/relationships/hyperlink" Target="https://doi.org/10.1590/1807-7692bar2018170061" TargetMode="External" Id="R50a4567ac5b444ee" /><Relationship Type="http://schemas.openxmlformats.org/officeDocument/2006/relationships/hyperlink" Target="https://doi.org/10.2501/S0021849909090461" TargetMode="External" Id="R2115edac8fe64d3d" /><Relationship Type="http://schemas.openxmlformats.org/officeDocument/2006/relationships/hyperlink" Target="https://doi.org/10.1108/EUM0000000002760" TargetMode="External" Id="R038687c0df97453c" /><Relationship Type="http://schemas.openxmlformats.org/officeDocument/2006/relationships/hyperlink" Target="https://doi.org/10.1017/S0022109017000849" TargetMode="External" Id="Re158647049dc48ed" /><Relationship Type="http://schemas.openxmlformats.org/officeDocument/2006/relationships/hyperlink" Target="https://doi.org/10.2308/ISSUES-2021-127" TargetMode="External" Id="Ra9da0c1642e149d1" /><Relationship Type="http://schemas.openxmlformats.org/officeDocument/2006/relationships/hyperlink" Target="https://doi.org/10.1136/bmj.l7022" TargetMode="External" Id="Rf7b0fc366e11433b" /><Relationship Type="http://schemas.openxmlformats.org/officeDocument/2006/relationships/hyperlink" Target="https://doi.org/10.1108/03090561311297526" TargetMode="External" Id="R73a2706081434b12" /><Relationship Type="http://schemas.openxmlformats.org/officeDocument/2006/relationships/hyperlink" Target="https://advantage-marketline-com.ezproxy.uwtsd.ac.uk/Company/Summary/coca-cola-bottlers-japan-holdings-inc-_4270366_4270366" TargetMode="External" Id="Re12e6c8e5e374800" /><Relationship Type="http://schemas.openxmlformats.org/officeDocument/2006/relationships/hyperlink" Target="https://doi.org/10.1080/08961530.2023.2200222" TargetMode="External" Id="R741f81deed6e4b1e" /><Relationship Type="http://schemas.openxmlformats.org/officeDocument/2006/relationships/hyperlink" Target="https://doi.org/10.21776/ub.wacana.2023.026.03.04" TargetMode="External" Id="R5fdd9cf06db54cc5" /><Relationship Type="http://schemas.openxmlformats.org/officeDocument/2006/relationships/hyperlink" Target="https://doi.org/10.1371/journal.pone.0209285" TargetMode="External" Id="Rfb3865c0427942c7" /><Relationship Type="http://schemas.openxmlformats.org/officeDocument/2006/relationships/hyperlink" Target="https://doi.org/10.1080/01596306.2014.905045" TargetMode="External" Id="Rcf696016baba4067" /><Relationship Type="http://schemas.openxmlformats.org/officeDocument/2006/relationships/hyperlink" Target="https://doi.org/10.1080/15475778.2020.1765715" TargetMode="External" Id="R9daa836511d44428" /><Relationship Type="http://schemas.openxmlformats.org/officeDocument/2006/relationships/hyperlink" Target="https://doi.org/10.5209/rev_HICS.2013.v18.44333" TargetMode="External" Id="R1eb31717c3e0470e" /><Relationship Type="http://schemas.openxmlformats.org/officeDocument/2006/relationships/hyperlink" Target="https://investors.coca-colacompany.com/_assets/_5d566b95468a98d8898ba92b8d10c49a/cocacolacompany/db/892/10421/annual_report/coca-cola-business-and-sustainability-report-2022.pdf" TargetMode="External" Id="R15e2ae40097f4e12" /><Relationship Type="http://schemas.openxmlformats.org/officeDocument/2006/relationships/hyperlink" Target="https://www.coca-cola.com/us/en" TargetMode="External" Id="Rccdf59afa7db44da" /><Relationship Type="http://schemas.openxmlformats.org/officeDocument/2006/relationships/hyperlink" Target="https://www.coca-cola.com/jp/ja" TargetMode="External" Id="R3f036e6772034619" /><Relationship Type="http://schemas.openxmlformats.org/officeDocument/2006/relationships/hyperlink" Target="https://www.theculturefactor.com/country-comparison-tool?countries=japan%2Cunited+states" TargetMode="External" Id="R3f6a4bb13f92463d" /><Relationship Type="http://schemas.openxmlformats.org/officeDocument/2006/relationships/hyperlink" Target="https://doi.org/10.1162/glep_a_00745" TargetMode="External" Id="Rb4b15e01181045bb" /><Relationship Type="http://schemas.openxmlformats.org/officeDocument/2006/relationships/hyperlink" Target="https://doi.org/10.3390/ijerph17010012" TargetMode="External" Id="Raf7cf2cefe4d46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7</revision>
  <dcterms:created xsi:type="dcterms:W3CDTF">2025-09-20T10:16:18.1716259Z</dcterms:created>
  <dcterms:modified xsi:type="dcterms:W3CDTF">2025-11-18T22:39:17.2742607Z</dcterms:modified>
</coreProperties>
</file>