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44178799"/>
        <w:docPartObj>
          <w:docPartGallery w:val="Cover Pages"/>
          <w:docPartUnique/>
        </w:docPartObj>
      </w:sdtPr>
      <w:sdtEndPr/>
      <w:sdtContent>
        <w:p w14:paraId="5E524413" w14:textId="77777777" w:rsidR="00353B51" w:rsidRDefault="00353B51"/>
        <w:p w14:paraId="4F10CAC9" w14:textId="77777777" w:rsidR="00353B51" w:rsidRDefault="00353B51"/>
        <w:p w14:paraId="0912E54C" w14:textId="77777777" w:rsidR="00353B51" w:rsidRDefault="00353B51"/>
        <w:p w14:paraId="746362B0" w14:textId="77777777" w:rsidR="00353B51" w:rsidRDefault="00353B51"/>
        <w:p w14:paraId="2D3C08B2" w14:textId="77777777" w:rsidR="00353B51" w:rsidRDefault="00353B51"/>
        <w:p w14:paraId="21A9DC39" w14:textId="77777777" w:rsidR="00353B51" w:rsidRDefault="00353B51"/>
        <w:p w14:paraId="148F4A51" w14:textId="77777777" w:rsidR="00353B51" w:rsidRDefault="00353B51"/>
        <w:p w14:paraId="4733468E" w14:textId="77777777" w:rsidR="00353B51" w:rsidRDefault="00353B51"/>
        <w:p w14:paraId="16DBC87C" w14:textId="1BFC6CE0" w:rsidR="00353B51" w:rsidRDefault="00353B51"/>
        <w:p w14:paraId="3DE9A15F" w14:textId="77777777" w:rsidR="00C9197F" w:rsidRDefault="00C9197F"/>
        <w:p w14:paraId="0885896C" w14:textId="77777777" w:rsidR="00353B51" w:rsidRDefault="00353B51" w:rsidP="00353B51">
          <w:pPr>
            <w:jc w:val="center"/>
          </w:pPr>
        </w:p>
        <w:p w14:paraId="4FA7237A" w14:textId="1ED49910" w:rsidR="00353B51" w:rsidRDefault="001470EC" w:rsidP="00F9062A">
          <w:r w:rsidRPr="00F9062A">
            <w:t xml:space="preserve">CRITICALLY EVALUATE HOW WE MIGHT USE ARCHAEOLOGICAL EVIDENCE FROM THE TOMBS EXCAVATED BY THE BRITISH MUSEUM AT </w:t>
          </w:r>
          <w:bookmarkStart w:id="0" w:name="_Hlk98701231"/>
          <w:r w:rsidRPr="00F9062A">
            <w:t xml:space="preserve">ENKOMI AND HALA SULTAN TEKKE </w:t>
          </w:r>
          <w:bookmarkEnd w:id="0"/>
          <w:r w:rsidRPr="00F9062A">
            <w:t>TO DEVELOP A NARRATIVE OF CULTURE CONTACT IN THE BRONZE AGE EAST MEDITERRANEAN). PLEASE CHOOSE A CATEGORY OF MATERIAL FROM THE BM WEBSITE AS THE FOCUS OF YOUR REPORT</w:t>
          </w:r>
        </w:p>
        <w:p w14:paraId="6C148689" w14:textId="77777777" w:rsidR="00353B51" w:rsidRDefault="00353B51" w:rsidP="00353B51">
          <w:pPr>
            <w:jc w:val="center"/>
          </w:pPr>
          <w:r>
            <w:t>By Jack Glascott</w:t>
          </w:r>
        </w:p>
        <w:p w14:paraId="6B087F23" w14:textId="77777777" w:rsidR="00353B51" w:rsidRDefault="00353B51" w:rsidP="00353B51">
          <w:pPr>
            <w:jc w:val="center"/>
          </w:pPr>
        </w:p>
        <w:p w14:paraId="32D88FB5" w14:textId="77777777" w:rsidR="00353B51" w:rsidRDefault="00353B51" w:rsidP="00353B51">
          <w:pPr>
            <w:jc w:val="center"/>
          </w:pPr>
        </w:p>
        <w:p w14:paraId="6545FFE2" w14:textId="36A12C56" w:rsidR="00353B51" w:rsidRDefault="00353B51" w:rsidP="00353B51">
          <w:pPr>
            <w:jc w:val="center"/>
          </w:pPr>
        </w:p>
        <w:p w14:paraId="602EBC14" w14:textId="7BF22720" w:rsidR="00C9197F" w:rsidRDefault="00C9197F" w:rsidP="00353B51">
          <w:pPr>
            <w:jc w:val="center"/>
          </w:pPr>
        </w:p>
        <w:p w14:paraId="13D3EAFE" w14:textId="43EAC932" w:rsidR="00C9197F" w:rsidRDefault="00C9197F" w:rsidP="00353B51">
          <w:pPr>
            <w:jc w:val="center"/>
          </w:pPr>
        </w:p>
        <w:p w14:paraId="2135627A" w14:textId="180F9799" w:rsidR="00C9197F" w:rsidRDefault="00C9197F" w:rsidP="00353B51">
          <w:pPr>
            <w:jc w:val="center"/>
          </w:pPr>
        </w:p>
        <w:p w14:paraId="7C09B89E" w14:textId="77777777" w:rsidR="00C9197F" w:rsidRDefault="00C9197F" w:rsidP="00353B51">
          <w:pPr>
            <w:jc w:val="center"/>
          </w:pPr>
        </w:p>
        <w:p w14:paraId="5D3AF955" w14:textId="77777777" w:rsidR="00353B51" w:rsidRDefault="00353B51" w:rsidP="00353B51">
          <w:pPr>
            <w:jc w:val="center"/>
          </w:pPr>
        </w:p>
        <w:p w14:paraId="45B09762" w14:textId="459931B6" w:rsidR="00353B51" w:rsidRDefault="00353B51" w:rsidP="00353B51">
          <w:pPr>
            <w:jc w:val="center"/>
          </w:pPr>
          <w:r>
            <w:t>Wordcount:</w:t>
          </w:r>
          <w:r w:rsidR="00663D42">
            <w:t xml:space="preserve"> 3000</w:t>
          </w:r>
        </w:p>
        <w:p w14:paraId="4D143803" w14:textId="77777777" w:rsidR="00353B51" w:rsidRDefault="00353B51" w:rsidP="00353B51">
          <w:pPr>
            <w:jc w:val="center"/>
          </w:pPr>
        </w:p>
        <w:p w14:paraId="2131937E" w14:textId="160BD947" w:rsidR="00353B51" w:rsidRDefault="00353B51" w:rsidP="00353B51">
          <w:pPr>
            <w:jc w:val="center"/>
          </w:pPr>
          <w:r>
            <w:t>Candidate number: 19</w:t>
          </w:r>
          <w:r w:rsidR="00680395">
            <w:t>0</w:t>
          </w:r>
          <w:r>
            <w:t>1783</w:t>
          </w:r>
        </w:p>
        <w:p w14:paraId="0A79DF24" w14:textId="77777777" w:rsidR="007B450A" w:rsidRDefault="007B450A" w:rsidP="007B450A">
          <w:pPr>
            <w:jc w:val="center"/>
          </w:pPr>
          <w:r>
            <w:t>Entanglement: exploring interactions between the Aegean and the near east (HPAE6010)</w:t>
          </w:r>
        </w:p>
        <w:p w14:paraId="08C659D5" w14:textId="52B6C1C0" w:rsidR="00353B51" w:rsidRDefault="00353B51" w:rsidP="00353B51">
          <w:pPr>
            <w:jc w:val="center"/>
          </w:pPr>
          <w:r>
            <w:t xml:space="preserve">University of </w:t>
          </w:r>
          <w:r w:rsidR="00A40D3C">
            <w:t>Wales</w:t>
          </w:r>
          <w:r>
            <w:t xml:space="preserve"> trinity </w:t>
          </w:r>
          <w:r w:rsidR="00A40D3C">
            <w:t>S</w:t>
          </w:r>
          <w:r>
            <w:t xml:space="preserve">t David </w:t>
          </w:r>
        </w:p>
        <w:p w14:paraId="6E571CB8" w14:textId="420E6051" w:rsidR="005E71D8" w:rsidRDefault="00353B51" w:rsidP="00630428">
          <w:pPr>
            <w:jc w:val="center"/>
          </w:pPr>
          <w:r>
            <w:t>February 2021</w:t>
          </w:r>
          <w:r>
            <w:br w:type="page"/>
          </w:r>
        </w:p>
      </w:sdtContent>
    </w:sdt>
    <w:p w14:paraId="6AF196A2" w14:textId="3D8ABC18" w:rsidR="008D7772" w:rsidRPr="008D7772" w:rsidRDefault="00CC7FF6" w:rsidP="008D7772">
      <w:pPr>
        <w:rPr>
          <w:b/>
          <w:bCs/>
          <w:noProof/>
        </w:rPr>
      </w:pPr>
      <w:r>
        <w:rPr>
          <w:b/>
          <w:bCs/>
          <w:noProof/>
        </w:rPr>
        <w:lastRenderedPageBreak/>
        <w:t>I</w:t>
      </w:r>
      <w:r w:rsidR="000B4197" w:rsidRPr="00D15F8F">
        <w:rPr>
          <w:b/>
          <w:bCs/>
          <w:noProof/>
        </w:rPr>
        <w:t>ntroduction</w:t>
      </w:r>
    </w:p>
    <w:p w14:paraId="45D3A5BF" w14:textId="512CC4E7" w:rsidR="008D7772" w:rsidRPr="008D7772" w:rsidRDefault="008D7772" w:rsidP="008D7772">
      <w:pPr>
        <w:rPr>
          <w:noProof/>
        </w:rPr>
      </w:pPr>
      <w:r>
        <w:rPr>
          <w:noProof/>
        </w:rPr>
        <w:t>This report will evaluate a theme of blade evidence excavated by the British Museum from the sites of Enkomi and Hala sultan tekke to determine whether this theme acts as evidence for the idea of evidence from tombs forming a narrative of cultural contact. These sites excavated by the British Museum will be used as a basis for this report's evidence and through theoretical frameworks, blade measurements and discursive arguments. To determine what the narrative might be and the possible nature of the relationship between these two cities from this funerary evidence to find the method of analysis.</w:t>
      </w:r>
    </w:p>
    <w:p w14:paraId="41995D80" w14:textId="626E8AE7" w:rsidR="00771D3F" w:rsidRDefault="00CC7FF6" w:rsidP="000B4197">
      <w:pPr>
        <w:rPr>
          <w:b/>
          <w:bCs/>
          <w:noProof/>
        </w:rPr>
      </w:pPr>
      <w:r>
        <w:rPr>
          <w:b/>
          <w:bCs/>
          <w:noProof/>
        </w:rPr>
        <w:t>T</w:t>
      </w:r>
      <w:r w:rsidR="000B4197" w:rsidRPr="00D15F8F">
        <w:rPr>
          <w:b/>
          <w:bCs/>
          <w:noProof/>
        </w:rPr>
        <w:t xml:space="preserve">heoretical perspectives </w:t>
      </w:r>
    </w:p>
    <w:p w14:paraId="4C14D984" w14:textId="750300A2" w:rsidR="00771D3F" w:rsidRPr="00771D3F" w:rsidRDefault="00771D3F" w:rsidP="008C163D">
      <w:pPr>
        <w:rPr>
          <w:noProof/>
        </w:rPr>
      </w:pPr>
      <w:r>
        <w:rPr>
          <w:noProof/>
        </w:rPr>
        <w:t>A key aspect of this report for the bast understanding of both what cultral contect is and the meaning for the use of objects to identify it is the explanation fo the technical themes behind the idea from the meaning of value and metalurgy to the idantifying fetures in materials</w:t>
      </w:r>
      <w:r w:rsidR="00DE4981">
        <w:rPr>
          <w:noProof/>
        </w:rPr>
        <w:t xml:space="preserve"> that indicates these conections and the types of site that would produce them as seen below:</w:t>
      </w:r>
    </w:p>
    <w:p w14:paraId="64B3C6E8" w14:textId="5667181C" w:rsidR="008C163D" w:rsidRPr="008C163D" w:rsidRDefault="008C163D" w:rsidP="008C163D">
      <w:pPr>
        <w:rPr>
          <w:i/>
          <w:iCs/>
          <w:noProof/>
        </w:rPr>
      </w:pPr>
      <w:r w:rsidRPr="008C163D">
        <w:rPr>
          <w:i/>
          <w:iCs/>
          <w:noProof/>
        </w:rPr>
        <w:t>The transformative model of metallurgy</w:t>
      </w:r>
    </w:p>
    <w:p w14:paraId="7F9F48FA" w14:textId="768CF321" w:rsidR="00035079" w:rsidRDefault="00035079" w:rsidP="008C163D">
      <w:pPr>
        <w:rPr>
          <w:noProof/>
        </w:rPr>
      </w:pPr>
      <w:r>
        <w:rPr>
          <w:noProof/>
        </w:rPr>
        <w:t>Thie theory comes from an o</w:t>
      </w:r>
      <w:r w:rsidRPr="008C163D">
        <w:rPr>
          <w:noProof/>
        </w:rPr>
        <w:t>ld partially economic</w:t>
      </w:r>
      <w:r>
        <w:rPr>
          <w:noProof/>
        </w:rPr>
        <w:t xml:space="preserve"> theory</w:t>
      </w:r>
      <w:r w:rsidRPr="008C163D">
        <w:rPr>
          <w:noProof/>
        </w:rPr>
        <w:t xml:space="preserve"> from 1974</w:t>
      </w:r>
      <w:r>
        <w:rPr>
          <w:noProof/>
        </w:rPr>
        <w:t xml:space="preserve"> aiming to look at</w:t>
      </w:r>
      <w:r w:rsidRPr="008C163D">
        <w:rPr>
          <w:noProof/>
        </w:rPr>
        <w:t xml:space="preserve"> the development of treading connections and capitalism </w:t>
      </w:r>
      <w:r>
        <w:rPr>
          <w:noProof/>
        </w:rPr>
        <w:t>in short and</w:t>
      </w:r>
      <w:r w:rsidRPr="008C163D">
        <w:rPr>
          <w:noProof/>
        </w:rPr>
        <w:t xml:space="preserve"> long-distance trade, but</w:t>
      </w:r>
      <w:r>
        <w:rPr>
          <w:noProof/>
        </w:rPr>
        <w:t xml:space="preserve"> this idea of culture and metal change to acomidate became</w:t>
      </w:r>
      <w:r w:rsidRPr="008C163D">
        <w:rPr>
          <w:noProof/>
        </w:rPr>
        <w:t xml:space="preserve"> applicable to this subject. The analyses and tracking of these routs done though the trace the metal leaves behind </w:t>
      </w:r>
      <w:r>
        <w:rPr>
          <w:noProof/>
        </w:rPr>
        <w:t>leave an understanding of contentration of use and origen of not only material but also gives indications of level of coneation between states</w:t>
      </w:r>
      <w:r w:rsidRPr="008C163D">
        <w:rPr>
          <w:noProof/>
        </w:rPr>
        <w:t xml:space="preserve">. Areas become interconnected and reliant on trade, and </w:t>
      </w:r>
      <w:r>
        <w:rPr>
          <w:noProof/>
        </w:rPr>
        <w:t xml:space="preserve">though </w:t>
      </w:r>
      <w:r w:rsidRPr="008C163D">
        <w:rPr>
          <w:noProof/>
        </w:rPr>
        <w:t>culture conflict and change, 'a large scale interregional exchange system. The emotions of communities alongside writing in taxation this accumulation of surplus specialist crop production for elite consumption to the periphery itself providing raw materials to the core overall becoming 'a large scale intorel</w:t>
      </w:r>
      <w:r>
        <w:rPr>
          <w:noProof/>
        </w:rPr>
        <w:t>gional</w:t>
      </w:r>
      <w:r w:rsidRPr="008C163D">
        <w:rPr>
          <w:noProof/>
        </w:rPr>
        <w:t xml:space="preserve"> exchange system (stein, 1998</w:t>
      </w:r>
      <w:r>
        <w:rPr>
          <w:noProof/>
        </w:rPr>
        <w:t>)</w:t>
      </w:r>
      <w:r w:rsidRPr="008C163D">
        <w:rPr>
          <w:noProof/>
        </w:rPr>
        <w:t>. This action creat</w:t>
      </w:r>
      <w:r>
        <w:rPr>
          <w:noProof/>
        </w:rPr>
        <w:t>s</w:t>
      </w:r>
      <w:r w:rsidRPr="008C163D">
        <w:rPr>
          <w:noProof/>
        </w:rPr>
        <w:t xml:space="preserve"> a social and cultural control over state</w:t>
      </w:r>
      <w:r>
        <w:rPr>
          <w:noProof/>
        </w:rPr>
        <w:t xml:space="preserve"> and though this the movement and regulstion of material trade and use</w:t>
      </w:r>
      <w:r w:rsidRPr="008C163D">
        <w:rPr>
          <w:noProof/>
        </w:rPr>
        <w:t xml:space="preserve"> of </w:t>
      </w:r>
      <w:r>
        <w:rPr>
          <w:noProof/>
        </w:rPr>
        <w:t>metal p</w:t>
      </w:r>
      <w:r w:rsidRPr="008C163D">
        <w:rPr>
          <w:noProof/>
        </w:rPr>
        <w:t xml:space="preserve">roduction </w:t>
      </w:r>
      <w:r>
        <w:rPr>
          <w:noProof/>
        </w:rPr>
        <w:t>becomes closer and more important to the center of the state</w:t>
      </w:r>
      <w:r w:rsidRPr="008C163D">
        <w:rPr>
          <w:noProof/>
        </w:rPr>
        <w:t>.</w:t>
      </w:r>
      <w:r>
        <w:rPr>
          <w:noProof/>
        </w:rPr>
        <w:t xml:space="preserve"> Leading to the outer edges of the lands becoming </w:t>
      </w:r>
      <w:r w:rsidRPr="008C163D">
        <w:rPr>
          <w:noProof/>
        </w:rPr>
        <w:t xml:space="preserve">areas of minimal wealth to be transported inland </w:t>
      </w:r>
      <w:r>
        <w:rPr>
          <w:noProof/>
        </w:rPr>
        <w:t xml:space="preserve">as </w:t>
      </w:r>
      <w:r w:rsidRPr="008C163D">
        <w:rPr>
          <w:noProof/>
        </w:rPr>
        <w:t xml:space="preserve">stated </w:t>
      </w:r>
      <w:r>
        <w:rPr>
          <w:noProof/>
        </w:rPr>
        <w:t>‘</w:t>
      </w:r>
      <w:r w:rsidRPr="008C163D">
        <w:rPr>
          <w:noProof/>
        </w:rPr>
        <w:t>the periphery</w:t>
      </w:r>
      <w:r>
        <w:rPr>
          <w:noProof/>
        </w:rPr>
        <w:t>’</w:t>
      </w:r>
      <w:r w:rsidRPr="008C163D">
        <w:rPr>
          <w:noProof/>
        </w:rPr>
        <w:t xml:space="preserve"> is</w:t>
      </w:r>
      <w:r>
        <w:rPr>
          <w:noProof/>
        </w:rPr>
        <w:t xml:space="preserve"> and acting as</w:t>
      </w:r>
      <w:r w:rsidRPr="008C163D">
        <w:rPr>
          <w:noProof/>
        </w:rPr>
        <w:t xml:space="preserve"> the border between states such area of weakness and instability forcing core and seven peripheries to transport goods</w:t>
      </w:r>
      <w:r>
        <w:rPr>
          <w:noProof/>
        </w:rPr>
        <w:t xml:space="preserve"> leading to port and trade center development. This idea of trade leading to culture change and interconection fetures heavly in this report</w:t>
      </w:r>
      <w:r w:rsidR="0024018B">
        <w:rPr>
          <w:noProof/>
        </w:rPr>
        <w:t xml:space="preserve"> </w:t>
      </w:r>
      <w:r w:rsidR="0024018B" w:rsidRPr="008C163D">
        <w:rPr>
          <w:noProof/>
        </w:rPr>
        <w:t>(stein, 1998</w:t>
      </w:r>
      <w:r w:rsidR="0024018B">
        <w:rPr>
          <w:noProof/>
        </w:rPr>
        <w:t>)</w:t>
      </w:r>
      <w:r>
        <w:rPr>
          <w:noProof/>
        </w:rPr>
        <w:t>.</w:t>
      </w:r>
    </w:p>
    <w:p w14:paraId="136DD8AF" w14:textId="55CD9DFD" w:rsidR="008C163D" w:rsidRDefault="008C163D" w:rsidP="008C163D">
      <w:pPr>
        <w:rPr>
          <w:i/>
          <w:iCs/>
          <w:noProof/>
        </w:rPr>
      </w:pPr>
      <w:r w:rsidRPr="008C163D">
        <w:rPr>
          <w:i/>
          <w:iCs/>
          <w:noProof/>
        </w:rPr>
        <w:t>concepts of value</w:t>
      </w:r>
    </w:p>
    <w:p w14:paraId="6E38BD89" w14:textId="146D99E6" w:rsidR="009B3AC2" w:rsidRDefault="009B3AC2" w:rsidP="009B3AC2">
      <w:pPr>
        <w:rPr>
          <w:noProof/>
        </w:rPr>
      </w:pPr>
      <w:r>
        <w:rPr>
          <w:noProof/>
        </w:rPr>
        <w:t>The value of objects is a difficult aspect to determine for objects, and possibly one of the most important as it determines an object's meaning and connection to the society as well as lits level of survivability and as such to determine to wither these blades identified hold any meaning the 'concept of value' (</w:t>
      </w:r>
      <w:r w:rsidR="00306FF7" w:rsidRPr="00306FF7">
        <w:rPr>
          <w:noProof/>
        </w:rPr>
        <w:t>Appadurai, 1986</w:t>
      </w:r>
      <w:r>
        <w:rPr>
          <w:noProof/>
        </w:rPr>
        <w:t>) must be discussed. The basis of value originated in factors controlled by the ease of getting a product, the object's meaning, and the movement that allows it to be exchanged. Value is the relationship between material goods, social relations, and cultural meaning</w:t>
      </w:r>
      <w:r w:rsidR="00306FF7" w:rsidRPr="00306FF7">
        <w:t xml:space="preserve"> </w:t>
      </w:r>
      <w:r w:rsidR="00306FF7">
        <w:t>(</w:t>
      </w:r>
      <w:r w:rsidR="00306FF7" w:rsidRPr="00306FF7">
        <w:rPr>
          <w:noProof/>
        </w:rPr>
        <w:t>Appadurai, 1986</w:t>
      </w:r>
      <w:r w:rsidR="00306FF7">
        <w:rPr>
          <w:noProof/>
        </w:rPr>
        <w:t>)</w:t>
      </w:r>
      <w:r>
        <w:rPr>
          <w:noProof/>
        </w:rPr>
        <w:t xml:space="preserve">. A cultural construct rather than an inherent value of the material itself externally imposed upon the object often reflects the social group's needs, aspirations, and motivations attempting to gain this material and interact with it. Examples of rare or valuable materials like copper and bronze formed and produced in Cyprus, famed for their need in the rest of the Mediterranean and the quality of its products a great example of exotic objects are ascribed </w:t>
      </w:r>
      <w:r>
        <w:rPr>
          <w:noProof/>
        </w:rPr>
        <w:lastRenderedPageBreak/>
        <w:t>value and play an active symbolic role in the creation of statues giving objects agency. It identifies the level of the cultural and material value of the tombs and the blades themselves; it can indicate the level of meaning for both societies and then determine the level of connection.</w:t>
      </w:r>
    </w:p>
    <w:p w14:paraId="4C32CC26" w14:textId="01ACF696" w:rsidR="009B3AC2" w:rsidRPr="009B3AC2" w:rsidRDefault="009B3AC2" w:rsidP="009B3AC2">
      <w:pPr>
        <w:rPr>
          <w:noProof/>
        </w:rPr>
      </w:pPr>
      <w:r>
        <w:rPr>
          <w:noProof/>
        </w:rPr>
        <w:t>Many open, wide-ranging interregional trade routes revolve around the Aegean, Anatolia, Egypt, Near East, Mesopotamia, Arabian Gulf, Afghanistan and Indus Valley, forming a culturaly complex system and creating an overlapping system of core and periphery forming continuous exchange and cultural evolution between them</w:t>
      </w:r>
      <w:r w:rsidR="00306FF7">
        <w:rPr>
          <w:noProof/>
        </w:rPr>
        <w:t xml:space="preserve"> (</w:t>
      </w:r>
      <w:r w:rsidR="00306FF7" w:rsidRPr="009B3AC2">
        <w:t>Bailey</w:t>
      </w:r>
      <w:r w:rsidR="00306FF7">
        <w:t xml:space="preserve"> </w:t>
      </w:r>
      <w:r w:rsidR="00306FF7" w:rsidRPr="009B3AC2">
        <w:t>&amp; Mills,</w:t>
      </w:r>
      <w:r w:rsidR="00306FF7">
        <w:t xml:space="preserve"> </w:t>
      </w:r>
      <w:r w:rsidR="00306FF7" w:rsidRPr="009B3AC2">
        <w:t>1998</w:t>
      </w:r>
      <w:r w:rsidR="00306FF7">
        <w:rPr>
          <w:noProof/>
        </w:rPr>
        <w:t>)</w:t>
      </w:r>
      <w:r>
        <w:rPr>
          <w:noProof/>
        </w:rPr>
        <w:t>. This is as most peripheries of the named countries peripheries touch or have some form of connection. The connection between them is connected by exchanging language and tokens to represent trade to ease the transition between trade goods, as is seen possibly through the interchange and interconnection of knives.</w:t>
      </w:r>
    </w:p>
    <w:p w14:paraId="7103150E" w14:textId="06D49D6F" w:rsidR="002F2E2F" w:rsidRDefault="008C163D" w:rsidP="008C163D">
      <w:pPr>
        <w:rPr>
          <w:i/>
          <w:iCs/>
          <w:noProof/>
        </w:rPr>
      </w:pPr>
      <w:r w:rsidRPr="008C163D">
        <w:rPr>
          <w:i/>
          <w:iCs/>
          <w:noProof/>
        </w:rPr>
        <w:t>Hybridisation and entanglements</w:t>
      </w:r>
    </w:p>
    <w:p w14:paraId="184EA015" w14:textId="7F3904A4" w:rsidR="00706DEA" w:rsidRDefault="00706DEA" w:rsidP="00706DEA">
      <w:pPr>
        <w:rPr>
          <w:noProof/>
        </w:rPr>
      </w:pPr>
      <w:r>
        <w:rPr>
          <w:noProof/>
        </w:rPr>
        <w:t>“Hybridity is the sign of the productivity of colonial power, its shifting forces and fixities; it is the name for the strategic reversal of the process of domination. Hybridity is the revaluation of the assumption of colonial identity through identity. It displays the necessary deformation and displacement of all domination sites” (Bhabha, 2007). This definition expands into our understanding, suggesting that colonisation is reflected in the material culture, eventuating the agency and the nationalism of the individual objects. Colonisation and exchange of the majority of culture are seen though shearing cultural values through trade, finding a degree of control and determining a level of interconnect and advantage to create connections between social groups</w:t>
      </w:r>
      <w:r w:rsidR="0024018B">
        <w:rPr>
          <w:noProof/>
        </w:rPr>
        <w:t xml:space="preserve"> (Bhabha, 2007)</w:t>
      </w:r>
      <w:r>
        <w:rPr>
          <w:noProof/>
        </w:rPr>
        <w:t xml:space="preserve">. </w:t>
      </w:r>
    </w:p>
    <w:p w14:paraId="392F850A" w14:textId="62C43703" w:rsidR="00306FF7" w:rsidRPr="00706DEA" w:rsidRDefault="00881AD5" w:rsidP="00706DEA">
      <w:pPr>
        <w:rPr>
          <w:noProof/>
        </w:rPr>
      </w:pPr>
      <w:r>
        <w:rPr>
          <w:noProof/>
        </w:rPr>
        <w:t>A</w:t>
      </w:r>
      <w:r w:rsidR="00706DEA">
        <w:rPr>
          <w:noProof/>
        </w:rPr>
        <w:t>n example of this would be the elite using conspicuous consumption and size to demonstrate and keep power, social practices and ideologies to manipulate the exotic and, through those interactions, the creation of new ideology</w:t>
      </w:r>
      <w:r>
        <w:rPr>
          <w:noProof/>
        </w:rPr>
        <w:t xml:space="preserve"> seen in a large amount of</w:t>
      </w:r>
      <w:r w:rsidR="00706DEA">
        <w:rPr>
          <w:noProof/>
        </w:rPr>
        <w:t xml:space="preserve"> shaft graves</w:t>
      </w:r>
      <w:r>
        <w:rPr>
          <w:noProof/>
        </w:rPr>
        <w:t>with</w:t>
      </w:r>
      <w:r w:rsidR="00706DEA">
        <w:rPr>
          <w:noProof/>
        </w:rPr>
        <w:t xml:space="preserve"> implements made of gold and silver for no other than just demonstrating</w:t>
      </w:r>
      <w:r>
        <w:rPr>
          <w:noProof/>
        </w:rPr>
        <w:t xml:space="preserve"> s</w:t>
      </w:r>
      <w:r w:rsidR="00706DEA">
        <w:rPr>
          <w:noProof/>
        </w:rPr>
        <w:t>ignificant engagement with gold changed the way elite and most cultures view themselves and their consumption and use of materials</w:t>
      </w:r>
      <w:r w:rsidR="0024018B">
        <w:rPr>
          <w:noProof/>
        </w:rPr>
        <w:t xml:space="preserve"> </w:t>
      </w:r>
      <w:r w:rsidR="0024018B">
        <w:rPr>
          <w:noProof/>
        </w:rPr>
        <w:t>(Knapp 2008)</w:t>
      </w:r>
      <w:r w:rsidR="00706DEA">
        <w:rPr>
          <w:noProof/>
        </w:rPr>
        <w:t>.</w:t>
      </w:r>
      <w:r>
        <w:rPr>
          <w:noProof/>
        </w:rPr>
        <w:t xml:space="preserve"> </w:t>
      </w:r>
      <w:r w:rsidR="00706DEA">
        <w:rPr>
          <w:noProof/>
        </w:rPr>
        <w:t>The theory of entanglement and hybridisation is key to this study, as simply if there is no interchange and interlink between cultures, there is no need to form a narrative for something that does not carry over to physical culture. Knapp states, “the concept of hybridity as a social, material, or cultural mixture and has the potential to refine the understanding of any contact situation involving colonisation, migration, or acculturation” (Knapp 2008). As with no culture hybritditity and social domination of culture, there would be no cultural or economic reason for their shift in shaping the knives.</w:t>
      </w:r>
    </w:p>
    <w:p w14:paraId="099B9B45" w14:textId="2175A45F" w:rsidR="00D15F8F" w:rsidRPr="00D15F8F" w:rsidRDefault="00D15F8F" w:rsidP="000B4197">
      <w:pPr>
        <w:rPr>
          <w:i/>
          <w:iCs/>
          <w:noProof/>
        </w:rPr>
      </w:pPr>
      <w:r w:rsidRPr="00D15F8F">
        <w:rPr>
          <w:i/>
          <w:iCs/>
          <w:noProof/>
        </w:rPr>
        <w:t>trade and city types</w:t>
      </w:r>
    </w:p>
    <w:p w14:paraId="19802659" w14:textId="7F18BF94" w:rsidR="000B4197" w:rsidRDefault="004D4114" w:rsidP="004D4114">
      <w:pPr>
        <w:rPr>
          <w:noProof/>
        </w:rPr>
      </w:pPr>
      <w:r>
        <w:rPr>
          <w:noProof/>
        </w:rPr>
        <w:t>this theory coined by Polanyi (1963) i</w:t>
      </w:r>
      <w:r w:rsidR="000B4197">
        <w:rPr>
          <w:noProof/>
        </w:rPr>
        <w:t>s</w:t>
      </w:r>
      <w:r>
        <w:rPr>
          <w:noProof/>
        </w:rPr>
        <w:t xml:space="preserve"> a</w:t>
      </w:r>
      <w:r w:rsidR="000B4197">
        <w:rPr>
          <w:noProof/>
        </w:rPr>
        <w:t xml:space="preserve"> phenomenon </w:t>
      </w:r>
      <w:r>
        <w:rPr>
          <w:noProof/>
        </w:rPr>
        <w:t>beaced on the understanding of t</w:t>
      </w:r>
      <w:r w:rsidR="000B4197">
        <w:rPr>
          <w:noProof/>
        </w:rPr>
        <w:t xml:space="preserve">rade and action in different areas, </w:t>
      </w:r>
      <w:r>
        <w:rPr>
          <w:noProof/>
        </w:rPr>
        <w:t xml:space="preserve">with </w:t>
      </w:r>
      <w:r w:rsidR="000B4197">
        <w:rPr>
          <w:noProof/>
        </w:rPr>
        <w:t>a central manipulation and regulation of commercial exchange for trade within ports, converting ports into a specialised location for exchange</w:t>
      </w:r>
      <w:r>
        <w:rPr>
          <w:noProof/>
        </w:rPr>
        <w:t>.</w:t>
      </w:r>
      <w:r w:rsidR="000B4197">
        <w:rPr>
          <w:noProof/>
        </w:rPr>
        <w:t xml:space="preserve"> Polanyi states ’a universal institution of overseas trade’ (Polanyi</w:t>
      </w:r>
      <w:r w:rsidR="005C039F">
        <w:rPr>
          <w:noProof/>
        </w:rPr>
        <w:t>,</w:t>
      </w:r>
      <w:r w:rsidR="000B4197">
        <w:rPr>
          <w:noProof/>
        </w:rPr>
        <w:t xml:space="preserve"> 1963) forming gateway community for the imported communities and people interposing the traded culture on the site.</w:t>
      </w:r>
      <w:r>
        <w:rPr>
          <w:noProof/>
        </w:rPr>
        <w:t xml:space="preserve"> He explors this further by definding these cultral melting pots into </w:t>
      </w:r>
      <w:r w:rsidR="000B4197">
        <w:rPr>
          <w:noProof/>
        </w:rPr>
        <w:t>Port types</w:t>
      </w:r>
      <w:r w:rsidR="00A74E96">
        <w:rPr>
          <w:noProof/>
        </w:rPr>
        <w:t>:</w:t>
      </w:r>
    </w:p>
    <w:p w14:paraId="644BEAB0" w14:textId="3D0982D8" w:rsidR="000B4197" w:rsidRDefault="004D4114" w:rsidP="004D4114">
      <w:pPr>
        <w:pStyle w:val="ListParagraph"/>
        <w:numPr>
          <w:ilvl w:val="1"/>
          <w:numId w:val="14"/>
        </w:numPr>
        <w:rPr>
          <w:noProof/>
        </w:rPr>
      </w:pPr>
      <w:r>
        <w:rPr>
          <w:noProof/>
        </w:rPr>
        <w:t>An A type site is</w:t>
      </w:r>
      <w:r w:rsidR="000B4197">
        <w:rPr>
          <w:noProof/>
        </w:rPr>
        <w:t xml:space="preserve"> controlled by hinterland power in the territory of the control of the port forming a state-sponsored area and merchant regulation and can be seen easily in the material record as it is the most common</w:t>
      </w:r>
      <w:r w:rsidR="008C7BAD">
        <w:rPr>
          <w:noProof/>
        </w:rPr>
        <w:t xml:space="preserve"> </w:t>
      </w:r>
      <w:r w:rsidR="008C7BAD">
        <w:rPr>
          <w:noProof/>
        </w:rPr>
        <w:t>(Polanyi, 1963)</w:t>
      </w:r>
      <w:r w:rsidR="008C7BAD">
        <w:rPr>
          <w:noProof/>
        </w:rPr>
        <w:t>.</w:t>
      </w:r>
    </w:p>
    <w:p w14:paraId="4F775148" w14:textId="140CB8E6" w:rsidR="000B4197" w:rsidRDefault="000B4197" w:rsidP="004D4114">
      <w:pPr>
        <w:pStyle w:val="ListParagraph"/>
        <w:numPr>
          <w:ilvl w:val="1"/>
          <w:numId w:val="14"/>
        </w:numPr>
        <w:rPr>
          <w:noProof/>
        </w:rPr>
      </w:pPr>
      <w:r>
        <w:rPr>
          <w:noProof/>
        </w:rPr>
        <w:lastRenderedPageBreak/>
        <w:t>On the other hand</w:t>
      </w:r>
      <w:r w:rsidR="004D4114">
        <w:rPr>
          <w:noProof/>
        </w:rPr>
        <w:t xml:space="preserve"> a B type site</w:t>
      </w:r>
      <w:r>
        <w:rPr>
          <w:noProof/>
        </w:rPr>
        <w:t>, is an interdependent instruction with no regulation on the trade creating a more open trading system with a more significant amount of foreign influence. It also works for the idea of a pop-up market, controlled but non but the people and the merchants forming a free concept of the trade like a black market</w:t>
      </w:r>
      <w:r w:rsidR="008C7BAD">
        <w:rPr>
          <w:noProof/>
        </w:rPr>
        <w:t xml:space="preserve"> </w:t>
      </w:r>
      <w:r w:rsidR="008C7BAD">
        <w:rPr>
          <w:noProof/>
        </w:rPr>
        <w:t>(Polanyi, 1963)</w:t>
      </w:r>
      <w:r>
        <w:rPr>
          <w:noProof/>
        </w:rPr>
        <w:t>.</w:t>
      </w:r>
    </w:p>
    <w:p w14:paraId="76F47E05" w14:textId="67CC8000" w:rsidR="000B4197" w:rsidRDefault="004D4114" w:rsidP="004D4114">
      <w:pPr>
        <w:pStyle w:val="ListParagraph"/>
        <w:numPr>
          <w:ilvl w:val="1"/>
          <w:numId w:val="14"/>
        </w:numPr>
        <w:rPr>
          <w:noProof/>
        </w:rPr>
      </w:pPr>
      <w:r>
        <w:rPr>
          <w:noProof/>
        </w:rPr>
        <w:t>A C type is formed thougth the</w:t>
      </w:r>
      <w:r w:rsidR="000B4197">
        <w:rPr>
          <w:noProof/>
        </w:rPr>
        <w:t xml:space="preserve"> movement </w:t>
      </w:r>
      <w:r>
        <w:rPr>
          <w:noProof/>
        </w:rPr>
        <w:t xml:space="preserve">of that state </w:t>
      </w:r>
      <w:r w:rsidR="000B4197">
        <w:rPr>
          <w:noProof/>
        </w:rPr>
        <w:t xml:space="preserve">from a hinterland </w:t>
      </w:r>
      <w:r>
        <w:rPr>
          <w:noProof/>
        </w:rPr>
        <w:t>to from an</w:t>
      </w:r>
      <w:r w:rsidR="000B4197">
        <w:rPr>
          <w:noProof/>
        </w:rPr>
        <w:t xml:space="preserve"> enclave in another area </w:t>
      </w:r>
      <w:r>
        <w:rPr>
          <w:noProof/>
        </w:rPr>
        <w:t xml:space="preserve">to </w:t>
      </w:r>
      <w:r w:rsidR="000B4197">
        <w:rPr>
          <w:noProof/>
        </w:rPr>
        <w:t>exploit</w:t>
      </w:r>
      <w:r>
        <w:rPr>
          <w:noProof/>
        </w:rPr>
        <w:t>e</w:t>
      </w:r>
      <w:r w:rsidR="000B4197">
        <w:rPr>
          <w:noProof/>
        </w:rPr>
        <w:t xml:space="preserve"> the local area and their </w:t>
      </w:r>
      <w:r>
        <w:rPr>
          <w:noProof/>
        </w:rPr>
        <w:t>re</w:t>
      </w:r>
      <w:r w:rsidR="000B4197">
        <w:rPr>
          <w:noProof/>
        </w:rPr>
        <w:t>sources; however, this example acts as and satellite state and thus is regulated. Find and control through the trading community forming a very efficient transmission goods explicit allowance of intermarriage and movent outside of the state and absorption of foreign cultural elements</w:t>
      </w:r>
      <w:r w:rsidR="005A469A">
        <w:rPr>
          <w:noProof/>
        </w:rPr>
        <w:t xml:space="preserve"> </w:t>
      </w:r>
      <w:r w:rsidR="008C7BAD">
        <w:rPr>
          <w:noProof/>
        </w:rPr>
        <w:t>(Polanyi, 1963)</w:t>
      </w:r>
      <w:r w:rsidR="000B4197">
        <w:rPr>
          <w:noProof/>
        </w:rPr>
        <w:t>.</w:t>
      </w:r>
    </w:p>
    <w:p w14:paraId="4361169C" w14:textId="53FA2424" w:rsidR="004D4114" w:rsidRDefault="004D4114" w:rsidP="004D4114">
      <w:pPr>
        <w:rPr>
          <w:noProof/>
        </w:rPr>
      </w:pPr>
      <w:r>
        <w:rPr>
          <w:noProof/>
        </w:rPr>
        <w:t xml:space="preserve">This is very important as though this evaluation of these two citys and there possible structures it can be easyer to understand </w:t>
      </w:r>
      <w:r w:rsidR="008C7BAD">
        <w:rPr>
          <w:noProof/>
        </w:rPr>
        <w:t>the level of conection between citys, such as Enkomi would be considered an A type port as a metal productuion and develoment site that was direcly over viewed by the state</w:t>
      </w:r>
      <w:r w:rsidR="00F317CD">
        <w:rPr>
          <w:noProof/>
        </w:rPr>
        <w:t xml:space="preserve"> </w:t>
      </w:r>
      <w:r w:rsidR="00F317CD">
        <w:rPr>
          <w:noProof/>
        </w:rPr>
        <w:t xml:space="preserve">(Knapp, 2008). </w:t>
      </w:r>
      <w:r w:rsidR="00F317CD">
        <w:rPr>
          <w:noProof/>
        </w:rPr>
        <w:t>A</w:t>
      </w:r>
      <w:r w:rsidR="008C7BAD">
        <w:rPr>
          <w:noProof/>
        </w:rPr>
        <w:t>s such it can be asummed that the majority of the conection and trades made</w:t>
      </w:r>
      <w:r w:rsidR="00F317CD">
        <w:rPr>
          <w:noProof/>
        </w:rPr>
        <w:t xml:space="preserve"> were in line with the majority of the rest of Cyprus’s trade and economic ceonections seen in the litiary cuniform texts found in arount the iland.</w:t>
      </w:r>
    </w:p>
    <w:p w14:paraId="218729ED" w14:textId="4516F873" w:rsidR="000B4197" w:rsidRPr="008C163D" w:rsidRDefault="008C163D">
      <w:pPr>
        <w:rPr>
          <w:b/>
          <w:bCs/>
          <w:noProof/>
        </w:rPr>
      </w:pPr>
      <w:r>
        <w:rPr>
          <w:b/>
          <w:bCs/>
          <w:noProof/>
        </w:rPr>
        <w:t xml:space="preserve">Background </w:t>
      </w:r>
      <w:r w:rsidR="000B4197" w:rsidRPr="00CC7FF6">
        <w:rPr>
          <w:b/>
          <w:bCs/>
          <w:noProof/>
        </w:rPr>
        <w:t>information</w:t>
      </w:r>
    </w:p>
    <w:p w14:paraId="4C8C6091" w14:textId="7803D598" w:rsidR="000B4197" w:rsidRDefault="000B4197">
      <w:pPr>
        <w:rPr>
          <w:i/>
          <w:iCs/>
          <w:noProof/>
        </w:rPr>
      </w:pPr>
      <w:r w:rsidRPr="008C163D">
        <w:rPr>
          <w:i/>
          <w:iCs/>
          <w:noProof/>
        </w:rPr>
        <w:t>Enkomi</w:t>
      </w:r>
    </w:p>
    <w:p w14:paraId="46261A8F" w14:textId="2F92F9F8" w:rsidR="00836AC3" w:rsidRPr="00836AC3" w:rsidRDefault="00836AC3">
      <w:pPr>
        <w:rPr>
          <w:noProof/>
        </w:rPr>
      </w:pPr>
      <w:r w:rsidRPr="00836AC3">
        <w:rPr>
          <w:noProof/>
        </w:rPr>
        <w:t>The city of Enkomi located in the easten coast of cyprus and considered one of the most important late Bronze age setalments standing apart form the rest of the citys due to its direct conection to the sea and the heavy level of tombs loected arount the city and under the buildings</w:t>
      </w:r>
      <w:r w:rsidR="0024018B">
        <w:rPr>
          <w:noProof/>
        </w:rPr>
        <w:t xml:space="preserve"> (</w:t>
      </w:r>
      <w:r w:rsidR="0024018B" w:rsidRPr="003F5B33">
        <w:t>Knapp</w:t>
      </w:r>
      <w:r w:rsidR="0024018B">
        <w:t xml:space="preserve"> &amp;</w:t>
      </w:r>
      <w:r w:rsidR="0024018B" w:rsidRPr="003F5B33">
        <w:t xml:space="preserve"> Russell</w:t>
      </w:r>
      <w:r w:rsidR="0024018B">
        <w:t xml:space="preserve"> &amp;</w:t>
      </w:r>
      <w:r w:rsidR="0024018B" w:rsidRPr="003F5B33">
        <w:t xml:space="preserve"> &amp; </w:t>
      </w:r>
      <w:proofErr w:type="spellStart"/>
      <w:r w:rsidR="0024018B" w:rsidRPr="003F5B33">
        <w:t>Dommelen</w:t>
      </w:r>
      <w:proofErr w:type="spellEnd"/>
      <w:r w:rsidR="0024018B">
        <w:t>,</w:t>
      </w:r>
      <w:r w:rsidR="0024018B" w:rsidRPr="003F5B33">
        <w:t xml:space="preserve"> 2022</w:t>
      </w:r>
      <w:r w:rsidR="0024018B">
        <w:t>)</w:t>
      </w:r>
      <w:r w:rsidRPr="00836AC3">
        <w:rPr>
          <w:noProof/>
        </w:rPr>
        <w:t>. The ciy itself can be seen in Figure 1 and desplayes  the tombs and it must be notes that the majority of the knives seen in figure 3 and 6 come from area 23 and figure 3 is from area 8. Howevert it must be noted that acording to many academics such as Peltenburg (1998) argues that ‘The Enkomi metalworking dispersion, the emergence of houses where previously the Fortress stood, and the contemporaneous proliferation of newly established prestigious town houses suggests that the LC IIIA represents the culmination of a long-term trend towards the dissolution of central control of metals’ (Pickles &amp; Peltenburg, 1998).</w:t>
      </w:r>
    </w:p>
    <w:p w14:paraId="42091BB8" w14:textId="77777777" w:rsidR="009D6848" w:rsidRDefault="00D15F8F" w:rsidP="009D6848">
      <w:pPr>
        <w:keepNext/>
      </w:pPr>
      <w:r>
        <w:rPr>
          <w:noProof/>
        </w:rPr>
        <w:lastRenderedPageBreak/>
        <w:drawing>
          <wp:inline distT="0" distB="0" distL="0" distR="0" wp14:anchorId="7731060C" wp14:editId="47C757C2">
            <wp:extent cx="4933950" cy="2714056"/>
            <wp:effectExtent l="0" t="0" r="0" b="0"/>
            <wp:docPr id="9" name="Picture 9"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map&#10;&#10;Description automatically generated"/>
                    <pic:cNvPicPr/>
                  </pic:nvPicPr>
                  <pic:blipFill rotWithShape="1">
                    <a:blip r:embed="rId8"/>
                    <a:srcRect t="2185" b="8525"/>
                    <a:stretch/>
                  </pic:blipFill>
                  <pic:spPr bwMode="auto">
                    <a:xfrm>
                      <a:off x="0" y="0"/>
                      <a:ext cx="4947787" cy="2721667"/>
                    </a:xfrm>
                    <a:prstGeom prst="rect">
                      <a:avLst/>
                    </a:prstGeom>
                    <a:ln>
                      <a:noFill/>
                    </a:ln>
                    <a:extLst>
                      <a:ext uri="{53640926-AAD7-44D8-BBD7-CCE9431645EC}">
                        <a14:shadowObscured xmlns:a14="http://schemas.microsoft.com/office/drawing/2010/main"/>
                      </a:ext>
                    </a:extLst>
                  </pic:spPr>
                </pic:pic>
              </a:graphicData>
            </a:graphic>
          </wp:inline>
        </w:drawing>
      </w:r>
    </w:p>
    <w:p w14:paraId="7279377C" w14:textId="7CC6C96D" w:rsidR="009D6848" w:rsidRDefault="009D6848" w:rsidP="009D6848">
      <w:pPr>
        <w:pStyle w:val="Caption"/>
      </w:pPr>
      <w:r>
        <w:t xml:space="preserve">Figure </w:t>
      </w:r>
      <w:r w:rsidR="00CF7D60">
        <w:fldChar w:fldCharType="begin"/>
      </w:r>
      <w:r w:rsidR="00CF7D60">
        <w:instrText xml:space="preserve"> SEQ Figure \* ARABIC </w:instrText>
      </w:r>
      <w:r w:rsidR="00CF7D60">
        <w:fldChar w:fldCharType="separate"/>
      </w:r>
      <w:r>
        <w:rPr>
          <w:noProof/>
        </w:rPr>
        <w:t>1</w:t>
      </w:r>
      <w:r w:rsidR="00CF7D60">
        <w:rPr>
          <w:noProof/>
        </w:rPr>
        <w:fldChar w:fldCharType="end"/>
      </w:r>
      <w:r>
        <w:t xml:space="preserve"> a map of </w:t>
      </w:r>
      <w:proofErr w:type="spellStart"/>
      <w:r>
        <w:t>Hala</w:t>
      </w:r>
      <w:proofErr w:type="spellEnd"/>
      <w:r>
        <w:t xml:space="preserve"> sultan Tekke with the positions of the city Quarters 1-4 and the cemetery in area A. by Teresa Burge and </w:t>
      </w:r>
      <w:proofErr w:type="spellStart"/>
      <w:r>
        <w:t>Burwafaq</w:t>
      </w:r>
      <w:proofErr w:type="spellEnd"/>
      <w:r>
        <w:t xml:space="preserve"> A-</w:t>
      </w:r>
      <w:proofErr w:type="spellStart"/>
      <w:r>
        <w:t>Bataineh</w:t>
      </w:r>
      <w:proofErr w:type="spellEnd"/>
      <w:r w:rsidR="00B33545">
        <w:t xml:space="preserve"> (</w:t>
      </w:r>
      <w:proofErr w:type="spellStart"/>
      <w:r w:rsidR="008C7BAD" w:rsidRPr="00B33545">
        <w:t>Bürge</w:t>
      </w:r>
      <w:proofErr w:type="spellEnd"/>
      <w:r w:rsidR="008C7BAD">
        <w:t xml:space="preserve">, </w:t>
      </w:r>
      <w:r w:rsidR="008C7BAD" w:rsidRPr="00B33545">
        <w:t>2021</w:t>
      </w:r>
      <w:r w:rsidR="00B33545">
        <w:t>)</w:t>
      </w:r>
    </w:p>
    <w:p w14:paraId="08360839" w14:textId="7D2AFFDE" w:rsidR="000B4197" w:rsidRDefault="000B4197">
      <w:pPr>
        <w:rPr>
          <w:i/>
          <w:iCs/>
          <w:noProof/>
        </w:rPr>
      </w:pPr>
      <w:r w:rsidRPr="00CC7FF6">
        <w:rPr>
          <w:i/>
          <w:iCs/>
          <w:noProof/>
        </w:rPr>
        <w:t>Hala sultan tekke</w:t>
      </w:r>
    </w:p>
    <w:p w14:paraId="32418CCC" w14:textId="239A7202" w:rsidR="00443A65" w:rsidRDefault="00443A65">
      <w:pPr>
        <w:rPr>
          <w:noProof/>
        </w:rPr>
      </w:pPr>
      <w:r w:rsidRPr="00443A65">
        <w:rPr>
          <w:noProof/>
        </w:rPr>
        <w:t>The city of Hala Sultan Tekke is a relatively new city furnished in the late Bronze age from 1650 to 1150 B.C. and situated on the southeastern coast of Cyprus near the Larnaca salt lake seen in figure 2. This city acted as a basis for trade and wealth for the surrounding areas of the city, and a wealthy city in its own right and linked closely to its Ras Shamra, with its alphabet and language, separated into sections a cosmopolitan community with sections like the ‘lower town’ (Åström, 1976–2007). a harbour town, warehouses containing many of containing Canaanite jars and Minoan stirrup jars all found there by Minet el Beidha, most notably the port town Ma’hadu (Åström, 1976–2007).</w:t>
      </w:r>
    </w:p>
    <w:p w14:paraId="77146D45" w14:textId="0560E4F1" w:rsidR="00D902E8" w:rsidRDefault="00D902E8">
      <w:pPr>
        <w:rPr>
          <w:noProof/>
        </w:rPr>
      </w:pPr>
      <w:r>
        <w:rPr>
          <w:noProof/>
        </w:rPr>
        <w:drawing>
          <wp:inline distT="0" distB="0" distL="0" distR="0" wp14:anchorId="713BB702" wp14:editId="2C04DC6C">
            <wp:extent cx="4156364" cy="3021373"/>
            <wp:effectExtent l="0" t="0" r="0" b="7620"/>
            <wp:docPr id="10" name="Picture 1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Map&#10;&#10;Description automatically generated"/>
                    <pic:cNvPicPr/>
                  </pic:nvPicPr>
                  <pic:blipFill>
                    <a:blip r:embed="rId9"/>
                    <a:stretch>
                      <a:fillRect/>
                    </a:stretch>
                  </pic:blipFill>
                  <pic:spPr>
                    <a:xfrm>
                      <a:off x="0" y="0"/>
                      <a:ext cx="4170054" cy="3031325"/>
                    </a:xfrm>
                    <a:prstGeom prst="rect">
                      <a:avLst/>
                    </a:prstGeom>
                  </pic:spPr>
                </pic:pic>
              </a:graphicData>
            </a:graphic>
          </wp:inline>
        </w:drawing>
      </w:r>
    </w:p>
    <w:p w14:paraId="5157494B" w14:textId="5E5938C4" w:rsidR="00D902E8" w:rsidRDefault="00753AF5" w:rsidP="00753AF5">
      <w:pPr>
        <w:pStyle w:val="Caption"/>
        <w:rPr>
          <w:noProof/>
        </w:rPr>
      </w:pPr>
      <w:r>
        <w:t xml:space="preserve">Figure 2 a map of the Mediterranean displaying the sites of </w:t>
      </w:r>
      <w:proofErr w:type="spellStart"/>
      <w:r>
        <w:t>enkomi</w:t>
      </w:r>
      <w:proofErr w:type="spellEnd"/>
      <w:r>
        <w:t xml:space="preserve"> and </w:t>
      </w:r>
      <w:proofErr w:type="spellStart"/>
      <w:r>
        <w:t>Hala</w:t>
      </w:r>
      <w:proofErr w:type="spellEnd"/>
      <w:r>
        <w:t xml:space="preserve"> sultan Tekke (Fischer, Peter M., and Teresa </w:t>
      </w:r>
      <w:proofErr w:type="spellStart"/>
      <w:r>
        <w:t>Bürge</w:t>
      </w:r>
      <w:proofErr w:type="spellEnd"/>
      <w:r>
        <w:t>. 2017)</w:t>
      </w:r>
    </w:p>
    <w:p w14:paraId="19F8D2C7" w14:textId="7A372E08" w:rsidR="000B4197" w:rsidRDefault="00443A65">
      <w:pPr>
        <w:rPr>
          <w:noProof/>
        </w:rPr>
      </w:pPr>
      <w:r>
        <w:rPr>
          <w:noProof/>
        </w:rPr>
        <w:lastRenderedPageBreak/>
        <w:t>T</w:t>
      </w:r>
      <w:r w:rsidRPr="00443A65">
        <w:rPr>
          <w:noProof/>
        </w:rPr>
        <w:t>hese tombs full of worldly goods are typical examples of the value placed on trade material and presenting this port as a significant trade centre (Åström, 1976–2007). This exotica collection indicated this society based on trade rather than material production and processing, like Enkomi and became more closely structured as a B type port. There seems to be much foreign influence and acts as a more independently-run city-state</w:t>
      </w:r>
      <w:r w:rsidR="00B40C7B" w:rsidRPr="00B40C7B">
        <w:t xml:space="preserve"> </w:t>
      </w:r>
      <w:r w:rsidR="00B40C7B">
        <w:t>(</w:t>
      </w:r>
      <w:r w:rsidR="00B40C7B" w:rsidRPr="00B40C7B">
        <w:rPr>
          <w:noProof/>
        </w:rPr>
        <w:t>Polanyi</w:t>
      </w:r>
      <w:r w:rsidR="00B40C7B">
        <w:rPr>
          <w:noProof/>
        </w:rPr>
        <w:t xml:space="preserve">, </w:t>
      </w:r>
      <w:r w:rsidR="00B40C7B" w:rsidRPr="00B40C7B">
        <w:rPr>
          <w:noProof/>
        </w:rPr>
        <w:t>1963</w:t>
      </w:r>
      <w:r w:rsidR="00B40C7B">
        <w:rPr>
          <w:noProof/>
        </w:rPr>
        <w:t>)</w:t>
      </w:r>
      <w:r w:rsidRPr="00443A65">
        <w:rPr>
          <w:noProof/>
        </w:rPr>
        <w:t>.</w:t>
      </w:r>
    </w:p>
    <w:p w14:paraId="62CC6F2E" w14:textId="77777777" w:rsidR="00D15F8F" w:rsidRPr="00CC7FF6" w:rsidRDefault="000B4197">
      <w:pPr>
        <w:rPr>
          <w:b/>
          <w:bCs/>
          <w:noProof/>
        </w:rPr>
      </w:pPr>
      <w:r w:rsidRPr="00CC7FF6">
        <w:rPr>
          <w:b/>
          <w:bCs/>
          <w:noProof/>
        </w:rPr>
        <w:t>Presentation of data</w:t>
      </w:r>
    </w:p>
    <w:p w14:paraId="09B0CF0F" w14:textId="77777777" w:rsidR="001C03B3" w:rsidRDefault="00D15F8F" w:rsidP="001C03B3">
      <w:pPr>
        <w:keepNext/>
      </w:pPr>
      <w:r w:rsidRPr="00C15697">
        <w:rPr>
          <w:noProof/>
        </w:rPr>
        <w:drawing>
          <wp:inline distT="0" distB="0" distL="0" distR="0" wp14:anchorId="5042CB40" wp14:editId="75D48A7A">
            <wp:extent cx="4724400" cy="2661214"/>
            <wp:effectExtent l="0" t="0" r="0" b="6350"/>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10"/>
                    <a:stretch>
                      <a:fillRect/>
                    </a:stretch>
                  </pic:blipFill>
                  <pic:spPr>
                    <a:xfrm>
                      <a:off x="0" y="0"/>
                      <a:ext cx="4758604" cy="2680481"/>
                    </a:xfrm>
                    <a:prstGeom prst="rect">
                      <a:avLst/>
                    </a:prstGeom>
                  </pic:spPr>
                </pic:pic>
              </a:graphicData>
            </a:graphic>
          </wp:inline>
        </w:drawing>
      </w:r>
    </w:p>
    <w:p w14:paraId="0FD57DD4" w14:textId="669F4E36" w:rsidR="000B4197" w:rsidRDefault="001C03B3" w:rsidP="001C03B3">
      <w:pPr>
        <w:pStyle w:val="Caption"/>
        <w:rPr>
          <w:noProof/>
        </w:rPr>
      </w:pPr>
      <w:r>
        <w:t xml:space="preserve">Table </w:t>
      </w:r>
      <w:r w:rsidR="00CF7D60">
        <w:fldChar w:fldCharType="begin"/>
      </w:r>
      <w:r w:rsidR="00CF7D60">
        <w:instrText xml:space="preserve"> SEQ Table \* ARABIC </w:instrText>
      </w:r>
      <w:r w:rsidR="00CF7D60">
        <w:fldChar w:fldCharType="separate"/>
      </w:r>
      <w:r>
        <w:rPr>
          <w:noProof/>
        </w:rPr>
        <w:t>1</w:t>
      </w:r>
      <w:r w:rsidR="00CF7D60">
        <w:rPr>
          <w:noProof/>
        </w:rPr>
        <w:fldChar w:fldCharType="end"/>
      </w:r>
      <w:r w:rsidRPr="00E322AA">
        <w:t xml:space="preserve"> a chart depicting the lengths and widths from a number of blades in the British Museum from </w:t>
      </w:r>
      <w:proofErr w:type="spellStart"/>
      <w:r w:rsidRPr="00E322AA">
        <w:t>Hala</w:t>
      </w:r>
      <w:proofErr w:type="spellEnd"/>
      <w:r w:rsidRPr="00E322AA">
        <w:t xml:space="preserve"> sultan Tekke</w:t>
      </w:r>
    </w:p>
    <w:p w14:paraId="297F5856" w14:textId="035A6674" w:rsidR="00634C16" w:rsidRDefault="00634C16" w:rsidP="00634C16">
      <w:pPr>
        <w:keepNext/>
      </w:pPr>
      <w:r>
        <w:t xml:space="preserve">Table 1, seen above, presents these </w:t>
      </w:r>
      <w:proofErr w:type="spellStart"/>
      <w:r>
        <w:t>Hala</w:t>
      </w:r>
      <w:proofErr w:type="spellEnd"/>
      <w:r>
        <w:t xml:space="preserve"> Sultan tekke blades having a clear as recorded by the British Museum. It can be noted there is a clear theme unless they have broken in which it has been estimated they would all be around the same size. However, this does determine that this society, whilst new and partially in its infancy, is clear to see that it does have a style of blade form that represents its usage and development for the site.</w:t>
      </w:r>
    </w:p>
    <w:p w14:paraId="2BF5F583" w14:textId="15D8698D" w:rsidR="00DD6444" w:rsidRDefault="00D15F8F" w:rsidP="001C03B3">
      <w:pPr>
        <w:keepNext/>
      </w:pPr>
      <w:r w:rsidRPr="00C15697">
        <w:rPr>
          <w:noProof/>
        </w:rPr>
        <w:drawing>
          <wp:inline distT="0" distB="0" distL="0" distR="0" wp14:anchorId="7A25BE7D" wp14:editId="0244D6A7">
            <wp:extent cx="4486275" cy="2753743"/>
            <wp:effectExtent l="0" t="0" r="0" b="889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11"/>
                    <a:stretch>
                      <a:fillRect/>
                    </a:stretch>
                  </pic:blipFill>
                  <pic:spPr>
                    <a:xfrm>
                      <a:off x="0" y="0"/>
                      <a:ext cx="4491935" cy="2757217"/>
                    </a:xfrm>
                    <a:prstGeom prst="rect">
                      <a:avLst/>
                    </a:prstGeom>
                  </pic:spPr>
                </pic:pic>
              </a:graphicData>
            </a:graphic>
          </wp:inline>
        </w:drawing>
      </w:r>
    </w:p>
    <w:p w14:paraId="6B1584FA" w14:textId="2A55FA39" w:rsidR="000B4197" w:rsidRDefault="001C03B3" w:rsidP="001C03B3">
      <w:pPr>
        <w:pStyle w:val="Caption"/>
      </w:pPr>
      <w:r>
        <w:t xml:space="preserve">Table </w:t>
      </w:r>
      <w:r w:rsidR="00CF7D60">
        <w:fldChar w:fldCharType="begin"/>
      </w:r>
      <w:r w:rsidR="00CF7D60">
        <w:instrText xml:space="preserve"> SEQ Table \* ARABIC </w:instrText>
      </w:r>
      <w:r w:rsidR="00CF7D60">
        <w:fldChar w:fldCharType="separate"/>
      </w:r>
      <w:r>
        <w:rPr>
          <w:noProof/>
        </w:rPr>
        <w:t>2</w:t>
      </w:r>
      <w:r w:rsidR="00CF7D60">
        <w:rPr>
          <w:noProof/>
        </w:rPr>
        <w:fldChar w:fldCharType="end"/>
      </w:r>
      <w:r>
        <w:t xml:space="preserve"> </w:t>
      </w:r>
      <w:r w:rsidRPr="00785A11">
        <w:t>a chart depicting the lengths</w:t>
      </w:r>
      <w:r>
        <w:t xml:space="preserve">, </w:t>
      </w:r>
      <w:r w:rsidRPr="00785A11">
        <w:t>widths,</w:t>
      </w:r>
      <w:r>
        <w:t xml:space="preserve"> and thicknesses </w:t>
      </w:r>
      <w:r w:rsidRPr="00785A11">
        <w:t>from a number of blades in the British Museum from</w:t>
      </w:r>
      <w:r>
        <w:t xml:space="preserve"> </w:t>
      </w:r>
      <w:proofErr w:type="spellStart"/>
      <w:r>
        <w:t>Enkomi</w:t>
      </w:r>
      <w:proofErr w:type="spellEnd"/>
    </w:p>
    <w:p w14:paraId="3F6D38CB" w14:textId="1C749890" w:rsidR="00DD6444" w:rsidRDefault="00DD6444" w:rsidP="00DD6444">
      <w:r w:rsidRPr="00DD6444">
        <w:lastRenderedPageBreak/>
        <w:t xml:space="preserve">However, table 2, presents an analysis of the different dimensions of the blade from the tombs of </w:t>
      </w:r>
      <w:proofErr w:type="spellStart"/>
      <w:r w:rsidRPr="00DD6444">
        <w:t>Enkomi</w:t>
      </w:r>
      <w:proofErr w:type="spellEnd"/>
      <w:r w:rsidRPr="00DD6444">
        <w:t>. The evidence presented in chart one demonstrates a clear theme for the blade dimensions with a length from 20 - 15 cm, a width of 2-3 cm, and a thickness of 1 - 0.3 cm. these continuous and regular dimensions form a stable shape that does not come from artisan work but a regulated system of form. This evident stability in a blade form, and whilst some of them are not cast but hammered, indicates that this is not just mass production but an active process.</w:t>
      </w:r>
    </w:p>
    <w:p w14:paraId="2943ECAB" w14:textId="4C34842E" w:rsidR="00DE68BE" w:rsidRDefault="00DE68BE">
      <w:pPr>
        <w:rPr>
          <w:noProof/>
        </w:rPr>
      </w:pPr>
      <w:r w:rsidRPr="00DE68BE">
        <w:rPr>
          <w:noProof/>
        </w:rPr>
        <w:t>The shaping of the blade itself, as seen with figure 3 and 6, presents a long blade double-edged with a taper in the middle almost perfectly straight, only slightly moving outwards at the end until flattening out and forming a natural guard through the shape of the blade was there does not appear to be attacking the small section could be used to affix to a material for a handle. This form can also be seen in both examples from Enkomi and in figure 5 from Hala sultan tekke this similarity in shape indicates an active process to conform to a standard of some type. inicating a stable trade between these citys leading to a form that is agreeable to both cultures</w:t>
      </w:r>
      <w:r w:rsidR="00B40C7B">
        <w:rPr>
          <w:noProof/>
        </w:rPr>
        <w:t xml:space="preserve"> (</w:t>
      </w:r>
      <w:proofErr w:type="spellStart"/>
      <w:r w:rsidR="00B40C7B">
        <w:t>Belgiorno</w:t>
      </w:r>
      <w:proofErr w:type="spellEnd"/>
      <w:r w:rsidR="00B40C7B">
        <w:t>, 2004</w:t>
      </w:r>
      <w:r w:rsidR="00B40C7B">
        <w:rPr>
          <w:noProof/>
        </w:rPr>
        <w:t>)</w:t>
      </w:r>
      <w:r w:rsidRPr="00DE68BE">
        <w:rPr>
          <w:noProof/>
        </w:rPr>
        <w:t>.</w:t>
      </w:r>
      <w:r w:rsidR="005A65D0" w:rsidRPr="005A65D0">
        <w:rPr>
          <w:noProof/>
        </w:rPr>
        <w:t xml:space="preserve"> </w:t>
      </w:r>
      <w:r w:rsidR="005A65D0">
        <w:rPr>
          <w:noProof/>
        </w:rPr>
        <w:drawing>
          <wp:inline distT="0" distB="0" distL="0" distR="0" wp14:anchorId="2FD7A8B8" wp14:editId="7F70574F">
            <wp:extent cx="964417" cy="3100705"/>
            <wp:effectExtent l="0" t="1588" r="6033" b="6032"/>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l="43451" t="3258" r="43181" b="7492"/>
                    <a:stretch/>
                  </pic:blipFill>
                  <pic:spPr bwMode="auto">
                    <a:xfrm rot="16200000">
                      <a:off x="0" y="0"/>
                      <a:ext cx="965850" cy="3105312"/>
                    </a:xfrm>
                    <a:prstGeom prst="rect">
                      <a:avLst/>
                    </a:prstGeom>
                    <a:noFill/>
                    <a:ln>
                      <a:noFill/>
                    </a:ln>
                    <a:extLst>
                      <a:ext uri="{53640926-AAD7-44D8-BBD7-CCE9431645EC}">
                        <a14:shadowObscured xmlns:a14="http://schemas.microsoft.com/office/drawing/2010/main"/>
                      </a:ext>
                    </a:extLst>
                  </pic:spPr>
                </pic:pic>
              </a:graphicData>
            </a:graphic>
          </wp:inline>
        </w:drawing>
      </w:r>
    </w:p>
    <w:p w14:paraId="75B905B3" w14:textId="0CAFD45F" w:rsidR="005A65D0" w:rsidRDefault="005A65D0" w:rsidP="005A65D0">
      <w:pPr>
        <w:pStyle w:val="Caption"/>
        <w:rPr>
          <w:noProof/>
        </w:rPr>
      </w:pPr>
      <w:r>
        <w:t xml:space="preserve">Figure 3 an image of a bronze dagger from </w:t>
      </w:r>
      <w:proofErr w:type="spellStart"/>
      <w:r>
        <w:t>enkomi</w:t>
      </w:r>
      <w:proofErr w:type="spellEnd"/>
      <w:r>
        <w:t xml:space="preserve"> from the early Cypriot </w:t>
      </w:r>
      <w:r>
        <w:t>III (</w:t>
      </w:r>
      <w:r w:rsidRPr="003C638A">
        <w:t>Crewe</w:t>
      </w:r>
      <w:r>
        <w:t>,</w:t>
      </w:r>
      <w:r w:rsidRPr="003C638A">
        <w:t xml:space="preserve"> 2009</w:t>
      </w:r>
      <w:r>
        <w:t>)</w:t>
      </w:r>
    </w:p>
    <w:p w14:paraId="7629F83B" w14:textId="3A29061C" w:rsidR="001464FE" w:rsidRPr="001464FE" w:rsidRDefault="00DE68BE">
      <w:pPr>
        <w:rPr>
          <w:noProof/>
        </w:rPr>
      </w:pPr>
      <w:r>
        <w:rPr>
          <w:noProof/>
        </w:rPr>
        <w:t>I</w:t>
      </w:r>
      <w:r w:rsidR="00B7611E" w:rsidRPr="00B7611E">
        <w:rPr>
          <w:noProof/>
        </w:rPr>
        <w:t>t can be noted that the tombs these knives were excavated from play a role in the interpretations of the data as seen at Tomb 66 seen in area 23 of figure 1 at Enkomi. Tomb 66 is the only tomb of either tholos or built type found intact and remains one of the wealthiest known from the site. The grave goods provide a date range for the Late Cypriot (1650–1050 B.C.E) for a large arrange of materials but most notably for this report knives (Crewe 2009). Crewe surmises the most intriguing features are five bronze nails and a copper lamp found in situ driven into the gaps between the stone blocks on the walls of the tomb’s interior and the number of bronze knives seen in one tomb</w:t>
      </w:r>
      <w:r w:rsidR="0010516D">
        <w:rPr>
          <w:noProof/>
        </w:rPr>
        <w:t xml:space="preserve"> </w:t>
      </w:r>
      <w:r w:rsidR="00B7611E" w:rsidRPr="00B7611E">
        <w:rPr>
          <w:noProof/>
        </w:rPr>
        <w:t>(Crewe</w:t>
      </w:r>
      <w:r w:rsidR="0010516D">
        <w:rPr>
          <w:noProof/>
        </w:rPr>
        <w:t>,</w:t>
      </w:r>
      <w:r w:rsidR="00B7611E" w:rsidRPr="00B7611E">
        <w:rPr>
          <w:noProof/>
        </w:rPr>
        <w:t xml:space="preserve"> 2009).</w:t>
      </w:r>
    </w:p>
    <w:p w14:paraId="68BC8116" w14:textId="78BEEB9C" w:rsidR="000B4197" w:rsidRDefault="000B4197">
      <w:pPr>
        <w:rPr>
          <w:b/>
          <w:bCs/>
          <w:noProof/>
        </w:rPr>
      </w:pPr>
      <w:r w:rsidRPr="00CC7FF6">
        <w:rPr>
          <w:b/>
          <w:bCs/>
          <w:noProof/>
        </w:rPr>
        <w:t xml:space="preserve">Interpresation of data </w:t>
      </w:r>
    </w:p>
    <w:p w14:paraId="350C3B29" w14:textId="1C2DC5F7" w:rsidR="001C03B3" w:rsidRDefault="00D15F8F" w:rsidP="001C03B3">
      <w:pPr>
        <w:keepNext/>
      </w:pPr>
      <w:r>
        <w:rPr>
          <w:noProof/>
        </w:rPr>
        <w:drawing>
          <wp:inline distT="0" distB="0" distL="0" distR="0" wp14:anchorId="310798A5" wp14:editId="5165F0F8">
            <wp:extent cx="5624945" cy="2166003"/>
            <wp:effectExtent l="0" t="0" r="0" b="571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3"/>
                    <a:stretch>
                      <a:fillRect/>
                    </a:stretch>
                  </pic:blipFill>
                  <pic:spPr>
                    <a:xfrm>
                      <a:off x="0" y="0"/>
                      <a:ext cx="5634168" cy="2169555"/>
                    </a:xfrm>
                    <a:prstGeom prst="rect">
                      <a:avLst/>
                    </a:prstGeom>
                  </pic:spPr>
                </pic:pic>
              </a:graphicData>
            </a:graphic>
          </wp:inline>
        </w:drawing>
      </w:r>
    </w:p>
    <w:p w14:paraId="3A3184E1" w14:textId="2C63C923" w:rsidR="00C14E6F" w:rsidRDefault="001C03B3" w:rsidP="001C03B3">
      <w:pPr>
        <w:pStyle w:val="Caption"/>
        <w:rPr>
          <w:noProof/>
        </w:rPr>
      </w:pPr>
      <w:r>
        <w:t xml:space="preserve">Table </w:t>
      </w:r>
      <w:r w:rsidR="00CF7D60">
        <w:fldChar w:fldCharType="begin"/>
      </w:r>
      <w:r w:rsidR="00CF7D60">
        <w:instrText xml:space="preserve"> SEQ Table \* ARABIC </w:instrText>
      </w:r>
      <w:r w:rsidR="00CF7D60">
        <w:fldChar w:fldCharType="separate"/>
      </w:r>
      <w:r>
        <w:rPr>
          <w:noProof/>
        </w:rPr>
        <w:t>3</w:t>
      </w:r>
      <w:r w:rsidR="00CF7D60">
        <w:rPr>
          <w:noProof/>
        </w:rPr>
        <w:fldChar w:fldCharType="end"/>
      </w:r>
      <w:r>
        <w:t xml:space="preserve"> </w:t>
      </w:r>
      <w:r w:rsidRPr="00856E19">
        <w:t>depict</w:t>
      </w:r>
      <w:r>
        <w:t>s</w:t>
      </w:r>
      <w:r w:rsidRPr="00856E19">
        <w:t xml:space="preserve"> the lengths, widths, and thicknesses from a number of blades in the British Museum from </w:t>
      </w:r>
      <w:proofErr w:type="spellStart"/>
      <w:r w:rsidRPr="00856E19">
        <w:t>Enkomi</w:t>
      </w:r>
      <w:proofErr w:type="spellEnd"/>
    </w:p>
    <w:p w14:paraId="6453AF51" w14:textId="78936008" w:rsidR="005A65D0" w:rsidRDefault="0010516D" w:rsidP="001C03B3">
      <w:pPr>
        <w:keepNext/>
      </w:pPr>
      <w:r>
        <w:lastRenderedPageBreak/>
        <w:t xml:space="preserve">These tables present that </w:t>
      </w:r>
      <w:r w:rsidR="005A65D0" w:rsidRPr="005A65D0">
        <w:t>whilst all of these artefacts are all the same material of bronze, some do not conform to a similar age made later, and earlier some were coming in at 1454 for tekke where others are moving into the 1050 BC. Suggesting a precise length of time that these blades were in practice and showing very little physical change between the East dates showing a massive length of time that these two cultures interacted or traded in metals and weapon production</w:t>
      </w:r>
      <w:r w:rsidR="00340342">
        <w:t xml:space="preserve"> (</w:t>
      </w:r>
      <w:proofErr w:type="spellStart"/>
      <w:r w:rsidR="00340342">
        <w:t>Keswani</w:t>
      </w:r>
      <w:proofErr w:type="spellEnd"/>
      <w:r w:rsidR="00340342">
        <w:t>, 2005</w:t>
      </w:r>
      <w:r w:rsidR="00340342">
        <w:t>)</w:t>
      </w:r>
      <w:r w:rsidR="005A65D0" w:rsidRPr="005A65D0">
        <w:t>.</w:t>
      </w:r>
    </w:p>
    <w:p w14:paraId="5DAFD016" w14:textId="19BC3541" w:rsidR="001C03B3" w:rsidRDefault="00D15F8F" w:rsidP="001C03B3">
      <w:pPr>
        <w:keepNext/>
      </w:pPr>
      <w:r w:rsidRPr="00C15697">
        <w:rPr>
          <w:noProof/>
        </w:rPr>
        <w:drawing>
          <wp:inline distT="0" distB="0" distL="0" distR="0" wp14:anchorId="33F54F28" wp14:editId="53B209C0">
            <wp:extent cx="5359400" cy="1117600"/>
            <wp:effectExtent l="0" t="0" r="0" b="6350"/>
            <wp:docPr id="2" name="Picture 2"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able&#10;&#10;Description automatically generated"/>
                    <pic:cNvPicPr/>
                  </pic:nvPicPr>
                  <pic:blipFill>
                    <a:blip r:embed="rId14"/>
                    <a:stretch>
                      <a:fillRect/>
                    </a:stretch>
                  </pic:blipFill>
                  <pic:spPr>
                    <a:xfrm>
                      <a:off x="0" y="0"/>
                      <a:ext cx="5369878" cy="1119785"/>
                    </a:xfrm>
                    <a:prstGeom prst="rect">
                      <a:avLst/>
                    </a:prstGeom>
                  </pic:spPr>
                </pic:pic>
              </a:graphicData>
            </a:graphic>
          </wp:inline>
        </w:drawing>
      </w:r>
    </w:p>
    <w:p w14:paraId="13A89FF0" w14:textId="2A3B7D15" w:rsidR="00C14E6F" w:rsidRDefault="001C03B3" w:rsidP="001C03B3">
      <w:pPr>
        <w:pStyle w:val="Caption"/>
        <w:rPr>
          <w:noProof/>
        </w:rPr>
      </w:pPr>
      <w:r>
        <w:t xml:space="preserve">Table </w:t>
      </w:r>
      <w:r w:rsidR="00CF7D60">
        <w:fldChar w:fldCharType="begin"/>
      </w:r>
      <w:r w:rsidR="00CF7D60">
        <w:instrText xml:space="preserve"> SEQ Table \* ARABIC </w:instrText>
      </w:r>
      <w:r w:rsidR="00CF7D60">
        <w:fldChar w:fldCharType="separate"/>
      </w:r>
      <w:r>
        <w:rPr>
          <w:noProof/>
        </w:rPr>
        <w:t>4</w:t>
      </w:r>
      <w:r w:rsidR="00CF7D60">
        <w:rPr>
          <w:noProof/>
        </w:rPr>
        <w:fldChar w:fldCharType="end"/>
      </w:r>
      <w:r>
        <w:t xml:space="preserve"> </w:t>
      </w:r>
      <w:r w:rsidRPr="00C7655E">
        <w:t>depic</w:t>
      </w:r>
      <w:r>
        <w:t xml:space="preserve">ts </w:t>
      </w:r>
      <w:r w:rsidRPr="00C7655E">
        <w:t xml:space="preserve">the lengths and widths from a number of blades in the British Museum from </w:t>
      </w:r>
      <w:proofErr w:type="spellStart"/>
      <w:r w:rsidRPr="00C7655E">
        <w:t>Hala</w:t>
      </w:r>
      <w:proofErr w:type="spellEnd"/>
      <w:r w:rsidRPr="00C7655E">
        <w:t xml:space="preserve"> sultan Tekke</w:t>
      </w:r>
    </w:p>
    <w:p w14:paraId="6509E273" w14:textId="2257629F" w:rsidR="005A65D0" w:rsidRPr="007E4473" w:rsidRDefault="000B4197" w:rsidP="00C14E6F">
      <w:pPr>
        <w:rPr>
          <w:b/>
          <w:bCs/>
          <w:noProof/>
        </w:rPr>
      </w:pPr>
      <w:r w:rsidRPr="00CC7FF6">
        <w:rPr>
          <w:b/>
          <w:bCs/>
          <w:noProof/>
        </w:rPr>
        <w:t>Descussion</w:t>
      </w:r>
    </w:p>
    <w:p w14:paraId="2F8DAEBA" w14:textId="3B9AE363" w:rsidR="003F5B33" w:rsidRDefault="00AD20CF" w:rsidP="003F5B33">
      <w:pPr>
        <w:rPr>
          <w:noProof/>
        </w:rPr>
      </w:pPr>
      <w:r>
        <w:rPr>
          <w:noProof/>
        </w:rPr>
        <w:t xml:space="preserve">From this evidence, it can be reasoned that there could be a clear connection between these two sites, as though the use of bronze blade analysis from the mid to late Bronze age in Cyprus it can be determined that there is a physical connection due to the similarity between these two </w:t>
      </w:r>
      <w:r w:rsidR="005A469A">
        <w:rPr>
          <w:noProof/>
        </w:rPr>
        <w:t>blade cultures</w:t>
      </w:r>
      <w:r>
        <w:rPr>
          <w:noProof/>
        </w:rPr>
        <w:t>.</w:t>
      </w:r>
    </w:p>
    <w:p w14:paraId="3256ED34" w14:textId="2AAD7768" w:rsidR="00AD20CF" w:rsidRDefault="00AD20CF" w:rsidP="00AD20CF">
      <w:pPr>
        <w:rPr>
          <w:noProof/>
        </w:rPr>
      </w:pPr>
      <w:r>
        <w:rPr>
          <w:noProof/>
        </w:rPr>
        <w:drawing>
          <wp:inline distT="0" distB="0" distL="0" distR="0" wp14:anchorId="115A896F" wp14:editId="59572583">
            <wp:extent cx="1574800" cy="3409950"/>
            <wp:effectExtent l="0" t="3175" r="3175" b="3175"/>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l="39608" t="7968" r="40941" b="4714"/>
                    <a:stretch/>
                  </pic:blipFill>
                  <pic:spPr bwMode="auto">
                    <a:xfrm rot="5400000">
                      <a:off x="0" y="0"/>
                      <a:ext cx="1574800" cy="3409950"/>
                    </a:xfrm>
                    <a:prstGeom prst="rect">
                      <a:avLst/>
                    </a:prstGeom>
                    <a:noFill/>
                    <a:ln>
                      <a:noFill/>
                    </a:ln>
                    <a:extLst>
                      <a:ext uri="{53640926-AAD7-44D8-BBD7-CCE9431645EC}">
                        <a14:shadowObscured xmlns:a14="http://schemas.microsoft.com/office/drawing/2010/main"/>
                      </a:ext>
                    </a:extLst>
                  </pic:spPr>
                </pic:pic>
              </a:graphicData>
            </a:graphic>
          </wp:inline>
        </w:drawing>
      </w:r>
    </w:p>
    <w:p w14:paraId="634A1732" w14:textId="5C98F470" w:rsidR="00AD20CF" w:rsidRDefault="00AD20CF" w:rsidP="00AD20CF">
      <w:pPr>
        <w:pStyle w:val="Caption"/>
        <w:rPr>
          <w:noProof/>
        </w:rPr>
      </w:pPr>
      <w:r>
        <w:t>Figure 4 an image of a curved and single bladed and found in Greece from the late Helladic III and originated from Cyprus (</w:t>
      </w:r>
      <w:r w:rsidRPr="001A17FA">
        <w:t>Crewe, 2009</w:t>
      </w:r>
      <w:r>
        <w:t>)</w:t>
      </w:r>
    </w:p>
    <w:p w14:paraId="635FA41A" w14:textId="6732CFF4" w:rsidR="003F5B33" w:rsidRDefault="003F5B33" w:rsidP="00AD20CF">
      <w:pPr>
        <w:rPr>
          <w:noProof/>
        </w:rPr>
      </w:pPr>
      <w:r>
        <w:rPr>
          <w:noProof/>
        </w:rPr>
        <w:t>However, while this proves a form of connection through evidence, it does not prove the level of connection to produce a narrative. Examples from Cyprus and Enkomi demonstrate dynamic adaption to other cultures through trade</w:t>
      </w:r>
      <w:r w:rsidR="00C50AA4">
        <w:rPr>
          <w:noProof/>
        </w:rPr>
        <w:t xml:space="preserve"> (</w:t>
      </w:r>
      <w:r w:rsidR="00C50AA4">
        <w:t>Muhly,</w:t>
      </w:r>
      <w:r w:rsidR="00C50AA4">
        <w:t xml:space="preserve"> </w:t>
      </w:r>
      <w:r w:rsidR="00C50AA4">
        <w:t>2003)</w:t>
      </w:r>
      <w:r>
        <w:rPr>
          <w:noProof/>
        </w:rPr>
        <w:t>. Such as the previously mentioned Mycenean pottery. Nevertheless, most notably is the blade seen in figure 4, an example of a knife found in Greece from Hellenistic I (Cyprus II) but formed and hammered in Cyprus. However, this artefact presents an active Hybreadisation of Enkomi metalwork and Mycenaean cultural preferences, most likely for gift exchange. However, it could indicate that rather the active standardisation of a blade form but as stated by ‘maritime connectivity is an inherently social activity and that multiple interlocking and overlapping networks connected a culturally diverse prehistoric Mediterranean’ (Knapp &amp; Russell &amp; Van Dommelen, 2022). The theory of entanglement furthers this by Knapp (2008) and Bhabha (2007), indicating a favoured form of the knife for Cyprus that survived but many lost  (Pickles &amp; Peltenburg, 1998). overall a close trade connection between the two with metallurgical trade and development of Cyprus as a whole indicates this is a trade for the value of the knives from a metalogical centre rather than a cultural connection (Knapp &amp; Bernard, 2008).</w:t>
      </w:r>
    </w:p>
    <w:p w14:paraId="54627469" w14:textId="77777777" w:rsidR="00501ACA" w:rsidRDefault="00D15F8F" w:rsidP="00501ACA">
      <w:pPr>
        <w:keepNext/>
      </w:pPr>
      <w:r>
        <w:rPr>
          <w:noProof/>
        </w:rPr>
        <w:lastRenderedPageBreak/>
        <w:drawing>
          <wp:inline distT="0" distB="0" distL="0" distR="0" wp14:anchorId="2E11CC8E" wp14:editId="0B68E470">
            <wp:extent cx="3105150" cy="2164011"/>
            <wp:effectExtent l="0" t="0" r="0" b="8255"/>
            <wp:docPr id="8" name="Picture 8" descr="A close-up of a cig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up of a cigar&#10;&#10;Description automatically generated with low confidence"/>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3373" t="8672" r="22851" b="13631"/>
                    <a:stretch/>
                  </pic:blipFill>
                  <pic:spPr bwMode="auto">
                    <a:xfrm>
                      <a:off x="0" y="0"/>
                      <a:ext cx="3129200" cy="2180771"/>
                    </a:xfrm>
                    <a:prstGeom prst="rect">
                      <a:avLst/>
                    </a:prstGeom>
                    <a:noFill/>
                    <a:ln>
                      <a:noFill/>
                    </a:ln>
                    <a:extLst>
                      <a:ext uri="{53640926-AAD7-44D8-BBD7-CCE9431645EC}">
                        <a14:shadowObscured xmlns:a14="http://schemas.microsoft.com/office/drawing/2010/main"/>
                      </a:ext>
                    </a:extLst>
                  </pic:spPr>
                </pic:pic>
              </a:graphicData>
            </a:graphic>
          </wp:inline>
        </w:drawing>
      </w:r>
    </w:p>
    <w:p w14:paraId="6018C7C5" w14:textId="2CDB5319" w:rsidR="00501ACA" w:rsidRDefault="00501ACA" w:rsidP="00501ACA">
      <w:pPr>
        <w:pStyle w:val="Caption"/>
      </w:pPr>
      <w:r>
        <w:t xml:space="preserve">Figure </w:t>
      </w:r>
      <w:r w:rsidR="00991F75">
        <w:t xml:space="preserve">5 </w:t>
      </w:r>
      <w:r>
        <w:t xml:space="preserve">an image of a bronze knife from </w:t>
      </w:r>
      <w:proofErr w:type="spellStart"/>
      <w:r>
        <w:t>Hala</w:t>
      </w:r>
      <w:proofErr w:type="spellEnd"/>
      <w:r>
        <w:t xml:space="preserve"> sultan Tekke but originated in Cyprus</w:t>
      </w:r>
      <w:r>
        <w:rPr>
          <w:noProof/>
        </w:rPr>
        <w:t xml:space="preserve"> (</w:t>
      </w:r>
      <w:r w:rsidRPr="00362733">
        <w:rPr>
          <w:noProof/>
        </w:rPr>
        <w:t>Kiely,</w:t>
      </w:r>
      <w:r>
        <w:rPr>
          <w:noProof/>
        </w:rPr>
        <w:t xml:space="preserve"> </w:t>
      </w:r>
      <w:r w:rsidRPr="00362733">
        <w:rPr>
          <w:noProof/>
        </w:rPr>
        <w:t>2011</w:t>
      </w:r>
      <w:r>
        <w:rPr>
          <w:noProof/>
        </w:rPr>
        <w:t>)</w:t>
      </w:r>
    </w:p>
    <w:p w14:paraId="46054C6B" w14:textId="3804A8E3" w:rsidR="005A469A" w:rsidRDefault="005A469A" w:rsidP="005A469A">
      <w:pPr>
        <w:keepNext/>
      </w:pPr>
      <w:r>
        <w:t>The appearance of imported artefacts signified an extended network of relationships and was noted during a funeral. Many objects interact with the environment, specifically light, in which reflection and refraction could produce a multifaceted funeral involving cultural entanglement and social. This would raise the meaning of the knives due to their placement in the tomb and create a culture and meaning around their use and value</w:t>
      </w:r>
      <w:r w:rsidR="00340342">
        <w:t xml:space="preserve"> (</w:t>
      </w:r>
      <w:proofErr w:type="spellStart"/>
      <w:r w:rsidR="00340342">
        <w:t>Keswani</w:t>
      </w:r>
      <w:proofErr w:type="spellEnd"/>
      <w:r w:rsidR="00340342">
        <w:t>, 2005</w:t>
      </w:r>
      <w:r w:rsidR="00340342">
        <w:t>)</w:t>
      </w:r>
      <w:r>
        <w:t>.</w:t>
      </w:r>
      <w:r>
        <w:t xml:space="preserve"> T</w:t>
      </w:r>
      <w:r>
        <w:t xml:space="preserve">he mortuary </w:t>
      </w:r>
      <w:r>
        <w:t>connections</w:t>
      </w:r>
      <w:r>
        <w:t>, perhaps perpetuating solidifying social, trade and political networks the deceased had been involved with in life, as evidenced through the appearance of rich material goods</w:t>
      </w:r>
      <w:r>
        <w:t xml:space="preserve"> (</w:t>
      </w:r>
      <w:r>
        <w:t>Crewe</w:t>
      </w:r>
      <w:r>
        <w:t xml:space="preserve">, </w:t>
      </w:r>
      <w:r>
        <w:t>2007</w:t>
      </w:r>
      <w:r>
        <w:t>).</w:t>
      </w:r>
    </w:p>
    <w:p w14:paraId="15B88008" w14:textId="347C4B5F" w:rsidR="005A469A" w:rsidRDefault="005A469A" w:rsidP="005A469A">
      <w:pPr>
        <w:keepNext/>
      </w:pPr>
      <w:r>
        <w:rPr>
          <w:noProof/>
        </w:rPr>
        <w:drawing>
          <wp:inline distT="0" distB="0" distL="0" distR="0" wp14:anchorId="2EB01223" wp14:editId="33B4A720">
            <wp:extent cx="1154157" cy="3078000"/>
            <wp:effectExtent l="0" t="9525" r="0" b="0"/>
            <wp:docPr id="6" name="Picture 6" descr="A close-up of a vege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a vegetable&#10;&#10;Description automatically generated with low confidence"/>
                    <pic:cNvPicPr>
                      <a:picLocks noChangeAspect="1" noChangeArrowheads="1"/>
                    </pic:cNvPicPr>
                  </pic:nvPicPr>
                  <pic:blipFill rotWithShape="1">
                    <a:blip r:embed="rId17">
                      <a:extLst>
                        <a:ext uri="{28A0092B-C50C-407E-A947-70E740481C1C}">
                          <a14:useLocalDpi xmlns:a14="http://schemas.microsoft.com/office/drawing/2010/main" val="0"/>
                        </a:ext>
                      </a:extLst>
                    </a:blip>
                    <a:srcRect l="41977" t="4016" r="42329" b="9213"/>
                    <a:stretch/>
                  </pic:blipFill>
                  <pic:spPr bwMode="auto">
                    <a:xfrm rot="16200000">
                      <a:off x="0" y="0"/>
                      <a:ext cx="1166865" cy="3111891"/>
                    </a:xfrm>
                    <a:prstGeom prst="rect">
                      <a:avLst/>
                    </a:prstGeom>
                    <a:noFill/>
                    <a:ln>
                      <a:noFill/>
                    </a:ln>
                    <a:extLst>
                      <a:ext uri="{53640926-AAD7-44D8-BBD7-CCE9431645EC}">
                        <a14:shadowObscured xmlns:a14="http://schemas.microsoft.com/office/drawing/2010/main"/>
                      </a:ext>
                    </a:extLst>
                  </pic:spPr>
                </pic:pic>
              </a:graphicData>
            </a:graphic>
          </wp:inline>
        </w:drawing>
      </w:r>
    </w:p>
    <w:p w14:paraId="1F643FB3" w14:textId="5D0C8B08" w:rsidR="005A469A" w:rsidRDefault="005A469A" w:rsidP="005A469A">
      <w:pPr>
        <w:pStyle w:val="Caption"/>
        <w:rPr>
          <w:noProof/>
        </w:rPr>
      </w:pPr>
      <w:r>
        <w:t xml:space="preserve">Figure 6 an image of a </w:t>
      </w:r>
      <w:proofErr w:type="gramStart"/>
      <w:r>
        <w:t>duel</w:t>
      </w:r>
      <w:proofErr w:type="gramEnd"/>
      <w:r>
        <w:t xml:space="preserve"> blade bronze dagger with no handle from </w:t>
      </w:r>
      <w:proofErr w:type="spellStart"/>
      <w:r>
        <w:t>enkomi</w:t>
      </w:r>
      <w:proofErr w:type="spellEnd"/>
      <w:r>
        <w:t xml:space="preserve"> (Cyprus)</w:t>
      </w:r>
    </w:p>
    <w:p w14:paraId="4E73013F" w14:textId="4657F59B" w:rsidR="00C14E6F" w:rsidRDefault="005A469A" w:rsidP="005A469A">
      <w:pPr>
        <w:keepNext/>
      </w:pPr>
      <w:r>
        <w:t>It cannot be determined entirely by whether or not this standardisation of knife shape seen in Figures 5 and 6 was an active act of trade or inadvertent. However, it must be noted that these blades are the staple type of the site and were culturally significant enough for tombs</w:t>
      </w:r>
      <w:r w:rsidR="00340342">
        <w:t xml:space="preserve"> (</w:t>
      </w:r>
      <w:proofErr w:type="spellStart"/>
      <w:r w:rsidR="00340342">
        <w:t>Bürge</w:t>
      </w:r>
      <w:proofErr w:type="spellEnd"/>
      <w:r w:rsidR="00340342">
        <w:t>, 2021</w:t>
      </w:r>
      <w:r w:rsidR="00340342">
        <w:t>)</w:t>
      </w:r>
      <w:r>
        <w:t xml:space="preserve">. These actions of a collection of both culture, </w:t>
      </w:r>
      <w:r>
        <w:t>politics,</w:t>
      </w:r>
      <w:r>
        <w:t xml:space="preserve"> and economic developments between these two cultures forming not only a narrative but possibly present a C-type port level of connection between these two sites. Overall, with one focused on trade, the other developments becoming regulated and controlled through the workshops in </w:t>
      </w:r>
      <w:proofErr w:type="spellStart"/>
      <w:r>
        <w:t>Enkomi</w:t>
      </w:r>
      <w:proofErr w:type="spellEnd"/>
      <w:r>
        <w:t xml:space="preserve"> acting as a more type-A port: due to the metal regulation at the mid to late bronze age forming a standard that if </w:t>
      </w:r>
      <w:proofErr w:type="spellStart"/>
      <w:r>
        <w:t>Hala</w:t>
      </w:r>
      <w:proofErr w:type="spellEnd"/>
      <w:r>
        <w:t xml:space="preserve"> Sultan Tekke wants to profit from they must also follow this regulated shaping.</w:t>
      </w:r>
    </w:p>
    <w:p w14:paraId="2BDCF85F" w14:textId="1C89C640" w:rsidR="000B4197" w:rsidRPr="00CC7FF6" w:rsidRDefault="000B4197">
      <w:pPr>
        <w:rPr>
          <w:b/>
          <w:bCs/>
          <w:noProof/>
        </w:rPr>
      </w:pPr>
      <w:r w:rsidRPr="00CC7FF6">
        <w:rPr>
          <w:b/>
          <w:bCs/>
          <w:noProof/>
        </w:rPr>
        <w:t>Conclusion</w:t>
      </w:r>
    </w:p>
    <w:p w14:paraId="2D43EB4C" w14:textId="273749F8" w:rsidR="00A016FA" w:rsidRDefault="00340342">
      <w:r w:rsidRPr="00340342">
        <w:t xml:space="preserve">Overall, this report determined that there could be an active standardisation of the blade shape. However, the connection level depends on many factors that are still unknown, so there is a connection discovered through tomb evidence. So, there is not enough evidence to suggest this; however, both sites identified a precise level of interaction and trade. As such, the best way to use artefacts to form a narrative is to use theories as a basis and analysis of topics and similarities as a </w:t>
      </w:r>
      <w:r w:rsidRPr="00340342">
        <w:lastRenderedPageBreak/>
        <w:t>framework to determine the cultural and documental effect of this evidence to form an approximation of the narrative.</w:t>
      </w:r>
    </w:p>
    <w:sdt>
      <w:sdtPr>
        <w:id w:val="855079562"/>
        <w:docPartObj>
          <w:docPartGallery w:val="Bibliographies"/>
          <w:docPartUnique/>
        </w:docPartObj>
      </w:sdtPr>
      <w:sdtEndPr>
        <w:rPr>
          <w:sz w:val="32"/>
          <w:szCs w:val="32"/>
        </w:rPr>
      </w:sdtEndPr>
      <w:sdtContent>
        <w:p w14:paraId="4FAC4907" w14:textId="2735D9E1" w:rsidR="00DE0C45" w:rsidRPr="007E4473" w:rsidRDefault="00FA0DD6" w:rsidP="00DE0C45">
          <w:pPr>
            <w:rPr>
              <w:sz w:val="32"/>
              <w:szCs w:val="32"/>
            </w:rPr>
          </w:pPr>
          <w:r w:rsidRPr="007E4473">
            <w:rPr>
              <w:sz w:val="32"/>
              <w:szCs w:val="32"/>
            </w:rPr>
            <w:t>Bibliography</w:t>
          </w:r>
        </w:p>
      </w:sdtContent>
    </w:sdt>
    <w:p w14:paraId="52D8ED1B" w14:textId="77777777" w:rsidR="003F5B33" w:rsidRDefault="003F5B33" w:rsidP="007E4473">
      <w:r>
        <w:t>Appadurai, A. 1986. ‘Introduction: commodities and the politics of value’, in Appadurai 1986b, 3–63.</w:t>
      </w:r>
    </w:p>
    <w:p w14:paraId="670D1234" w14:textId="77777777" w:rsidR="003F5B33" w:rsidRDefault="003F5B33" w:rsidP="007E4473">
      <w:proofErr w:type="spellStart"/>
      <w:r>
        <w:t>Åström</w:t>
      </w:r>
      <w:proofErr w:type="spellEnd"/>
      <w:r>
        <w:t xml:space="preserve">, P. .1982. ‘The bronzes of </w:t>
      </w:r>
      <w:proofErr w:type="spellStart"/>
      <w:r>
        <w:t>Hala</w:t>
      </w:r>
      <w:proofErr w:type="spellEnd"/>
      <w:r>
        <w:t xml:space="preserve"> Sultan Tekke’. In J. D. Muhly, R. </w:t>
      </w:r>
      <w:proofErr w:type="spellStart"/>
      <w:r>
        <w:t>Maddin</w:t>
      </w:r>
      <w:proofErr w:type="spellEnd"/>
      <w:r>
        <w:t xml:space="preserve"> and V. </w:t>
      </w:r>
      <w:proofErr w:type="spellStart"/>
      <w:r>
        <w:t>Karageorghis</w:t>
      </w:r>
      <w:proofErr w:type="spellEnd"/>
      <w:r>
        <w:t xml:space="preserve"> (eds) Early Metallurgy in Cyprus, 4000–500 BC, 177–183. Nicosia, </w:t>
      </w:r>
      <w:proofErr w:type="spellStart"/>
      <w:r>
        <w:t>Pierides</w:t>
      </w:r>
      <w:proofErr w:type="spellEnd"/>
      <w:r>
        <w:t xml:space="preserve"> Foundation</w:t>
      </w:r>
    </w:p>
    <w:p w14:paraId="7B803638" w14:textId="77777777" w:rsidR="003F5B33" w:rsidRDefault="003F5B33" w:rsidP="007E4473">
      <w:proofErr w:type="spellStart"/>
      <w:r>
        <w:t>Åström</w:t>
      </w:r>
      <w:proofErr w:type="spellEnd"/>
      <w:r>
        <w:t xml:space="preserve">, Paul, ed. 1976–2007. </w:t>
      </w:r>
      <w:proofErr w:type="spellStart"/>
      <w:r>
        <w:t>Hala</w:t>
      </w:r>
      <w:proofErr w:type="spellEnd"/>
      <w:r>
        <w:t xml:space="preserve"> Sultan Tekke 1–12. Studies in Mediterranean Archaeology 45:1–12. </w:t>
      </w:r>
      <w:proofErr w:type="spellStart"/>
      <w:r>
        <w:t>Göteborg</w:t>
      </w:r>
      <w:proofErr w:type="spellEnd"/>
      <w:r>
        <w:t xml:space="preserve">: </w:t>
      </w:r>
      <w:proofErr w:type="spellStart"/>
      <w:r>
        <w:t>Åströms</w:t>
      </w:r>
      <w:proofErr w:type="spellEnd"/>
      <w:r>
        <w:t>.</w:t>
      </w:r>
    </w:p>
    <w:p w14:paraId="00AD00AD" w14:textId="77777777" w:rsidR="003F5B33" w:rsidRDefault="003F5B33" w:rsidP="007E4473">
      <w:proofErr w:type="spellStart"/>
      <w:r>
        <w:t>Åströms</w:t>
      </w:r>
      <w:proofErr w:type="spellEnd"/>
      <w:r>
        <w:t xml:space="preserve">. 2017. The Twelfth Century BCE Destructions and the Abandonment of </w:t>
      </w:r>
      <w:proofErr w:type="spellStart"/>
      <w:r>
        <w:t>Hala</w:t>
      </w:r>
      <w:proofErr w:type="spellEnd"/>
      <w:r>
        <w:t xml:space="preserve"> Sultan Tekke, Cyprus. Pp. 177–206 in “Sea Peoples” Up to Date: New Research on Transformations in the Eastern Mediterranean in the 13th–11th Centuries BCE, ed. Peter M. Fischer and Teresa </w:t>
      </w:r>
      <w:proofErr w:type="spellStart"/>
      <w:r>
        <w:t>Bürge</w:t>
      </w:r>
      <w:proofErr w:type="spellEnd"/>
      <w:r>
        <w:t>. Proceedings of the ESF-Workshop held at the Austrian Academy of Sciences, Vienna, 3–4 November 2014. Contributions to the Chronology of the Eastern Mediterranean 35. Vienna: Austrian Academy of Sciences Press.</w:t>
      </w:r>
    </w:p>
    <w:p w14:paraId="07FFA9EB" w14:textId="77777777" w:rsidR="003F5B33" w:rsidRDefault="003F5B33" w:rsidP="007E4473">
      <w:r>
        <w:t xml:space="preserve">Bailey, D.W. &amp; Mills, S. 1998. The Archaeology of Value: Essays on Prestige and the Processes of Valuation, Brit. </w:t>
      </w:r>
      <w:proofErr w:type="spellStart"/>
      <w:r>
        <w:t>Archaeol</w:t>
      </w:r>
      <w:proofErr w:type="spellEnd"/>
      <w:r>
        <w:t>. Rep. Int. Ser. 730.</w:t>
      </w:r>
    </w:p>
    <w:p w14:paraId="76265145" w14:textId="77777777" w:rsidR="003F5B33" w:rsidRDefault="003F5B33" w:rsidP="007E4473">
      <w:r>
        <w:t xml:space="preserve">Bailey, M. 1976. The British Museum Excavations at </w:t>
      </w:r>
      <w:proofErr w:type="spellStart"/>
      <w:r>
        <w:t>Hala</w:t>
      </w:r>
      <w:proofErr w:type="spellEnd"/>
      <w:r>
        <w:t xml:space="preserve"> Sultan Tekke in 1897 and 1898: The Material in the British Museum. Pp. 1–32 in </w:t>
      </w:r>
      <w:proofErr w:type="spellStart"/>
      <w:r>
        <w:t>Hala</w:t>
      </w:r>
      <w:proofErr w:type="spellEnd"/>
      <w:r>
        <w:t xml:space="preserve"> Sultan Tekke 1: Excavations 1897–1971, ed. Paul </w:t>
      </w:r>
      <w:proofErr w:type="spellStart"/>
      <w:r>
        <w:t>Åström</w:t>
      </w:r>
      <w:proofErr w:type="spellEnd"/>
      <w:r>
        <w:t xml:space="preserve">, Donald M. Bailey, and </w:t>
      </w:r>
      <w:proofErr w:type="spellStart"/>
      <w:r>
        <w:t>Vassos</w:t>
      </w:r>
      <w:proofErr w:type="spellEnd"/>
      <w:r>
        <w:t xml:space="preserve"> </w:t>
      </w:r>
      <w:proofErr w:type="spellStart"/>
      <w:r>
        <w:t>Karageorghis</w:t>
      </w:r>
      <w:proofErr w:type="spellEnd"/>
      <w:r>
        <w:t xml:space="preserve">. Studies in Mediterranean Archaeology 45:1. </w:t>
      </w:r>
      <w:proofErr w:type="spellStart"/>
      <w:r>
        <w:t>Göteborg</w:t>
      </w:r>
      <w:proofErr w:type="spellEnd"/>
      <w:r>
        <w:t xml:space="preserve">: </w:t>
      </w:r>
      <w:proofErr w:type="spellStart"/>
      <w:r>
        <w:t>Åströms</w:t>
      </w:r>
      <w:proofErr w:type="spellEnd"/>
      <w:r>
        <w:t>.</w:t>
      </w:r>
    </w:p>
    <w:p w14:paraId="3708B28D" w14:textId="66411440" w:rsidR="003F5B33" w:rsidRDefault="003F5B33" w:rsidP="007E4473">
      <w:proofErr w:type="spellStart"/>
      <w:r>
        <w:t>Belgiorno</w:t>
      </w:r>
      <w:proofErr w:type="spellEnd"/>
      <w:r>
        <w:t>, M</w:t>
      </w:r>
      <w:r w:rsidR="00340342">
        <w:t xml:space="preserve">, </w:t>
      </w:r>
      <w:r>
        <w:t>R. 2004</w:t>
      </w:r>
      <w:r w:rsidR="00340342">
        <w:t>.</w:t>
      </w:r>
      <w:r w:rsidR="00C50AA4">
        <w:t xml:space="preserve"> </w:t>
      </w:r>
      <w:proofErr w:type="spellStart"/>
      <w:r>
        <w:t>Pyrgos-Mavroraki</w:t>
      </w:r>
      <w:proofErr w:type="spellEnd"/>
      <w:r>
        <w:t xml:space="preserve">: Advanced Technology in Bronze Age Cyprus. Nicosia, CNR-ITABC, Archaeological Mission at </w:t>
      </w:r>
      <w:proofErr w:type="spellStart"/>
      <w:r>
        <w:t>Pyrgos</w:t>
      </w:r>
      <w:proofErr w:type="spellEnd"/>
      <w:r>
        <w:t>.</w:t>
      </w:r>
    </w:p>
    <w:p w14:paraId="63B68B6F" w14:textId="50300A1A" w:rsidR="003F5B33" w:rsidRDefault="003F5B33" w:rsidP="007E4473">
      <w:r>
        <w:t>Bhabha, H</w:t>
      </w:r>
      <w:r w:rsidR="00340342">
        <w:t>,</w:t>
      </w:r>
      <w:r>
        <w:t xml:space="preserve"> K. 2007. The Location of Culture. London: Routledge.</w:t>
      </w:r>
    </w:p>
    <w:p w14:paraId="6D1014B6" w14:textId="77777777" w:rsidR="003F5B33" w:rsidRDefault="003F5B33" w:rsidP="007E4473">
      <w:r w:rsidRPr="00C47DBD">
        <w:t>Brooks, A. 2015, The Importance of British Material Culture to Historical Archaeologies of the Nineteenth Century, Lincoln: Univ. of Nebraska Press</w:t>
      </w:r>
      <w:r>
        <w:t>.</w:t>
      </w:r>
    </w:p>
    <w:p w14:paraId="1CF77FD5" w14:textId="77777777" w:rsidR="003F5B33" w:rsidRDefault="003F5B33" w:rsidP="007E4473">
      <w:r>
        <w:t xml:space="preserve">Budd, P., Pollard, A. M., Scaife, B. and Thomas, R. G. (1995) </w:t>
      </w:r>
      <w:proofErr w:type="spellStart"/>
      <w:r>
        <w:t>Oxhide</w:t>
      </w:r>
      <w:proofErr w:type="spellEnd"/>
      <w:r>
        <w:t xml:space="preserve"> ingots, </w:t>
      </w:r>
      <w:proofErr w:type="gramStart"/>
      <w:r>
        <w:t>recycling</w:t>
      </w:r>
      <w:proofErr w:type="gramEnd"/>
      <w:r>
        <w:t xml:space="preserve"> and the Mediterranean metals trade. Journal of Mediterranean Archaeology 8, 1–32.</w:t>
      </w:r>
    </w:p>
    <w:p w14:paraId="5DEFCFA4" w14:textId="77777777" w:rsidR="003F5B33" w:rsidRDefault="003F5B33" w:rsidP="007E4473">
      <w:proofErr w:type="spellStart"/>
      <w:r>
        <w:t>Bürge</w:t>
      </w:r>
      <w:proofErr w:type="spellEnd"/>
      <w:r>
        <w:t>, T. 2021. Mortuary Landscapes Revisited: Dynamics of Insularity and Connectivity in Mortuary Ritual, Feasting, and Commemoration in Late Bronze Age Cyprus. Religions. 12. 877. 10.3390/rel12100877.</w:t>
      </w:r>
    </w:p>
    <w:p w14:paraId="53FDA86F" w14:textId="77777777" w:rsidR="003F5B33" w:rsidRDefault="003F5B33" w:rsidP="007E4473">
      <w:r>
        <w:t>Crewe, 2009. ‘Dagger’ Ancient Cyprus in the British Museum, available at: https://www.britishmuseum.org/collection/term/BIB7694 [accessed: 20/3/2021]</w:t>
      </w:r>
    </w:p>
    <w:p w14:paraId="45338CB4" w14:textId="77777777" w:rsidR="003F5B33" w:rsidRDefault="003F5B33" w:rsidP="007E4473">
      <w:r>
        <w:t>Crewe, K. 2009. ‘blade’ Bronze / Catalogue of the Bronzes in the British Museum. Greek, Roman &amp; Etruscan. available at: https://www.britishmuseum.org/collection/object/G_1897-0401-1481 [accessed: 19/3/2021]</w:t>
      </w:r>
    </w:p>
    <w:p w14:paraId="65A9C22F" w14:textId="77777777" w:rsidR="003F5B33" w:rsidRDefault="003F5B33" w:rsidP="007E4473">
      <w:r>
        <w:t xml:space="preserve">Crewe, L. (2007) Early </w:t>
      </w:r>
      <w:proofErr w:type="spellStart"/>
      <w:r>
        <w:t>Enkomi</w:t>
      </w:r>
      <w:proofErr w:type="spellEnd"/>
      <w:r>
        <w:t xml:space="preserve">. Regionalism, Trade and Society at the Beginning of the Late Bronze Age on Cyprus. British Archaeological Reports, International Series 1706. Oxford, </w:t>
      </w:r>
      <w:proofErr w:type="spellStart"/>
      <w:r>
        <w:t>Archaeopress</w:t>
      </w:r>
      <w:proofErr w:type="spellEnd"/>
    </w:p>
    <w:p w14:paraId="3C8B7B63" w14:textId="77777777" w:rsidR="003F5B33" w:rsidRDefault="003F5B33" w:rsidP="007E4473">
      <w:r>
        <w:lastRenderedPageBreak/>
        <w:t xml:space="preserve">Fischer, Peter M., and Teresa </w:t>
      </w:r>
      <w:proofErr w:type="spellStart"/>
      <w:r>
        <w:t>Bürge</w:t>
      </w:r>
      <w:proofErr w:type="spellEnd"/>
      <w:r>
        <w:t xml:space="preserve">. 2017. Tombs and Offering Pits at the Late Bronze Age Metropolis of </w:t>
      </w:r>
      <w:proofErr w:type="spellStart"/>
      <w:r>
        <w:t>Hala</w:t>
      </w:r>
      <w:proofErr w:type="spellEnd"/>
      <w:r>
        <w:t xml:space="preserve"> Sultan Tekke, Cyprus. Bulletin of the American Schools of Oriental Research 377: 161–218. 2018a. The New Swedish Cyprus Expedition 2017: Excavations at </w:t>
      </w:r>
      <w:proofErr w:type="spellStart"/>
      <w:r>
        <w:t>Hala</w:t>
      </w:r>
      <w:proofErr w:type="spellEnd"/>
      <w:r>
        <w:t xml:space="preserve"> Sultan Tekke (The </w:t>
      </w:r>
      <w:proofErr w:type="spellStart"/>
      <w:r>
        <w:t>Söderberg</w:t>
      </w:r>
      <w:proofErr w:type="spellEnd"/>
      <w:r>
        <w:t xml:space="preserve"> Expedition). Preliminary Results. Opuscula. Annual of the Swedish Institutes at Athens and Rome 11: 29–79.</w:t>
      </w:r>
    </w:p>
    <w:p w14:paraId="4E095789" w14:textId="0E961E4E" w:rsidR="003F5B33" w:rsidRDefault="003F5B33" w:rsidP="007E4473">
      <w:proofErr w:type="spellStart"/>
      <w:r>
        <w:t>Kassianidou</w:t>
      </w:r>
      <w:proofErr w:type="spellEnd"/>
      <w:r>
        <w:t xml:space="preserve">, V. 2003. ‘The trade of tin and the Island of Copper’ A. </w:t>
      </w:r>
      <w:proofErr w:type="spellStart"/>
      <w:r>
        <w:t>Giumlia</w:t>
      </w:r>
      <w:proofErr w:type="spellEnd"/>
      <w:r>
        <w:t xml:space="preserve">-Mair, F. Lo Schiavo (Eds.), The Problem of Early Tin. Colloque/Symposium 11.2, </w:t>
      </w:r>
      <w:proofErr w:type="spellStart"/>
      <w:r>
        <w:t>XIVème</w:t>
      </w:r>
      <w:proofErr w:type="spellEnd"/>
      <w:r>
        <w:t xml:space="preserve"> </w:t>
      </w:r>
      <w:proofErr w:type="spellStart"/>
      <w:r>
        <w:t>Congrès</w:t>
      </w:r>
      <w:proofErr w:type="spellEnd"/>
      <w:r>
        <w:t xml:space="preserve"> UISPP, Liège, 2-8 </w:t>
      </w:r>
      <w:proofErr w:type="spellStart"/>
      <w:r>
        <w:t>Septembre</w:t>
      </w:r>
      <w:proofErr w:type="spellEnd"/>
      <w:r>
        <w:t xml:space="preserve"> </w:t>
      </w:r>
    </w:p>
    <w:p w14:paraId="5770030D" w14:textId="77777777" w:rsidR="003F5B33" w:rsidRDefault="003F5B33" w:rsidP="007E4473">
      <w:proofErr w:type="spellStart"/>
      <w:r>
        <w:t>Keswani</w:t>
      </w:r>
      <w:proofErr w:type="spellEnd"/>
      <w:r>
        <w:t>, P. S. (2005) Death, prestige, and copper in Bronze Age Cyprus. American Journal of Archaeology 109, 341–40</w:t>
      </w:r>
    </w:p>
    <w:p w14:paraId="7F31F338" w14:textId="77777777" w:rsidR="003F5B33" w:rsidRDefault="003F5B33" w:rsidP="007E4473">
      <w:r>
        <w:t>Kiely, T. 2011. ‘Knife’ Ancient Cyprus in the British Museum. available at: https://www.britishmuseum.org/collection/object/G_1898-1201-234 [accessed: 19/3/2021]</w:t>
      </w:r>
    </w:p>
    <w:p w14:paraId="3A4CA1F5" w14:textId="77777777" w:rsidR="003F5B33" w:rsidRDefault="003F5B33" w:rsidP="007E4473">
      <w:r>
        <w:t>Knapp, A. B. (1986) Production, exchange, and socio-political complexity on Bronze Age Cyprus. Oxford Journal of Archaeology 5, 35–60.</w:t>
      </w:r>
    </w:p>
    <w:p w14:paraId="28EDFC29" w14:textId="77777777" w:rsidR="003F5B33" w:rsidRDefault="003F5B33" w:rsidP="007E4473">
      <w:r>
        <w:t>Knapp, A. Bernard 2008. Prehistoric and Protohistoric Cyprus. Identity, Insularity, and Connectivity. Oxford: Oxford University Press</w:t>
      </w:r>
    </w:p>
    <w:p w14:paraId="4CEF87A9" w14:textId="77777777" w:rsidR="003F5B33" w:rsidRDefault="003F5B33" w:rsidP="007E4473">
      <w:r w:rsidRPr="003F5B33">
        <w:t xml:space="preserve">Knapp, A., Russell, A., &amp; Van </w:t>
      </w:r>
      <w:proofErr w:type="spellStart"/>
      <w:r w:rsidRPr="003F5B33">
        <w:t>Dommelen</w:t>
      </w:r>
      <w:proofErr w:type="spellEnd"/>
      <w:r w:rsidRPr="003F5B33">
        <w:t xml:space="preserve">, P. 2022. Cyprus, </w:t>
      </w:r>
      <w:r w:rsidRPr="003F5B33">
        <w:t>Sardinia,</w:t>
      </w:r>
      <w:r w:rsidRPr="003F5B33">
        <w:t xml:space="preserve"> and Sicily: A Maritime Perspective on Interaction, </w:t>
      </w:r>
      <w:proofErr w:type="gramStart"/>
      <w:r w:rsidRPr="003F5B33">
        <w:t>Connectivity</w:t>
      </w:r>
      <w:proofErr w:type="gramEnd"/>
      <w:r w:rsidRPr="003F5B33">
        <w:t xml:space="preserve"> and Imagination in Mediterranean Prehistory. Cambridge Archaeological Journal, 32(1), 79-97. doi:10.1017/S0959774321000330</w:t>
      </w:r>
    </w:p>
    <w:p w14:paraId="1C344546" w14:textId="77777777" w:rsidR="003F5B33" w:rsidRDefault="003F5B33" w:rsidP="007E4473">
      <w:r>
        <w:t xml:space="preserve">Lo Schiavo, </w:t>
      </w:r>
      <w:proofErr w:type="spellStart"/>
      <w:r>
        <w:t>Fulvia</w:t>
      </w:r>
      <w:proofErr w:type="spellEnd"/>
      <w:r>
        <w:t xml:space="preserve">, and Franco Campus. 2013. Metals and Beyond: Cyprus and Sardinia in the Bronze Age Mediterranean Network. Pasiphae. </w:t>
      </w:r>
      <w:proofErr w:type="spellStart"/>
      <w:r>
        <w:t>Rivista</w:t>
      </w:r>
      <w:proofErr w:type="spellEnd"/>
      <w:r>
        <w:t xml:space="preserve"> di </w:t>
      </w:r>
      <w:proofErr w:type="spellStart"/>
      <w:r>
        <w:t>filologia</w:t>
      </w:r>
      <w:proofErr w:type="spellEnd"/>
      <w:r>
        <w:t xml:space="preserve"> e </w:t>
      </w:r>
      <w:proofErr w:type="spellStart"/>
      <w:r>
        <w:t>antichità</w:t>
      </w:r>
      <w:proofErr w:type="spellEnd"/>
      <w:r>
        <w:t xml:space="preserve"> </w:t>
      </w:r>
      <w:proofErr w:type="spellStart"/>
      <w:r>
        <w:t>egee</w:t>
      </w:r>
      <w:proofErr w:type="spellEnd"/>
      <w:r>
        <w:t xml:space="preserve"> 7: 147–58. </w:t>
      </w:r>
    </w:p>
    <w:p w14:paraId="1C5250F8" w14:textId="77777777" w:rsidR="003F5B33" w:rsidRDefault="003F5B33" w:rsidP="007E4473">
      <w:r>
        <w:t xml:space="preserve">Muhly, J. D. (2003) Trade in metals in the Late Bronze Age and the Iron Age. In N. C. </w:t>
      </w:r>
      <w:proofErr w:type="spellStart"/>
      <w:r>
        <w:t>Stampolidis</w:t>
      </w:r>
      <w:proofErr w:type="spellEnd"/>
      <w:r>
        <w:t xml:space="preserve"> and V. </w:t>
      </w:r>
      <w:proofErr w:type="spellStart"/>
      <w:r>
        <w:t>Karageorghis</w:t>
      </w:r>
      <w:proofErr w:type="spellEnd"/>
      <w:r>
        <w:t xml:space="preserve"> (eds) Sea Routes…Interconnections in the Mediterranean 16th–6th c. BC, 141–150. Athens: University of Crete and the A. G. </w:t>
      </w:r>
      <w:proofErr w:type="spellStart"/>
      <w:r>
        <w:t>Leventis</w:t>
      </w:r>
      <w:proofErr w:type="spellEnd"/>
      <w:r>
        <w:t xml:space="preserve"> Foundation</w:t>
      </w:r>
    </w:p>
    <w:p w14:paraId="1CF8F8F6" w14:textId="77777777" w:rsidR="003F5B33" w:rsidRDefault="003F5B33" w:rsidP="007E4473">
      <w:r>
        <w:t xml:space="preserve">Pickles, S, </w:t>
      </w:r>
      <w:proofErr w:type="spellStart"/>
      <w:r>
        <w:t>Peltenburg</w:t>
      </w:r>
      <w:proofErr w:type="spellEnd"/>
      <w:r>
        <w:t>, E. 1998. Metallurgy, society and the bronze/iron transition in the East Mediterranean and the Near East. In: Report of the Department of Antiquities, Cyprus, 1998.</w:t>
      </w:r>
    </w:p>
    <w:p w14:paraId="1673B80E" w14:textId="77777777" w:rsidR="003F5B33" w:rsidRDefault="003F5B33" w:rsidP="007E4473">
      <w:r>
        <w:t>Polanyi, K. 1963. ‘Ports of Trade in Early Societies’. The Journal of Economic History, 23(1), 30–45. http://www.jstor.org/stable/2116276</w:t>
      </w:r>
    </w:p>
    <w:p w14:paraId="7068BDE3" w14:textId="77777777" w:rsidR="003F5B33" w:rsidRDefault="003F5B33" w:rsidP="007E4473">
      <w:proofErr w:type="spellStart"/>
      <w:r>
        <w:t>Pulak</w:t>
      </w:r>
      <w:proofErr w:type="spellEnd"/>
      <w:r>
        <w:t xml:space="preserve">, </w:t>
      </w:r>
      <w:proofErr w:type="spellStart"/>
      <w:r>
        <w:t>Cemal</w:t>
      </w:r>
      <w:proofErr w:type="spellEnd"/>
      <w:r>
        <w:t xml:space="preserve">. 2000. The Balance Weights from the Late Bronze Age Shipwreck at </w:t>
      </w:r>
      <w:proofErr w:type="spellStart"/>
      <w:r>
        <w:t>Uluburun</w:t>
      </w:r>
      <w:proofErr w:type="spellEnd"/>
      <w:r>
        <w:t>. Pp. 247–66 in Metals Make the World Go Round: The Supply and Circulation of Metals in Bronze Age Europe; Proceedings of a Conference Held at the University of Birmingham in June 1997, ed. Christopher F. E. Pare. Oxford: Oxbow.</w:t>
      </w:r>
    </w:p>
    <w:p w14:paraId="7D498E45" w14:textId="77777777" w:rsidR="003F5B33" w:rsidRDefault="003F5B33" w:rsidP="007E4473">
      <w:r>
        <w:t xml:space="preserve">Sabatini, Serena. 2016. Revisiting Late Bronze Age </w:t>
      </w:r>
      <w:proofErr w:type="spellStart"/>
      <w:r>
        <w:t>Oxhide</w:t>
      </w:r>
      <w:proofErr w:type="spellEnd"/>
      <w:r>
        <w:t xml:space="preserve"> Ingots: Meanings, Questions and Perspectives. Pp. 15–62 in Local and Global Perspectives on Mobility in the Eastern Mediterranean, ed. </w:t>
      </w:r>
      <w:proofErr w:type="spellStart"/>
      <w:r>
        <w:t>Olle</w:t>
      </w:r>
      <w:proofErr w:type="spellEnd"/>
      <w:r>
        <w:t xml:space="preserve"> C. </w:t>
      </w:r>
      <w:proofErr w:type="spellStart"/>
      <w:r>
        <w:t>Aslaksen</w:t>
      </w:r>
      <w:proofErr w:type="spellEnd"/>
      <w:r>
        <w:t>. Papers and Monographs from the Norwegian Institute at Athens 5: Athens.</w:t>
      </w:r>
    </w:p>
    <w:p w14:paraId="09E3E0FC" w14:textId="77777777" w:rsidR="003F5B33" w:rsidRDefault="003F5B33" w:rsidP="007E4473">
      <w:r>
        <w:t>Stech, T. (1985) Copper and society in Late Bronze Age Cyprus. In A. B. Knapp and T. Stech (eds) Prehistoric Production and Exchange: The Aegean and East Mediterranean. UCLA Institute of Archaeology, Monograph 25, 100–105. Los Angeles, UCLA Institute of Archaeology.</w:t>
      </w:r>
    </w:p>
    <w:p w14:paraId="418CA558" w14:textId="2ACD2585" w:rsidR="00A40D3C" w:rsidRDefault="00A40D3C">
      <w:r>
        <w:t xml:space="preserve"> </w:t>
      </w:r>
    </w:p>
    <w:sectPr w:rsidR="00A40D3C" w:rsidSect="00353B51">
      <w:head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34C09" w14:textId="77777777" w:rsidR="00CF7D60" w:rsidRDefault="00CF7D60" w:rsidP="00353B51">
      <w:pPr>
        <w:spacing w:after="0" w:line="240" w:lineRule="auto"/>
      </w:pPr>
      <w:r>
        <w:separator/>
      </w:r>
    </w:p>
  </w:endnote>
  <w:endnote w:type="continuationSeparator" w:id="0">
    <w:p w14:paraId="42049E79" w14:textId="77777777" w:rsidR="00CF7D60" w:rsidRDefault="00CF7D60" w:rsidP="00353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AA638F" w14:textId="77777777" w:rsidR="00CF7D60" w:rsidRDefault="00CF7D60" w:rsidP="00353B51">
      <w:pPr>
        <w:spacing w:after="0" w:line="240" w:lineRule="auto"/>
      </w:pPr>
      <w:r>
        <w:separator/>
      </w:r>
    </w:p>
  </w:footnote>
  <w:footnote w:type="continuationSeparator" w:id="0">
    <w:p w14:paraId="7ED741C8" w14:textId="77777777" w:rsidR="00CF7D60" w:rsidRDefault="00CF7D60" w:rsidP="00353B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237" w:type="pct"/>
      <w:tblCellMar>
        <w:left w:w="0" w:type="dxa"/>
        <w:right w:w="0" w:type="dxa"/>
      </w:tblCellMar>
      <w:tblLook w:val="04A0" w:firstRow="1" w:lastRow="0" w:firstColumn="1" w:lastColumn="0" w:noHBand="0" w:noVBand="1"/>
    </w:tblPr>
    <w:tblGrid>
      <w:gridCol w:w="6238"/>
      <w:gridCol w:w="68"/>
      <w:gridCol w:w="3148"/>
    </w:tblGrid>
    <w:tr w:rsidR="00A40D3C" w14:paraId="50A9FEC0" w14:textId="77777777" w:rsidTr="00A40D3C">
      <w:trPr>
        <w:trHeight w:val="851"/>
      </w:trPr>
      <w:tc>
        <w:tcPr>
          <w:tcW w:w="3299" w:type="pct"/>
        </w:tcPr>
        <w:p w14:paraId="6B1E18D3" w14:textId="01DCCEDB" w:rsidR="00A40D3C" w:rsidRPr="001470EC" w:rsidRDefault="001470EC">
          <w:pPr>
            <w:pStyle w:val="Header"/>
          </w:pPr>
          <w:r w:rsidRPr="001470EC">
            <w:t>CRITICALLY EVALUATE HOW WE MIGHT USE ARCHAEOLOGICAL EVIDENCE FROM THE TOMBS EXCAVATED BY THE BRITISH MUSEUM AT ENKOMI AND HALA SULTAN TEKKE TO DEVELOP A NARRATIVE OF CULTURE CONTACT IN THE BRONZE AGE EAST MEDITERRANEAN</w:t>
          </w:r>
        </w:p>
      </w:tc>
      <w:tc>
        <w:tcPr>
          <w:tcW w:w="36" w:type="pct"/>
        </w:tcPr>
        <w:p w14:paraId="7CAB3549" w14:textId="77777777" w:rsidR="00A40D3C" w:rsidRPr="001470EC" w:rsidRDefault="00A40D3C">
          <w:pPr>
            <w:pStyle w:val="Header"/>
            <w:jc w:val="center"/>
          </w:pPr>
        </w:p>
      </w:tc>
      <w:tc>
        <w:tcPr>
          <w:tcW w:w="1665" w:type="pct"/>
        </w:tcPr>
        <w:p w14:paraId="4F281B3E" w14:textId="77777777" w:rsidR="00A40D3C" w:rsidRPr="001470EC" w:rsidRDefault="00A40D3C">
          <w:pPr>
            <w:pStyle w:val="Header"/>
            <w:jc w:val="right"/>
          </w:pPr>
          <w:r w:rsidRPr="001470EC">
            <w:rPr>
              <w:sz w:val="24"/>
              <w:szCs w:val="24"/>
            </w:rPr>
            <w:fldChar w:fldCharType="begin"/>
          </w:r>
          <w:r w:rsidRPr="001470EC">
            <w:rPr>
              <w:sz w:val="24"/>
              <w:szCs w:val="24"/>
            </w:rPr>
            <w:instrText xml:space="preserve"> PAGE   \* MERGEFORMAT </w:instrText>
          </w:r>
          <w:r w:rsidRPr="001470EC">
            <w:rPr>
              <w:sz w:val="24"/>
              <w:szCs w:val="24"/>
            </w:rPr>
            <w:fldChar w:fldCharType="separate"/>
          </w:r>
          <w:r w:rsidRPr="001470EC">
            <w:rPr>
              <w:noProof/>
              <w:sz w:val="24"/>
              <w:szCs w:val="24"/>
            </w:rPr>
            <w:t>0</w:t>
          </w:r>
          <w:r w:rsidRPr="001470EC">
            <w:rPr>
              <w:sz w:val="24"/>
              <w:szCs w:val="24"/>
            </w:rPr>
            <w:fldChar w:fldCharType="end"/>
          </w:r>
        </w:p>
      </w:tc>
    </w:tr>
  </w:tbl>
  <w:p w14:paraId="6FF40A3A" w14:textId="77777777" w:rsidR="00353B51" w:rsidRDefault="00353B51" w:rsidP="00A40D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12D2C"/>
    <w:multiLevelType w:val="hybridMultilevel"/>
    <w:tmpl w:val="64B8521C"/>
    <w:lvl w:ilvl="0" w:tplc="C96813F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D2467D5"/>
    <w:multiLevelType w:val="multilevel"/>
    <w:tmpl w:val="E6DC0C6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389F677E"/>
    <w:multiLevelType w:val="hybridMultilevel"/>
    <w:tmpl w:val="FB4056E8"/>
    <w:lvl w:ilvl="0" w:tplc="08090011">
      <w:start w:val="1"/>
      <w:numFmt w:val="decimal"/>
      <w:lvlText w:val="%1)"/>
      <w:lvlJc w:val="left"/>
      <w:pPr>
        <w:ind w:left="720" w:hanging="360"/>
      </w:pPr>
    </w:lvl>
    <w:lvl w:ilvl="1" w:tplc="9634B7D2">
      <w:start w:val="1"/>
      <w:numFmt w:val="decimal"/>
      <w:lvlText w:val="%2."/>
      <w:lvlJc w:val="left"/>
      <w:pPr>
        <w:ind w:left="1800" w:hanging="72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DC37C7"/>
    <w:multiLevelType w:val="hybridMultilevel"/>
    <w:tmpl w:val="02E0B7A8"/>
    <w:lvl w:ilvl="0" w:tplc="FFFFFFFF">
      <w:start w:val="1"/>
      <w:numFmt w:val="decimal"/>
      <w:lvlText w:val="%1)"/>
      <w:lvlJc w:val="left"/>
      <w:pPr>
        <w:ind w:left="720" w:hanging="360"/>
      </w:pPr>
    </w:lvl>
    <w:lvl w:ilvl="1" w:tplc="08090015">
      <w:start w:val="1"/>
      <w:numFmt w:val="upp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2"/>
  </w:num>
  <w:num w:numId="2">
    <w:abstractNumId w:val="1"/>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1"/>
  </w:num>
  <w:num w:numId="12">
    <w:abstractNumId w:val="0"/>
  </w:num>
  <w:num w:numId="13">
    <w:abstractNumId w:val="3"/>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QyM7Q0NDY1MzcwN7FU0lEKTi0uzszPAykwrAUAutjt+iwAAAA="/>
    <w:docVar w:name="dgnword-docGUID" w:val="{E71813C0-81E1-4B03-AC02-BB3D19584E57}"/>
    <w:docVar w:name="dgnword-eventsink" w:val="1799289310128"/>
  </w:docVars>
  <w:rsids>
    <w:rsidRoot w:val="00353B51"/>
    <w:rsid w:val="00035079"/>
    <w:rsid w:val="00057338"/>
    <w:rsid w:val="00097C0E"/>
    <w:rsid w:val="000B4197"/>
    <w:rsid w:val="000E43D0"/>
    <w:rsid w:val="000E5B0B"/>
    <w:rsid w:val="0010516D"/>
    <w:rsid w:val="0011132C"/>
    <w:rsid w:val="001266B7"/>
    <w:rsid w:val="00132083"/>
    <w:rsid w:val="00142F64"/>
    <w:rsid w:val="0014626F"/>
    <w:rsid w:val="001464FE"/>
    <w:rsid w:val="001470EC"/>
    <w:rsid w:val="001477FE"/>
    <w:rsid w:val="0017059D"/>
    <w:rsid w:val="00186F21"/>
    <w:rsid w:val="001C03B3"/>
    <w:rsid w:val="001C069B"/>
    <w:rsid w:val="001F3B31"/>
    <w:rsid w:val="0020236D"/>
    <w:rsid w:val="0020666F"/>
    <w:rsid w:val="00235F3F"/>
    <w:rsid w:val="0024018B"/>
    <w:rsid w:val="00261687"/>
    <w:rsid w:val="00262203"/>
    <w:rsid w:val="00286D18"/>
    <w:rsid w:val="002957BC"/>
    <w:rsid w:val="002B65D3"/>
    <w:rsid w:val="002D5115"/>
    <w:rsid w:val="002F2E2F"/>
    <w:rsid w:val="0030030E"/>
    <w:rsid w:val="00306FF7"/>
    <w:rsid w:val="00327B72"/>
    <w:rsid w:val="00340342"/>
    <w:rsid w:val="00345DA2"/>
    <w:rsid w:val="00352F31"/>
    <w:rsid w:val="00353B51"/>
    <w:rsid w:val="003567A5"/>
    <w:rsid w:val="003669CA"/>
    <w:rsid w:val="003924FA"/>
    <w:rsid w:val="003926D2"/>
    <w:rsid w:val="003A4240"/>
    <w:rsid w:val="003B1251"/>
    <w:rsid w:val="003B4E67"/>
    <w:rsid w:val="003B5E6F"/>
    <w:rsid w:val="003E34CF"/>
    <w:rsid w:val="003F5B33"/>
    <w:rsid w:val="004403B6"/>
    <w:rsid w:val="00443A65"/>
    <w:rsid w:val="004451C9"/>
    <w:rsid w:val="00451C34"/>
    <w:rsid w:val="00460F0C"/>
    <w:rsid w:val="0046620B"/>
    <w:rsid w:val="00476A56"/>
    <w:rsid w:val="004A7711"/>
    <w:rsid w:val="004D4114"/>
    <w:rsid w:val="00501ACA"/>
    <w:rsid w:val="00543AAD"/>
    <w:rsid w:val="00564958"/>
    <w:rsid w:val="005809F1"/>
    <w:rsid w:val="00581E71"/>
    <w:rsid w:val="005A469A"/>
    <w:rsid w:val="005A65D0"/>
    <w:rsid w:val="005C039F"/>
    <w:rsid w:val="005E71D8"/>
    <w:rsid w:val="005F34A2"/>
    <w:rsid w:val="00600CE9"/>
    <w:rsid w:val="00603C50"/>
    <w:rsid w:val="0060452D"/>
    <w:rsid w:val="006222A5"/>
    <w:rsid w:val="006222FC"/>
    <w:rsid w:val="00623682"/>
    <w:rsid w:val="00630291"/>
    <w:rsid w:val="00630428"/>
    <w:rsid w:val="00634C16"/>
    <w:rsid w:val="00640009"/>
    <w:rsid w:val="00651F54"/>
    <w:rsid w:val="00663D42"/>
    <w:rsid w:val="006666BB"/>
    <w:rsid w:val="00680395"/>
    <w:rsid w:val="006A47B1"/>
    <w:rsid w:val="006A725B"/>
    <w:rsid w:val="006B1841"/>
    <w:rsid w:val="006C46DD"/>
    <w:rsid w:val="006C644C"/>
    <w:rsid w:val="006D5E8D"/>
    <w:rsid w:val="00706DEA"/>
    <w:rsid w:val="007078EA"/>
    <w:rsid w:val="0072791D"/>
    <w:rsid w:val="00735E15"/>
    <w:rsid w:val="00752F29"/>
    <w:rsid w:val="00753AF5"/>
    <w:rsid w:val="00763BE8"/>
    <w:rsid w:val="00771D3F"/>
    <w:rsid w:val="007741D1"/>
    <w:rsid w:val="007B450A"/>
    <w:rsid w:val="007C1AE9"/>
    <w:rsid w:val="007C1FF2"/>
    <w:rsid w:val="007E4473"/>
    <w:rsid w:val="007E53B3"/>
    <w:rsid w:val="00824335"/>
    <w:rsid w:val="00832D50"/>
    <w:rsid w:val="00836AC3"/>
    <w:rsid w:val="00842CFC"/>
    <w:rsid w:val="00860F5B"/>
    <w:rsid w:val="00865E4A"/>
    <w:rsid w:val="00873E86"/>
    <w:rsid w:val="00881AD5"/>
    <w:rsid w:val="0088673C"/>
    <w:rsid w:val="0089631D"/>
    <w:rsid w:val="008B259C"/>
    <w:rsid w:val="008C163D"/>
    <w:rsid w:val="008C2182"/>
    <w:rsid w:val="008C4B5F"/>
    <w:rsid w:val="008C7BAD"/>
    <w:rsid w:val="008D7772"/>
    <w:rsid w:val="008F23D1"/>
    <w:rsid w:val="008F575D"/>
    <w:rsid w:val="0092539B"/>
    <w:rsid w:val="00936EDE"/>
    <w:rsid w:val="00967EC4"/>
    <w:rsid w:val="00974467"/>
    <w:rsid w:val="00975BCB"/>
    <w:rsid w:val="009876FD"/>
    <w:rsid w:val="00991192"/>
    <w:rsid w:val="00991F75"/>
    <w:rsid w:val="009A219F"/>
    <w:rsid w:val="009B3691"/>
    <w:rsid w:val="009B3AC2"/>
    <w:rsid w:val="009B7D1F"/>
    <w:rsid w:val="009C0B34"/>
    <w:rsid w:val="009C21E6"/>
    <w:rsid w:val="009C7B96"/>
    <w:rsid w:val="009D3BAD"/>
    <w:rsid w:val="009D6848"/>
    <w:rsid w:val="009E15B3"/>
    <w:rsid w:val="00A0055F"/>
    <w:rsid w:val="00A016FA"/>
    <w:rsid w:val="00A127E6"/>
    <w:rsid w:val="00A26D48"/>
    <w:rsid w:val="00A40D3C"/>
    <w:rsid w:val="00A552B5"/>
    <w:rsid w:val="00A74E96"/>
    <w:rsid w:val="00A83183"/>
    <w:rsid w:val="00A96548"/>
    <w:rsid w:val="00AA2AA3"/>
    <w:rsid w:val="00AD19F6"/>
    <w:rsid w:val="00AD20CF"/>
    <w:rsid w:val="00AE73E1"/>
    <w:rsid w:val="00B07A34"/>
    <w:rsid w:val="00B11F96"/>
    <w:rsid w:val="00B13A21"/>
    <w:rsid w:val="00B174F3"/>
    <w:rsid w:val="00B27B56"/>
    <w:rsid w:val="00B33545"/>
    <w:rsid w:val="00B40C7B"/>
    <w:rsid w:val="00B43320"/>
    <w:rsid w:val="00B45AE2"/>
    <w:rsid w:val="00B712C9"/>
    <w:rsid w:val="00B72256"/>
    <w:rsid w:val="00B7611E"/>
    <w:rsid w:val="00BF2413"/>
    <w:rsid w:val="00C14E6F"/>
    <w:rsid w:val="00C15697"/>
    <w:rsid w:val="00C17B09"/>
    <w:rsid w:val="00C2242E"/>
    <w:rsid w:val="00C47DBD"/>
    <w:rsid w:val="00C50AA4"/>
    <w:rsid w:val="00C5151E"/>
    <w:rsid w:val="00C644AC"/>
    <w:rsid w:val="00C804C3"/>
    <w:rsid w:val="00C87171"/>
    <w:rsid w:val="00C9197F"/>
    <w:rsid w:val="00CB02FF"/>
    <w:rsid w:val="00CB4B6D"/>
    <w:rsid w:val="00CC79FE"/>
    <w:rsid w:val="00CC7FF6"/>
    <w:rsid w:val="00CD693A"/>
    <w:rsid w:val="00CD7B65"/>
    <w:rsid w:val="00CF7D60"/>
    <w:rsid w:val="00D01EF6"/>
    <w:rsid w:val="00D04D68"/>
    <w:rsid w:val="00D04EA5"/>
    <w:rsid w:val="00D148C7"/>
    <w:rsid w:val="00D15F8F"/>
    <w:rsid w:val="00D32012"/>
    <w:rsid w:val="00D5702C"/>
    <w:rsid w:val="00D63045"/>
    <w:rsid w:val="00D67184"/>
    <w:rsid w:val="00D87F3B"/>
    <w:rsid w:val="00D902E8"/>
    <w:rsid w:val="00D97942"/>
    <w:rsid w:val="00DD6444"/>
    <w:rsid w:val="00DD7391"/>
    <w:rsid w:val="00DE0C45"/>
    <w:rsid w:val="00DE4981"/>
    <w:rsid w:val="00DE68BE"/>
    <w:rsid w:val="00DE6CD7"/>
    <w:rsid w:val="00DE6FA9"/>
    <w:rsid w:val="00DF6ADB"/>
    <w:rsid w:val="00E2532A"/>
    <w:rsid w:val="00E31F20"/>
    <w:rsid w:val="00E36B1A"/>
    <w:rsid w:val="00E52D95"/>
    <w:rsid w:val="00E673DF"/>
    <w:rsid w:val="00E835E1"/>
    <w:rsid w:val="00E934CA"/>
    <w:rsid w:val="00EA75F6"/>
    <w:rsid w:val="00EC7E72"/>
    <w:rsid w:val="00EF2E2C"/>
    <w:rsid w:val="00EF440B"/>
    <w:rsid w:val="00F02874"/>
    <w:rsid w:val="00F1002D"/>
    <w:rsid w:val="00F26E36"/>
    <w:rsid w:val="00F317CD"/>
    <w:rsid w:val="00F506B5"/>
    <w:rsid w:val="00F9062A"/>
    <w:rsid w:val="00FA0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3DF954"/>
  <w15:chartTrackingRefBased/>
  <w15:docId w15:val="{855ECB46-ADE5-42AF-99AA-0EB8338E9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1E6"/>
  </w:style>
  <w:style w:type="paragraph" w:styleId="Heading1">
    <w:name w:val="heading 1"/>
    <w:basedOn w:val="Normal"/>
    <w:next w:val="Normal"/>
    <w:link w:val="Heading1Char"/>
    <w:uiPriority w:val="9"/>
    <w:qFormat/>
    <w:rsid w:val="009C21E6"/>
    <w:pPr>
      <w:keepNext/>
      <w:keepLines/>
      <w:numPr>
        <w:numId w:val="1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9C21E6"/>
    <w:pPr>
      <w:keepNext/>
      <w:keepLines/>
      <w:numPr>
        <w:ilvl w:val="1"/>
        <w:numId w:val="1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9C21E6"/>
    <w:pPr>
      <w:keepNext/>
      <w:keepLines/>
      <w:numPr>
        <w:ilvl w:val="2"/>
        <w:numId w:val="1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9C21E6"/>
    <w:pPr>
      <w:keepNext/>
      <w:keepLines/>
      <w:numPr>
        <w:ilvl w:val="3"/>
        <w:numId w:val="1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9C21E6"/>
    <w:pPr>
      <w:keepNext/>
      <w:keepLines/>
      <w:numPr>
        <w:ilvl w:val="4"/>
        <w:numId w:val="1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9C21E6"/>
    <w:pPr>
      <w:keepNext/>
      <w:keepLines/>
      <w:numPr>
        <w:ilvl w:val="5"/>
        <w:numId w:val="1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9C21E6"/>
    <w:pPr>
      <w:keepNext/>
      <w:keepLines/>
      <w:numPr>
        <w:ilvl w:val="6"/>
        <w:numId w:val="1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C21E6"/>
    <w:pPr>
      <w:keepNext/>
      <w:keepLines/>
      <w:numPr>
        <w:ilvl w:val="7"/>
        <w:numId w:val="1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9C21E6"/>
    <w:pPr>
      <w:keepNext/>
      <w:keepLines/>
      <w:numPr>
        <w:ilvl w:val="8"/>
        <w:numId w:val="1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C21E6"/>
    <w:pPr>
      <w:spacing w:after="0" w:line="240" w:lineRule="auto"/>
    </w:pPr>
  </w:style>
  <w:style w:type="character" w:customStyle="1" w:styleId="NoSpacingChar">
    <w:name w:val="No Spacing Char"/>
    <w:basedOn w:val="DefaultParagraphFont"/>
    <w:link w:val="NoSpacing"/>
    <w:uiPriority w:val="1"/>
    <w:rsid w:val="00353B51"/>
  </w:style>
  <w:style w:type="paragraph" w:styleId="Header">
    <w:name w:val="header"/>
    <w:basedOn w:val="Normal"/>
    <w:link w:val="HeaderChar"/>
    <w:uiPriority w:val="99"/>
    <w:unhideWhenUsed/>
    <w:rsid w:val="00353B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B51"/>
  </w:style>
  <w:style w:type="paragraph" w:styleId="Footer">
    <w:name w:val="footer"/>
    <w:basedOn w:val="Normal"/>
    <w:link w:val="FooterChar"/>
    <w:uiPriority w:val="99"/>
    <w:unhideWhenUsed/>
    <w:rsid w:val="00353B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B51"/>
  </w:style>
  <w:style w:type="character" w:customStyle="1" w:styleId="Heading1Char">
    <w:name w:val="Heading 1 Char"/>
    <w:basedOn w:val="DefaultParagraphFont"/>
    <w:link w:val="Heading1"/>
    <w:uiPriority w:val="9"/>
    <w:rsid w:val="009C21E6"/>
    <w:rPr>
      <w:rFonts w:asciiTheme="majorHAnsi" w:eastAsiaTheme="majorEastAsia" w:hAnsiTheme="majorHAnsi" w:cstheme="majorBidi"/>
      <w:b/>
      <w:bCs/>
      <w:smallCaps/>
      <w:color w:val="000000" w:themeColor="text1"/>
      <w:sz w:val="36"/>
      <w:szCs w:val="36"/>
    </w:rPr>
  </w:style>
  <w:style w:type="character" w:customStyle="1" w:styleId="nlmarticle-title">
    <w:name w:val="nlm_article-title"/>
    <w:basedOn w:val="DefaultParagraphFont"/>
    <w:rsid w:val="00EC7E72"/>
  </w:style>
  <w:style w:type="paragraph" w:styleId="Caption">
    <w:name w:val="caption"/>
    <w:basedOn w:val="Normal"/>
    <w:next w:val="Normal"/>
    <w:uiPriority w:val="35"/>
    <w:unhideWhenUsed/>
    <w:qFormat/>
    <w:rsid w:val="009C21E6"/>
    <w:pPr>
      <w:spacing w:after="200" w:line="240" w:lineRule="auto"/>
    </w:pPr>
    <w:rPr>
      <w:i/>
      <w:iCs/>
      <w:color w:val="44546A" w:themeColor="text2"/>
      <w:sz w:val="18"/>
      <w:szCs w:val="18"/>
    </w:rPr>
  </w:style>
  <w:style w:type="character" w:styleId="Hyperlink">
    <w:name w:val="Hyperlink"/>
    <w:basedOn w:val="DefaultParagraphFont"/>
    <w:uiPriority w:val="99"/>
    <w:unhideWhenUsed/>
    <w:rsid w:val="00E2532A"/>
    <w:rPr>
      <w:color w:val="0563C1" w:themeColor="hyperlink"/>
      <w:u w:val="single"/>
    </w:rPr>
  </w:style>
  <w:style w:type="character" w:styleId="UnresolvedMention">
    <w:name w:val="Unresolved Mention"/>
    <w:basedOn w:val="DefaultParagraphFont"/>
    <w:uiPriority w:val="99"/>
    <w:semiHidden/>
    <w:unhideWhenUsed/>
    <w:rsid w:val="00E2532A"/>
    <w:rPr>
      <w:color w:val="605E5C"/>
      <w:shd w:val="clear" w:color="auto" w:fill="E1DFDD"/>
    </w:rPr>
  </w:style>
  <w:style w:type="character" w:customStyle="1" w:styleId="Heading2Char">
    <w:name w:val="Heading 2 Char"/>
    <w:basedOn w:val="DefaultParagraphFont"/>
    <w:link w:val="Heading2"/>
    <w:uiPriority w:val="9"/>
    <w:semiHidden/>
    <w:rsid w:val="009C21E6"/>
    <w:rPr>
      <w:rFonts w:asciiTheme="majorHAnsi" w:eastAsiaTheme="majorEastAsia" w:hAnsiTheme="majorHAnsi" w:cstheme="majorBidi"/>
      <w:b/>
      <w:bCs/>
      <w:smallCaps/>
      <w:color w:val="000000" w:themeColor="text1"/>
      <w:sz w:val="28"/>
      <w:szCs w:val="28"/>
    </w:rPr>
  </w:style>
  <w:style w:type="paragraph" w:styleId="TOCHeading">
    <w:name w:val="TOC Heading"/>
    <w:basedOn w:val="Heading1"/>
    <w:next w:val="Normal"/>
    <w:uiPriority w:val="39"/>
    <w:unhideWhenUsed/>
    <w:qFormat/>
    <w:rsid w:val="009C21E6"/>
    <w:pPr>
      <w:outlineLvl w:val="9"/>
    </w:pPr>
  </w:style>
  <w:style w:type="character" w:customStyle="1" w:styleId="Heading3Char">
    <w:name w:val="Heading 3 Char"/>
    <w:basedOn w:val="DefaultParagraphFont"/>
    <w:link w:val="Heading3"/>
    <w:uiPriority w:val="9"/>
    <w:semiHidden/>
    <w:rsid w:val="009C21E6"/>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9C21E6"/>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9C21E6"/>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9C21E6"/>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9C21E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C21E6"/>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9C21E6"/>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9C21E6"/>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9C21E6"/>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9C21E6"/>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9C21E6"/>
    <w:rPr>
      <w:color w:val="5A5A5A" w:themeColor="text1" w:themeTint="A5"/>
      <w:spacing w:val="10"/>
    </w:rPr>
  </w:style>
  <w:style w:type="character" w:styleId="Strong">
    <w:name w:val="Strong"/>
    <w:basedOn w:val="DefaultParagraphFont"/>
    <w:uiPriority w:val="22"/>
    <w:qFormat/>
    <w:rsid w:val="009C21E6"/>
    <w:rPr>
      <w:b/>
      <w:bCs/>
      <w:color w:val="000000" w:themeColor="text1"/>
    </w:rPr>
  </w:style>
  <w:style w:type="character" w:styleId="Emphasis">
    <w:name w:val="Emphasis"/>
    <w:basedOn w:val="DefaultParagraphFont"/>
    <w:uiPriority w:val="20"/>
    <w:qFormat/>
    <w:rsid w:val="009C21E6"/>
    <w:rPr>
      <w:i/>
      <w:iCs/>
      <w:color w:val="auto"/>
    </w:rPr>
  </w:style>
  <w:style w:type="paragraph" w:styleId="Quote">
    <w:name w:val="Quote"/>
    <w:basedOn w:val="Normal"/>
    <w:next w:val="Normal"/>
    <w:link w:val="QuoteChar"/>
    <w:uiPriority w:val="29"/>
    <w:qFormat/>
    <w:rsid w:val="009C21E6"/>
    <w:pPr>
      <w:spacing w:before="160"/>
      <w:ind w:left="720" w:right="720"/>
    </w:pPr>
    <w:rPr>
      <w:i/>
      <w:iCs/>
      <w:color w:val="000000" w:themeColor="text1"/>
    </w:rPr>
  </w:style>
  <w:style w:type="character" w:customStyle="1" w:styleId="QuoteChar">
    <w:name w:val="Quote Char"/>
    <w:basedOn w:val="DefaultParagraphFont"/>
    <w:link w:val="Quote"/>
    <w:uiPriority w:val="29"/>
    <w:rsid w:val="009C21E6"/>
    <w:rPr>
      <w:i/>
      <w:iCs/>
      <w:color w:val="000000" w:themeColor="text1"/>
    </w:rPr>
  </w:style>
  <w:style w:type="paragraph" w:styleId="IntenseQuote">
    <w:name w:val="Intense Quote"/>
    <w:basedOn w:val="Normal"/>
    <w:next w:val="Normal"/>
    <w:link w:val="IntenseQuoteChar"/>
    <w:uiPriority w:val="30"/>
    <w:qFormat/>
    <w:rsid w:val="009C21E6"/>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9C21E6"/>
    <w:rPr>
      <w:color w:val="000000" w:themeColor="text1"/>
      <w:shd w:val="clear" w:color="auto" w:fill="F2F2F2" w:themeFill="background1" w:themeFillShade="F2"/>
    </w:rPr>
  </w:style>
  <w:style w:type="character" w:styleId="SubtleEmphasis">
    <w:name w:val="Subtle Emphasis"/>
    <w:basedOn w:val="DefaultParagraphFont"/>
    <w:uiPriority w:val="19"/>
    <w:qFormat/>
    <w:rsid w:val="009C21E6"/>
    <w:rPr>
      <w:i/>
      <w:iCs/>
      <w:color w:val="404040" w:themeColor="text1" w:themeTint="BF"/>
    </w:rPr>
  </w:style>
  <w:style w:type="character" w:styleId="IntenseEmphasis">
    <w:name w:val="Intense Emphasis"/>
    <w:basedOn w:val="DefaultParagraphFont"/>
    <w:uiPriority w:val="21"/>
    <w:qFormat/>
    <w:rsid w:val="009C21E6"/>
    <w:rPr>
      <w:b/>
      <w:bCs/>
      <w:i/>
      <w:iCs/>
      <w:caps/>
    </w:rPr>
  </w:style>
  <w:style w:type="character" w:styleId="SubtleReference">
    <w:name w:val="Subtle Reference"/>
    <w:basedOn w:val="DefaultParagraphFont"/>
    <w:uiPriority w:val="31"/>
    <w:qFormat/>
    <w:rsid w:val="009C21E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C21E6"/>
    <w:rPr>
      <w:b/>
      <w:bCs/>
      <w:smallCaps/>
      <w:u w:val="single"/>
    </w:rPr>
  </w:style>
  <w:style w:type="character" w:styleId="BookTitle">
    <w:name w:val="Book Title"/>
    <w:basedOn w:val="DefaultParagraphFont"/>
    <w:uiPriority w:val="33"/>
    <w:qFormat/>
    <w:rsid w:val="009C21E6"/>
    <w:rPr>
      <w:b w:val="0"/>
      <w:bCs w:val="0"/>
      <w:smallCaps/>
      <w:spacing w:val="5"/>
    </w:rPr>
  </w:style>
  <w:style w:type="paragraph" w:styleId="ListParagraph">
    <w:name w:val="List Paragraph"/>
    <w:basedOn w:val="Normal"/>
    <w:uiPriority w:val="34"/>
    <w:qFormat/>
    <w:rsid w:val="000B4197"/>
    <w:pPr>
      <w:ind w:left="720"/>
      <w:contextualSpacing/>
    </w:pPr>
  </w:style>
  <w:style w:type="character" w:customStyle="1" w:styleId="hlfld-contribauthor">
    <w:name w:val="hlfld-contribauthor"/>
    <w:basedOn w:val="DefaultParagraphFont"/>
    <w:rsid w:val="009B3AC2"/>
  </w:style>
  <w:style w:type="character" w:customStyle="1" w:styleId="nlmgiven-names">
    <w:name w:val="nlm_given-names"/>
    <w:basedOn w:val="DefaultParagraphFont"/>
    <w:rsid w:val="009B3AC2"/>
  </w:style>
  <w:style w:type="character" w:customStyle="1" w:styleId="nlmyear">
    <w:name w:val="nlm_year"/>
    <w:basedOn w:val="DefaultParagraphFont"/>
    <w:rsid w:val="009B3AC2"/>
  </w:style>
  <w:style w:type="character" w:customStyle="1" w:styleId="nlmfpage">
    <w:name w:val="nlm_fpage"/>
    <w:basedOn w:val="DefaultParagraphFont"/>
    <w:rsid w:val="009B3AC2"/>
  </w:style>
  <w:style w:type="character" w:customStyle="1" w:styleId="nlmlpage">
    <w:name w:val="nlm_lpage"/>
    <w:basedOn w:val="DefaultParagraphFont"/>
    <w:rsid w:val="009B3A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488004">
      <w:bodyDiv w:val="1"/>
      <w:marLeft w:val="0"/>
      <w:marRight w:val="0"/>
      <w:marTop w:val="0"/>
      <w:marBottom w:val="0"/>
      <w:divBdr>
        <w:top w:val="none" w:sz="0" w:space="0" w:color="auto"/>
        <w:left w:val="none" w:sz="0" w:space="0" w:color="auto"/>
        <w:bottom w:val="none" w:sz="0" w:space="0" w:color="auto"/>
        <w:right w:val="none" w:sz="0" w:space="0" w:color="auto"/>
      </w:divBdr>
    </w:div>
    <w:div w:id="440298551">
      <w:bodyDiv w:val="1"/>
      <w:marLeft w:val="0"/>
      <w:marRight w:val="0"/>
      <w:marTop w:val="0"/>
      <w:marBottom w:val="0"/>
      <w:divBdr>
        <w:top w:val="none" w:sz="0" w:space="0" w:color="auto"/>
        <w:left w:val="none" w:sz="0" w:space="0" w:color="auto"/>
        <w:bottom w:val="none" w:sz="0" w:space="0" w:color="auto"/>
        <w:right w:val="none" w:sz="0" w:space="0" w:color="auto"/>
      </w:divBdr>
    </w:div>
    <w:div w:id="446316788">
      <w:bodyDiv w:val="1"/>
      <w:marLeft w:val="0"/>
      <w:marRight w:val="0"/>
      <w:marTop w:val="0"/>
      <w:marBottom w:val="0"/>
      <w:divBdr>
        <w:top w:val="none" w:sz="0" w:space="0" w:color="auto"/>
        <w:left w:val="none" w:sz="0" w:space="0" w:color="auto"/>
        <w:bottom w:val="none" w:sz="0" w:space="0" w:color="auto"/>
        <w:right w:val="none" w:sz="0" w:space="0" w:color="auto"/>
      </w:divBdr>
      <w:divsChild>
        <w:div w:id="1395355065">
          <w:marLeft w:val="0"/>
          <w:marRight w:val="0"/>
          <w:marTop w:val="0"/>
          <w:marBottom w:val="0"/>
          <w:divBdr>
            <w:top w:val="none" w:sz="0" w:space="0" w:color="auto"/>
            <w:left w:val="none" w:sz="0" w:space="0" w:color="auto"/>
            <w:bottom w:val="none" w:sz="0" w:space="0" w:color="auto"/>
            <w:right w:val="none" w:sz="0" w:space="0" w:color="auto"/>
          </w:divBdr>
        </w:div>
        <w:div w:id="1861776749">
          <w:marLeft w:val="0"/>
          <w:marRight w:val="0"/>
          <w:marTop w:val="0"/>
          <w:marBottom w:val="0"/>
          <w:divBdr>
            <w:top w:val="none" w:sz="0" w:space="0" w:color="auto"/>
            <w:left w:val="none" w:sz="0" w:space="0" w:color="auto"/>
            <w:bottom w:val="none" w:sz="0" w:space="0" w:color="auto"/>
            <w:right w:val="none" w:sz="0" w:space="0" w:color="auto"/>
          </w:divBdr>
        </w:div>
        <w:div w:id="164899786">
          <w:marLeft w:val="0"/>
          <w:marRight w:val="0"/>
          <w:marTop w:val="0"/>
          <w:marBottom w:val="0"/>
          <w:divBdr>
            <w:top w:val="none" w:sz="0" w:space="0" w:color="auto"/>
            <w:left w:val="none" w:sz="0" w:space="0" w:color="auto"/>
            <w:bottom w:val="none" w:sz="0" w:space="0" w:color="auto"/>
            <w:right w:val="none" w:sz="0" w:space="0" w:color="auto"/>
          </w:divBdr>
        </w:div>
        <w:div w:id="1751585819">
          <w:marLeft w:val="0"/>
          <w:marRight w:val="0"/>
          <w:marTop w:val="0"/>
          <w:marBottom w:val="0"/>
          <w:divBdr>
            <w:top w:val="none" w:sz="0" w:space="0" w:color="auto"/>
            <w:left w:val="none" w:sz="0" w:space="0" w:color="auto"/>
            <w:bottom w:val="none" w:sz="0" w:space="0" w:color="auto"/>
            <w:right w:val="none" w:sz="0" w:space="0" w:color="auto"/>
          </w:divBdr>
        </w:div>
        <w:div w:id="1312176310">
          <w:marLeft w:val="0"/>
          <w:marRight w:val="0"/>
          <w:marTop w:val="0"/>
          <w:marBottom w:val="0"/>
          <w:divBdr>
            <w:top w:val="none" w:sz="0" w:space="0" w:color="auto"/>
            <w:left w:val="none" w:sz="0" w:space="0" w:color="auto"/>
            <w:bottom w:val="none" w:sz="0" w:space="0" w:color="auto"/>
            <w:right w:val="none" w:sz="0" w:space="0" w:color="auto"/>
          </w:divBdr>
        </w:div>
        <w:div w:id="814954538">
          <w:marLeft w:val="0"/>
          <w:marRight w:val="0"/>
          <w:marTop w:val="0"/>
          <w:marBottom w:val="0"/>
          <w:divBdr>
            <w:top w:val="none" w:sz="0" w:space="0" w:color="auto"/>
            <w:left w:val="none" w:sz="0" w:space="0" w:color="auto"/>
            <w:bottom w:val="none" w:sz="0" w:space="0" w:color="auto"/>
            <w:right w:val="none" w:sz="0" w:space="0" w:color="auto"/>
          </w:divBdr>
        </w:div>
        <w:div w:id="872156822">
          <w:marLeft w:val="0"/>
          <w:marRight w:val="0"/>
          <w:marTop w:val="0"/>
          <w:marBottom w:val="0"/>
          <w:divBdr>
            <w:top w:val="none" w:sz="0" w:space="0" w:color="auto"/>
            <w:left w:val="none" w:sz="0" w:space="0" w:color="auto"/>
            <w:bottom w:val="none" w:sz="0" w:space="0" w:color="auto"/>
            <w:right w:val="none" w:sz="0" w:space="0" w:color="auto"/>
          </w:divBdr>
        </w:div>
        <w:div w:id="697966773">
          <w:marLeft w:val="0"/>
          <w:marRight w:val="0"/>
          <w:marTop w:val="0"/>
          <w:marBottom w:val="0"/>
          <w:divBdr>
            <w:top w:val="none" w:sz="0" w:space="0" w:color="auto"/>
            <w:left w:val="none" w:sz="0" w:space="0" w:color="auto"/>
            <w:bottom w:val="none" w:sz="0" w:space="0" w:color="auto"/>
            <w:right w:val="none" w:sz="0" w:space="0" w:color="auto"/>
          </w:divBdr>
        </w:div>
        <w:div w:id="1514151373">
          <w:marLeft w:val="0"/>
          <w:marRight w:val="0"/>
          <w:marTop w:val="0"/>
          <w:marBottom w:val="0"/>
          <w:divBdr>
            <w:top w:val="none" w:sz="0" w:space="0" w:color="auto"/>
            <w:left w:val="none" w:sz="0" w:space="0" w:color="auto"/>
            <w:bottom w:val="none" w:sz="0" w:space="0" w:color="auto"/>
            <w:right w:val="none" w:sz="0" w:space="0" w:color="auto"/>
          </w:divBdr>
        </w:div>
        <w:div w:id="1547253548">
          <w:marLeft w:val="0"/>
          <w:marRight w:val="0"/>
          <w:marTop w:val="0"/>
          <w:marBottom w:val="0"/>
          <w:divBdr>
            <w:top w:val="none" w:sz="0" w:space="0" w:color="auto"/>
            <w:left w:val="none" w:sz="0" w:space="0" w:color="auto"/>
            <w:bottom w:val="none" w:sz="0" w:space="0" w:color="auto"/>
            <w:right w:val="none" w:sz="0" w:space="0" w:color="auto"/>
          </w:divBdr>
        </w:div>
        <w:div w:id="422382067">
          <w:marLeft w:val="0"/>
          <w:marRight w:val="0"/>
          <w:marTop w:val="0"/>
          <w:marBottom w:val="0"/>
          <w:divBdr>
            <w:top w:val="none" w:sz="0" w:space="0" w:color="auto"/>
            <w:left w:val="none" w:sz="0" w:space="0" w:color="auto"/>
            <w:bottom w:val="none" w:sz="0" w:space="0" w:color="auto"/>
            <w:right w:val="none" w:sz="0" w:space="0" w:color="auto"/>
          </w:divBdr>
        </w:div>
        <w:div w:id="965938684">
          <w:marLeft w:val="0"/>
          <w:marRight w:val="0"/>
          <w:marTop w:val="0"/>
          <w:marBottom w:val="0"/>
          <w:divBdr>
            <w:top w:val="none" w:sz="0" w:space="0" w:color="auto"/>
            <w:left w:val="none" w:sz="0" w:space="0" w:color="auto"/>
            <w:bottom w:val="none" w:sz="0" w:space="0" w:color="auto"/>
            <w:right w:val="none" w:sz="0" w:space="0" w:color="auto"/>
          </w:divBdr>
        </w:div>
      </w:divsChild>
    </w:div>
    <w:div w:id="927157235">
      <w:bodyDiv w:val="1"/>
      <w:marLeft w:val="0"/>
      <w:marRight w:val="0"/>
      <w:marTop w:val="0"/>
      <w:marBottom w:val="0"/>
      <w:divBdr>
        <w:top w:val="none" w:sz="0" w:space="0" w:color="auto"/>
        <w:left w:val="none" w:sz="0" w:space="0" w:color="auto"/>
        <w:bottom w:val="none" w:sz="0" w:space="0" w:color="auto"/>
        <w:right w:val="none" w:sz="0" w:space="0" w:color="auto"/>
      </w:divBdr>
    </w:div>
    <w:div w:id="1067074821">
      <w:bodyDiv w:val="1"/>
      <w:marLeft w:val="0"/>
      <w:marRight w:val="0"/>
      <w:marTop w:val="0"/>
      <w:marBottom w:val="0"/>
      <w:divBdr>
        <w:top w:val="none" w:sz="0" w:space="0" w:color="auto"/>
        <w:left w:val="none" w:sz="0" w:space="0" w:color="auto"/>
        <w:bottom w:val="none" w:sz="0" w:space="0" w:color="auto"/>
        <w:right w:val="none" w:sz="0" w:space="0" w:color="auto"/>
      </w:divBdr>
    </w:div>
    <w:div w:id="1986468065">
      <w:bodyDiv w:val="1"/>
      <w:marLeft w:val="0"/>
      <w:marRight w:val="0"/>
      <w:marTop w:val="0"/>
      <w:marBottom w:val="0"/>
      <w:divBdr>
        <w:top w:val="none" w:sz="0" w:space="0" w:color="auto"/>
        <w:left w:val="none" w:sz="0" w:space="0" w:color="auto"/>
        <w:bottom w:val="none" w:sz="0" w:space="0" w:color="auto"/>
        <w:right w:val="none" w:sz="0" w:space="0" w:color="auto"/>
      </w:divBdr>
      <w:divsChild>
        <w:div w:id="128675394">
          <w:marLeft w:val="0"/>
          <w:marRight w:val="0"/>
          <w:marTop w:val="0"/>
          <w:marBottom w:val="0"/>
          <w:divBdr>
            <w:top w:val="none" w:sz="0" w:space="0" w:color="auto"/>
            <w:left w:val="none" w:sz="0" w:space="0" w:color="auto"/>
            <w:bottom w:val="none" w:sz="0" w:space="0" w:color="auto"/>
            <w:right w:val="none" w:sz="0" w:space="0" w:color="auto"/>
          </w:divBdr>
          <w:divsChild>
            <w:div w:id="1990867639">
              <w:marLeft w:val="0"/>
              <w:marRight w:val="0"/>
              <w:marTop w:val="0"/>
              <w:marBottom w:val="0"/>
              <w:divBdr>
                <w:top w:val="none" w:sz="0" w:space="0" w:color="auto"/>
                <w:left w:val="none" w:sz="0" w:space="0" w:color="auto"/>
                <w:bottom w:val="none" w:sz="0" w:space="0" w:color="auto"/>
                <w:right w:val="none" w:sz="0" w:space="0" w:color="auto"/>
              </w:divBdr>
              <w:divsChild>
                <w:div w:id="1459911569">
                  <w:marLeft w:val="0"/>
                  <w:marRight w:val="0"/>
                  <w:marTop w:val="150"/>
                  <w:marBottom w:val="450"/>
                  <w:divBdr>
                    <w:top w:val="none" w:sz="0" w:space="0" w:color="auto"/>
                    <w:left w:val="none" w:sz="0" w:space="0" w:color="auto"/>
                    <w:bottom w:val="none" w:sz="0" w:space="0" w:color="auto"/>
                    <w:right w:val="none" w:sz="0" w:space="0" w:color="auto"/>
                  </w:divBdr>
                </w:div>
                <w:div w:id="647172493">
                  <w:marLeft w:val="0"/>
                  <w:marRight w:val="0"/>
                  <w:marTop w:val="0"/>
                  <w:marBottom w:val="0"/>
                  <w:divBdr>
                    <w:top w:val="none" w:sz="0" w:space="3" w:color="auto"/>
                    <w:left w:val="none" w:sz="0" w:space="0" w:color="auto"/>
                    <w:bottom w:val="single" w:sz="6" w:space="3" w:color="000000"/>
                    <w:right w:val="none" w:sz="0" w:space="31" w:color="auto"/>
                  </w:divBdr>
                </w:div>
                <w:div w:id="292248028">
                  <w:marLeft w:val="0"/>
                  <w:marRight w:val="0"/>
                  <w:marTop w:val="0"/>
                  <w:marBottom w:val="0"/>
                  <w:divBdr>
                    <w:top w:val="none" w:sz="0" w:space="0" w:color="auto"/>
                    <w:left w:val="none" w:sz="0" w:space="0" w:color="auto"/>
                    <w:bottom w:val="none" w:sz="0" w:space="0" w:color="auto"/>
                    <w:right w:val="none" w:sz="0" w:space="0" w:color="auto"/>
                  </w:divBdr>
                  <w:divsChild>
                    <w:div w:id="1766077457">
                      <w:marLeft w:val="0"/>
                      <w:marRight w:val="0"/>
                      <w:marTop w:val="75"/>
                      <w:marBottom w:val="225"/>
                      <w:divBdr>
                        <w:top w:val="none" w:sz="0" w:space="3" w:color="auto"/>
                        <w:left w:val="none" w:sz="0" w:space="0" w:color="auto"/>
                        <w:bottom w:val="single" w:sz="6" w:space="3" w:color="000000"/>
                        <w:right w:val="none" w:sz="0" w:space="3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1761CD-85E6-461D-97D4-65F0BF241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11</Pages>
  <Words>3734</Words>
  <Characters>21285</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Glascott (1901783)</dc:creator>
  <cp:keywords/>
  <dc:description/>
  <cp:lastModifiedBy>Jack Glascott</cp:lastModifiedBy>
  <cp:revision>7</cp:revision>
  <dcterms:created xsi:type="dcterms:W3CDTF">2022-03-25T21:02:00Z</dcterms:created>
  <dcterms:modified xsi:type="dcterms:W3CDTF">2022-03-26T00:39:00Z</dcterms:modified>
</cp:coreProperties>
</file>