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4A49B" w14:textId="0687E3A8" w:rsidR="003952CA" w:rsidRDefault="003952CA">
      <w:r>
        <w:t>Assignment: 1000x Word Essay – Will Bullock</w:t>
      </w:r>
    </w:p>
    <w:p w14:paraId="7CB9BAE0" w14:textId="418CD58C" w:rsidR="00826EB3" w:rsidRDefault="003952CA">
      <w:r w:rsidRPr="003952CA">
        <w:t>The Teleological argument identifies a design and purpose in the material universe and further, that the cause of this is God. Is it justified in making either of these claims?</w:t>
      </w:r>
    </w:p>
    <w:p w14:paraId="1A21E086" w14:textId="4AB1A481" w:rsidR="008255BB" w:rsidRDefault="008255BB"/>
    <w:p w14:paraId="517484C3" w14:textId="6A2638BA" w:rsidR="00BF0BD9" w:rsidRDefault="008255BB">
      <w:r>
        <w:t xml:space="preserve">Teleological arguments attempt to reason the existence of God as a creator as caused by the empirical recognition of the regularity within the design of the universe. Fundamentally, it is difficult to question the order maintained within the universe – </w:t>
      </w:r>
      <w:r w:rsidR="00DA3708">
        <w:t>though</w:t>
      </w:r>
      <w:r>
        <w:t xml:space="preserve"> whether this order was intentionally designed and </w:t>
      </w:r>
      <w:r w:rsidR="00DA3708">
        <w:t>contains purpose digs much deeper. Even in accepting the universe as designed</w:t>
      </w:r>
      <w:r w:rsidR="00712DEB">
        <w:t>,</w:t>
      </w:r>
      <w:r w:rsidR="00DA3708">
        <w:t xml:space="preserve"> we cannot immediately conclude that God must be the designer or even that there is a designer as we understand it.</w:t>
      </w:r>
    </w:p>
    <w:p w14:paraId="6F410B63" w14:textId="101D68FB" w:rsidR="00F87C6C" w:rsidRDefault="00BF0BD9">
      <w:r>
        <w:t>Though the arguments take several approaches</w:t>
      </w:r>
      <w:r w:rsidR="00712DEB">
        <w:t>,</w:t>
      </w:r>
      <w:r>
        <w:t xml:space="preserve"> they all fall under the overarching reasoning that the intelligence of the universe is best explained by the existence of an intelligent designer,</w:t>
      </w:r>
      <w:r w:rsidR="00FE583F">
        <w:rPr>
          <w:rStyle w:val="FootnoteReference"/>
        </w:rPr>
        <w:footnoteReference w:id="1"/>
      </w:r>
      <w:r>
        <w:t xml:space="preserve"> though the forms </w:t>
      </w:r>
      <w:r w:rsidR="000D1FC7">
        <w:t>of these</w:t>
      </w:r>
      <w:r>
        <w:t xml:space="preserve"> arguments have developed as the zeitgeist </w:t>
      </w:r>
      <w:r w:rsidR="000D1FC7">
        <w:t xml:space="preserve">has </w:t>
      </w:r>
      <w:r>
        <w:t>do</w:t>
      </w:r>
      <w:r w:rsidR="00712DEB">
        <w:t>ne</w:t>
      </w:r>
      <w:r>
        <w:t xml:space="preserve"> so too</w:t>
      </w:r>
      <w:r w:rsidR="000D1FC7">
        <w:t xml:space="preserve">. </w:t>
      </w:r>
      <w:r w:rsidR="00714FE6">
        <w:t>A</w:t>
      </w:r>
      <w:r w:rsidR="000D1FC7">
        <w:t xml:space="preserve"> contemporary view</w:t>
      </w:r>
      <w:r w:rsidR="00714FE6">
        <w:t>, irreducible complexity, was</w:t>
      </w:r>
      <w:r w:rsidR="000D1FC7">
        <w:t xml:space="preserve"> proposed by Michael Behe </w:t>
      </w:r>
      <w:r w:rsidR="00712DEB">
        <w:t xml:space="preserve">and </w:t>
      </w:r>
      <w:r w:rsidR="000D1FC7">
        <w:t>was grounded on</w:t>
      </w:r>
      <w:r w:rsidR="00B003EE">
        <w:t xml:space="preserve"> </w:t>
      </w:r>
      <w:r w:rsidR="00714FE6">
        <w:t>advancements within biochemistry contradicting Charles Darwin’s theory of natural selection</w:t>
      </w:r>
      <w:r w:rsidR="00B003EE">
        <w:t>. This is of significance as atheism was largely</w:t>
      </w:r>
      <w:r w:rsidR="00714FE6">
        <w:t xml:space="preserve"> </w:t>
      </w:r>
      <w:r w:rsidR="00B003EE">
        <w:t>unsustainable before Darwinism allowed for the possibility of a self-sustaining system.</w:t>
      </w:r>
      <w:r w:rsidR="00F87C6C">
        <w:rPr>
          <w:rStyle w:val="FootnoteReference"/>
        </w:rPr>
        <w:footnoteReference w:id="2"/>
      </w:r>
    </w:p>
    <w:p w14:paraId="62FC8C2A" w14:textId="216CDFCC" w:rsidR="00F87C6C" w:rsidRDefault="00D86979">
      <w:r>
        <w:t xml:space="preserve">Plato is among the first to </w:t>
      </w:r>
      <w:r w:rsidR="00D5747A">
        <w:t>conceptualise the teleological argument</w:t>
      </w:r>
      <w:r w:rsidR="00712DEB">
        <w:t>. However,</w:t>
      </w:r>
      <w:r w:rsidR="00D5747A">
        <w:t xml:space="preserve"> it didn’t start gaining traction until fifteen hundred years later when Thomas Aquinas proposed the Fifth Way for belief in God in his book Summa Theologica. It uses an analogy of an archer and concludes with the belief that God must exist as he redirects all </w:t>
      </w:r>
      <w:r w:rsidR="00F000E4">
        <w:t>intelligent</w:t>
      </w:r>
      <w:r w:rsidR="00D5747A">
        <w:t xml:space="preserve"> </w:t>
      </w:r>
      <w:r w:rsidR="00F000E4">
        <w:t>things toward</w:t>
      </w:r>
      <w:r w:rsidR="00712DEB">
        <w:t>s</w:t>
      </w:r>
      <w:r w:rsidR="00F000E4">
        <w:t xml:space="preserve"> their end.</w:t>
      </w:r>
      <w:r w:rsidR="00F000E4">
        <w:rPr>
          <w:rStyle w:val="FootnoteReference"/>
        </w:rPr>
        <w:footnoteReference w:id="3"/>
      </w:r>
    </w:p>
    <w:p w14:paraId="14F9F932" w14:textId="68D25AB7" w:rsidR="00F000E4" w:rsidRDefault="00F000E4">
      <w:r>
        <w:t>Towards the start of the 19</w:t>
      </w:r>
      <w:r w:rsidRPr="00F000E4">
        <w:rPr>
          <w:vertAlign w:val="superscript"/>
        </w:rPr>
        <w:t>th</w:t>
      </w:r>
      <w:r>
        <w:t xml:space="preserve"> century</w:t>
      </w:r>
      <w:r w:rsidR="00712DEB">
        <w:t>,</w:t>
      </w:r>
      <w:r>
        <w:t xml:space="preserve"> William Paley reignited the argument with a different approach, instead using an analogy of a </w:t>
      </w:r>
      <w:r w:rsidR="00707B04">
        <w:t xml:space="preserve">watch. He asked one to suppose they encountered a watch on the ground, all the parts are arranged with complete order to ensure it meets its purpose – he then argued it would be absurd to assert that the watch came from </w:t>
      </w:r>
      <w:r w:rsidR="00E57E99">
        <w:t>chance within nature</w:t>
      </w:r>
      <w:r w:rsidR="00707B04">
        <w:t xml:space="preserve"> and that it doesn’t have a designer and so he expands this parallel to the universe to suggest that God exists using Occam’s Razor.</w:t>
      </w:r>
    </w:p>
    <w:p w14:paraId="16BA5FB1" w14:textId="12556047" w:rsidR="004076D0" w:rsidRDefault="005F03B7">
      <w:r>
        <w:t xml:space="preserve">Continuing on from this, we need examine the validity of the empirical view that we can recognise regularity within nature. </w:t>
      </w:r>
      <w:r w:rsidR="00C54B00">
        <w:t>Of course,</w:t>
      </w:r>
      <w:r>
        <w:t xml:space="preserve"> we can observe</w:t>
      </w:r>
      <w:r w:rsidR="00C54B00">
        <w:t xml:space="preserve"> order within nature such as ocean waves moving in and out with accordance to the moon. However, this is not conclusive. </w:t>
      </w:r>
      <w:r w:rsidR="00632091">
        <w:t>E</w:t>
      </w:r>
      <w:r w:rsidR="00C54B00">
        <w:t xml:space="preserve">vents such as </w:t>
      </w:r>
      <w:r w:rsidR="00632091">
        <w:t>natural disasters manifest disorder, and so it is not precise to claim that there is complete order within nature. In a more radical sense, teleological reasoning rests on the hidden premise of empiricism being a sound epistemological view. If we are not able to deductively obtain knowledge from our senses then the acknowledgement for order is redundant</w:t>
      </w:r>
      <w:r w:rsidR="004076D0">
        <w:t xml:space="preserve"> in these arguments.</w:t>
      </w:r>
    </w:p>
    <w:p w14:paraId="0C0BF26D" w14:textId="19A25922" w:rsidR="004076D0" w:rsidRDefault="008E0BF2">
      <w:r>
        <w:t>Likewise</w:t>
      </w:r>
      <w:r w:rsidR="00B748CD">
        <w:t xml:space="preserve">, not all parts of a watch serve its purpose to tell oneself about the time on ones’ wrist, for example, a logo placed on the face of the watch serves more against the watch’s purpose than it does for it. Yet the watch still works and serves its function. Similarly, not all natural events may </w:t>
      </w:r>
      <w:r w:rsidR="00B748CD">
        <w:lastRenderedPageBreak/>
        <w:t xml:space="preserve">occur </w:t>
      </w:r>
      <w:r w:rsidR="00910CBE">
        <w:t>orderly, but this may not take away from the abundance of order that there is in the natural state of the universe.</w:t>
      </w:r>
    </w:p>
    <w:p w14:paraId="0843809D" w14:textId="406F0183" w:rsidR="008E0BF2" w:rsidRDefault="00910CBE">
      <w:r>
        <w:t>Expanding from this, if we accept that everything natural was designed we should think about why it was designed and more specifically, what purpose it serves.</w:t>
      </w:r>
      <w:r w:rsidR="00C65F73">
        <w:t xml:space="preserve"> Aristotle would argue that as every action serves a purpose,</w:t>
      </w:r>
      <w:r w:rsidR="004664CF">
        <w:rPr>
          <w:rStyle w:val="FootnoteReference"/>
        </w:rPr>
        <w:footnoteReference w:id="4"/>
      </w:r>
      <w:r w:rsidR="00C65F73">
        <w:t xml:space="preserve"> when something is designed we must be doing so because we want to fulfil some purpose. It could also be understood</w:t>
      </w:r>
      <w:r w:rsidR="004664CF">
        <w:t xml:space="preserve"> holistically</w:t>
      </w:r>
      <w:r w:rsidR="00C65F73">
        <w:t xml:space="preserve"> that as most events aim towards orderliness, the final aim is orderliness in nature as a whole</w:t>
      </w:r>
      <w:r w:rsidR="004664CF">
        <w:t>.</w:t>
      </w:r>
    </w:p>
    <w:p w14:paraId="1455083E" w14:textId="77777777" w:rsidR="00D8762C" w:rsidRDefault="008E0BF2">
      <w:r>
        <w:t>However, how we understand the purpose of a design can be misleading, one can quickly assume that only some force beyond nature could be responsible. This may not be the case, as referred to earlier</w:t>
      </w:r>
      <w:r w:rsidR="000C792E">
        <w:t xml:space="preserve"> </w:t>
      </w:r>
      <w:r>
        <w:t xml:space="preserve">Darwinism </w:t>
      </w:r>
      <w:r w:rsidR="000C792E">
        <w:t>explains how</w:t>
      </w:r>
      <w:r>
        <w:t xml:space="preserve"> order </w:t>
      </w:r>
      <w:r w:rsidR="000C792E">
        <w:t>can</w:t>
      </w:r>
      <w:r>
        <w:t xml:space="preserve"> maintain itself</w:t>
      </w:r>
      <w:r w:rsidR="000C792E">
        <w:t xml:space="preserve"> as the strongest animals continue to thrive.</w:t>
      </w:r>
    </w:p>
    <w:p w14:paraId="7D99DB33" w14:textId="70C01791" w:rsidR="008E0BF2" w:rsidRDefault="00D8762C">
      <w:r>
        <w:t>As David Hume emphasised, the existence of a universe is bound to give the appearance of being designed.</w:t>
      </w:r>
      <w:r>
        <w:rPr>
          <w:rStyle w:val="FootnoteReference"/>
        </w:rPr>
        <w:footnoteReference w:id="5"/>
      </w:r>
      <w:r>
        <w:t xml:space="preserve"> Though our appearances often deceive us, simultaneously weakening the teleological approach concluding there must be a designer, and empiricism as a whole.</w:t>
      </w:r>
    </w:p>
    <w:p w14:paraId="3E6F6A7E" w14:textId="60837E2E" w:rsidR="00D8762C" w:rsidRDefault="00D8762C">
      <w:r>
        <w:t xml:space="preserve">Another one of Hume’s critiques in his ‘Dialogues Concerning Natural Religion’ was that </w:t>
      </w:r>
      <w:r w:rsidR="005A000E">
        <w:t>the disparity in analogy between a watch and a universe is not sound</w:t>
      </w:r>
      <w:r w:rsidR="009442B7">
        <w:t xml:space="preserve"> – not</w:t>
      </w:r>
      <w:r w:rsidR="005A000E">
        <w:t xml:space="preserve"> just because</w:t>
      </w:r>
      <w:r w:rsidR="009442B7">
        <w:t xml:space="preserve"> a watch is the designed creation of a mortal person (or multiple people) and the universe as the designed creation of an omnipotent being. </w:t>
      </w:r>
      <w:r w:rsidR="00185B2A">
        <w:t>Further,</w:t>
      </w:r>
      <w:r w:rsidR="009442B7">
        <w:t xml:space="preserve"> Paley is guilty of the fallacy of composition, that is, assuming what is true </w:t>
      </w:r>
      <w:r w:rsidR="00185B2A">
        <w:t>of one part of a group (the watch having a designer) is true of the whole group (the universe having a designer).</w:t>
      </w:r>
    </w:p>
    <w:p w14:paraId="6471353D" w14:textId="2CCC512D" w:rsidR="00185B2A" w:rsidRDefault="00185B2A">
      <w:r>
        <w:t>Finally, the concept of God as what follows of the conclusion is not sufficient. As inferred not only the watch analogy disregard the consideration of a watch being made by multiple people and so it would follow that there is the possibility of multiple gods, but also that the example only proves the existence of a designer and creator, not necessarily an omnibenevolent and omniscient being.</w:t>
      </w:r>
      <w:r w:rsidR="00253B25">
        <w:rPr>
          <w:rStyle w:val="FootnoteReference"/>
        </w:rPr>
        <w:footnoteReference w:id="6"/>
      </w:r>
      <w:r>
        <w:t xml:space="preserve"> Meaning the very conclusion that follows is not that God must exist as the designer of the universe, but that, a being or several beings designed and created the universe.</w:t>
      </w:r>
    </w:p>
    <w:p w14:paraId="78B89A4D" w14:textId="11CEF411" w:rsidR="000326F3" w:rsidRPr="00FF2E0F" w:rsidRDefault="000326F3">
      <w:r>
        <w:t>To conclude,</w:t>
      </w:r>
      <w:r w:rsidR="00253B25">
        <w:t xml:space="preserve"> I believe it has been demonstrated that even if the natural disorderliness is reasonable in design, and that empirical approach the teleological arguments are grounded on are sound, what is </w:t>
      </w:r>
      <w:r w:rsidR="008A4E8D">
        <w:t xml:space="preserve">said to be the cause needn’t be God. In short the design argument claims some natural features of the world are best explained with reference to a designer. However, with closer examination we can understand that the heavy reliance on the premise ‘best explained’ leaves the argument fallible. Just as the best Chess player </w:t>
      </w:r>
      <w:r w:rsidR="00116289">
        <w:t>wouldn’t win every game</w:t>
      </w:r>
      <w:r w:rsidR="008A4E8D">
        <w:t xml:space="preserve">, we can’t assume that a designer is the only metaphysically possible explanation for the universe, </w:t>
      </w:r>
      <w:r w:rsidR="008A4E8D">
        <w:t>and so it is not justified in defending God’s existence.</w:t>
      </w:r>
    </w:p>
    <w:sectPr w:rsidR="000326F3" w:rsidRPr="00FF2E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E25767" w14:textId="77777777" w:rsidR="00673739" w:rsidRDefault="00673739" w:rsidP="00FE583F">
      <w:pPr>
        <w:spacing w:after="0" w:line="240" w:lineRule="auto"/>
      </w:pPr>
      <w:r>
        <w:separator/>
      </w:r>
    </w:p>
  </w:endnote>
  <w:endnote w:type="continuationSeparator" w:id="0">
    <w:p w14:paraId="17830E83" w14:textId="77777777" w:rsidR="00673739" w:rsidRDefault="00673739" w:rsidP="00FE58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D52F40" w14:textId="77777777" w:rsidR="00673739" w:rsidRDefault="00673739" w:rsidP="00FE583F">
      <w:pPr>
        <w:spacing w:after="0" w:line="240" w:lineRule="auto"/>
      </w:pPr>
      <w:r>
        <w:separator/>
      </w:r>
    </w:p>
  </w:footnote>
  <w:footnote w:type="continuationSeparator" w:id="0">
    <w:p w14:paraId="5A436CD9" w14:textId="77777777" w:rsidR="00673739" w:rsidRDefault="00673739" w:rsidP="00FE583F">
      <w:pPr>
        <w:spacing w:after="0" w:line="240" w:lineRule="auto"/>
      </w:pPr>
      <w:r>
        <w:continuationSeparator/>
      </w:r>
    </w:p>
  </w:footnote>
  <w:footnote w:id="1">
    <w:p w14:paraId="3E23C7F5" w14:textId="72EF9D07" w:rsidR="00FE583F" w:rsidRDefault="00FE583F">
      <w:pPr>
        <w:pStyle w:val="FootnoteText"/>
      </w:pPr>
      <w:r>
        <w:rPr>
          <w:rStyle w:val="FootnoteReference"/>
        </w:rPr>
        <w:footnoteRef/>
      </w:r>
      <w:r>
        <w:t xml:space="preserve"> </w:t>
      </w:r>
      <w:r w:rsidRPr="00FE583F">
        <w:t xml:space="preserve">Kenneth </w:t>
      </w:r>
      <w:r>
        <w:t>E.</w:t>
      </w:r>
      <w:r w:rsidRPr="00FE583F">
        <w:t xml:space="preserve"> Himma</w:t>
      </w:r>
      <w:r>
        <w:t xml:space="preserve">, Internet Encyclopaedia of Philosophy, </w:t>
      </w:r>
      <w:r w:rsidR="00F87C6C" w:rsidRPr="00F87C6C">
        <w:t>Design Arguments for the Existence of God</w:t>
      </w:r>
      <w:r w:rsidR="00F87C6C">
        <w:t xml:space="preserve"> (2022) &lt;</w:t>
      </w:r>
      <w:r w:rsidR="00F87C6C" w:rsidRPr="00F87C6C">
        <w:t>https://iep.utm.edu/design-arguments-for-existence-of-god/</w:t>
      </w:r>
      <w:r w:rsidR="00F87C6C">
        <w:t>&gt; [accessed 8 October 2022]</w:t>
      </w:r>
    </w:p>
  </w:footnote>
  <w:footnote w:id="2">
    <w:p w14:paraId="4D92ACA6" w14:textId="3C3C58F8" w:rsidR="00F87C6C" w:rsidRDefault="00F87C6C">
      <w:pPr>
        <w:pStyle w:val="FootnoteText"/>
      </w:pPr>
      <w:r>
        <w:rPr>
          <w:rStyle w:val="FootnoteReference"/>
        </w:rPr>
        <w:footnoteRef/>
      </w:r>
      <w:r>
        <w:t xml:space="preserve"> Nigel Warburton, A Little History of Philosophy, (</w:t>
      </w:r>
      <w:r w:rsidR="00F000E4">
        <w:t>Yale</w:t>
      </w:r>
      <w:r>
        <w:t>: TJ International, 2012), p147 (p145-151)</w:t>
      </w:r>
    </w:p>
  </w:footnote>
  <w:footnote w:id="3">
    <w:p w14:paraId="3C32556A" w14:textId="3A603168" w:rsidR="00F000E4" w:rsidRDefault="00F000E4">
      <w:pPr>
        <w:pStyle w:val="FootnoteText"/>
      </w:pPr>
      <w:r>
        <w:rPr>
          <w:rStyle w:val="FootnoteReference"/>
        </w:rPr>
        <w:footnoteRef/>
      </w:r>
      <w:r>
        <w:t xml:space="preserve"> Daniel Cardinal, Gerald Jones, and Jeremy Hayward, Philosophy: For A-Level Year 2, (London: Hodder Education, 2018), p60 (p57-90)</w:t>
      </w:r>
    </w:p>
  </w:footnote>
  <w:footnote w:id="4">
    <w:p w14:paraId="41C5F1A3" w14:textId="6F1A7DE9" w:rsidR="004664CF" w:rsidRDefault="004664CF">
      <w:pPr>
        <w:pStyle w:val="FootnoteText"/>
      </w:pPr>
      <w:r>
        <w:rPr>
          <w:rStyle w:val="FootnoteReference"/>
        </w:rPr>
        <w:footnoteRef/>
      </w:r>
      <w:r>
        <w:t xml:space="preserve"> Aristotle, Nicomachean Ethics, Book 1, (London: </w:t>
      </w:r>
      <w:r w:rsidRPr="004664CF">
        <w:t>William Heinemann</w:t>
      </w:r>
      <w:r>
        <w:t>, 1934), Chapter 1, Section 1, p1</w:t>
      </w:r>
    </w:p>
  </w:footnote>
  <w:footnote w:id="5">
    <w:p w14:paraId="7B89909A" w14:textId="3B93176D" w:rsidR="00D8762C" w:rsidRDefault="00D8762C">
      <w:pPr>
        <w:pStyle w:val="FootnoteText"/>
      </w:pPr>
      <w:r>
        <w:rPr>
          <w:rStyle w:val="FootnoteReference"/>
        </w:rPr>
        <w:footnoteRef/>
      </w:r>
      <w:r>
        <w:t xml:space="preserve"> John H. Hick, Philosophy of Religion, 2</w:t>
      </w:r>
      <w:r w:rsidRPr="00D8762C">
        <w:rPr>
          <w:vertAlign w:val="superscript"/>
        </w:rPr>
        <w:t>nd</w:t>
      </w:r>
      <w:r>
        <w:t xml:space="preserve"> edn. (</w:t>
      </w:r>
      <w:r w:rsidR="005A000E">
        <w:t>New Jersey, Prentice Hall, 1973), p25-26 (p23-26)</w:t>
      </w:r>
    </w:p>
  </w:footnote>
  <w:footnote w:id="6">
    <w:p w14:paraId="3552E51E" w14:textId="1E5B6BE7" w:rsidR="00253B25" w:rsidRDefault="00253B25">
      <w:pPr>
        <w:pStyle w:val="FootnoteText"/>
      </w:pPr>
      <w:r>
        <w:rPr>
          <w:rStyle w:val="FootnoteReference"/>
        </w:rPr>
        <w:footnoteRef/>
      </w:r>
      <w:r>
        <w:t xml:space="preserve"> David Hume, Dialogues Concerning Natural Religion, 2</w:t>
      </w:r>
      <w:r w:rsidRPr="00253B25">
        <w:rPr>
          <w:vertAlign w:val="superscript"/>
        </w:rPr>
        <w:t>nd</w:t>
      </w:r>
      <w:r>
        <w:t xml:space="preserve"> edn. (</w:t>
      </w:r>
      <w:r w:rsidRPr="00253B25">
        <w:t>Indianapolis</w:t>
      </w:r>
      <w:r>
        <w:t>: Hackett, 1998)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43CCE"/>
    <w:multiLevelType w:val="multilevel"/>
    <w:tmpl w:val="C42410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932696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2CA"/>
    <w:rsid w:val="000326F3"/>
    <w:rsid w:val="000C792E"/>
    <w:rsid w:val="000D1FC7"/>
    <w:rsid w:val="00116289"/>
    <w:rsid w:val="00185B2A"/>
    <w:rsid w:val="00253B25"/>
    <w:rsid w:val="00273D0E"/>
    <w:rsid w:val="003952CA"/>
    <w:rsid w:val="004076D0"/>
    <w:rsid w:val="004664CF"/>
    <w:rsid w:val="0059178B"/>
    <w:rsid w:val="005A000E"/>
    <w:rsid w:val="005F03B7"/>
    <w:rsid w:val="00632091"/>
    <w:rsid w:val="00673739"/>
    <w:rsid w:val="00707B04"/>
    <w:rsid w:val="00712DEB"/>
    <w:rsid w:val="00714FE6"/>
    <w:rsid w:val="008255BB"/>
    <w:rsid w:val="00826EB3"/>
    <w:rsid w:val="008A4E8D"/>
    <w:rsid w:val="008E0BF2"/>
    <w:rsid w:val="00910CBE"/>
    <w:rsid w:val="009442B7"/>
    <w:rsid w:val="00994D7C"/>
    <w:rsid w:val="00A86B6B"/>
    <w:rsid w:val="00B003EE"/>
    <w:rsid w:val="00B748CD"/>
    <w:rsid w:val="00BF0BD9"/>
    <w:rsid w:val="00C54B00"/>
    <w:rsid w:val="00C65F73"/>
    <w:rsid w:val="00D5747A"/>
    <w:rsid w:val="00D86979"/>
    <w:rsid w:val="00D8762C"/>
    <w:rsid w:val="00DA3708"/>
    <w:rsid w:val="00E57E99"/>
    <w:rsid w:val="00F000E4"/>
    <w:rsid w:val="00F61346"/>
    <w:rsid w:val="00F87C6C"/>
    <w:rsid w:val="00F92E7E"/>
    <w:rsid w:val="00FA71EF"/>
    <w:rsid w:val="00FE583F"/>
    <w:rsid w:val="00FF2E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443B1"/>
  <w15:chartTrackingRefBased/>
  <w15:docId w15:val="{C3CFC0BA-C150-4B38-8FDA-B8E1281921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E583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E583F"/>
    <w:rPr>
      <w:sz w:val="20"/>
      <w:szCs w:val="20"/>
    </w:rPr>
  </w:style>
  <w:style w:type="character" w:styleId="FootnoteReference">
    <w:name w:val="footnote reference"/>
    <w:basedOn w:val="DefaultParagraphFont"/>
    <w:uiPriority w:val="99"/>
    <w:semiHidden/>
    <w:unhideWhenUsed/>
    <w:rsid w:val="00FE583F"/>
    <w:rPr>
      <w:vertAlign w:val="superscript"/>
    </w:rPr>
  </w:style>
  <w:style w:type="character" w:styleId="Hyperlink">
    <w:name w:val="Hyperlink"/>
    <w:basedOn w:val="DefaultParagraphFont"/>
    <w:uiPriority w:val="99"/>
    <w:unhideWhenUsed/>
    <w:rsid w:val="00F87C6C"/>
    <w:rPr>
      <w:color w:val="0563C1" w:themeColor="hyperlink"/>
      <w:u w:val="single"/>
    </w:rPr>
  </w:style>
  <w:style w:type="character" w:styleId="UnresolvedMention">
    <w:name w:val="Unresolved Mention"/>
    <w:basedOn w:val="DefaultParagraphFont"/>
    <w:uiPriority w:val="99"/>
    <w:semiHidden/>
    <w:unhideWhenUsed/>
    <w:rsid w:val="00F87C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9251599">
      <w:bodyDiv w:val="1"/>
      <w:marLeft w:val="0"/>
      <w:marRight w:val="0"/>
      <w:marTop w:val="0"/>
      <w:marBottom w:val="0"/>
      <w:divBdr>
        <w:top w:val="none" w:sz="0" w:space="0" w:color="auto"/>
        <w:left w:val="none" w:sz="0" w:space="0" w:color="auto"/>
        <w:bottom w:val="none" w:sz="0" w:space="0" w:color="auto"/>
        <w:right w:val="none" w:sz="0" w:space="0" w:color="auto"/>
      </w:divBdr>
    </w:div>
    <w:div w:id="1858275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9CDA5F-0969-4181-AA90-C9F9B0CAAC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681</TotalTime>
  <Pages>2</Pages>
  <Words>908</Words>
  <Characters>5180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Bullock</dc:creator>
  <cp:keywords/>
  <dc:description/>
  <cp:lastModifiedBy>Will Bullock</cp:lastModifiedBy>
  <cp:revision>20</cp:revision>
  <dcterms:created xsi:type="dcterms:W3CDTF">2022-10-04T13:21:00Z</dcterms:created>
  <dcterms:modified xsi:type="dcterms:W3CDTF">2022-10-09T22:47:00Z</dcterms:modified>
</cp:coreProperties>
</file>