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ind w:left="54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 NURUL LIYANA IZYANI</w:t>
      </w:r>
    </w:p>
    <w:p w:rsidR="00000000" w:rsidDel="00000000" w:rsidP="00000000" w:rsidRDefault="00000000" w:rsidRPr="00000000" w14:paraId="00000002">
      <w:pPr>
        <w:spacing w:line="360" w:lineRule="auto"/>
        <w:ind w:left="540" w:firstLine="0"/>
        <w:rPr>
          <w:b w:val="1"/>
          <w:sz w:val="20"/>
          <w:szCs w:val="20"/>
        </w:rPr>
      </w:pPr>
      <w:r w:rsidDel="00000000" w:rsidR="00000000" w:rsidRPr="00000000">
        <w:rPr>
          <w:rFonts w:ascii="Times New Roman" w:cs="Times New Roman" w:eastAsia="Times New Roman" w:hAnsi="Times New Roman"/>
          <w:b w:val="1"/>
          <w:sz w:val="24"/>
          <w:szCs w:val="24"/>
          <w:rtl w:val="0"/>
        </w:rPr>
        <w:t xml:space="preserve">STUDENT ID: 2121799</w:t>
      </w:r>
      <w:r w:rsidDel="00000000" w:rsidR="00000000" w:rsidRPr="00000000">
        <w:rPr>
          <w:rtl w:val="0"/>
        </w:rPr>
      </w:r>
    </w:p>
    <w:p w:rsidR="00000000" w:rsidDel="00000000" w:rsidP="00000000" w:rsidRDefault="00000000" w:rsidRPr="00000000" w14:paraId="00000003">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Consumer Rights Act (2015) is an Act of the UK Parliament that centralises current product safety laws while also providing consumers with additional legal protections. The CRA (2015) is only applied to agreements of a trader and a customer. A merchant is somebody who engages in activities related to their industry, skill, or profession. As a consequence, the CRA does not generally apply between businesses. The CRA (2015) is applicable to customer sales contracts for products, interactive materials and services signed on or after October 1st, 2015. The CRA (2015) includes three main parts; the first part includes a customer’s entitlements and penalties while buying things, digital material and or services. The second part includes what defines unreasonable conditions and last but not least, in competition policy, the restoration of customer regulatory rights and private lawsuits. </w:t>
      </w:r>
    </w:p>
    <w:p w:rsidR="00000000" w:rsidDel="00000000" w:rsidP="00000000" w:rsidRDefault="00000000" w:rsidRPr="00000000" w14:paraId="0000000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act provides a multi - pronged approach to customer rights for faulty items, interactive materials, and services, clarifying and expanding customer rights. Users now have additional legal remedies in relation to "online content," as opposed to commodities and services. The Act also extends the restrictions against discriminatory provisions in contractual agreements to consumer notifications. The only major difference between the Sales of Goods Act (1979) and the Consumer Rights Act (2015) is that it now includes digital products and services as well as physical goods. </w:t>
      </w:r>
    </w:p>
    <w:p w:rsidR="00000000" w:rsidDel="00000000" w:rsidP="00000000" w:rsidRDefault="00000000" w:rsidRPr="00000000" w14:paraId="00000007">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Sale of Goods Act (1979) applies to contracts of sale of goods made on or after 1 January 1894. In the case of Bank of England v Vagliano Bros [1891], The House of Lords overturned the Court of Appeal's decision and ruled in the bank's advantage. Mr Vagliano informed the bank that a balance of payments for that sum was pending and would have to be repaid from his account. This shows that when interpreting Sale of Goods Act, looking at the language of statute and working out its original meaning is the key. </w:t>
      </w:r>
      <w:r w:rsidDel="00000000" w:rsidR="00000000" w:rsidRPr="00000000">
        <w:rPr>
          <w:rtl w:val="0"/>
        </w:rPr>
      </w:r>
    </w:p>
    <w:p w:rsidR="00000000" w:rsidDel="00000000" w:rsidP="00000000" w:rsidRDefault="00000000" w:rsidRPr="00000000" w14:paraId="00000009">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Sale of Products Act (SGA) of 1979 and the Supply of Goods and Services Act (SGSA) of 1982 have long served as the cornerstones of consumer protection laws when purchasing products or services. Consumer rights for faulty digital items are unclear under current legislation, according to the Commission for Internet Regulation (CIR). Products had to be of adequate quality and suitable for function prior to the Sale of Goods Act. In the case of Rogers v Parish (Scarborough) Ltd [1987], the plaintiffs purchased a car that was not of satisfactory quality due to a variety of flaws. The Court of Appeal stressed that whenever a new automobile is purchased, the buyer has the right to demand it to provide the joy, satisfaction, and efficiency that he anticipated. In essence, the vehicle was unfit for its intended use, and claimants were within their rights to decline it. This shows the limitation of Sale of Goods Act (1979) as it only shows one small section of the law.</w:t>
      </w:r>
    </w:p>
    <w:p w:rsidR="00000000" w:rsidDel="00000000" w:rsidP="00000000" w:rsidRDefault="00000000" w:rsidRPr="00000000" w14:paraId="0000000B">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Act replicates fundamental quality criteria, but adds a new criterion that items sold must fit any sample viewed or inspected by the user such as cars in a showroom. Except if the merchant informs the user of particular discrepancies, this right applies. Part 1 of the CRA (2015) covers issues relating to consumer contracts in relation of physical goods, online content and services. Part 2 of the CRA (2015) centralises and enhances UK legislation governing whether terms of the agreement and notices are deemed unjust to users and are unenforceable whereas Part 3 of the CRA covers a variety of topics, including regulation legal authority, private actions under competition law, leasing agent fees and tertiary ticketing platforms. </w:t>
      </w:r>
    </w:p>
    <w:p w:rsidR="00000000" w:rsidDel="00000000" w:rsidP="00000000" w:rsidRDefault="00000000" w:rsidRPr="00000000" w14:paraId="0000000D">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rules in Section two of Part 1 deal with the production of materials in contractual agreements, and its primary purpose is to clarify and consolidate current legislation by enforcing specific implicit conditions and basic requirements on items supplied to users. These include reiterating existing norms for acceptable quality and suitability of items. The CRA (2015) also additionally defines user safeguards in the case of defective items, including the entitlement to exchanges, reimbursements, discounts, and the right to decline items.</w:t>
      </w:r>
    </w:p>
    <w:p w:rsidR="00000000" w:rsidDel="00000000" w:rsidP="00000000" w:rsidRDefault="00000000" w:rsidRPr="00000000" w14:paraId="0000000F">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Part 2 of the CRA (2015) covers issues related to unjust agreement terms and transparency. The CRA combines the 1977 Unfair Contract Terms Act with the 1999 Unfair Terms in Consumer Contracts Regulations. A customer has access to a tier system of solutions. Short-term rejection - within 30 days, however the firm may prolong this period, but not shortened. Following that, partial refusal, repairs and maintenance, or price cut, as well as the last choice to reject. However, the time frame for perishable products is generally the shortest span during which the items may be anticipated to expire. Nothing in the CRA (2015) is planned to take away an user's privileges to claim damages, limitation of liability, a refund of money spent, or rejection for other reasons.</w:t>
      </w:r>
    </w:p>
    <w:p w:rsidR="00000000" w:rsidDel="00000000" w:rsidP="00000000" w:rsidRDefault="00000000" w:rsidRPr="00000000" w14:paraId="00000011">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Consumer Rights Act (2015), when people purchase electronic documents or it is provided with other purchased products or services under an agreement, they will also have additional contractual rights. Furthermore, customers who purchase online content that damages their gadget or other interactive materials may have legal recourse against the merchant. Even if the production of online content is not under agreement or is independent, the EULA or other licence terms may be captured by the CRA because they generally pertain to privileges or commitments between a merchant and an end user (e.g. a right to use operating systems subject to constraints) or they claim to be able to exclude or limit a merchant's responsibility to an end user. In the case of St Albans City and District Council v International Computers, it was decided that a contrast should be made between the precept contribution, which emerged only as a result of a software defect, and the communal fee deficit, which was a continuing responsibility that the authority had always been liable to and hence could not be recovered. For the objectives of the 1977 Act, it was also determined that the agreement's restriction provision was subjected to reasonableness standards. As it was part of the appellant's general terms and conditions, it didn't meet this criteria.</w:t>
      </w:r>
    </w:p>
    <w:p w:rsidR="00000000" w:rsidDel="00000000" w:rsidP="00000000" w:rsidRDefault="00000000" w:rsidRPr="00000000" w14:paraId="00000013">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Services in the Consumer Rights Act (2015) states that every services agreement includes a condition requiring the merchant to deliver the service with due care diligence; responsibility for violation of this condition cannot be omitted; however, liability can be restricted to the amount paid by the consumer if the exclusion is reasonable (section 49). When services are of low quality or faulty, the CRA offers legal penalties. End user s had little legal recourse before to the CRA. Merchants must examine what data they present to attract customers to subscribe for services, as well as if this data has to be mitigated in any manner. Under sections 49 and 50 of the Trade Union and Customer Protection (Consumers' Rights) Act 1992, the customers have the right to demand that the merchant provide the service again. If the merchant violates sections 49 or 50, the customer has the right to demand a price decrease from the merchant. Just by issuing a legislative document may the Secretary of State restrains the applicability of this section of the CRA (2015). The government has declared that when there is more precise sector-specific customer law, it will take priority over the CRA (2015).  </w:t>
      </w:r>
    </w:p>
    <w:p w:rsidR="00000000" w:rsidDel="00000000" w:rsidP="00000000" w:rsidRDefault="00000000" w:rsidRPr="00000000" w14:paraId="0000001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ind w:left="0" w:firstLine="0"/>
        <w:jc w:val="both"/>
        <w:rPr>
          <w:rFonts w:ascii="Times New Roman" w:cs="Times New Roman" w:eastAsia="Times New Roman" w:hAnsi="Times New Roman"/>
          <w:color w:val="32214c"/>
          <w:sz w:val="24"/>
          <w:szCs w:val="24"/>
        </w:rPr>
      </w:pPr>
      <w:r w:rsidDel="00000000" w:rsidR="00000000" w:rsidRPr="00000000">
        <w:rPr>
          <w:rFonts w:ascii="Times New Roman" w:cs="Times New Roman" w:eastAsia="Times New Roman" w:hAnsi="Times New Roman"/>
          <w:sz w:val="24"/>
          <w:szCs w:val="24"/>
          <w:rtl w:val="0"/>
        </w:rPr>
        <w:t xml:space="preserve">Next, Unfair Terms, the Competition and Markets Authority has superseded the Unfair Contract Terms Law and the Unfair Terms in Consumer Rights Regulations (CRA). This eliminates the need for attorneys to consider both the Unfair Contract Terms Act 1977 (UCTA) and the Unfair Terms in Consumer Contracts Regulations 1999 (UTCCR) when determining whether an user agreement is just. The UTCCR (1999)'s equality evaluation will take the place of the UCTA (1977)'s reasonability exam. As per the CRA (2015), unjust conditions and notifications are not legally enforceable on consumers, but they might choose to rely on them.  The equality regulations apply to contractual agreements (as they do now) as well as "end user recognises" – consumer alerts are generally characterized and could include web page terms of service as well as other non-contractual legal terms of service such as application EULAs and shrink wrap licences mentioned earlier. As per Consumer Rights and Consumer Protection Authority, merchants must guarantee that a documented provision of a contractual relationship or a published customer notification is accessible. </w:t>
      </w:r>
      <w:r w:rsidDel="00000000" w:rsidR="00000000" w:rsidRPr="00000000">
        <w:rPr>
          <w:rtl w:val="0"/>
        </w:rPr>
      </w:r>
    </w:p>
    <w:p w:rsidR="00000000" w:rsidDel="00000000" w:rsidP="00000000" w:rsidRDefault="00000000" w:rsidRPr="00000000" w14:paraId="00000017">
      <w:pPr>
        <w:spacing w:line="360" w:lineRule="auto"/>
        <w:ind w:left="0" w:firstLine="0"/>
        <w:jc w:val="both"/>
        <w:rPr>
          <w:rFonts w:ascii="Times New Roman" w:cs="Times New Roman" w:eastAsia="Times New Roman" w:hAnsi="Times New Roman"/>
          <w:color w:val="32214c"/>
          <w:sz w:val="24"/>
          <w:szCs w:val="24"/>
        </w:rPr>
      </w:pPr>
      <w:r w:rsidDel="00000000" w:rsidR="00000000" w:rsidRPr="00000000">
        <w:rPr>
          <w:rtl w:val="0"/>
        </w:rPr>
      </w:r>
    </w:p>
    <w:p w:rsidR="00000000" w:rsidDel="00000000" w:rsidP="00000000" w:rsidRDefault="00000000" w:rsidRPr="00000000" w14:paraId="00000018">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CRA (2015) primary effect  will be due to the new three-tier remedial system that would typically apply when a dealer violates the Act's criteria. Customers can expect items to meet the requirements set forth in the Sale of Goods Act of 1979, namely that they will be of adequate quality, fit - for - purpose, and match their specification. There are a few additional changes though; When products are delivered based on a framework seen or analysed by a customer before entering into an agreement, the products must meet the framework unless the relevant differences are brought to the user's recognition before the agreement is executed into. Also, when a merchant offers to build or organize for the installations of the items they provide, the assembly must be done appropriately.</w:t>
      </w:r>
    </w:p>
    <w:p w:rsidR="00000000" w:rsidDel="00000000" w:rsidP="00000000" w:rsidRDefault="00000000" w:rsidRPr="00000000" w14:paraId="00000019">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 CRA (2015) has no specific definition of 'services' in it. Although it has underline the need for "due care and competence." If services are not provided within a timely manner, claims include "repeat of what happened" or a price decrease. With that, the CRA (2015) has improved consumer protection as more issues are covered in the legislation which further protects consumers. It ensures that both end users and merchants have the confidence and understanding of what happens when an end user receives a faulty product or when a service is not fit for purpose. Further recommendations and improvements can be made to ensure clearer understanding by using a simpler language and longer elaboration to what defines ‘faulty’ and ‘not fit for purpose.’</w:t>
      </w:r>
    </w:p>
    <w:p w:rsidR="00000000" w:rsidDel="00000000" w:rsidP="00000000" w:rsidRDefault="00000000" w:rsidRPr="00000000" w14:paraId="0000001B">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CRA's primary purpose is to combine current laws into a single one. It marks a considerable expansion of consumer protection laws as well as judicial authority. It will provide public enforcement more freedom in responding to consumer law violations.</w:t>
      </w:r>
    </w:p>
    <w:p w:rsidR="00000000" w:rsidDel="00000000" w:rsidP="00000000" w:rsidRDefault="00000000" w:rsidRPr="00000000" w14:paraId="0000001D">
      <w:pPr>
        <w:spacing w:line="360" w:lineRule="auto"/>
        <w:ind w:left="0" w:firstLine="0"/>
        <w:jc w:val="both"/>
        <w:rPr>
          <w:rFonts w:ascii="Times New Roman" w:cs="Times New Roman" w:eastAsia="Times New Roman" w:hAnsi="Times New Roman"/>
          <w:b w:val="1"/>
          <w:color w:val="202124"/>
          <w:sz w:val="24"/>
          <w:szCs w:val="24"/>
        </w:rPr>
      </w:pPr>
      <w:r w:rsidDel="00000000" w:rsidR="00000000" w:rsidRPr="00000000">
        <w:rPr>
          <w:rtl w:val="0"/>
        </w:rPr>
      </w:r>
    </w:p>
    <w:p w:rsidR="00000000" w:rsidDel="00000000" w:rsidP="00000000" w:rsidRDefault="00000000" w:rsidRPr="00000000" w14:paraId="0000001E">
      <w:pPr>
        <w:spacing w:line="360" w:lineRule="auto"/>
        <w:ind w:left="0" w:firstLine="0"/>
        <w:jc w:val="both"/>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F">
      <w:pPr>
        <w:spacing w:line="360" w:lineRule="auto"/>
        <w:ind w:left="0" w:firstLine="0"/>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0">
      <w:pPr>
        <w:spacing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 </w:t>
      </w:r>
    </w:p>
    <w:p w:rsidR="00000000" w:rsidDel="00000000" w:rsidP="00000000" w:rsidRDefault="00000000" w:rsidRPr="00000000" w14:paraId="00000021">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numPr>
          <w:ilvl w:val="0"/>
          <w:numId w:val="1"/>
        </w:numPr>
        <w:spacing w:after="200" w:line="360" w:lineRule="auto"/>
        <w:ind w:left="720" w:hanging="360"/>
        <w:rPr>
          <w:rFonts w:ascii="Times New Roman" w:cs="Times New Roman" w:eastAsia="Times New Roman" w:hAnsi="Times New Roman"/>
          <w:color w:val="212529"/>
          <w:sz w:val="24"/>
          <w:szCs w:val="24"/>
          <w:highlight w:val="white"/>
          <w:u w:val="none"/>
        </w:rPr>
      </w:pPr>
      <w:r w:rsidDel="00000000" w:rsidR="00000000" w:rsidRPr="00000000">
        <w:rPr>
          <w:rFonts w:ascii="Times New Roman" w:cs="Times New Roman" w:eastAsia="Times New Roman" w:hAnsi="Times New Roman"/>
          <w:color w:val="212529"/>
          <w:sz w:val="24"/>
          <w:szCs w:val="24"/>
          <w:highlight w:val="white"/>
          <w:rtl w:val="0"/>
        </w:rPr>
        <w:t xml:space="preserve">Consumer Rights Act 2015, c. 15, sections 9-18</w:t>
      </w:r>
    </w:p>
    <w:p w:rsidR="00000000" w:rsidDel="00000000" w:rsidP="00000000" w:rsidRDefault="00000000" w:rsidRPr="00000000" w14:paraId="00000023">
      <w:pPr>
        <w:numPr>
          <w:ilvl w:val="0"/>
          <w:numId w:val="1"/>
        </w:numPr>
        <w:spacing w:after="200" w:before="0" w:line="360" w:lineRule="auto"/>
        <w:ind w:left="720" w:hanging="360"/>
        <w:rPr>
          <w:rFonts w:ascii="Times New Roman" w:cs="Times New Roman" w:eastAsia="Times New Roman" w:hAnsi="Times New Roman"/>
          <w:color w:val="212529"/>
          <w:sz w:val="24"/>
          <w:szCs w:val="24"/>
          <w:highlight w:val="white"/>
          <w:u w:val="none"/>
        </w:rPr>
      </w:pPr>
      <w:r w:rsidDel="00000000" w:rsidR="00000000" w:rsidRPr="00000000">
        <w:rPr>
          <w:rFonts w:ascii="Times New Roman" w:cs="Times New Roman" w:eastAsia="Times New Roman" w:hAnsi="Times New Roman"/>
          <w:color w:val="212529"/>
          <w:sz w:val="24"/>
          <w:szCs w:val="24"/>
          <w:highlight w:val="white"/>
          <w:rtl w:val="0"/>
        </w:rPr>
        <w:t xml:space="preserve">Consumer Rights Act 2015, c. 15, sections 19-24</w:t>
      </w:r>
    </w:p>
    <w:p w:rsidR="00000000" w:rsidDel="00000000" w:rsidP="00000000" w:rsidRDefault="00000000" w:rsidRPr="00000000" w14:paraId="00000024">
      <w:pPr>
        <w:numPr>
          <w:ilvl w:val="0"/>
          <w:numId w:val="1"/>
        </w:numPr>
        <w:spacing w:after="200" w:line="360" w:lineRule="auto"/>
        <w:ind w:left="720" w:hanging="360"/>
        <w:rPr>
          <w:rFonts w:ascii="Times New Roman" w:cs="Times New Roman" w:eastAsia="Times New Roman" w:hAnsi="Times New Roman"/>
          <w:color w:val="212529"/>
          <w:sz w:val="24"/>
          <w:szCs w:val="24"/>
          <w:highlight w:val="white"/>
          <w:u w:val="none"/>
        </w:rPr>
      </w:pPr>
      <w:r w:rsidDel="00000000" w:rsidR="00000000" w:rsidRPr="00000000">
        <w:rPr>
          <w:rFonts w:ascii="Times New Roman" w:cs="Times New Roman" w:eastAsia="Times New Roman" w:hAnsi="Times New Roman"/>
          <w:color w:val="212529"/>
          <w:sz w:val="24"/>
          <w:szCs w:val="24"/>
          <w:highlight w:val="white"/>
          <w:rtl w:val="0"/>
        </w:rPr>
        <w:t xml:space="preserve">Fieldfisher, 2001. Consumer rights act 2015: What has changed? </w:t>
      </w:r>
      <w:r w:rsidDel="00000000" w:rsidR="00000000" w:rsidRPr="00000000">
        <w:rPr>
          <w:rFonts w:ascii="Times New Roman" w:cs="Times New Roman" w:eastAsia="Times New Roman" w:hAnsi="Times New Roman"/>
          <w:i w:val="1"/>
          <w:color w:val="212529"/>
          <w:sz w:val="24"/>
          <w:szCs w:val="24"/>
          <w:highlight w:val="white"/>
          <w:rtl w:val="0"/>
        </w:rPr>
        <w:t xml:space="preserve">Fieldfisher</w:t>
      </w:r>
      <w:r w:rsidDel="00000000" w:rsidR="00000000" w:rsidRPr="00000000">
        <w:rPr>
          <w:rFonts w:ascii="Times New Roman" w:cs="Times New Roman" w:eastAsia="Times New Roman" w:hAnsi="Times New Roman"/>
          <w:color w:val="212529"/>
          <w:sz w:val="24"/>
          <w:szCs w:val="24"/>
          <w:highlight w:val="white"/>
          <w:rtl w:val="0"/>
        </w:rPr>
        <w:t xml:space="preserve">. </w:t>
      </w:r>
    </w:p>
    <w:p w:rsidR="00000000" w:rsidDel="00000000" w:rsidP="00000000" w:rsidRDefault="00000000" w:rsidRPr="00000000" w14:paraId="00000025">
      <w:pPr>
        <w:spacing w:after="200" w:line="360" w:lineRule="auto"/>
        <w:ind w:left="720" w:firstLine="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Available at: </w:t>
      </w:r>
      <w:r w:rsidDel="00000000" w:rsidR="00000000" w:rsidRPr="00000000">
        <w:rPr>
          <w:rFonts w:ascii="Times New Roman" w:cs="Times New Roman" w:eastAsia="Times New Roman" w:hAnsi="Times New Roman"/>
          <w:color w:val="212529"/>
          <w:sz w:val="24"/>
          <w:szCs w:val="24"/>
          <w:highlight w:val="white"/>
          <w:rtl w:val="0"/>
        </w:rPr>
        <w:t xml:space="preserve">https://www.fieldfisher.com/en/insights/consumer-rights-act-2015-what-has-changed</w:t>
      </w:r>
      <w:r w:rsidDel="00000000" w:rsidR="00000000" w:rsidRPr="00000000">
        <w:rPr>
          <w:rtl w:val="0"/>
        </w:rPr>
      </w:r>
    </w:p>
    <w:p w:rsidR="00000000" w:rsidDel="00000000" w:rsidP="00000000" w:rsidRDefault="00000000" w:rsidRPr="00000000" w14:paraId="00000026">
      <w:pPr>
        <w:numPr>
          <w:ilvl w:val="0"/>
          <w:numId w:val="1"/>
        </w:numPr>
        <w:spacing w:after="200" w:line="360" w:lineRule="auto"/>
        <w:ind w:left="720" w:hanging="360"/>
        <w:rPr>
          <w:rFonts w:ascii="Times New Roman" w:cs="Times New Roman" w:eastAsia="Times New Roman" w:hAnsi="Times New Roman"/>
          <w:color w:val="212529"/>
          <w:sz w:val="24"/>
          <w:szCs w:val="24"/>
          <w:highlight w:val="white"/>
          <w:u w:val="none"/>
        </w:rPr>
      </w:pPr>
      <w:r w:rsidDel="00000000" w:rsidR="00000000" w:rsidRPr="00000000">
        <w:rPr>
          <w:rFonts w:ascii="Times New Roman" w:cs="Times New Roman" w:eastAsia="Times New Roman" w:hAnsi="Times New Roman"/>
          <w:color w:val="212529"/>
          <w:sz w:val="24"/>
          <w:szCs w:val="24"/>
          <w:highlight w:val="white"/>
          <w:rtl w:val="0"/>
        </w:rPr>
        <w:t xml:space="preserve"> Anon, 2020. The Consumer Rights Act 2015. </w:t>
      </w:r>
      <w:r w:rsidDel="00000000" w:rsidR="00000000" w:rsidRPr="00000000">
        <w:rPr>
          <w:rFonts w:ascii="Times New Roman" w:cs="Times New Roman" w:eastAsia="Times New Roman" w:hAnsi="Times New Roman"/>
          <w:i w:val="1"/>
          <w:color w:val="212529"/>
          <w:sz w:val="24"/>
          <w:szCs w:val="24"/>
          <w:highlight w:val="white"/>
          <w:rtl w:val="0"/>
        </w:rPr>
        <w:t xml:space="preserve">Ward Hadaway</w:t>
      </w:r>
      <w:r w:rsidDel="00000000" w:rsidR="00000000" w:rsidRPr="00000000">
        <w:rPr>
          <w:rFonts w:ascii="Times New Roman" w:cs="Times New Roman" w:eastAsia="Times New Roman" w:hAnsi="Times New Roman"/>
          <w:color w:val="212529"/>
          <w:sz w:val="24"/>
          <w:szCs w:val="24"/>
          <w:highlight w:val="white"/>
          <w:rtl w:val="0"/>
        </w:rPr>
        <w:t xml:space="preserve">. Available at: https://www.wardhadaway.com/insights/updates/the-consumer-rights-act-2015/ </w:t>
      </w:r>
    </w:p>
    <w:p w:rsidR="00000000" w:rsidDel="00000000" w:rsidP="00000000" w:rsidRDefault="00000000" w:rsidRPr="00000000" w14:paraId="00000027">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Dalsgaard, L., 2021. Pros and cons of the Consumer Rights Act 2015. </w:t>
      </w:r>
      <w:r w:rsidDel="00000000" w:rsidR="00000000" w:rsidRPr="00000000">
        <w:rPr>
          <w:rFonts w:ascii="Times New Roman" w:cs="Times New Roman" w:eastAsia="Times New Roman" w:hAnsi="Times New Roman"/>
          <w:i w:val="1"/>
          <w:color w:val="212529"/>
          <w:sz w:val="24"/>
          <w:szCs w:val="24"/>
          <w:highlight w:val="white"/>
          <w:rtl w:val="0"/>
        </w:rPr>
        <w:t xml:space="preserve">ORBIT LAB</w:t>
      </w:r>
      <w:r w:rsidDel="00000000" w:rsidR="00000000" w:rsidRPr="00000000">
        <w:rPr>
          <w:rFonts w:ascii="Times New Roman" w:cs="Times New Roman" w:eastAsia="Times New Roman" w:hAnsi="Times New Roman"/>
          <w:color w:val="212529"/>
          <w:sz w:val="24"/>
          <w:szCs w:val="24"/>
          <w:highlight w:val="white"/>
          <w:rtl w:val="0"/>
        </w:rPr>
        <w:t xml:space="preserve">. Available at: https://orbitlab.au.dk/assets/fkyga/pros-and-cons-of-the-consumer-rights-act-2015 </w:t>
      </w:r>
    </w:p>
    <w:p w:rsidR="00000000" w:rsidDel="00000000" w:rsidP="00000000" w:rsidRDefault="00000000" w:rsidRPr="00000000" w14:paraId="00000028">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Duncombe, M., 2015. UK consumer rights act 2015: Seven key changes: | insights: DLA piper global law firm. </w:t>
      </w:r>
      <w:r w:rsidDel="00000000" w:rsidR="00000000" w:rsidRPr="00000000">
        <w:rPr>
          <w:rFonts w:ascii="Times New Roman" w:cs="Times New Roman" w:eastAsia="Times New Roman" w:hAnsi="Times New Roman"/>
          <w:i w:val="1"/>
          <w:color w:val="212529"/>
          <w:sz w:val="24"/>
          <w:szCs w:val="24"/>
          <w:highlight w:val="white"/>
          <w:rtl w:val="0"/>
        </w:rPr>
        <w:t xml:space="preserve">DLA Piper</w:t>
      </w:r>
      <w:r w:rsidDel="00000000" w:rsidR="00000000" w:rsidRPr="00000000">
        <w:rPr>
          <w:rFonts w:ascii="Times New Roman" w:cs="Times New Roman" w:eastAsia="Times New Roman" w:hAnsi="Times New Roman"/>
          <w:color w:val="212529"/>
          <w:sz w:val="24"/>
          <w:szCs w:val="24"/>
          <w:highlight w:val="white"/>
          <w:rtl w:val="0"/>
        </w:rPr>
        <w:t xml:space="preserve">. Available at: https://www.dlapiper.com/en/uk/insights/publications/2015/10/law-a-la-mode-issue-17/uk-consumer-rights-act-2015-seven-key-changes/ </w:t>
      </w:r>
    </w:p>
    <w:p w:rsidR="00000000" w:rsidDel="00000000" w:rsidP="00000000" w:rsidRDefault="00000000" w:rsidRPr="00000000" w14:paraId="00000029">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Anon, 2022. The Consumer Rights Act 2015 - a summary of key changes. </w:t>
      </w:r>
      <w:r w:rsidDel="00000000" w:rsidR="00000000" w:rsidRPr="00000000">
        <w:rPr>
          <w:rFonts w:ascii="Times New Roman" w:cs="Times New Roman" w:eastAsia="Times New Roman" w:hAnsi="Times New Roman"/>
          <w:i w:val="1"/>
          <w:color w:val="212529"/>
          <w:sz w:val="24"/>
          <w:szCs w:val="24"/>
          <w:highlight w:val="white"/>
          <w:rtl w:val="0"/>
        </w:rPr>
        <w:t xml:space="preserve">Hughes Paddison</w:t>
      </w:r>
      <w:r w:rsidDel="00000000" w:rsidR="00000000" w:rsidRPr="00000000">
        <w:rPr>
          <w:rFonts w:ascii="Times New Roman" w:cs="Times New Roman" w:eastAsia="Times New Roman" w:hAnsi="Times New Roman"/>
          <w:color w:val="212529"/>
          <w:sz w:val="24"/>
          <w:szCs w:val="24"/>
          <w:highlight w:val="white"/>
          <w:rtl w:val="0"/>
        </w:rPr>
        <w:t xml:space="preserve">. Available at: https://www.hughes-paddison.co.uk/site/news/the-consumer-rights-act-2015-a-summary-of-key-changes </w:t>
      </w:r>
    </w:p>
    <w:p w:rsidR="00000000" w:rsidDel="00000000" w:rsidP="00000000" w:rsidRDefault="00000000" w:rsidRPr="00000000" w14:paraId="0000002A">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Wimbledon, J. &amp; Smith, C., 2022. A simple guide to the consumer rights act 2015. </w:t>
      </w:r>
      <w:r w:rsidDel="00000000" w:rsidR="00000000" w:rsidRPr="00000000">
        <w:rPr>
          <w:rFonts w:ascii="Times New Roman" w:cs="Times New Roman" w:eastAsia="Times New Roman" w:hAnsi="Times New Roman"/>
          <w:i w:val="1"/>
          <w:color w:val="212529"/>
          <w:sz w:val="24"/>
          <w:szCs w:val="24"/>
          <w:highlight w:val="white"/>
          <w:rtl w:val="0"/>
        </w:rPr>
        <w:t xml:space="preserve">Sale of Goods Act: a guide for small businesses</w:t>
      </w:r>
      <w:r w:rsidDel="00000000" w:rsidR="00000000" w:rsidRPr="00000000">
        <w:rPr>
          <w:rFonts w:ascii="Times New Roman" w:cs="Times New Roman" w:eastAsia="Times New Roman" w:hAnsi="Times New Roman"/>
          <w:color w:val="212529"/>
          <w:sz w:val="24"/>
          <w:szCs w:val="24"/>
          <w:highlight w:val="white"/>
          <w:rtl w:val="0"/>
        </w:rPr>
        <w:t xml:space="preserve">. Available at: https://www.simplybusiness.co.uk/knowledge/articles/2022/02/sale-of-goods-act-and-consumer-rights/ </w:t>
      </w:r>
    </w:p>
    <w:p w:rsidR="00000000" w:rsidDel="00000000" w:rsidP="00000000" w:rsidRDefault="00000000" w:rsidRPr="00000000" w14:paraId="0000002B">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Which?, Supply of goods and services act 1982. </w:t>
      </w:r>
      <w:r w:rsidDel="00000000" w:rsidR="00000000" w:rsidRPr="00000000">
        <w:rPr>
          <w:rFonts w:ascii="Times New Roman" w:cs="Times New Roman" w:eastAsia="Times New Roman" w:hAnsi="Times New Roman"/>
          <w:i w:val="1"/>
          <w:color w:val="212529"/>
          <w:sz w:val="24"/>
          <w:szCs w:val="24"/>
          <w:highlight w:val="white"/>
          <w:rtl w:val="0"/>
        </w:rPr>
        <w:t xml:space="preserve">Which?</w:t>
      </w:r>
      <w:r w:rsidDel="00000000" w:rsidR="00000000" w:rsidRPr="00000000">
        <w:rPr>
          <w:rFonts w:ascii="Times New Roman" w:cs="Times New Roman" w:eastAsia="Times New Roman" w:hAnsi="Times New Roman"/>
          <w:color w:val="212529"/>
          <w:sz w:val="24"/>
          <w:szCs w:val="24"/>
          <w:highlight w:val="white"/>
          <w:rtl w:val="0"/>
        </w:rPr>
        <w:t xml:space="preserve"> Available at: https://www.which.co.uk/consumer-rights/regulation/supply-of-goods-and-services-act-1982-a7Wp84B6Gcf5 </w:t>
      </w:r>
    </w:p>
    <w:p w:rsidR="00000000" w:rsidDel="00000000" w:rsidP="00000000" w:rsidRDefault="00000000" w:rsidRPr="00000000" w14:paraId="0000002C">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Bray, O., 2015. Digital content under the New Consumer Rights Act. </w:t>
      </w:r>
      <w:r w:rsidDel="00000000" w:rsidR="00000000" w:rsidRPr="00000000">
        <w:rPr>
          <w:rFonts w:ascii="Times New Roman" w:cs="Times New Roman" w:eastAsia="Times New Roman" w:hAnsi="Times New Roman"/>
          <w:i w:val="1"/>
          <w:color w:val="212529"/>
          <w:sz w:val="24"/>
          <w:szCs w:val="24"/>
          <w:highlight w:val="white"/>
          <w:rtl w:val="0"/>
        </w:rPr>
        <w:t xml:space="preserve">RPC</w:t>
      </w:r>
      <w:r w:rsidDel="00000000" w:rsidR="00000000" w:rsidRPr="00000000">
        <w:rPr>
          <w:rFonts w:ascii="Times New Roman" w:cs="Times New Roman" w:eastAsia="Times New Roman" w:hAnsi="Times New Roman"/>
          <w:color w:val="212529"/>
          <w:sz w:val="24"/>
          <w:szCs w:val="24"/>
          <w:highlight w:val="white"/>
          <w:rtl w:val="0"/>
        </w:rPr>
        <w:t xml:space="preserve">. Available at: https://www.rpc.co.uk/perspectives/tech/digital-content-under-the-new-consumer-rights-act/ </w:t>
      </w:r>
    </w:p>
    <w:p w:rsidR="00000000" w:rsidDel="00000000" w:rsidP="00000000" w:rsidRDefault="00000000" w:rsidRPr="00000000" w14:paraId="0000002D">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Ltd, A.A., 2021. St Albans City and District Council v International Computers. </w:t>
      </w:r>
      <w:r w:rsidDel="00000000" w:rsidR="00000000" w:rsidRPr="00000000">
        <w:rPr>
          <w:rFonts w:ascii="Times New Roman" w:cs="Times New Roman" w:eastAsia="Times New Roman" w:hAnsi="Times New Roman"/>
          <w:i w:val="1"/>
          <w:color w:val="212529"/>
          <w:sz w:val="24"/>
          <w:szCs w:val="24"/>
          <w:highlight w:val="white"/>
          <w:rtl w:val="0"/>
        </w:rPr>
        <w:t xml:space="preserve">Law Teacher</w:t>
      </w:r>
      <w:r w:rsidDel="00000000" w:rsidR="00000000" w:rsidRPr="00000000">
        <w:rPr>
          <w:rFonts w:ascii="Times New Roman" w:cs="Times New Roman" w:eastAsia="Times New Roman" w:hAnsi="Times New Roman"/>
          <w:color w:val="212529"/>
          <w:sz w:val="24"/>
          <w:szCs w:val="24"/>
          <w:highlight w:val="white"/>
          <w:rtl w:val="0"/>
        </w:rPr>
        <w:t xml:space="preserve">. Available at: https://www.lawteacher.net/cases/st-albans-dc-v-icl-ltd.php </w:t>
      </w:r>
    </w:p>
    <w:p w:rsidR="00000000" w:rsidDel="00000000" w:rsidP="00000000" w:rsidRDefault="00000000" w:rsidRPr="00000000" w14:paraId="0000002E">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rPr>
      </w:pPr>
      <w:r w:rsidDel="00000000" w:rsidR="00000000" w:rsidRPr="00000000">
        <w:rPr>
          <w:sz w:val="18"/>
          <w:szCs w:val="18"/>
          <w:rtl w:val="0"/>
        </w:rPr>
        <w:t xml:space="preserve">Anon, 2022. Bank of England V Vagliano Brothers (1891) AC 107. </w:t>
      </w:r>
      <w:r w:rsidDel="00000000" w:rsidR="00000000" w:rsidRPr="00000000">
        <w:rPr>
          <w:i w:val="1"/>
          <w:sz w:val="18"/>
          <w:szCs w:val="18"/>
          <w:rtl w:val="0"/>
        </w:rPr>
        <w:t xml:space="preserve">Simple Studying</w:t>
      </w:r>
      <w:r w:rsidDel="00000000" w:rsidR="00000000" w:rsidRPr="00000000">
        <w:rPr>
          <w:sz w:val="18"/>
          <w:szCs w:val="18"/>
          <w:rtl w:val="0"/>
        </w:rPr>
        <w:t xml:space="preserve">. Available at: https://simplestudying.com/bank-of-england-v-vagliano-brothers-1891-ac-107/ [Accessed May 6, 2022]. </w:t>
      </w:r>
    </w:p>
    <w:p w:rsidR="00000000" w:rsidDel="00000000" w:rsidP="00000000" w:rsidRDefault="00000000" w:rsidRPr="00000000" w14:paraId="0000002F">
      <w:pPr>
        <w:numPr>
          <w:ilvl w:val="0"/>
          <w:numId w:val="1"/>
        </w:numPr>
        <w:spacing w:after="240" w:before="240" w:line="360" w:lineRule="auto"/>
        <w:ind w:left="720" w:hanging="360"/>
        <w:rPr>
          <w:rFonts w:ascii="Times New Roman" w:cs="Times New Roman" w:eastAsia="Times New Roman" w:hAnsi="Times New Roman"/>
          <w:color w:val="212529"/>
          <w:sz w:val="24"/>
          <w:szCs w:val="24"/>
          <w:highlight w:val="white"/>
          <w:u w:val="none"/>
        </w:rPr>
      </w:pPr>
      <w:r w:rsidDel="00000000" w:rsidR="00000000" w:rsidRPr="00000000">
        <w:rPr>
          <w:rtl w:val="0"/>
        </w:rPr>
      </w:r>
    </w:p>
    <w:p w:rsidR="00000000" w:rsidDel="00000000" w:rsidP="00000000" w:rsidRDefault="00000000" w:rsidRPr="00000000" w14:paraId="00000030">
      <w:pPr>
        <w:spacing w:after="240" w:before="240" w:line="360" w:lineRule="auto"/>
        <w:rPr/>
      </w:pPr>
      <w:r w:rsidDel="00000000" w:rsidR="00000000" w:rsidRPr="00000000">
        <w:rPr>
          <w:rtl w:val="0"/>
        </w:rPr>
      </w:r>
    </w:p>
    <w:p w:rsidR="00000000" w:rsidDel="00000000" w:rsidP="00000000" w:rsidRDefault="00000000" w:rsidRPr="00000000" w14:paraId="00000031">
      <w:pPr>
        <w:spacing w:after="200" w:line="360" w:lineRule="auto"/>
        <w:rPr>
          <w:sz w:val="20"/>
          <w:szCs w:val="20"/>
        </w:rPr>
      </w:pPr>
      <w:r w:rsidDel="00000000" w:rsidR="00000000" w:rsidRPr="00000000">
        <w:rPr>
          <w:rtl w:val="0"/>
        </w:rPr>
      </w:r>
    </w:p>
    <w:p w:rsidR="00000000" w:rsidDel="00000000" w:rsidP="00000000" w:rsidRDefault="00000000" w:rsidRPr="00000000" w14:paraId="00000032">
      <w:pPr>
        <w:spacing w:after="200" w:line="360" w:lineRule="auto"/>
        <w:rPr>
          <w:sz w:val="20"/>
          <w:szCs w:val="20"/>
        </w:rPr>
      </w:pPr>
      <w:r w:rsidDel="00000000" w:rsidR="00000000" w:rsidRPr="00000000">
        <w:rPr>
          <w:rtl w:val="0"/>
        </w:rPr>
      </w:r>
    </w:p>
    <w:p w:rsidR="00000000" w:rsidDel="00000000" w:rsidP="00000000" w:rsidRDefault="00000000" w:rsidRPr="00000000" w14:paraId="00000033">
      <w:pPr>
        <w:rPr>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