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C123A2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31D0D">
              <w:rPr>
                <w:rFonts w:ascii="Times New Roman" w:hAnsi="Times New Roman" w:cs="Times New Roman"/>
                <w:b/>
                <w:color w:val="auto"/>
                <w:sz w:val="48"/>
              </w:rPr>
              <w:t>Michelle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5E14CFE6" w14:textId="24BC26E6" w:rsidR="00331D0D"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31D0D">
              <w:rPr>
                <w:rFonts w:ascii="Times New Roman" w:hAnsi="Times New Roman" w:cs="Times New Roman"/>
                <w:b/>
                <w:color w:val="auto"/>
                <w:sz w:val="48"/>
              </w:rPr>
              <w:t xml:space="preserve"> </w:t>
            </w:r>
            <w:r w:rsidR="008208B0">
              <w:rPr>
                <w:rFonts w:ascii="Times New Roman" w:hAnsi="Times New Roman" w:cs="Times New Roman"/>
                <w:b/>
                <w:sz w:val="48"/>
              </w:rPr>
              <w:t>eleywilliams@hotmail.com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0DEC8773" w:rsidR="0085230E" w:rsidRDefault="00331D0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2516783</w:t>
            </w:r>
          </w:p>
          <w:p w14:paraId="2C27F46D" w14:textId="77777777" w:rsidR="00331D0D" w:rsidRPr="005D3F07" w:rsidRDefault="00331D0D"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70797153" w14:textId="63ED7EF2" w:rsidR="007F312E" w:rsidRPr="00691486" w:rsidRDefault="007F312E" w:rsidP="00691486">
      <w:pPr>
        <w:rPr>
          <w:b/>
          <w:sz w:val="24"/>
          <w:szCs w:val="24"/>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0AC066D8" w14:textId="46E66B16" w:rsidR="00033F59" w:rsidRDefault="00033F59" w:rsidP="00033F59">
            <w:pPr>
              <w:jc w:val="both"/>
              <w:rPr>
                <w:sz w:val="24"/>
                <w:szCs w:val="24"/>
              </w:rPr>
            </w:pPr>
          </w:p>
          <w:p w14:paraId="408DFBD9" w14:textId="77777777" w:rsidR="00D04DE6" w:rsidRPr="00D04DE6" w:rsidRDefault="00D04DE6" w:rsidP="00D04DE6">
            <w:pPr>
              <w:spacing w:after="160" w:line="278" w:lineRule="auto"/>
              <w:jc w:val="both"/>
              <w:rPr>
                <w:sz w:val="24"/>
                <w:szCs w:val="24"/>
              </w:rPr>
            </w:pPr>
            <w:r w:rsidRPr="00D04DE6">
              <w:rPr>
                <w:sz w:val="24"/>
                <w:szCs w:val="24"/>
              </w:rPr>
              <w:t>For this task, I will critically reflect on my involvement with 2 and his family over an 18-month period, during which sustained multi-agency support was required because of escalating concerns regarding 2’s behaviour, emotional well-being, and safety in the community. 2 was not subject to a Child Protection Plan, but the circumstances met the threshold for consideration as a child at risk under Section 130 of the SSWWA 2014. The statutory framework, alongside the welfare principle under the Children Act 1989, shaped my responsibilities throughout the assessment. I needed to consider 2’s welfare, wishes and feelings, identify and analyse risk, and ensure decisions were proportionate rather than based solely on individual incidents.</w:t>
            </w:r>
          </w:p>
          <w:p w14:paraId="22038A14" w14:textId="77777777" w:rsidR="00D04DE6" w:rsidRPr="00D04DE6" w:rsidRDefault="00D04DE6" w:rsidP="00D04DE6">
            <w:pPr>
              <w:spacing w:after="160" w:line="278" w:lineRule="auto"/>
              <w:jc w:val="both"/>
              <w:rPr>
                <w:sz w:val="24"/>
                <w:szCs w:val="24"/>
              </w:rPr>
            </w:pPr>
            <w:r w:rsidRPr="00D04DE6">
              <w:rPr>
                <w:sz w:val="24"/>
                <w:szCs w:val="24"/>
              </w:rPr>
              <w:t xml:space="preserve">2 has diagnoses of Autism Spectrum Condition (ASC), Pathological Demand Avoidance (PDA), and Attention Deficit Hyperactivity Disorder (ADHD). His circumstances included increasing involvement with older peers involved in anti-social behaviour, exclusion from a Pupil Referral Unit (PRU), emotional distress following parental separation, and concerns relating to fire-setting at home, school, and in his local community. His neurodevelopmental needs were particularly important because they affected his emotional regulation, responses to demands, and ability to manage stressful situations. NICE (2021) guidance identifies relationships between neurodevelopmental needs and behaviour, while the PDA Society (2026) describes an intense, anxiety-driven need to avoid everyday demands which can result in argumentative, oppositional or physically resistant behaviour. This challenged me to consider whether behaviour initially viewed as deliberate defiance might instead be an </w:t>
            </w:r>
            <w:r w:rsidRPr="00D04DE6">
              <w:rPr>
                <w:sz w:val="24"/>
                <w:szCs w:val="24"/>
              </w:rPr>
              <w:lastRenderedPageBreak/>
              <w:t>expression of anxiety, distress or difficulty regulating emotions. However, I also needed to avoid allowing his diagnoses to explain away behaviour or reduce professional expectations.</w:t>
            </w:r>
          </w:p>
          <w:p w14:paraId="0C56EA2C" w14:textId="250A9E67" w:rsidR="00D04DE6" w:rsidRPr="00D04DE6" w:rsidRDefault="00D04DE6" w:rsidP="00D04DE6">
            <w:pPr>
              <w:spacing w:after="160" w:line="278" w:lineRule="auto"/>
              <w:jc w:val="both"/>
              <w:rPr>
                <w:sz w:val="24"/>
                <w:szCs w:val="24"/>
              </w:rPr>
            </w:pPr>
            <w:r w:rsidRPr="00D04DE6">
              <w:rPr>
                <w:sz w:val="24"/>
                <w:szCs w:val="24"/>
              </w:rPr>
              <w:t>I completed the National Assessment and Eligibility Tool (NAET) as part of an updated assessment process as 2 already had a Part 4 Care and Support Plan under the SSWWA 2014. I needed to understand 2’s current lived experience, speak directly with him and his family, gather information from other agencies, and analyse how these factors interacted. Welsh Government guidance emphasises holistic, strengths-based assessment focused on what matters to the child (Welsh Government, 2014). I used the NAET to organise evidence rather than allowing it to become procedural. As circumstances changed, I updated the NAET and chronology and used supervision and multi-agency meetings to reconsider my analysis (NSPCC, 2025). This reinforced that assessment is not a one-off activity. I needed to remain alert to changes in presentation, relationships, and circumstances and be prepared to revisit previous conclusions rather than allowing earlier incidents to determine my response to new information.</w:t>
            </w:r>
            <w:r w:rsidR="00904F67">
              <w:rPr>
                <w:sz w:val="24"/>
                <w:szCs w:val="24"/>
              </w:rPr>
              <w:t xml:space="preserve"> </w:t>
            </w:r>
            <w:r w:rsidRPr="00D04DE6">
              <w:rPr>
                <w:sz w:val="24"/>
                <w:szCs w:val="24"/>
              </w:rPr>
              <w:t>My analysis was influenced by child development theory. At 14, 2 was experiencing increasing independence, identity formation, peer relationships and a growing desire for autonomy (Schmidt Neven, 1996). These developmental needs were complicated by his neurodevelopmental conditions and difficulties accessing education and community activities. This helped me consider what he was trying to achieve developmentally alongside the associated risks. Piaget’s theory of cognitive development (Piaget, J. 1969) provided a further perspective when considering 2’s ability to understand consequences and make decisions. Adolescents develop increasing capacity for abstract and hypothetical thinking through the formal operational stage, however, chronological age does not automatically equate to the same level of cognitive or emotional functioning in every situation. 2’s ability to consider consequences could be affected by impulsivity, emotional dysregulation, peer influence, and his neurodevelopmental needs. I therefore avoided viewing him either as a young child requiring complete control or as an adult who could always anticipate consequences. This was important when considering self-determination, choice, and freedom. Safeguarding intervention could become overly restrictive if every identified risk resulted in additional limitations, so I considered whether restrictions were necessary, proportionate, and directly connected to an identified risk. This required me to balance safeguarding with 2’s developing autonomy and right to participate in decisions affecting him (</w:t>
            </w:r>
            <w:r w:rsidR="008A1B10" w:rsidRPr="00CC0E7F">
              <w:rPr>
                <w:sz w:val="24"/>
                <w:szCs w:val="24"/>
              </w:rPr>
              <w:t>Code of Professional Practice for Social Care Workers</w:t>
            </w:r>
            <w:r w:rsidR="004A3274">
              <w:rPr>
                <w:sz w:val="24"/>
                <w:szCs w:val="24"/>
              </w:rPr>
              <w:t xml:space="preserve"> </w:t>
            </w:r>
            <w:r w:rsidR="008A1B10">
              <w:rPr>
                <w:sz w:val="24"/>
                <w:szCs w:val="24"/>
              </w:rPr>
              <w:t>(</w:t>
            </w:r>
            <w:r w:rsidRPr="00D04DE6">
              <w:rPr>
                <w:sz w:val="24"/>
                <w:szCs w:val="24"/>
              </w:rPr>
              <w:t>CoPP</w:t>
            </w:r>
            <w:r w:rsidR="004A3274">
              <w:rPr>
                <w:sz w:val="24"/>
                <w:szCs w:val="24"/>
              </w:rPr>
              <w:t>)</w:t>
            </w:r>
            <w:r w:rsidRPr="00D04DE6">
              <w:rPr>
                <w:sz w:val="24"/>
                <w:szCs w:val="24"/>
              </w:rPr>
              <w:t xml:space="preserve">, 2026). Attachment theory (Bowlby, 1969) also helped me understand 2’s family circumstances. There was a history of domestic violence, parental separation and police attendance at the family home, which may have exposed 2 to conflict and instability. Following separation, communication between parents remained inconsistent, with routines and expectations differing between homes. I considered how this may have affected 2’s emotional security and regulation without assuming these experiences directly caused his behaviour. Felitti et al. (1998) and Public Health Wales (2023) identify links between adverse childhood experiences and later </w:t>
            </w:r>
            <w:r w:rsidRPr="00D04DE6">
              <w:rPr>
                <w:sz w:val="24"/>
                <w:szCs w:val="24"/>
              </w:rPr>
              <w:lastRenderedPageBreak/>
              <w:t>vulnerability, encouraging consideration of his wider lived experience rather than incidents in isolation.</w:t>
            </w:r>
          </w:p>
          <w:p w14:paraId="7D62564C" w14:textId="37596CB8" w:rsidR="00D04DE6" w:rsidRPr="00D04DE6" w:rsidRDefault="00D04DE6" w:rsidP="00D04DE6">
            <w:pPr>
              <w:spacing w:after="160" w:line="278" w:lineRule="auto"/>
              <w:jc w:val="both"/>
              <w:rPr>
                <w:sz w:val="24"/>
                <w:szCs w:val="24"/>
              </w:rPr>
            </w:pPr>
            <w:r w:rsidRPr="00D04DE6">
              <w:rPr>
                <w:sz w:val="24"/>
                <w:szCs w:val="24"/>
              </w:rPr>
              <w:t>His mother felt overwhelmed, judged and embarrassed by professional involvement, particularly because the family lived in a small rural community where police involvement could become visible to others. Mukolo et al. (2010) identify parental concerns about community judgement and blame when families access professional support. Social Care Wales (2024) similarly highlights how families in rural Wales can experience a heightened sense of exposure when statutory services become involved. I recognised that my involvement, although intended to promote safety, could also contribute to the mother’s feelings of scrutiny. This required empathy alongside professional curiosity, particularly when she minimised some safeguarding concerns. The father tended to view 2’s behaviour as normal teenage rebellion and downplayed some concerns. Initially, this was challenging because differing parental views could create inconsistencies in routines and expectations. Attachment theory and systems theory (Pincus &amp; Minahan, 1973) helped me avoid interpreting his position simply as a failure to recognise risk. I considered that his understanding reflected a different parental context. Turney et al. (2012) emphasise the importance of understanding family dynamics, while the Wales Safeguarding Procedures (2021) identify the potential impact of parental conflict on children’s well-being. I discussed with both parents how differences in their approaches could affect 2’s emotional well-being and consistency of the plan. A WhatsApp group was established between both parents and me to improve communication and reduce misunderstandings. This was not intended to resolve parental disagreement but provided a practical way of sharing information about 2’s needs and routines. Systems theory enabled me to consider 2 within the wider network of family, education, peers, social care, health services, Youth Justice, and his rural community. Exclusion from education reduced structure and routine and increased time in the community, while limited local opportunities meant older peers could become an important source of belonging (MacDonald &amp; Marsh, 2005). The NAET helped capture these interconnected factors.</w:t>
            </w:r>
          </w:p>
          <w:p w14:paraId="48B24B9F" w14:textId="1EBCE36A" w:rsidR="00D04DE6" w:rsidRPr="00D04DE6" w:rsidRDefault="00D04DE6" w:rsidP="00D04DE6">
            <w:pPr>
              <w:spacing w:after="160" w:line="278" w:lineRule="auto"/>
              <w:jc w:val="both"/>
              <w:rPr>
                <w:sz w:val="24"/>
                <w:szCs w:val="24"/>
              </w:rPr>
            </w:pPr>
            <w:r w:rsidRPr="00D04DE6">
              <w:rPr>
                <w:sz w:val="24"/>
                <w:szCs w:val="24"/>
              </w:rPr>
              <w:t>2’s relationship with peers remained a significant concern. He was spending increasing amounts of time with older young people known for anti-social behaviour, and police intelligence suggested some peers were encouraging risk-taking. However, 2 described these peers as the only people who understood him. Research shows that peer influence is an important factor in adolescent behaviour, particularly where a young person feels excluded or misunderstood elsewhere (Kornienko et al., 2020). This highlighted the importance of understanding the emotional need behind the behaviour rather than focusing solely on the risk presented by the peer group.</w:t>
            </w:r>
            <w:r w:rsidR="00664A22">
              <w:rPr>
                <w:sz w:val="24"/>
                <w:szCs w:val="24"/>
              </w:rPr>
              <w:t xml:space="preserve"> </w:t>
            </w:r>
            <w:r w:rsidRPr="00D04DE6">
              <w:rPr>
                <w:sz w:val="24"/>
                <w:szCs w:val="24"/>
              </w:rPr>
              <w:t xml:space="preserve">His neurodevelopmental needs potentially increased his vulnerability because he could experience difficulties interpreting social situations, managing impulsivity and recognising consequences when emotionally dysregulated. I therefore considered both sides - the peer group represented a genuine safeguarding risk, but the </w:t>
            </w:r>
            <w:r w:rsidRPr="00D04DE6">
              <w:rPr>
                <w:sz w:val="24"/>
                <w:szCs w:val="24"/>
              </w:rPr>
              <w:lastRenderedPageBreak/>
              <w:t>relationships also appeared to meet an emotional and developmental need. My professional judgement was that simply removing 2 from these relationships would not address the underlying need for belonging and could increase his isolation. This informed interventions that provided safer opportunities for belonging and achievement rather than focusing only on removing risk (Play Wales, 2022).</w:t>
            </w:r>
          </w:p>
          <w:p w14:paraId="12A34B94" w14:textId="3C0A9319" w:rsidR="00D04DE6" w:rsidRPr="00D04DE6" w:rsidRDefault="00D04DE6" w:rsidP="00D04DE6">
            <w:pPr>
              <w:spacing w:after="160" w:line="278" w:lineRule="auto"/>
              <w:jc w:val="both"/>
              <w:rPr>
                <w:sz w:val="24"/>
                <w:szCs w:val="24"/>
              </w:rPr>
            </w:pPr>
            <w:r w:rsidRPr="00D04DE6">
              <w:rPr>
                <w:sz w:val="24"/>
                <w:szCs w:val="24"/>
              </w:rPr>
              <w:t>Multi-agency working was essential. Police, education, Youth Justice, CAMHS, the fire service, and substance misuse services all held different pieces of information. Strategy Meetings and other multi-agency forums allowed these perspectives to be brought together. Brandon et al. (2020) and Laming (2009) highlight the consequences of poor communication and information-sharing in safeguarding practice, while the Wales Safeguarding Procedures (2019) emphasise co-ordinated safeguarding practice and timely information sharing.</w:t>
            </w:r>
            <w:r w:rsidR="00CE4E77">
              <w:rPr>
                <w:sz w:val="24"/>
                <w:szCs w:val="24"/>
              </w:rPr>
              <w:t xml:space="preserve"> </w:t>
            </w:r>
            <w:r w:rsidRPr="00D04DE6">
              <w:rPr>
                <w:sz w:val="24"/>
                <w:szCs w:val="24"/>
              </w:rPr>
              <w:t>However, collaboration did not mean automatically accepting every professional interpretation. At times, meetings became dominated by incidents and risk, and I recognised that 2’s voice could become less visible. Ferguson (2017) describes how children can become “invisible” within professional systems, while McManus et al. (2023) identifies over-focus on incidents and insufficient professional curiosity in Child Practice Reviews. I therefore brought 2’s own words and explanations into meetings so his behaviour did not become the only narrative. His perspective sometimes provided an alternative explanation for behaviour that otherwise risked being interpreted only as non-compliance or offending. This strengthened my assessment because I was able to distinguish between professional observations and 2’s understanding of his experiences.</w:t>
            </w:r>
          </w:p>
          <w:p w14:paraId="75525188" w14:textId="727AC13A" w:rsidR="00B1264F" w:rsidRDefault="00D04DE6" w:rsidP="00D04DE6">
            <w:pPr>
              <w:spacing w:after="160" w:line="278" w:lineRule="auto"/>
              <w:jc w:val="both"/>
              <w:rPr>
                <w:sz w:val="24"/>
                <w:szCs w:val="24"/>
              </w:rPr>
            </w:pPr>
            <w:r w:rsidRPr="00D04DE6">
              <w:rPr>
                <w:sz w:val="24"/>
                <w:szCs w:val="24"/>
              </w:rPr>
              <w:t>I also became concerned about negative professional dialogue about 2 and his family. Repeated negative descriptions could unfairly influence how professionals viewed the family and subsequently affect their behaviour towards 2 (Okitikpi &amp; Aymer, 2010). I raised these concerns with my line manager because I believed it was important to challenge professional narratives and discrimination (Haworth, 2022) that were not sufficiently balanced by evidence, strengths or the family’s perspective.</w:t>
            </w:r>
            <w:r w:rsidR="00B1264F">
              <w:rPr>
                <w:sz w:val="24"/>
                <w:szCs w:val="24"/>
              </w:rPr>
              <w:t xml:space="preserve"> </w:t>
            </w:r>
            <w:r w:rsidRPr="00D04DE6">
              <w:rPr>
                <w:sz w:val="24"/>
                <w:szCs w:val="24"/>
              </w:rPr>
              <w:t>This was a significant learning point because I initially felt uncomfortable challenging more experienced professionals. However, professional accountability (BASW, 2021) means collaborative working cannot simply involve agreement. I needed to consider whether the language being used was evidence-based and whether it risked creating a predetermined narrative. Supervision helped me recognise that respectful professional challenge is part of safeguarding and anti-oppressive social work. This increased my confidence in directing professional curiosity towards the professional network as well as the family.</w:t>
            </w:r>
            <w:r w:rsidR="00B1264F">
              <w:rPr>
                <w:sz w:val="24"/>
                <w:szCs w:val="24"/>
              </w:rPr>
              <w:t xml:space="preserve"> </w:t>
            </w:r>
            <w:r w:rsidRPr="00D04DE6">
              <w:rPr>
                <w:sz w:val="24"/>
                <w:szCs w:val="24"/>
              </w:rPr>
              <w:t xml:space="preserve">My professional judgement was particularly important where agencies disagreed. Youth Justice information provided valuable evidence about offending, peer influence, and decision-making, but I recognised that a behavioural interpretation could overlook 2’s underlying needs. NICE (2019 &amp; 2021) guidance concerning ASC, ADHD, and PDA supported my consideration of anxiety, sensory overload, and communication difficulties as possible contributors to behaviour. This did not mean disregarding Youth Justice information, instead, </w:t>
            </w:r>
            <w:r w:rsidRPr="00D04DE6">
              <w:rPr>
                <w:sz w:val="24"/>
                <w:szCs w:val="24"/>
              </w:rPr>
              <w:lastRenderedPageBreak/>
              <w:t>I integrated it with health, education, family, and direct-work information, consistent with Munro’s (1999) emphasis on professional judgement.</w:t>
            </w:r>
            <w:r w:rsidR="001A311B">
              <w:rPr>
                <w:sz w:val="24"/>
                <w:szCs w:val="24"/>
              </w:rPr>
              <w:t xml:space="preserve"> </w:t>
            </w:r>
            <w:r w:rsidRPr="00D04DE6">
              <w:rPr>
                <w:sz w:val="24"/>
                <w:szCs w:val="24"/>
              </w:rPr>
              <w:t>The Wales Safeguarding Procedures App was useful for checking thresholds and ensuring my practice was consistent with procedural guidance, but it could not make the decision for me. I needed to consider whether information represented an isolated concern or part of a wider pattern, taking account of context, frequency, intent, vulnerability, protective factors, and cumulative risk. This was discussed with my line manager (O’Sullivan, 2011). Brandon et al. (2020) highlight how cumulative concerns can influence professional perceptions, while Platt and Turney (2014) emphasise clear rationale in threshold decisions.</w:t>
            </w:r>
          </w:p>
          <w:p w14:paraId="4B9D5BDE" w14:textId="72AF8221" w:rsidR="00D04DE6" w:rsidRPr="00D04DE6" w:rsidRDefault="00D04DE6" w:rsidP="00D04DE6">
            <w:pPr>
              <w:spacing w:after="160" w:line="278" w:lineRule="auto"/>
              <w:jc w:val="both"/>
              <w:rPr>
                <w:sz w:val="24"/>
                <w:szCs w:val="24"/>
              </w:rPr>
            </w:pPr>
            <w:r w:rsidRPr="00D04DE6">
              <w:rPr>
                <w:sz w:val="24"/>
                <w:szCs w:val="24"/>
              </w:rPr>
              <w:t>The concerns relating to fire-setting represented one of the most significant safeguarding issues. 2 had threatened to set fire to another pupil and a member of staff at the PRU and had made comments about fire-setting to peers. Given the potential consequences, I recognised that the concern could not be minimised because of his neurodevelopmental profile. At the same time, I needed to understand whether the behaviour reflected intent, curiosity, emotional dysregulation, peer influence or another factor. I therefore completed a joint home visit with the fire service.</w:t>
            </w:r>
            <w:r w:rsidR="001A311B">
              <w:rPr>
                <w:sz w:val="24"/>
                <w:szCs w:val="24"/>
              </w:rPr>
              <w:t xml:space="preserve"> </w:t>
            </w:r>
            <w:r w:rsidRPr="00D04DE6">
              <w:rPr>
                <w:sz w:val="24"/>
                <w:szCs w:val="24"/>
              </w:rPr>
              <w:t>The fire service completed a fire-risk assessment, including smoke alarms, escape routes, and potential ignition sources. This provided specialist information beyond my social work assessment and helped distinguish environmental risk from assumptions about 2’s behaviour. The joint visit also reassured his mother and demonstrated that safeguarding could be supportive rather than solely investigative (Wales Safeguarding Procedures, 2026). Morgans and Garstang (2020) emphasise the importance of clear, co-ordinated and child-centred plans in which agencies understand and fulfil their roles. My role was to integrate the fire service’s specialist information with 2’s development, behaviour, family circumstances, and wider risks.</w:t>
            </w:r>
          </w:p>
          <w:p w14:paraId="0578A47B" w14:textId="358EF0E7" w:rsidR="00D04DE6" w:rsidRPr="00D04DE6" w:rsidRDefault="00D04DE6" w:rsidP="00D04DE6">
            <w:pPr>
              <w:spacing w:after="160" w:line="278" w:lineRule="auto"/>
              <w:jc w:val="both"/>
              <w:rPr>
                <w:sz w:val="24"/>
                <w:szCs w:val="24"/>
              </w:rPr>
            </w:pPr>
            <w:r w:rsidRPr="00D04DE6">
              <w:rPr>
                <w:sz w:val="24"/>
                <w:szCs w:val="24"/>
              </w:rPr>
              <w:t>I also developed two Safety Plans following a Safeguarding Initial Strategy Meeting. The first addressed concerns about 2 being unable to safely look after his younger siblings alone in the local community. There was concern that he might link in with older peers while responsible for his siblings, creating a situation in which they could be exposed to harm or 2 might be unable to respond appropriately to their needs.</w:t>
            </w:r>
            <w:r w:rsidR="001A311B">
              <w:rPr>
                <w:sz w:val="24"/>
                <w:szCs w:val="24"/>
              </w:rPr>
              <w:t xml:space="preserve"> </w:t>
            </w:r>
            <w:r w:rsidRPr="00D04DE6">
              <w:rPr>
                <w:sz w:val="24"/>
                <w:szCs w:val="24"/>
              </w:rPr>
              <w:t>The Safety Plan established clear expectations about when 2 could and could not be responsible for his siblings and what adults needed to consider when supporting him. I recognised the importance of balancing the younger children’s safety with 2’s developing independence and did not want the plan to suggest that he was inherently unsafe. Instead, it identified a particular situation where his vulnerability to peer influence could increase risk.</w:t>
            </w:r>
            <w:r w:rsidR="001A311B">
              <w:rPr>
                <w:sz w:val="24"/>
                <w:szCs w:val="24"/>
              </w:rPr>
              <w:t xml:space="preserve"> </w:t>
            </w:r>
            <w:r w:rsidRPr="00D04DE6">
              <w:rPr>
                <w:sz w:val="24"/>
                <w:szCs w:val="24"/>
              </w:rPr>
              <w:t xml:space="preserve">The second Safety Plan addressed the risk of 2 becoming violently dysregulated at home and set out practical actions to keep his younger siblings safe. These plans required me to balance their safety with 2’s rights, emotional needs and autonomy </w:t>
            </w:r>
            <w:r w:rsidR="006B3ACE">
              <w:rPr>
                <w:sz w:val="24"/>
                <w:szCs w:val="24"/>
              </w:rPr>
              <w:t xml:space="preserve">as per </w:t>
            </w:r>
            <w:r w:rsidRPr="00D04DE6">
              <w:rPr>
                <w:sz w:val="24"/>
                <w:szCs w:val="24"/>
              </w:rPr>
              <w:t xml:space="preserve">Article 12, </w:t>
            </w:r>
            <w:r w:rsidR="006B3ACE" w:rsidRPr="006B3ACE">
              <w:rPr>
                <w:sz w:val="24"/>
                <w:szCs w:val="24"/>
              </w:rPr>
              <w:t xml:space="preserve">United Nations Convention on the Rights of the Child </w:t>
            </w:r>
            <w:r w:rsidR="006B3ACE" w:rsidRPr="006B3ACE">
              <w:rPr>
                <w:sz w:val="24"/>
                <w:szCs w:val="24"/>
              </w:rPr>
              <w:lastRenderedPageBreak/>
              <w:t>(UNCRC), 1989</w:t>
            </w:r>
            <w:r w:rsidR="006B3ACE">
              <w:rPr>
                <w:sz w:val="24"/>
                <w:szCs w:val="24"/>
              </w:rPr>
              <w:t xml:space="preserve">. </w:t>
            </w:r>
            <w:r w:rsidRPr="00D04DE6">
              <w:rPr>
                <w:sz w:val="24"/>
                <w:szCs w:val="24"/>
              </w:rPr>
              <w:t>They reinforced that safeguarding should not automatically remove choice but should identify specific risks and proportionate ways of managing them (SCIE, 2023).</w:t>
            </w:r>
          </w:p>
          <w:p w14:paraId="3FF0B0F4" w14:textId="1AD4E220" w:rsidR="00D04DE6" w:rsidRPr="00D04DE6" w:rsidRDefault="00D04DE6" w:rsidP="00D04DE6">
            <w:pPr>
              <w:spacing w:after="160" w:line="278" w:lineRule="auto"/>
              <w:jc w:val="both"/>
              <w:rPr>
                <w:sz w:val="24"/>
                <w:szCs w:val="24"/>
              </w:rPr>
            </w:pPr>
            <w:r w:rsidRPr="00D04DE6">
              <w:rPr>
                <w:sz w:val="24"/>
                <w:szCs w:val="24"/>
              </w:rPr>
              <w:t>Education was another significant safeguarding factor. Following exclusion from the PRU, 2 lost structure and routine and had increased opportunity to spend time in the community, increasing exposure to harmful peer groups. PRU staff reported difficulties managing his behaviour, particularly when demands were placed on him. This aligned with his PDA profile, where everyday expectations can trigger anxiety and avoidance.</w:t>
            </w:r>
            <w:r w:rsidR="001A311B">
              <w:rPr>
                <w:sz w:val="24"/>
                <w:szCs w:val="24"/>
              </w:rPr>
              <w:t xml:space="preserve"> </w:t>
            </w:r>
            <w:r w:rsidRPr="00D04DE6">
              <w:rPr>
                <w:sz w:val="24"/>
                <w:szCs w:val="24"/>
              </w:rPr>
              <w:t>The Welsh Government Additional Learning Needs (ALN) Code (2021) emphasises reasonable adjustments, person-centred planning, and flexible approaches for learners with additional needs. Welsh Government (2025) also highlights tailored support for learners with ASC and ADHD. Cary and Webb (2025) identify the relationship between positive well-being and engagement in learning. This helped me consider exclusion not simply as an educational issue but as a factor potentially increasing safeguarding vulnerability.</w:t>
            </w:r>
            <w:r w:rsidR="00EE46A0">
              <w:rPr>
                <w:sz w:val="24"/>
                <w:szCs w:val="24"/>
              </w:rPr>
              <w:t xml:space="preserve"> </w:t>
            </w:r>
            <w:r w:rsidRPr="00D04DE6">
              <w:rPr>
                <w:sz w:val="24"/>
                <w:szCs w:val="24"/>
              </w:rPr>
              <w:t>I reflected that removal of structure could have a cumulative effect, particularly when combined with limited community opportunities and increasing contact with older peers. It therefore became important to consider education as part of the wider safeguarding picture rather than treating education, behaviour, and social care as separate issues. This strengthened my understanding that protective factors can be lost when services respond to behaviour without considering what the child needs to remain engaged and connected.</w:t>
            </w:r>
            <w:r w:rsidR="00EE46A0">
              <w:rPr>
                <w:sz w:val="24"/>
                <w:szCs w:val="24"/>
              </w:rPr>
              <w:t xml:space="preserve"> </w:t>
            </w:r>
            <w:r w:rsidRPr="00D04DE6">
              <w:rPr>
                <w:sz w:val="24"/>
                <w:szCs w:val="24"/>
              </w:rPr>
              <w:t>Following the move to online learning, 2’s mother felt that education was not listening to her concerns and that there was no clear plan for reintegration. I therefore made a SNAP Cymru referral to support the family to advocate for appropriate educational provision. This demonstrated that collaborative working includes access to advocacy where views are not being heard, consistent with Section 181 of the SSWWA (2014), and reflected my responsibility to consider whether education met 2’s wider developmental and well-being needs.</w:t>
            </w:r>
          </w:p>
          <w:p w14:paraId="074317A9" w14:textId="4608B81D" w:rsidR="00D04DE6" w:rsidRPr="00D04DE6" w:rsidRDefault="00D04DE6" w:rsidP="00D04DE6">
            <w:pPr>
              <w:spacing w:after="160" w:line="278" w:lineRule="auto"/>
              <w:jc w:val="both"/>
              <w:rPr>
                <w:sz w:val="24"/>
                <w:szCs w:val="24"/>
              </w:rPr>
            </w:pPr>
            <w:r w:rsidRPr="00D04DE6">
              <w:rPr>
                <w:sz w:val="24"/>
                <w:szCs w:val="24"/>
              </w:rPr>
              <w:t>CAMHS involvement remained limited because of capacity issues. The Early Intervention Foundation (2017) highlights the importance of timely emotional and behavioural support for young people at risk. This reinforced the need to advocate for specialist involvement and keep emotional well-being central to the assessment. A trainee forensic psychologist within Youth Justice also contributed assessment of emotional functioning, risk, and underlying needs. I integrated these specialist contributions with information from 2, his family, and other agencies rather than treating them as definitive explanations.</w:t>
            </w:r>
            <w:r w:rsidR="00EE46A0">
              <w:rPr>
                <w:sz w:val="24"/>
                <w:szCs w:val="24"/>
              </w:rPr>
              <w:t xml:space="preserve"> </w:t>
            </w:r>
            <w:r w:rsidRPr="00D04DE6">
              <w:rPr>
                <w:sz w:val="24"/>
                <w:szCs w:val="24"/>
              </w:rPr>
              <w:t>The rural context added another layer of complexity. Limited local services and restricted transport meant 2 had fewer opportunities for positive activities. The Well-being of Future Generations (Wales) Act 2015 emphasises prevention and long-term thinking, but rural areas can struggle to provide early intervention. This made me reflect on whether the system was meeting 2’s needs or whether the family was compensating for gaps in provision. The NAET captured these factors and helped evidence that risks were not solely attributable to parental capacity.</w:t>
            </w:r>
          </w:p>
          <w:p w14:paraId="03CC3FB1" w14:textId="72B2BED8" w:rsidR="00D04DE6" w:rsidRPr="00D04DE6" w:rsidRDefault="00D04DE6" w:rsidP="00D04DE6">
            <w:pPr>
              <w:spacing w:after="160" w:line="278" w:lineRule="auto"/>
              <w:jc w:val="both"/>
              <w:rPr>
                <w:sz w:val="24"/>
                <w:szCs w:val="24"/>
              </w:rPr>
            </w:pPr>
            <w:r w:rsidRPr="00D04DE6">
              <w:rPr>
                <w:sz w:val="24"/>
                <w:szCs w:val="24"/>
              </w:rPr>
              <w:lastRenderedPageBreak/>
              <w:t>Boxing and personal training subsequently became significant protective factors. These activities were accessed through 2’s Care and Support Plan and provided structure, achievement and opportunities to develop positive relationships. 2 also demonstrated increasing independence by travelling by bus to attend activities. This showed that intervention was not simply about preventing negative behaviour but also supporting development and independence (Lerner et al., 2005).</w:t>
            </w:r>
            <w:r w:rsidR="00EE46A0">
              <w:rPr>
                <w:sz w:val="24"/>
                <w:szCs w:val="24"/>
              </w:rPr>
              <w:t xml:space="preserve"> </w:t>
            </w:r>
            <w:r w:rsidRPr="00D04DE6">
              <w:rPr>
                <w:sz w:val="24"/>
                <w:szCs w:val="24"/>
              </w:rPr>
              <w:t>These activities provided an alternative way of meeting 2’s need for belonging. Rather than simply removing older peers from his life, the intervention created positive opportunities for connection. Anxious Minds (2026) identifies benefits associated with structured physical activity and emotional regulation. I reflected that this was potentially more sustainable because it addressed an underlying need rather than only managing a presenting risk. Progress therefore needed to include confidence, independence, engagement, and emotional regulation as well as the absence of incidents. This reinforced the importance of identifying both risk and protective factors and measuring improvement through changes in 2’s lived experience.</w:t>
            </w:r>
          </w:p>
          <w:p w14:paraId="4DB42BFD" w14:textId="77777777" w:rsidR="00D04DE6" w:rsidRPr="00D04DE6" w:rsidRDefault="00D04DE6" w:rsidP="00D04DE6">
            <w:pPr>
              <w:spacing w:after="160" w:line="278" w:lineRule="auto"/>
              <w:jc w:val="both"/>
              <w:rPr>
                <w:sz w:val="24"/>
                <w:szCs w:val="24"/>
              </w:rPr>
            </w:pPr>
            <w:r w:rsidRPr="00D04DE6">
              <w:rPr>
                <w:sz w:val="24"/>
                <w:szCs w:val="24"/>
              </w:rPr>
              <w:t>There were also safeguarding dilemmas around 2’s right to privacy under Article 8 of the Human Rights Act 1998 and the need to share information to keep him and others safe. UK GDPR and the Data Protection Act 2018 require information sharing to be proportionate and necessary. I therefore needed to consider what information needed to be shared, why it was necessary, and whether sharing was proportionate rather than assuming safeguarding automatically justified unrestricted information sharing. Platt and Turney (2014) emphasise the importance of clear rationale in threshold decisions.</w:t>
            </w:r>
          </w:p>
          <w:p w14:paraId="3AB5DCA6" w14:textId="0CF13441" w:rsidR="00D04DE6" w:rsidRPr="00D04DE6" w:rsidRDefault="00D04DE6" w:rsidP="00D04DE6">
            <w:pPr>
              <w:spacing w:after="160" w:line="278" w:lineRule="auto"/>
              <w:jc w:val="both"/>
              <w:rPr>
                <w:sz w:val="24"/>
                <w:szCs w:val="24"/>
              </w:rPr>
            </w:pPr>
            <w:r w:rsidRPr="00D04DE6">
              <w:rPr>
                <w:sz w:val="24"/>
                <w:szCs w:val="24"/>
              </w:rPr>
              <w:t>The Welsh context was central to my practice. Section 130 of the SSWWA (2014) provided the statutory framework for considering whether 2 was a child at risk, while the Act’s emphasis on well-being, voice, strengths, and participation supported consideration of his lived experience. The Wales Safeguarding Procedures (2019) provided the procedural framework for co-ordinated safeguarding, and the Wales Safeguarding Procedures App was useful as a practice tool. However, procedures could not replace professional judgement. Social care is devolved in Wales, while social workers practise within the wider UK constitutional and legal framework. I therefore needed to understand not only which legal framework applied, but how it should be applied to 2’s individual circumstances.</w:t>
            </w:r>
            <w:r w:rsidR="00EE46A0">
              <w:rPr>
                <w:sz w:val="24"/>
                <w:szCs w:val="24"/>
              </w:rPr>
              <w:t xml:space="preserve"> </w:t>
            </w:r>
            <w:r w:rsidRPr="00D04DE6">
              <w:rPr>
                <w:sz w:val="24"/>
                <w:szCs w:val="24"/>
              </w:rPr>
              <w:t>This was particularly important where rights could appear to conflict, for example where protecting 2 or others might require information sharing or restrictions on his activities. My role was to record the rationale for decisions so intervention remained accountable, proportionate, and capable of review. This demonstrated the interface between Welsh legislation and the wider UK framework. Welsh legislation and procedures shaped my safeguarding duties, while wider UK legislation, including the Human Rights Act 1998 and Data Protection Act 2018 shaped how those duties could be exercised.</w:t>
            </w:r>
            <w:r w:rsidR="00E54EC3">
              <w:rPr>
                <w:sz w:val="24"/>
                <w:szCs w:val="24"/>
              </w:rPr>
              <w:t xml:space="preserve"> </w:t>
            </w:r>
            <w:r w:rsidRPr="00D04DE6">
              <w:rPr>
                <w:sz w:val="24"/>
                <w:szCs w:val="24"/>
              </w:rPr>
              <w:t xml:space="preserve">There was no direct EU cross-border safeguarding issue in this case. However, the wider European and international context remained relevant through human rights and children’s rights principles. Article 8 of the European Convention on Human Rights </w:t>
            </w:r>
            <w:r w:rsidRPr="00D04DE6">
              <w:rPr>
                <w:sz w:val="24"/>
                <w:szCs w:val="24"/>
              </w:rPr>
              <w:lastRenderedPageBreak/>
              <w:t>informed my consideration of privacy and proportionality, while Article 12 (UNCRC</w:t>
            </w:r>
            <w:r w:rsidR="006B3ACE">
              <w:rPr>
                <w:sz w:val="24"/>
                <w:szCs w:val="24"/>
              </w:rPr>
              <w:t>, 1989</w:t>
            </w:r>
            <w:r w:rsidRPr="00D04DE6">
              <w:rPr>
                <w:sz w:val="24"/>
                <w:szCs w:val="24"/>
              </w:rPr>
              <w:t>) supported 2’s right to express his views and have them given appropriate weight. This reinforced that safeguarding should not be something done solely to a child but, wherever possible, with the child. Section 6 of the SSWWA (2014) similarly requires regard to the person's views, wishes and feelings.</w:t>
            </w:r>
          </w:p>
          <w:p w14:paraId="1195CB3F" w14:textId="5A9555C4" w:rsidR="00D04DE6" w:rsidRPr="00D04DE6" w:rsidRDefault="00D04DE6" w:rsidP="00D04DE6">
            <w:pPr>
              <w:spacing w:after="160" w:line="278" w:lineRule="auto"/>
              <w:jc w:val="both"/>
              <w:rPr>
                <w:sz w:val="24"/>
                <w:szCs w:val="24"/>
              </w:rPr>
            </w:pPr>
            <w:r w:rsidRPr="00D04DE6">
              <w:rPr>
                <w:sz w:val="24"/>
                <w:szCs w:val="24"/>
              </w:rPr>
              <w:t>Supervision was essential throughout this case. It provided a space where I could examine my emotional responses, challenge assumptions, and consider whether my interventions were proportionate. The unpredictability of 2’s behaviour and seriousness of some incidents created a risk that I could become overly focused on preventing harm. Supervision helped me return to a balanced consideration of risk, need, strengths. and the child’s voice.</w:t>
            </w:r>
            <w:r w:rsidR="00E54EC3">
              <w:rPr>
                <w:sz w:val="24"/>
                <w:szCs w:val="24"/>
              </w:rPr>
              <w:t xml:space="preserve"> </w:t>
            </w:r>
            <w:r w:rsidRPr="00D04DE6">
              <w:rPr>
                <w:sz w:val="24"/>
                <w:szCs w:val="24"/>
              </w:rPr>
              <w:t>I recognised a personal learning point - I have a tendency to want to “fix” situations quickly, particularly where I perceive a child to be at risk. Supervision helped me recognise that urgency can sometimes result in interventions being developed around professional anxiety rather than the child’s pace and capacity (Ingram, 2013). I became more conscious of pausing, gathering information and testing assumptions before deciding what action was necessary. This did not mean delaying action when there was an immediate safeguarding concern. Rather, it meant distinguishing between situations requiring an immediate protective response and those where there was time to gather further information and consider alternatives. This helped me manage my own anxiety while keeping the focus on 2’s actual circumstances.</w:t>
            </w:r>
          </w:p>
          <w:p w14:paraId="1688F1FE" w14:textId="11614CFD" w:rsidR="00D04DE6" w:rsidRPr="00D04DE6" w:rsidRDefault="00D04DE6" w:rsidP="00D04DE6">
            <w:pPr>
              <w:spacing w:after="160" w:line="278" w:lineRule="auto"/>
              <w:jc w:val="both"/>
              <w:rPr>
                <w:sz w:val="24"/>
                <w:szCs w:val="24"/>
              </w:rPr>
            </w:pPr>
            <w:r w:rsidRPr="00D04DE6">
              <w:rPr>
                <w:sz w:val="24"/>
                <w:szCs w:val="24"/>
              </w:rPr>
              <w:t>The case changed my understanding of professional curiosity. Initially, I associated curiosity primarily with asking more questions when information appeared incomplete. I now understand it more broadly as being willing to question professional narratives, consider alternative explanations, and remain open to information that challenges my existing understanding (Taylor &amp; White, 2000).</w:t>
            </w:r>
            <w:r w:rsidR="00E54EC3">
              <w:rPr>
                <w:sz w:val="24"/>
                <w:szCs w:val="24"/>
              </w:rPr>
              <w:t xml:space="preserve"> </w:t>
            </w:r>
            <w:r w:rsidRPr="00D04DE6">
              <w:rPr>
                <w:sz w:val="24"/>
                <w:szCs w:val="24"/>
              </w:rPr>
              <w:t>For example, 2’s involvement with older peers could have been understood simply as evidence of poor choices, but direct work and consideration of attachment, systems and child development theory showed that the relationships also met a need for belonging. Similarly, the fire-setting concern required me to take the potential risk seriously while avoiding assumptions about intent. The NAET, multi-agency information, fire-service assessment, and supervision enabled me to hold these perspectives together. Theory did not provide answers by itself, attachment theory supported understanding of relationships, systems theory the interaction between 2 and his environment, Piaget cognitive development, and child development theory adolescence and peer relationships. I remained responsible for synthesising the evidence and exercising professional judgement.</w:t>
            </w:r>
          </w:p>
          <w:p w14:paraId="26546913" w14:textId="6E13FF19" w:rsidR="00D04DE6" w:rsidRPr="00D04DE6" w:rsidRDefault="00D04DE6" w:rsidP="00D04DE6">
            <w:pPr>
              <w:spacing w:after="160" w:line="278" w:lineRule="auto"/>
              <w:jc w:val="both"/>
              <w:rPr>
                <w:sz w:val="24"/>
                <w:szCs w:val="24"/>
              </w:rPr>
            </w:pPr>
            <w:r w:rsidRPr="00D04DE6">
              <w:rPr>
                <w:sz w:val="24"/>
                <w:szCs w:val="24"/>
              </w:rPr>
              <w:t xml:space="preserve">Overall, this case developed my understanding of safeguarding as a dynamic, analytical, and relational process rather than a sequence of procedural actions. 2’s neurodevelopmental needs, family circumstances, peer relationships, educational difficulties, fire-related concerns, and limited access to specialist services interacted to create increasing complexity. My role required me to continually reassess these factors, integrate information from multiple </w:t>
            </w:r>
            <w:r w:rsidRPr="00D04DE6">
              <w:rPr>
                <w:sz w:val="24"/>
                <w:szCs w:val="24"/>
              </w:rPr>
              <w:lastRenderedPageBreak/>
              <w:t>agencies, listen to 2 and make proportionate professional judgements.</w:t>
            </w:r>
            <w:r w:rsidR="00E54EC3">
              <w:rPr>
                <w:sz w:val="24"/>
                <w:szCs w:val="24"/>
              </w:rPr>
              <w:t xml:space="preserve"> </w:t>
            </w:r>
            <w:r w:rsidRPr="00D04DE6">
              <w:rPr>
                <w:sz w:val="24"/>
                <w:szCs w:val="24"/>
              </w:rPr>
              <w:t>The case demonstrated that effective safeguarding requires both risk management and recognition of strengths. Earlier in the case, the seriousness of some incidents could have made it easy to measure progress only through whether further incidents occurred. I now recognise that this would provide an incomplete picture. Increased engagement, positive relationships, independence, and opportunities to succeed were also indicators that 2’s circumstances were improving.</w:t>
            </w:r>
            <w:r w:rsidR="00E54EC3">
              <w:rPr>
                <w:sz w:val="24"/>
                <w:szCs w:val="24"/>
              </w:rPr>
              <w:t xml:space="preserve"> </w:t>
            </w:r>
            <w:r w:rsidRPr="00D04DE6">
              <w:rPr>
                <w:sz w:val="24"/>
                <w:szCs w:val="24"/>
              </w:rPr>
              <w:t>Considering these factors alongside risk enabled me to develop a more balanced assessment and avoid defining 2 primarily through his behaviour. The fire-service assessment, SNAP Cymru referral, Safety Plans, multi-agency working, and structured activities addressed specific risks while supporting achievement, belonging, and independence. Most importantly, the case made me more conscious of allowing professional anxiety or previous incidents to dominate assessment. I now place greater emphasis on understanding the meaning behind behaviour, testing assumptions, and ensuring that 2’s voice remains visible.</w:t>
            </w:r>
          </w:p>
          <w:p w14:paraId="2A064D31" w14:textId="75C6B1B8" w:rsidR="00D04DE6" w:rsidRPr="00D04DE6" w:rsidRDefault="00D04DE6" w:rsidP="00D04DE6">
            <w:pPr>
              <w:spacing w:after="160" w:line="278" w:lineRule="auto"/>
              <w:jc w:val="both"/>
              <w:rPr>
                <w:sz w:val="24"/>
                <w:szCs w:val="24"/>
              </w:rPr>
            </w:pPr>
            <w:r w:rsidRPr="00D04DE6">
              <w:rPr>
                <w:sz w:val="24"/>
                <w:szCs w:val="24"/>
              </w:rPr>
              <w:t>If concerns had escalated to the point where there was reasonable cause to suspect that 2 was suffering, or was likely to suffer, significant harm, a Section 47 investigation under the Children Act 1989 could have been initiated alongside the safeguarding duties within Part 7 of the SSWWA (2014). If, following assessment and an Initial Child Protection Conference it was determined that 2 was at continuing risk of significant harm, he could have been placed on the Child Protection Register and become subject to a Care and Support Protection Plan.</w:t>
            </w:r>
            <w:r w:rsidR="00E54EC3">
              <w:rPr>
                <w:sz w:val="24"/>
                <w:szCs w:val="24"/>
              </w:rPr>
              <w:t xml:space="preserve"> </w:t>
            </w:r>
            <w:r w:rsidRPr="00D04DE6">
              <w:rPr>
                <w:sz w:val="24"/>
                <w:szCs w:val="24"/>
              </w:rPr>
              <w:t xml:space="preserve">This would have resulted in a more formal multi-agency safeguarding response. The </w:t>
            </w:r>
            <w:r w:rsidR="009255A5">
              <w:rPr>
                <w:sz w:val="24"/>
                <w:szCs w:val="24"/>
              </w:rPr>
              <w:t>Child</w:t>
            </w:r>
            <w:r w:rsidRPr="00D04DE6">
              <w:rPr>
                <w:sz w:val="24"/>
                <w:szCs w:val="24"/>
              </w:rPr>
              <w:t xml:space="preserve"> Protection Plan would identify the specific concerns, actions required to reduce risk, responsibilities of professionals, and arrangements for monitoring progress. A Core Group would develop and implement the plan, with the initial meeting taking place within 10 working days of the Child Protection Conference, followed by review arrangements.</w:t>
            </w:r>
            <w:r w:rsidR="00E54EC3">
              <w:rPr>
                <w:sz w:val="24"/>
                <w:szCs w:val="24"/>
              </w:rPr>
              <w:t xml:space="preserve"> </w:t>
            </w:r>
            <w:r w:rsidRPr="00D04DE6">
              <w:rPr>
                <w:sz w:val="24"/>
                <w:szCs w:val="24"/>
              </w:rPr>
              <w:t xml:space="preserve">Reflecting on this hypothetical escalation helped me understand that a </w:t>
            </w:r>
            <w:r w:rsidR="009255A5">
              <w:rPr>
                <w:sz w:val="24"/>
                <w:szCs w:val="24"/>
              </w:rPr>
              <w:t>C</w:t>
            </w:r>
            <w:r w:rsidR="002B134C">
              <w:rPr>
                <w:sz w:val="24"/>
                <w:szCs w:val="24"/>
              </w:rPr>
              <w:t xml:space="preserve">hild </w:t>
            </w:r>
            <w:r w:rsidR="009255A5">
              <w:rPr>
                <w:sz w:val="24"/>
                <w:szCs w:val="24"/>
              </w:rPr>
              <w:t>P</w:t>
            </w:r>
            <w:r w:rsidR="002B134C">
              <w:rPr>
                <w:sz w:val="24"/>
                <w:szCs w:val="24"/>
              </w:rPr>
              <w:t xml:space="preserve">rotection </w:t>
            </w:r>
            <w:r w:rsidR="009255A5">
              <w:rPr>
                <w:sz w:val="24"/>
                <w:szCs w:val="24"/>
              </w:rPr>
              <w:t>P</w:t>
            </w:r>
            <w:r w:rsidRPr="00D04DE6">
              <w:rPr>
                <w:sz w:val="24"/>
                <w:szCs w:val="24"/>
              </w:rPr>
              <w:t>lan would not, in itself, guarantee 2’s safety. Its effectiveness would depend on professionals completing agreed actions, sharing relevant information, listening to 2 and his family, and responding when circumstances changed. If parents or professionals were unable to implement the plan, or if 2’s presentation indicated increasing risk, this would need to be addressed rather than allowing the plan to become a procedural requirement. This reinforced my understanding that safeguarding knowledge includes recognising when an intervention is no longer sufficient and being prepared to escalate concerns when necessary.</w:t>
            </w:r>
          </w:p>
          <w:p w14:paraId="54736839" w14:textId="77777777" w:rsidR="009514A7" w:rsidRDefault="00D04DE6" w:rsidP="00D04DE6">
            <w:pPr>
              <w:spacing w:after="160" w:line="278" w:lineRule="auto"/>
              <w:jc w:val="both"/>
              <w:rPr>
                <w:sz w:val="24"/>
                <w:szCs w:val="24"/>
              </w:rPr>
            </w:pPr>
            <w:r w:rsidRPr="00D04DE6">
              <w:rPr>
                <w:sz w:val="24"/>
                <w:szCs w:val="24"/>
              </w:rPr>
              <w:t>In conclusion, this case demonstrates how I have integrated analysis, collaborative working, and professional judgement in a complex safeguarding situation. I used attachment, systems, Piaget’s and child development theories alongside Welsh legislation, safeguarding procedures, and wider UK, European and human-rights frameworks. I also recognised the challenges of rural Welsh practice, including limited services and geographical isolation (Wales Centre for Public Policy, 2019).</w:t>
            </w:r>
            <w:r w:rsidR="00E54EC3">
              <w:rPr>
                <w:sz w:val="24"/>
                <w:szCs w:val="24"/>
              </w:rPr>
              <w:t xml:space="preserve"> </w:t>
            </w:r>
            <w:r w:rsidRPr="00D04DE6">
              <w:rPr>
                <w:sz w:val="24"/>
                <w:szCs w:val="24"/>
              </w:rPr>
              <w:t xml:space="preserve">The experience strengthened my understanding that </w:t>
            </w:r>
            <w:r w:rsidRPr="00D04DE6">
              <w:rPr>
                <w:sz w:val="24"/>
                <w:szCs w:val="24"/>
              </w:rPr>
              <w:lastRenderedPageBreak/>
              <w:t>safeguarding does not mean eliminating all risk or removing a young person’s freedom. It requires proportionate intervention, meaningful participation, professional curiosity and recognition of strengths. I learned that effective assessment requires me to consider behaviour within its wider context, test competing explanations, and remain willing to change my analysis when new evidence emerges.</w:t>
            </w:r>
            <w:r w:rsidR="009514A7">
              <w:rPr>
                <w:sz w:val="24"/>
                <w:szCs w:val="24"/>
              </w:rPr>
              <w:t xml:space="preserve"> </w:t>
            </w:r>
          </w:p>
          <w:p w14:paraId="29A028A8" w14:textId="2704BDA3" w:rsidR="00D04DE6" w:rsidRPr="00D04DE6" w:rsidRDefault="00D04DE6" w:rsidP="00D04DE6">
            <w:pPr>
              <w:spacing w:after="160" w:line="278" w:lineRule="auto"/>
              <w:jc w:val="both"/>
              <w:rPr>
                <w:sz w:val="24"/>
                <w:szCs w:val="24"/>
              </w:rPr>
            </w:pPr>
            <w:r w:rsidRPr="00D04DE6">
              <w:rPr>
                <w:sz w:val="24"/>
                <w:szCs w:val="24"/>
              </w:rPr>
              <w:t>The case also strengthened my confidence in professional challenge. I learned that working with other agencies does not mean accepting every interpretation, and that respectfully challenging negative or deficit-focused narratives can be necessary to prevent a child being defined by previous incidents or professional perceptions. Supervision enabled me to recognise the influence of my own anxiety and my tendency to seek rapid solutions, helping me distinguish between situations requiring immediate protective action and those where further assessment and reflection were appropriate.</w:t>
            </w:r>
            <w:r w:rsidR="009514A7">
              <w:rPr>
                <w:sz w:val="24"/>
                <w:szCs w:val="24"/>
              </w:rPr>
              <w:t xml:space="preserve"> </w:t>
            </w:r>
            <w:r w:rsidRPr="00D04DE6">
              <w:rPr>
                <w:sz w:val="24"/>
                <w:szCs w:val="24"/>
              </w:rPr>
              <w:t>Most importantly, I learned to view progress more broadly than the absence of safeguarding incidents. 2’s increased engagement, positive relationships, independence, and access to meaningful activities were important protective outcomes alongside risk reduction. This enabled me to develop a more balanced assessment and recognise that safeguarding should support children to experience safety, belonging, achievement, and autonomy rather than simply restrict their behaviour.</w:t>
            </w:r>
          </w:p>
          <w:p w14:paraId="00448788" w14:textId="77777777" w:rsidR="00D04DE6" w:rsidRPr="00D04DE6" w:rsidRDefault="00D04DE6" w:rsidP="00D04DE6">
            <w:pPr>
              <w:spacing w:after="160" w:line="278" w:lineRule="auto"/>
              <w:jc w:val="both"/>
              <w:rPr>
                <w:sz w:val="24"/>
                <w:szCs w:val="24"/>
              </w:rPr>
            </w:pPr>
            <w:r w:rsidRPr="00D04DE6">
              <w:rPr>
                <w:sz w:val="24"/>
                <w:szCs w:val="24"/>
              </w:rPr>
              <w:t>Overall, the case has changed my practice by strengthening my use of evidence, theory, professional curiosity, and reflective supervision. I now place greater emphasis on understanding the meaning behind behaviour, considering the interaction between individual and environmental factors, testing assumptions and ensuring the child’s voice remains visible within complex multi-agency systems. This has reinforced my understanding that effective safeguarding is both protective and relational, requiring professional accountability while maintaining the child’s rights, dignity, participation, and potential for positive change.</w:t>
            </w:r>
          </w:p>
          <w:p w14:paraId="60101F5B" w14:textId="77777777" w:rsidR="00D04DE6" w:rsidRPr="00D04DE6" w:rsidRDefault="00D04DE6" w:rsidP="00D04DE6">
            <w:pPr>
              <w:jc w:val="both"/>
              <w:rPr>
                <w:sz w:val="24"/>
                <w:szCs w:val="24"/>
              </w:rPr>
            </w:pPr>
          </w:p>
          <w:p w14:paraId="658FD3AE" w14:textId="318DCE4F" w:rsidR="00D04DE6" w:rsidRPr="00D04DE6" w:rsidRDefault="00D04DE6" w:rsidP="00D04DE6">
            <w:pPr>
              <w:jc w:val="both"/>
              <w:rPr>
                <w:sz w:val="24"/>
                <w:szCs w:val="24"/>
              </w:rPr>
            </w:pPr>
            <w:r w:rsidRPr="00D04DE6">
              <w:rPr>
                <w:sz w:val="24"/>
                <w:szCs w:val="24"/>
              </w:rPr>
              <w:t>Word Count - 42</w:t>
            </w:r>
            <w:r w:rsidR="009514A7">
              <w:rPr>
                <w:sz w:val="24"/>
                <w:szCs w:val="24"/>
              </w:rPr>
              <w:t>83</w:t>
            </w:r>
          </w:p>
          <w:p w14:paraId="49B1AEDC" w14:textId="77777777" w:rsidR="00D04DE6" w:rsidRPr="00644E85" w:rsidRDefault="00D04DE6" w:rsidP="00033F59">
            <w:pPr>
              <w:jc w:val="both"/>
              <w:rPr>
                <w:sz w:val="24"/>
                <w:szCs w:val="24"/>
              </w:rPr>
            </w:pPr>
          </w:p>
          <w:p w14:paraId="037443E6" w14:textId="77777777" w:rsidR="002D598A" w:rsidRPr="00033F59" w:rsidRDefault="002D598A" w:rsidP="00FF7EBB">
            <w:pPr>
              <w:jc w:val="both"/>
              <w:rPr>
                <w:iCs/>
                <w:sz w:val="24"/>
                <w:szCs w:val="24"/>
              </w:rPr>
            </w:pPr>
          </w:p>
          <w:p w14:paraId="47F21B6A" w14:textId="007FFCCE" w:rsidR="007A628F" w:rsidRPr="008B28E7" w:rsidRDefault="007A628F" w:rsidP="0069675E">
            <w:pPr>
              <w:spacing w:before="100" w:beforeAutospacing="1" w:after="100" w:afterAutospacing="1"/>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AA3D2A" w14:textId="77777777" w:rsidR="00E17EA3" w:rsidRDefault="00E17EA3">
      <w:r>
        <w:separator/>
      </w:r>
    </w:p>
  </w:endnote>
  <w:endnote w:type="continuationSeparator" w:id="0">
    <w:p w14:paraId="637CEA0B" w14:textId="77777777" w:rsidR="00E17EA3" w:rsidRDefault="00E17E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5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6C978D" w14:textId="77777777" w:rsidR="00E17EA3" w:rsidRDefault="00E17EA3">
      <w:r>
        <w:separator/>
      </w:r>
    </w:p>
  </w:footnote>
  <w:footnote w:type="continuationSeparator" w:id="0">
    <w:p w14:paraId="1BB15B2E" w14:textId="77777777" w:rsidR="00E17EA3" w:rsidRDefault="00E17E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3F5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2D05"/>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30E"/>
    <w:rsid w:val="00151DA6"/>
    <w:rsid w:val="001608C4"/>
    <w:rsid w:val="00164832"/>
    <w:rsid w:val="00171418"/>
    <w:rsid w:val="001772BF"/>
    <w:rsid w:val="001772DE"/>
    <w:rsid w:val="0019496C"/>
    <w:rsid w:val="001961CF"/>
    <w:rsid w:val="001A311B"/>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34C"/>
    <w:rsid w:val="002B1701"/>
    <w:rsid w:val="002B23C3"/>
    <w:rsid w:val="002B443A"/>
    <w:rsid w:val="002B5B35"/>
    <w:rsid w:val="002B7AEE"/>
    <w:rsid w:val="002C2536"/>
    <w:rsid w:val="002C256A"/>
    <w:rsid w:val="002C3031"/>
    <w:rsid w:val="002C4233"/>
    <w:rsid w:val="002C496D"/>
    <w:rsid w:val="002D0448"/>
    <w:rsid w:val="002D05EB"/>
    <w:rsid w:val="002D11A8"/>
    <w:rsid w:val="002D2F29"/>
    <w:rsid w:val="002D46C0"/>
    <w:rsid w:val="002D598A"/>
    <w:rsid w:val="002D5A92"/>
    <w:rsid w:val="002D65D2"/>
    <w:rsid w:val="002D6B31"/>
    <w:rsid w:val="002E6D17"/>
    <w:rsid w:val="002E7017"/>
    <w:rsid w:val="002E7F2C"/>
    <w:rsid w:val="002F1FC7"/>
    <w:rsid w:val="002F2185"/>
    <w:rsid w:val="002F4F6E"/>
    <w:rsid w:val="003015C3"/>
    <w:rsid w:val="003106DB"/>
    <w:rsid w:val="0031350A"/>
    <w:rsid w:val="00316567"/>
    <w:rsid w:val="00316815"/>
    <w:rsid w:val="003168CA"/>
    <w:rsid w:val="00321255"/>
    <w:rsid w:val="0032230D"/>
    <w:rsid w:val="00322A0B"/>
    <w:rsid w:val="00330881"/>
    <w:rsid w:val="00331CD2"/>
    <w:rsid w:val="00331D0D"/>
    <w:rsid w:val="00332426"/>
    <w:rsid w:val="00335C41"/>
    <w:rsid w:val="00335FC5"/>
    <w:rsid w:val="0033771E"/>
    <w:rsid w:val="00337FEF"/>
    <w:rsid w:val="00354B6D"/>
    <w:rsid w:val="00355210"/>
    <w:rsid w:val="00355CFD"/>
    <w:rsid w:val="0036520C"/>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253F"/>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3274"/>
    <w:rsid w:val="004A5A64"/>
    <w:rsid w:val="004B5553"/>
    <w:rsid w:val="004B600B"/>
    <w:rsid w:val="004B6822"/>
    <w:rsid w:val="004B69F6"/>
    <w:rsid w:val="004C2D3A"/>
    <w:rsid w:val="004C4CC9"/>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44E85"/>
    <w:rsid w:val="0065276E"/>
    <w:rsid w:val="00654329"/>
    <w:rsid w:val="00654CEC"/>
    <w:rsid w:val="00655507"/>
    <w:rsid w:val="006579FD"/>
    <w:rsid w:val="006635E3"/>
    <w:rsid w:val="00664A22"/>
    <w:rsid w:val="006669F3"/>
    <w:rsid w:val="006712A7"/>
    <w:rsid w:val="00672CED"/>
    <w:rsid w:val="00674FC2"/>
    <w:rsid w:val="00676E35"/>
    <w:rsid w:val="00677E42"/>
    <w:rsid w:val="00682334"/>
    <w:rsid w:val="00684732"/>
    <w:rsid w:val="00684B16"/>
    <w:rsid w:val="00687016"/>
    <w:rsid w:val="006872A0"/>
    <w:rsid w:val="00691486"/>
    <w:rsid w:val="0069625A"/>
    <w:rsid w:val="0069675E"/>
    <w:rsid w:val="00696A88"/>
    <w:rsid w:val="00696F65"/>
    <w:rsid w:val="00697572"/>
    <w:rsid w:val="006B3ACE"/>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B0"/>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1B10"/>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4F67"/>
    <w:rsid w:val="009079BD"/>
    <w:rsid w:val="00912BD9"/>
    <w:rsid w:val="00916FB2"/>
    <w:rsid w:val="00920E5B"/>
    <w:rsid w:val="009255A5"/>
    <w:rsid w:val="00926436"/>
    <w:rsid w:val="00926C53"/>
    <w:rsid w:val="0093018C"/>
    <w:rsid w:val="0094495F"/>
    <w:rsid w:val="009514A7"/>
    <w:rsid w:val="0095239B"/>
    <w:rsid w:val="009544C0"/>
    <w:rsid w:val="00954FA4"/>
    <w:rsid w:val="00956AE9"/>
    <w:rsid w:val="00964CC6"/>
    <w:rsid w:val="00967BFA"/>
    <w:rsid w:val="0098262C"/>
    <w:rsid w:val="00982C0C"/>
    <w:rsid w:val="0098427C"/>
    <w:rsid w:val="00986B43"/>
    <w:rsid w:val="00986C0B"/>
    <w:rsid w:val="00986D46"/>
    <w:rsid w:val="00991FDA"/>
    <w:rsid w:val="00992ACA"/>
    <w:rsid w:val="009A5F3B"/>
    <w:rsid w:val="009A5F79"/>
    <w:rsid w:val="009A6F87"/>
    <w:rsid w:val="009B0B61"/>
    <w:rsid w:val="009B28C0"/>
    <w:rsid w:val="009B3178"/>
    <w:rsid w:val="009B3E46"/>
    <w:rsid w:val="009B502C"/>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2AF9"/>
    <w:rsid w:val="00A93CBC"/>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264F"/>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57D8"/>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4E77"/>
    <w:rsid w:val="00CE7DA2"/>
    <w:rsid w:val="00CF2F8A"/>
    <w:rsid w:val="00CF3DB3"/>
    <w:rsid w:val="00D0274B"/>
    <w:rsid w:val="00D033F0"/>
    <w:rsid w:val="00D04DE6"/>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87AE2"/>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17EA3"/>
    <w:rsid w:val="00E231D1"/>
    <w:rsid w:val="00E3288D"/>
    <w:rsid w:val="00E35112"/>
    <w:rsid w:val="00E35BEC"/>
    <w:rsid w:val="00E41A6A"/>
    <w:rsid w:val="00E50821"/>
    <w:rsid w:val="00E51F91"/>
    <w:rsid w:val="00E5498A"/>
    <w:rsid w:val="00E54EC3"/>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46A0"/>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2E84"/>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993</TotalTime>
  <Pages>11</Pages>
  <Words>5068</Words>
  <Characters>27068</Characters>
  <Application>Microsoft Office Word</Application>
  <DocSecurity>0</DocSecurity>
  <Lines>458</Lines>
  <Paragraphs>215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Eley Williams</cp:lastModifiedBy>
  <cp:revision>33</cp:revision>
  <cp:lastPrinted>2026-10-06T12:30:00Z</cp:lastPrinted>
  <dcterms:created xsi:type="dcterms:W3CDTF">2026-09-16T14:11:00Z</dcterms:created>
  <dcterms:modified xsi:type="dcterms:W3CDTF">2026-10-06T17:49:00Z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