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header2.xml" ContentType="application/vnd.openxmlformats-officedocument.wordprocessingml.header+xml"/>
  <Override PartName="/word/footnotes.xml" ContentType="application/vnd.openxmlformats-officedocument.wordprocessingml.footnotes+xml"/>
  <Override PartName="/word/header1.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Override PartName="/word/_rels/footnotes.xml.rels" ContentType="application/vnd.openxmlformats-package.relationships+xml"/>
</Types>
</file>

<file path=_rels/.rels><?xml version="1.0" encoding="UTF-8"?>
<Relationships xmlns="http://schemas.openxmlformats.org/package/2006/relationships"><Relationship Id="rId1" Type="http://schemas.openxmlformats.org/officedocument/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Web"/>
        <w:spacing w:before="0" w:after="0"/>
        <w:ind w:start="-180" w:end="-334"/>
        <w:rPr/>
      </w:pPr>
      <w:r>
        <w:rPr/>
        <w:drawing>
          <wp:inline distT="0" distB="0" distL="0" distR="0">
            <wp:extent cx="1907540" cy="635635"/>
            <wp:effectExtent l="0" t="0" r="0" b="0"/>
            <wp:docPr id="1" name="Image1"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title=""/>
                    <pic:cNvPicPr>
                      <a:picLocks noChangeAspect="1" noChangeArrowheads="1"/>
                    </pic:cNvPicPr>
                  </pic:nvPicPr>
                  <pic:blipFill>
                    <a:blip r:embed="rId2"/>
                    <a:stretch>
                      <a:fillRect/>
                    </a:stretch>
                  </pic:blipFill>
                  <pic:spPr bwMode="auto">
                    <a:xfrm>
                      <a:off x="0" y="0"/>
                      <a:ext cx="1907540" cy="635635"/>
                    </a:xfrm>
                    <a:prstGeom prst="rect">
                      <a:avLst/>
                    </a:prstGeom>
                    <a:noFill/>
                    <a:ln w="19050">
                      <a:solidFill>
                        <a:srgbClr val="000000"/>
                      </a:solidFill>
                    </a:ln>
                  </pic:spPr>
                </pic:pic>
              </a:graphicData>
            </a:graphic>
          </wp:inline>
        </w:drawing>
      </w:r>
    </w:p>
    <w:p>
      <w:pPr>
        <w:pStyle w:val="NormalWeb"/>
        <w:spacing w:before="0" w:after="0"/>
        <w:ind w:start="-180" w:end="-334"/>
        <w:rPr/>
      </w:pPr>
      <w:r>
        <w:rPr/>
      </w:r>
    </w:p>
    <w:p>
      <w:pPr>
        <w:pStyle w:val="NormalWeb"/>
        <w:spacing w:before="0" w:after="0"/>
        <w:ind w:start="-180" w:end="-334"/>
        <w:rPr/>
      </w:pPr>
      <w:r>
        <w:rPr/>
      </w:r>
    </w:p>
    <w:p>
      <w:pPr>
        <w:pStyle w:val="NormalWeb"/>
        <w:spacing w:before="0" w:after="0"/>
        <w:ind w:start="-180" w:end="-334"/>
        <w:jc w:val="center"/>
        <w:rPr/>
      </w:pPr>
      <w:r>
        <w:rPr>
          <w:rFonts w:cs="Arial" w:ascii="Arial" w:hAnsi="Arial"/>
          <w:b/>
          <w:sz w:val="28"/>
          <w:szCs w:val="28"/>
          <w:lang w:val="cy-GB"/>
        </w:rPr>
        <w:t xml:space="preserve">Postgraduate/Distance Learning </w:t>
      </w:r>
    </w:p>
    <w:p>
      <w:pPr>
        <w:pStyle w:val="NormalWeb"/>
        <w:spacing w:before="0" w:after="0"/>
        <w:ind w:start="-180" w:end="-334"/>
        <w:jc w:val="center"/>
        <w:rPr>
          <w:rFonts w:ascii="Arial" w:hAnsi="Arial" w:cs="Arial"/>
          <w:b/>
          <w:sz w:val="28"/>
          <w:szCs w:val="28"/>
        </w:rPr>
      </w:pPr>
      <w:r>
        <w:rPr>
          <w:rFonts w:cs="Arial" w:ascii="Arial" w:hAnsi="Arial"/>
          <w:b/>
          <w:sz w:val="28"/>
          <w:szCs w:val="28"/>
          <w:lang w:val="cy-GB"/>
        </w:rPr>
        <w:t>Assignment coversheet &amp; feedback form</w:t>
      </w:r>
    </w:p>
    <w:p>
      <w:pPr>
        <w:pStyle w:val="Normal"/>
        <w:bidi w:val="0"/>
        <w:jc w:val="start"/>
        <w:rPr>
          <w:rFonts w:ascii="Arial" w:hAnsi="Arial" w:cs="Arial"/>
          <w:b/>
          <w:sz w:val="28"/>
          <w:szCs w:val="28"/>
          <w:lang w:val="cy-GB"/>
        </w:rPr>
      </w:pPr>
      <w:r>
        <w:rPr>
          <w:rFonts w:cs="Arial" w:ascii="Arial" w:hAnsi="Arial"/>
          <w:b/>
          <w:sz w:val="28"/>
          <w:szCs w:val="28"/>
          <w:lang w:val="cy-GB"/>
        </w:rPr>
      </w:r>
    </w:p>
    <w:p>
      <w:pPr>
        <w:pStyle w:val="Heading3"/>
        <w:numPr>
          <w:ilvl w:val="2"/>
          <w:numId w:val="1"/>
        </w:numPr>
        <w:bidi w:val="0"/>
        <w:ind w:hanging="0" w:start="0"/>
        <w:jc w:val="center"/>
        <w:rPr>
          <w:lang w:val="cy-GB"/>
        </w:rPr>
      </w:pPr>
      <w:r>
        <w:rPr>
          <w:lang w:val="cy-GB"/>
        </w:rPr>
        <w:t>THIS SHEET MUST BE THE FIRST PAGE OF THE ASSIGNMENT YOU ARE SUBMITTING  (DO NOT SEND AS A SEPARATE FILE)</w:t>
      </w:r>
    </w:p>
    <w:p>
      <w:pPr>
        <w:pStyle w:val="Heading3"/>
        <w:numPr>
          <w:ilvl w:val="2"/>
          <w:numId w:val="1"/>
        </w:numPr>
        <w:bidi w:val="0"/>
        <w:ind w:hanging="0" w:start="0"/>
        <w:jc w:val="center"/>
        <w:rPr>
          <w:rFonts w:ascii="Trebuchet MS" w:hAnsi="Trebuchet MS" w:cs="Trebuchet MS"/>
        </w:rPr>
      </w:pPr>
      <w:r>
        <w:rPr>
          <w:rFonts w:cs="Trebuchet MS" w:ascii="Trebuchet MS" w:hAnsi="Trebuchet MS"/>
        </w:rPr>
      </w:r>
    </w:p>
    <w:tbl>
      <w:tblPr>
        <w:tblW w:w="8856" w:type="dxa"/>
        <w:jc w:val="start"/>
        <w:tblInd w:w="0" w:type="dxa"/>
        <w:tblLayout w:type="fixed"/>
        <w:tblCellMar>
          <w:top w:w="0" w:type="dxa"/>
          <w:start w:w="108" w:type="dxa"/>
          <w:bottom w:w="0" w:type="dxa"/>
          <w:end w:w="108" w:type="dxa"/>
        </w:tblCellMar>
      </w:tblPr>
      <w:tblGrid>
        <w:gridCol w:w="4788"/>
        <w:gridCol w:w="421"/>
        <w:gridCol w:w="1557"/>
        <w:gridCol w:w="286"/>
        <w:gridCol w:w="1804"/>
      </w:tblGrid>
      <w:tr>
        <w:trPr>
          <w:trHeight w:val="614"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Web"/>
              <w:spacing w:before="0" w:after="0"/>
              <w:ind w:end="34"/>
              <w:rPr>
                <w:rFonts w:ascii="Arial" w:hAnsi="Arial" w:cs="Arial"/>
                <w:sz w:val="22"/>
                <w:szCs w:val="22"/>
              </w:rPr>
            </w:pPr>
            <w:r>
              <w:rPr>
                <w:rFonts w:cs="Arial" w:ascii="Arial" w:hAnsi="Arial"/>
                <w:b/>
                <w:sz w:val="22"/>
                <w:szCs w:val="22"/>
              </w:rPr>
              <w:t>For completion by the student</w:t>
            </w:r>
            <w:r>
              <w:rPr>
                <w:rFonts w:cs="Arial" w:ascii="Arial" w:hAnsi="Arial"/>
                <w:sz w:val="22"/>
                <w:szCs w:val="22"/>
              </w:rPr>
              <w:t>:</w:t>
            </w:r>
          </w:p>
        </w:tc>
      </w:tr>
      <w:tr>
        <w:trPr>
          <w:trHeight w:val="718"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Web"/>
              <w:spacing w:before="0" w:after="0"/>
              <w:ind w:end="34"/>
              <w:rPr>
                <w:rFonts w:ascii="Arial" w:hAnsi="Arial" w:cs="Arial"/>
                <w:sz w:val="22"/>
                <w:szCs w:val="22"/>
              </w:rPr>
            </w:pPr>
            <w:r>
              <w:rPr>
                <w:rFonts w:cs="Arial" w:ascii="Arial" w:hAnsi="Arial"/>
                <w:sz w:val="22"/>
                <w:szCs w:val="22"/>
              </w:rPr>
              <w:t>Student Name:</w:t>
            </w:r>
          </w:p>
          <w:p>
            <w:pPr>
              <w:pStyle w:val="NormalWeb"/>
              <w:spacing w:before="0" w:after="0"/>
              <w:ind w:end="34"/>
              <w:rPr>
                <w:rFonts w:ascii="Arial" w:hAnsi="Arial" w:cs="Arial"/>
                <w:sz w:val="22"/>
                <w:szCs w:val="22"/>
              </w:rPr>
            </w:pPr>
            <w:r>
              <w:rPr>
                <w:rFonts w:cs="Arial" w:ascii="Arial" w:hAnsi="Arial"/>
                <w:sz w:val="22"/>
                <w:szCs w:val="22"/>
              </w:rPr>
              <w:t>Doris Maat</w:t>
            </w:r>
          </w:p>
        </w:tc>
      </w:tr>
      <w:tr>
        <w:trPr>
          <w:trHeight w:val="849" w:hRule="atLeast"/>
        </w:trPr>
        <w:tc>
          <w:tcPr>
            <w:tcW w:w="4788" w:type="dxa"/>
            <w:tcBorders>
              <w:top w:val="single" w:sz="4" w:space="0" w:color="000000"/>
              <w:start w:val="single" w:sz="4" w:space="0" w:color="000000"/>
              <w:bottom w:val="single" w:sz="4" w:space="0" w:color="000000"/>
              <w:end w:val="single" w:sz="4" w:space="0" w:color="000000"/>
            </w:tcBorders>
          </w:tcPr>
          <w:p>
            <w:pPr>
              <w:pStyle w:val="NormalWeb"/>
              <w:spacing w:before="0" w:after="0"/>
              <w:ind w:end="34"/>
              <w:rPr>
                <w:rFonts w:ascii="Arial" w:hAnsi="Arial" w:cs="Arial"/>
                <w:sz w:val="22"/>
                <w:szCs w:val="22"/>
              </w:rPr>
            </w:pPr>
            <w:r>
              <w:rPr>
                <w:rFonts w:cs="Arial" w:ascii="Arial" w:hAnsi="Arial"/>
                <w:sz w:val="22"/>
                <w:szCs w:val="22"/>
              </w:rPr>
              <w:t>Module code: HPCA7015</w:t>
            </w:r>
          </w:p>
          <w:p>
            <w:pPr>
              <w:pStyle w:val="NormalWeb"/>
              <w:spacing w:before="0" w:after="0"/>
              <w:ind w:end="34"/>
              <w:rPr>
                <w:rFonts w:ascii="Arial" w:hAnsi="Arial" w:cs="Arial"/>
                <w:sz w:val="22"/>
                <w:szCs w:val="22"/>
              </w:rPr>
            </w:pPr>
            <w:r>
              <w:rPr>
                <w:rFonts w:cs="Arial" w:ascii="Arial" w:hAnsi="Arial"/>
                <w:sz w:val="22"/>
                <w:szCs w:val="22"/>
              </w:rPr>
            </w:r>
          </w:p>
          <w:p>
            <w:pPr>
              <w:pStyle w:val="NormalWeb"/>
              <w:spacing w:before="0" w:after="0"/>
              <w:ind w:end="34"/>
              <w:rPr>
                <w:rFonts w:ascii="Arial" w:hAnsi="Arial" w:cs="Arial"/>
                <w:sz w:val="22"/>
                <w:szCs w:val="22"/>
              </w:rPr>
            </w:pPr>
            <w:r>
              <w:rPr>
                <w:rFonts w:cs="Arial" w:ascii="Arial" w:hAnsi="Arial"/>
                <w:sz w:val="22"/>
                <w:szCs w:val="22"/>
              </w:rPr>
              <w:t>Module title: Foundations in Cultural Astronomy and Astrology</w:t>
            </w:r>
          </w:p>
          <w:p>
            <w:pPr>
              <w:pStyle w:val="NormalWeb"/>
              <w:spacing w:before="0" w:after="0"/>
              <w:ind w:end="34"/>
              <w:rPr>
                <w:rFonts w:ascii="Arial" w:hAnsi="Arial" w:cs="Arial"/>
                <w:sz w:val="22"/>
                <w:szCs w:val="22"/>
              </w:rPr>
            </w:pPr>
            <w:r>
              <w:rPr>
                <w:rFonts w:cs="Arial" w:ascii="Arial" w:hAnsi="Arial"/>
                <w:sz w:val="22"/>
                <w:szCs w:val="22"/>
              </w:rPr>
            </w:r>
          </w:p>
        </w:tc>
        <w:tc>
          <w:tcPr>
            <w:tcW w:w="2264" w:type="dxa"/>
            <w:gridSpan w:val="3"/>
            <w:tcBorders>
              <w:top w:val="single" w:sz="4" w:space="0" w:color="000000"/>
              <w:start w:val="single" w:sz="4" w:space="0" w:color="000000"/>
              <w:bottom w:val="single" w:sz="4" w:space="0" w:color="000000"/>
              <w:end w:val="single" w:sz="4" w:space="0" w:color="000000"/>
            </w:tcBorders>
          </w:tcPr>
          <w:p>
            <w:pPr>
              <w:pStyle w:val="NormalWeb"/>
              <w:spacing w:before="0" w:after="0"/>
              <w:ind w:end="34"/>
              <w:rPr>
                <w:rFonts w:ascii="Arial" w:hAnsi="Arial" w:cs="Arial"/>
                <w:sz w:val="22"/>
                <w:szCs w:val="22"/>
              </w:rPr>
            </w:pPr>
            <w:r>
              <w:rPr>
                <w:rFonts w:cs="Arial" w:ascii="Arial" w:hAnsi="Arial"/>
                <w:sz w:val="22"/>
                <w:szCs w:val="22"/>
              </w:rPr>
              <w:t>Student ID number:</w:t>
            </w:r>
          </w:p>
          <w:p>
            <w:pPr>
              <w:pStyle w:val="NormalWeb"/>
              <w:spacing w:before="0" w:after="0"/>
              <w:ind w:end="34"/>
              <w:rPr>
                <w:rFonts w:ascii="Arial" w:hAnsi="Arial" w:cs="Arial"/>
                <w:sz w:val="22"/>
                <w:szCs w:val="22"/>
              </w:rPr>
            </w:pPr>
            <w:r>
              <w:rPr>
                <w:rFonts w:cs="Arial" w:ascii="Arial" w:hAnsi="Arial"/>
                <w:sz w:val="22"/>
                <w:szCs w:val="22"/>
              </w:rPr>
              <w:t>2322109</w:t>
            </w:r>
          </w:p>
        </w:tc>
        <w:tc>
          <w:tcPr>
            <w:tcW w:w="1804" w:type="dxa"/>
            <w:tcBorders>
              <w:top w:val="single" w:sz="4" w:space="0" w:color="000000"/>
              <w:start w:val="single" w:sz="4" w:space="0" w:color="000000"/>
              <w:bottom w:val="single" w:sz="4" w:space="0" w:color="000000"/>
              <w:end w:val="single" w:sz="4" w:space="0" w:color="000000"/>
            </w:tcBorders>
          </w:tcPr>
          <w:p>
            <w:pPr>
              <w:pStyle w:val="NormalWeb"/>
              <w:spacing w:before="0" w:after="0"/>
              <w:ind w:end="34"/>
              <w:rPr>
                <w:rFonts w:ascii="Arial" w:hAnsi="Arial" w:cs="Arial"/>
                <w:sz w:val="22"/>
                <w:szCs w:val="22"/>
              </w:rPr>
            </w:pPr>
            <w:r>
              <w:rPr>
                <w:rFonts w:cs="Arial" w:ascii="Arial" w:hAnsi="Arial"/>
                <w:sz w:val="22"/>
                <w:szCs w:val="22"/>
              </w:rPr>
              <w:t>Educational support needs:</w:t>
            </w:r>
          </w:p>
          <w:p>
            <w:pPr>
              <w:pStyle w:val="NormalWeb"/>
              <w:spacing w:before="0" w:after="0"/>
              <w:ind w:end="34"/>
              <w:rPr>
                <w:rFonts w:ascii="Arial" w:hAnsi="Arial" w:cs="Arial"/>
                <w:sz w:val="22"/>
                <w:szCs w:val="22"/>
              </w:rPr>
            </w:pPr>
            <w:r>
              <w:rPr>
                <w:rFonts w:cs="Arial" w:ascii="Arial" w:hAnsi="Arial"/>
                <w:sz w:val="22"/>
                <w:szCs w:val="22"/>
              </w:rPr>
              <w:t>Yes/No</w:t>
            </w:r>
          </w:p>
        </w:tc>
      </w:tr>
      <w:tr>
        <w:trPr>
          <w:trHeight w:val="1139"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Web"/>
              <w:spacing w:before="0" w:after="0"/>
              <w:ind w:end="34"/>
              <w:rPr>
                <w:rFonts w:ascii="Arial" w:hAnsi="Arial" w:cs="Arial"/>
                <w:sz w:val="22"/>
                <w:szCs w:val="22"/>
              </w:rPr>
            </w:pPr>
            <w:r>
              <w:rPr>
                <w:rFonts w:cs="Arial" w:ascii="Arial" w:hAnsi="Arial"/>
                <w:sz w:val="22"/>
                <w:szCs w:val="22"/>
              </w:rPr>
              <w:t>Module tutor: Nick Campion, Bernadette Brady, Darrelyn Gunzburg</w:t>
            </w:r>
          </w:p>
          <w:p>
            <w:pPr>
              <w:pStyle w:val="NormalWeb"/>
              <w:spacing w:before="0" w:after="0"/>
              <w:ind w:end="34"/>
              <w:rPr>
                <w:rFonts w:ascii="Arial" w:hAnsi="Arial" w:cs="Arial"/>
                <w:sz w:val="22"/>
                <w:szCs w:val="22"/>
              </w:rPr>
            </w:pPr>
            <w:r>
              <w:rPr>
                <w:rFonts w:cs="Arial" w:ascii="Arial" w:hAnsi="Arial"/>
                <w:sz w:val="22"/>
                <w:szCs w:val="22"/>
              </w:rPr>
            </w:r>
          </w:p>
          <w:p>
            <w:pPr>
              <w:pStyle w:val="NormalWeb"/>
              <w:spacing w:before="0" w:after="0"/>
              <w:ind w:end="34"/>
              <w:rPr>
                <w:rFonts w:ascii="Arial" w:hAnsi="Arial" w:cs="Arial"/>
                <w:sz w:val="22"/>
                <w:szCs w:val="22"/>
              </w:rPr>
            </w:pPr>
            <w:r>
              <w:rPr>
                <w:rFonts w:cs="Arial" w:ascii="Arial" w:hAnsi="Arial"/>
                <w:sz w:val="22"/>
                <w:szCs w:val="22"/>
              </w:rPr>
            </w:r>
          </w:p>
          <w:p>
            <w:pPr>
              <w:pStyle w:val="NormalWeb"/>
              <w:spacing w:before="0" w:after="0"/>
              <w:ind w:end="34"/>
              <w:rPr>
                <w:rFonts w:ascii="Arial" w:hAnsi="Arial" w:cs="Arial"/>
                <w:sz w:val="22"/>
                <w:szCs w:val="22"/>
              </w:rPr>
            </w:pPr>
            <w:r>
              <w:rPr>
                <w:rFonts w:cs="Arial" w:ascii="Arial" w:hAnsi="Arial"/>
                <w:sz w:val="22"/>
                <w:szCs w:val="22"/>
              </w:rPr>
              <w:t>Assignment due date: 4 November 2024</w:t>
            </w:r>
          </w:p>
        </w:tc>
      </w:tr>
      <w:tr>
        <w:trPr>
          <w:trHeight w:val="978"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
              <w:bidi w:val="0"/>
              <w:jc w:val="start"/>
              <w:rPr>
                <w:rFonts w:ascii="Arial" w:hAnsi="Arial" w:cs="Arial"/>
                <w:sz w:val="22"/>
                <w:szCs w:val="22"/>
              </w:rPr>
            </w:pPr>
            <w:r>
              <w:rPr>
                <w:rFonts w:cs="Arial" w:ascii="Arial" w:hAnsi="Arial"/>
                <w:sz w:val="22"/>
                <w:szCs w:val="22"/>
              </w:rPr>
              <w:t>If your module has multiple submissions please indicate which piece of work this is.</w:t>
            </w:r>
          </w:p>
          <w:p>
            <w:pPr>
              <w:pStyle w:val="Normal"/>
              <w:bidi w:val="0"/>
              <w:jc w:val="start"/>
              <w:rPr>
                <w:rFonts w:ascii="Arial" w:hAnsi="Arial" w:cs="Arial"/>
                <w:sz w:val="22"/>
                <w:szCs w:val="22"/>
              </w:rPr>
            </w:pPr>
            <w:r>
              <w:rPr>
                <w:rFonts w:cs="Arial" w:ascii="Arial" w:hAnsi="Arial"/>
                <w:sz w:val="22"/>
                <w:szCs w:val="22"/>
              </w:rPr>
            </w:r>
          </w:p>
          <w:p>
            <w:pPr>
              <w:pStyle w:val="Normal"/>
              <w:bidi w:val="0"/>
              <w:jc w:val="start"/>
              <w:rPr>
                <w:rFonts w:ascii="Arial" w:hAnsi="Arial" w:cs="Arial"/>
                <w:sz w:val="22"/>
                <w:szCs w:val="22"/>
              </w:rPr>
            </w:pPr>
            <w:r>
              <w:rPr>
                <w:rFonts w:cs="Arial" w:ascii="Arial" w:hAnsi="Arial"/>
                <w:sz w:val="22"/>
                <w:szCs w:val="22"/>
              </w:rPr>
              <w:t>1</w:t>
            </w:r>
            <w:r>
              <w:rPr>
                <w:rFonts w:cs="Arial" w:ascii="Arial" w:hAnsi="Arial"/>
                <w:sz w:val="22"/>
                <w:szCs w:val="22"/>
                <w:vertAlign w:val="superscript"/>
              </w:rPr>
              <w:t xml:space="preserve">st </w:t>
            </w:r>
            <w:r>
              <w:fldChar w:fldCharType="begin">
                <w:ffData>
                  <w:name w:val="Check13"/>
                  <w:enabled/>
                  <w:calcOnExit w:val="0"/>
                  <w:checkBox>
                    <w:sizeAuto/>
                    <w:checked/>
                  </w:checkBox>
                </w:ffData>
              </w:fldChar>
            </w:r>
            <w:r>
              <w:rPr>
                <w:vertAlign w:val="superscript"/>
                <w:sz w:val="22"/>
                <w:szCs w:val="22"/>
                <w:rFonts w:cs="Arial" w:ascii="Arial" w:hAnsi="Arial"/>
              </w:rPr>
              <w:instrText xml:space="preserve"> FORMCHECKBOX </w:instrText>
            </w:r>
            <w:r>
              <w:rPr>
                <w:vertAlign w:val="superscript"/>
                <w:sz w:val="22"/>
                <w:szCs w:val="22"/>
                <w:rFonts w:cs="Arial" w:ascii="Arial" w:hAnsi="Arial"/>
              </w:rPr>
              <w:fldChar w:fldCharType="separate"/>
            </w:r>
            <w:bookmarkStart w:id="0" w:name="Check13"/>
            <w:bookmarkStart w:id="1" w:name="Check13"/>
            <w:bookmarkEnd w:id="1"/>
            <w:r>
              <w:rPr>
                <w:rFonts w:cs="Arial" w:ascii="Arial" w:hAnsi="Arial"/>
                <w:sz w:val="22"/>
                <w:szCs w:val="22"/>
                <w:vertAlign w:val="superscript"/>
              </w:rPr>
            </w:r>
            <w:r>
              <w:rPr>
                <w:vertAlign w:val="superscript"/>
                <w:sz w:val="22"/>
                <w:szCs w:val="22"/>
                <w:rFonts w:cs="Arial" w:ascii="Arial" w:hAnsi="Arial"/>
              </w:rPr>
              <w:fldChar w:fldCharType="end"/>
            </w:r>
            <w:bookmarkStart w:id="2" w:name="Check13_Copy_1"/>
            <w:bookmarkEnd w:id="2"/>
            <w:r>
              <w:rPr>
                <w:rFonts w:cs="Arial" w:ascii="Arial" w:hAnsi="Arial"/>
                <w:sz w:val="22"/>
                <w:szCs w:val="22"/>
              </w:rPr>
              <w:t xml:space="preserve">    2</w:t>
            </w:r>
            <w:r>
              <w:rPr>
                <w:rFonts w:cs="Arial" w:ascii="Arial" w:hAnsi="Arial"/>
                <w:sz w:val="22"/>
                <w:szCs w:val="22"/>
                <w:vertAlign w:val="superscript"/>
              </w:rPr>
              <w:t>nd</w:t>
            </w:r>
            <w:r>
              <w:rPr>
                <w:rFonts w:cs="Arial" w:ascii="Arial" w:hAnsi="Arial"/>
                <w:sz w:val="22"/>
                <w:szCs w:val="22"/>
              </w:rPr>
              <w:t xml:space="preserve">  </w:t>
            </w:r>
            <w:r>
              <w:fldChar w:fldCharType="begin">
                <w:ffData>
                  <w:name w:val="Check14"/>
                  <w:enabled/>
                  <w:calcOnExit w:val="0"/>
                  <w:checkBox>
                    <w:sizeAuto/>
                  </w:checkBox>
                </w:ffData>
              </w:fldChar>
            </w:r>
            <w:r>
              <w:rPr>
                <w:sz w:val="22"/>
                <w:szCs w:val="22"/>
                <w:rFonts w:cs="Arial" w:ascii="Arial" w:hAnsi="Arial"/>
              </w:rPr>
              <w:instrText xml:space="preserve"> FORMCHECKBOX </w:instrText>
            </w:r>
            <w:r>
              <w:rPr>
                <w:sz w:val="22"/>
                <w:szCs w:val="22"/>
                <w:rFonts w:cs="Arial" w:ascii="Arial" w:hAnsi="Arial"/>
              </w:rPr>
              <w:fldChar w:fldCharType="separate"/>
            </w:r>
            <w:bookmarkStart w:id="3" w:name="Check14"/>
            <w:bookmarkStart w:id="4" w:name="Check14"/>
            <w:bookmarkEnd w:id="4"/>
            <w:r>
              <w:rPr>
                <w:rFonts w:cs="Arial" w:ascii="Arial" w:hAnsi="Arial"/>
                <w:sz w:val="22"/>
                <w:szCs w:val="22"/>
              </w:rPr>
            </w:r>
            <w:r>
              <w:rPr>
                <w:sz w:val="22"/>
                <w:szCs w:val="22"/>
                <w:rFonts w:cs="Arial" w:ascii="Arial" w:hAnsi="Arial"/>
              </w:rPr>
              <w:fldChar w:fldCharType="end"/>
            </w:r>
            <w:bookmarkStart w:id="5" w:name="Check14_Copy_1"/>
            <w:bookmarkEnd w:id="5"/>
            <w:r>
              <w:rPr>
                <w:rFonts w:cs="Arial" w:ascii="Arial" w:hAnsi="Arial"/>
                <w:sz w:val="22"/>
                <w:szCs w:val="22"/>
              </w:rPr>
              <w:t xml:space="preserve">     3</w:t>
            </w:r>
            <w:r>
              <w:rPr>
                <w:rFonts w:cs="Arial" w:ascii="Arial" w:hAnsi="Arial"/>
                <w:sz w:val="22"/>
                <w:szCs w:val="22"/>
                <w:vertAlign w:val="superscript"/>
              </w:rPr>
              <w:t>rd</w:t>
            </w:r>
            <w:r>
              <w:rPr>
                <w:rFonts w:cs="Arial" w:ascii="Arial" w:hAnsi="Arial"/>
                <w:sz w:val="22"/>
                <w:szCs w:val="22"/>
              </w:rPr>
              <w:t xml:space="preserve">  </w:t>
            </w:r>
            <w:r>
              <w:fldChar w:fldCharType="begin">
                <w:ffData>
                  <w:name w:val="Check15"/>
                  <w:enabled/>
                  <w:calcOnExit w:val="0"/>
                  <w:checkBox>
                    <w:sizeAuto/>
                  </w:checkBox>
                </w:ffData>
              </w:fldChar>
            </w:r>
            <w:r>
              <w:rPr>
                <w:sz w:val="22"/>
                <w:szCs w:val="22"/>
                <w:rFonts w:cs="Arial" w:ascii="Arial" w:hAnsi="Arial"/>
              </w:rPr>
              <w:instrText xml:space="preserve"> FORMCHECKBOX </w:instrText>
            </w:r>
            <w:r>
              <w:rPr>
                <w:sz w:val="22"/>
                <w:szCs w:val="22"/>
                <w:rFonts w:cs="Arial" w:ascii="Arial" w:hAnsi="Arial"/>
              </w:rPr>
              <w:fldChar w:fldCharType="separate"/>
            </w:r>
            <w:bookmarkStart w:id="6" w:name="Check15"/>
            <w:bookmarkStart w:id="7" w:name="Check15"/>
            <w:bookmarkEnd w:id="7"/>
            <w:r>
              <w:rPr>
                <w:rFonts w:cs="Arial" w:ascii="Arial" w:hAnsi="Arial"/>
                <w:sz w:val="22"/>
                <w:szCs w:val="22"/>
              </w:rPr>
            </w:r>
            <w:r>
              <w:rPr>
                <w:sz w:val="22"/>
                <w:szCs w:val="22"/>
                <w:rFonts w:cs="Arial" w:ascii="Arial" w:hAnsi="Arial"/>
              </w:rPr>
              <w:fldChar w:fldCharType="end"/>
            </w:r>
            <w:bookmarkStart w:id="8" w:name="Check15_Copy_1"/>
            <w:bookmarkEnd w:id="8"/>
            <w:r>
              <w:rPr>
                <w:rFonts w:cs="Arial" w:ascii="Arial" w:hAnsi="Arial"/>
                <w:sz w:val="22"/>
                <w:szCs w:val="22"/>
              </w:rPr>
              <w:t xml:space="preserve">      4</w:t>
            </w:r>
            <w:r>
              <w:rPr>
                <w:rFonts w:cs="Arial" w:ascii="Arial" w:hAnsi="Arial"/>
                <w:sz w:val="22"/>
                <w:szCs w:val="22"/>
                <w:vertAlign w:val="superscript"/>
              </w:rPr>
              <w:t>th</w:t>
            </w:r>
            <w:r>
              <w:rPr>
                <w:rFonts w:cs="Arial" w:ascii="Arial" w:hAnsi="Arial"/>
                <w:sz w:val="22"/>
                <w:szCs w:val="22"/>
              </w:rPr>
              <w:t xml:space="preserve"> </w:t>
            </w:r>
            <w:r>
              <w:fldChar w:fldCharType="begin">
                <w:ffData>
                  <w:name w:val="Check16"/>
                  <w:enabled/>
                  <w:calcOnExit w:val="0"/>
                  <w:checkBox>
                    <w:sizeAuto/>
                  </w:checkBox>
                </w:ffData>
              </w:fldChar>
            </w:r>
            <w:r>
              <w:rPr>
                <w:sz w:val="22"/>
                <w:szCs w:val="22"/>
                <w:rFonts w:cs="Arial" w:ascii="Arial" w:hAnsi="Arial"/>
              </w:rPr>
              <w:instrText xml:space="preserve"> FORMCHECKBOX </w:instrText>
            </w:r>
            <w:r>
              <w:rPr>
                <w:sz w:val="22"/>
                <w:szCs w:val="22"/>
                <w:rFonts w:cs="Arial" w:ascii="Arial" w:hAnsi="Arial"/>
              </w:rPr>
              <w:fldChar w:fldCharType="separate"/>
            </w:r>
            <w:bookmarkStart w:id="9" w:name="Check16"/>
            <w:bookmarkStart w:id="10" w:name="Check16"/>
            <w:bookmarkEnd w:id="10"/>
            <w:r>
              <w:rPr>
                <w:rFonts w:cs="Arial" w:ascii="Arial" w:hAnsi="Arial"/>
                <w:sz w:val="22"/>
                <w:szCs w:val="22"/>
              </w:rPr>
            </w:r>
            <w:r>
              <w:rPr>
                <w:sz w:val="22"/>
                <w:szCs w:val="22"/>
                <w:rFonts w:cs="Arial" w:ascii="Arial" w:hAnsi="Arial"/>
              </w:rPr>
              <w:fldChar w:fldCharType="end"/>
            </w:r>
            <w:bookmarkStart w:id="11" w:name="Check16_Copy_1"/>
            <w:bookmarkEnd w:id="11"/>
            <w:r>
              <w:rPr>
                <w:rFonts w:cs="Arial" w:ascii="Arial" w:hAnsi="Arial"/>
                <w:sz w:val="22"/>
                <w:szCs w:val="22"/>
              </w:rPr>
              <w:t xml:space="preserve">      5</w:t>
            </w:r>
            <w:r>
              <w:rPr>
                <w:rFonts w:cs="Arial" w:ascii="Arial" w:hAnsi="Arial"/>
                <w:sz w:val="22"/>
                <w:szCs w:val="22"/>
                <w:vertAlign w:val="superscript"/>
              </w:rPr>
              <w:t>th</w:t>
            </w:r>
            <w:r>
              <w:rPr>
                <w:rFonts w:cs="Arial" w:ascii="Arial" w:hAnsi="Arial"/>
                <w:sz w:val="22"/>
                <w:szCs w:val="22"/>
              </w:rPr>
              <w:t xml:space="preserve"> </w:t>
            </w:r>
            <w:r>
              <w:fldChar w:fldCharType="begin">
                <w:ffData>
                  <w:name w:val="Check17"/>
                  <w:enabled/>
                  <w:calcOnExit w:val="0"/>
                  <w:checkBox>
                    <w:sizeAuto/>
                  </w:checkBox>
                </w:ffData>
              </w:fldChar>
            </w:r>
            <w:r>
              <w:rPr>
                <w:sz w:val="22"/>
                <w:szCs w:val="22"/>
                <w:rFonts w:cs="Arial" w:ascii="Arial" w:hAnsi="Arial"/>
              </w:rPr>
              <w:instrText xml:space="preserve"> FORMCHECKBOX </w:instrText>
            </w:r>
            <w:r>
              <w:rPr>
                <w:sz w:val="22"/>
                <w:szCs w:val="22"/>
                <w:rFonts w:cs="Arial" w:ascii="Arial" w:hAnsi="Arial"/>
              </w:rPr>
              <w:fldChar w:fldCharType="separate"/>
            </w:r>
            <w:bookmarkStart w:id="12" w:name="Check17"/>
            <w:bookmarkStart w:id="13" w:name="Check17"/>
            <w:bookmarkEnd w:id="13"/>
            <w:r>
              <w:rPr>
                <w:rFonts w:cs="Arial" w:ascii="Arial" w:hAnsi="Arial"/>
                <w:sz w:val="22"/>
                <w:szCs w:val="22"/>
              </w:rPr>
            </w:r>
            <w:r>
              <w:rPr>
                <w:sz w:val="22"/>
                <w:szCs w:val="22"/>
                <w:rFonts w:cs="Arial" w:ascii="Arial" w:hAnsi="Arial"/>
              </w:rPr>
              <w:fldChar w:fldCharType="end"/>
            </w:r>
            <w:bookmarkStart w:id="14" w:name="Check17_Copy_1"/>
            <w:bookmarkEnd w:id="14"/>
            <w:r>
              <w:rPr>
                <w:rFonts w:cs="Arial" w:ascii="Arial" w:hAnsi="Arial"/>
                <w:sz w:val="22"/>
                <w:szCs w:val="22"/>
              </w:rPr>
              <w:t xml:space="preserve">      6</w:t>
            </w:r>
            <w:r>
              <w:rPr>
                <w:rFonts w:cs="Arial" w:ascii="Arial" w:hAnsi="Arial"/>
                <w:sz w:val="22"/>
                <w:szCs w:val="22"/>
                <w:vertAlign w:val="superscript"/>
              </w:rPr>
              <w:t>th</w:t>
            </w:r>
            <w:r>
              <w:rPr>
                <w:rFonts w:cs="Arial" w:ascii="Arial" w:hAnsi="Arial"/>
                <w:sz w:val="22"/>
                <w:szCs w:val="22"/>
              </w:rPr>
              <w:t xml:space="preserve"> </w:t>
            </w:r>
            <w:r>
              <w:fldChar w:fldCharType="begin">
                <w:ffData>
                  <w:name w:val="Check18"/>
                  <w:enabled/>
                  <w:calcOnExit w:val="0"/>
                  <w:checkBox>
                    <w:sizeAuto/>
                  </w:checkBox>
                </w:ffData>
              </w:fldChar>
            </w:r>
            <w:r>
              <w:rPr>
                <w:sz w:val="22"/>
                <w:szCs w:val="22"/>
                <w:rFonts w:cs="Arial" w:ascii="Arial" w:hAnsi="Arial"/>
              </w:rPr>
              <w:instrText xml:space="preserve"> FORMCHECKBOX </w:instrText>
            </w:r>
            <w:r>
              <w:rPr>
                <w:sz w:val="22"/>
                <w:szCs w:val="22"/>
                <w:rFonts w:cs="Arial" w:ascii="Arial" w:hAnsi="Arial"/>
              </w:rPr>
              <w:fldChar w:fldCharType="separate"/>
            </w:r>
            <w:bookmarkStart w:id="15" w:name="Check18"/>
            <w:bookmarkStart w:id="16" w:name="Check18"/>
            <w:bookmarkEnd w:id="16"/>
            <w:r/>
            <w:r>
              <w:rPr>
                <w:sz w:val="22"/>
                <w:szCs w:val="22"/>
                <w:rFonts w:cs="Arial" w:ascii="Arial" w:hAnsi="Arial"/>
              </w:rPr>
              <w:fldChar w:fldCharType="end"/>
            </w:r>
            <w:r>
              <w:rPr>
                <w:rFonts w:cs="Arial" w:ascii="Arial" w:hAnsi="Arial"/>
                <w:sz w:val="22"/>
                <w:szCs w:val="22"/>
              </w:rPr>
            </w:r>
          </w:p>
        </w:tc>
      </w:tr>
      <w:tr>
        <w:trPr>
          <w:trHeight w:val="978" w:hRule="atLeast"/>
        </w:trPr>
        <w:tc>
          <w:tcPr>
            <w:tcW w:w="8856" w:type="dxa"/>
            <w:gridSpan w:val="5"/>
            <w:tcBorders>
              <w:top w:val="single" w:sz="4" w:space="0" w:color="000000"/>
              <w:start w:val="single" w:sz="4" w:space="0" w:color="000000"/>
              <w:bottom w:val="single" w:sz="4" w:space="0" w:color="000000"/>
              <w:end w:val="single" w:sz="4" w:space="0" w:color="000000"/>
            </w:tcBorders>
            <w:shd w:fill="D9D9D9" w:val="clear"/>
          </w:tcPr>
          <w:p>
            <w:pPr>
              <w:pStyle w:val="NormalWeb"/>
              <w:spacing w:before="0" w:after="0"/>
              <w:ind w:end="34"/>
              <w:rPr>
                <w:rFonts w:ascii="Arial" w:hAnsi="Arial" w:cs="Arial"/>
                <w:sz w:val="22"/>
                <w:szCs w:val="22"/>
              </w:rPr>
            </w:pPr>
            <w:r>
              <w:rPr>
                <w:rFonts w:cs="Arial" w:ascii="Arial" w:hAnsi="Arial"/>
                <w:sz w:val="22"/>
                <w:szCs w:val="22"/>
              </w:rPr>
              <w:t>I confirm that this is my original work and that I have adhered to the University policy on plagiarism.</w:t>
            </w:r>
          </w:p>
          <w:p>
            <w:pPr>
              <w:pStyle w:val="NormalWeb"/>
              <w:spacing w:before="0" w:after="0"/>
              <w:ind w:end="34"/>
              <w:rPr>
                <w:rFonts w:ascii="Arial" w:hAnsi="Arial" w:cs="Arial"/>
                <w:sz w:val="22"/>
                <w:szCs w:val="22"/>
              </w:rPr>
            </w:pPr>
            <w:r>
              <w:rPr>
                <w:rFonts w:cs="Arial" w:ascii="Arial" w:hAnsi="Arial"/>
                <w:sz w:val="22"/>
                <w:szCs w:val="22"/>
              </w:rPr>
              <w:t>Signed …Doris Maat…………………………………………………………</w:t>
            </w:r>
          </w:p>
          <w:p>
            <w:pPr>
              <w:pStyle w:val="NormalWeb"/>
              <w:spacing w:before="0" w:after="0"/>
              <w:ind w:end="34"/>
              <w:rPr>
                <w:rFonts w:ascii="Calibri" w:hAnsi="Calibri" w:cs="Calibri"/>
                <w:b/>
                <w:sz w:val="44"/>
                <w:szCs w:val="44"/>
              </w:rPr>
            </w:pPr>
            <w:r>
              <w:rPr>
                <w:rFonts w:cs="Tahoma" w:ascii="Calibri" w:hAnsi="Calibri"/>
                <w:b/>
                <w:sz w:val="24"/>
                <w:szCs w:val="24"/>
              </w:rPr>
              <w:t xml:space="preserve">Email submission: if you are submitting this form via email, please tick this box </w:t>
            </w:r>
            <w:r>
              <w:rPr>
                <w:rFonts w:cs="Calibri" w:ascii="Calibri" w:hAnsi="Calibri"/>
                <w:b/>
                <w:sz w:val="44"/>
                <w:szCs w:val="44"/>
              </w:rPr>
              <w:t>□</w:t>
            </w:r>
          </w:p>
          <w:p>
            <w:pPr>
              <w:pStyle w:val="NormalWeb"/>
              <w:spacing w:before="0" w:after="0"/>
              <w:ind w:end="34"/>
              <w:rPr>
                <w:rFonts w:ascii="Arial" w:hAnsi="Arial" w:cs="Arial"/>
                <w:sz w:val="22"/>
                <w:szCs w:val="22"/>
              </w:rPr>
            </w:pPr>
            <w:r>
              <w:rPr>
                <w:rFonts w:cs="Tahoma" w:ascii="Calibri" w:hAnsi="Calibri"/>
                <w:b/>
                <w:sz w:val="24"/>
                <w:szCs w:val="24"/>
              </w:rPr>
              <w:t>(as a substitute for your signature) to confirm that you agree to the above declaration.</w:t>
            </w:r>
          </w:p>
        </w:tc>
      </w:tr>
      <w:tr>
        <w:trPr>
          <w:trHeight w:val="3972"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
              <w:bidi w:val="0"/>
              <w:snapToGrid w:val="false"/>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rPr>
            </w:pPr>
            <w:r>
              <w:rPr>
                <w:rFonts w:cs="Arial" w:ascii="Arial" w:hAnsi="Arial"/>
                <w:b/>
              </w:rPr>
              <w:t>Assignment Mark</w:t>
            </w:r>
          </w:p>
          <w:tbl>
            <w:tblPr>
              <w:tblW w:w="8630" w:type="dxa"/>
              <w:jc w:val="start"/>
              <w:tblInd w:w="0" w:type="dxa"/>
              <w:tblLayout w:type="fixed"/>
              <w:tblCellMar>
                <w:top w:w="0" w:type="dxa"/>
                <w:start w:w="108" w:type="dxa"/>
                <w:bottom w:w="0" w:type="dxa"/>
                <w:end w:w="108" w:type="dxa"/>
              </w:tblCellMar>
            </w:tblPr>
            <w:tblGrid>
              <w:gridCol w:w="6969"/>
              <w:gridCol w:w="1660"/>
            </w:tblGrid>
            <w:tr>
              <w:trPr/>
              <w:tc>
                <w:tcPr>
                  <w:tcW w:w="6969" w:type="dxa"/>
                  <w:tcBorders>
                    <w:top w:val="single" w:sz="4" w:space="0" w:color="000000"/>
                    <w:start w:val="single" w:sz="4" w:space="0" w:color="000000"/>
                    <w:bottom w:val="single" w:sz="4" w:space="0" w:color="000000"/>
                    <w:end w:val="single" w:sz="4" w:space="0" w:color="000000"/>
                  </w:tcBorders>
                </w:tcPr>
                <w:p>
                  <w:pPr>
                    <w:pStyle w:val="Normal"/>
                    <w:bidi w:val="0"/>
                    <w:snapToGrid w:val="false"/>
                    <w:jc w:val="start"/>
                    <w:rPr>
                      <w:rFonts w:ascii="Arial" w:hAnsi="Arial" w:cs="Arial"/>
                      <w:sz w:val="20"/>
                      <w:szCs w:val="20"/>
                    </w:rPr>
                  </w:pPr>
                  <w:r>
                    <w:rPr>
                      <w:rFonts w:cs="Arial" w:ascii="Arial" w:hAnsi="Arial"/>
                      <w:sz w:val="20"/>
                      <w:szCs w:val="20"/>
                    </w:rPr>
                  </w:r>
                </w:p>
                <w:p>
                  <w:pPr>
                    <w:pStyle w:val="Normal"/>
                    <w:bidi w:val="0"/>
                    <w:jc w:val="start"/>
                    <w:rPr>
                      <w:rFonts w:ascii="Arial" w:hAnsi="Arial" w:cs="Arial"/>
                      <w:b/>
                      <w:sz w:val="20"/>
                      <w:szCs w:val="20"/>
                    </w:rPr>
                  </w:pPr>
                  <w:r>
                    <w:rPr>
                      <w:rFonts w:cs="Arial" w:ascii="Arial" w:hAnsi="Arial"/>
                      <w:b/>
                      <w:sz w:val="20"/>
                      <w:szCs w:val="20"/>
                    </w:rPr>
                    <w:t>Final Mark</w:t>
                  </w:r>
                </w:p>
                <w:p>
                  <w:pPr>
                    <w:pStyle w:val="Normal"/>
                    <w:bidi w:val="0"/>
                    <w:jc w:val="start"/>
                    <w:rPr>
                      <w:rFonts w:ascii="Arial" w:hAnsi="Arial" w:cs="Arial"/>
                      <w:b/>
                      <w:sz w:val="20"/>
                      <w:szCs w:val="20"/>
                    </w:rPr>
                  </w:pPr>
                  <w:r>
                    <w:rPr>
                      <w:rFonts w:cs="Arial" w:ascii="Arial" w:hAnsi="Arial"/>
                      <w:b/>
                      <w:sz w:val="20"/>
                      <w:szCs w:val="20"/>
                    </w:rPr>
                  </w:r>
                </w:p>
              </w:tc>
              <w:tc>
                <w:tcPr>
                  <w:tcW w:w="1660" w:type="dxa"/>
                  <w:tcBorders>
                    <w:top w:val="single" w:sz="4" w:space="0" w:color="000000"/>
                    <w:start w:val="single" w:sz="4" w:space="0" w:color="000000"/>
                    <w:bottom w:val="single" w:sz="4" w:space="0" w:color="000000"/>
                    <w:end w:val="single" w:sz="4" w:space="0" w:color="000000"/>
                  </w:tcBorders>
                </w:tcPr>
                <w:p>
                  <w:pPr>
                    <w:pStyle w:val="Normal"/>
                    <w:bidi w:val="0"/>
                    <w:jc w:val="start"/>
                    <w:rPr>
                      <w:rFonts w:ascii="Arial" w:hAnsi="Arial" w:cs="Arial"/>
                      <w:sz w:val="20"/>
                      <w:szCs w:val="20"/>
                    </w:rPr>
                  </w:pPr>
                  <w:r>
                    <w:rPr>
                      <w:rFonts w:cs="Arial" w:ascii="Arial" w:hAnsi="Arial"/>
                      <w:sz w:val="20"/>
                      <w:szCs w:val="20"/>
                    </w:rPr>
                    <w:t>WILL BE GIVEN ON TURNITIN</w:t>
                  </w:r>
                </w:p>
              </w:tc>
            </w:tr>
          </w:tbl>
          <w:p>
            <w:pPr>
              <w:pStyle w:val="NormalWeb"/>
              <w:spacing w:before="0" w:after="0"/>
              <w:ind w:start="142" w:end="34"/>
              <w:rPr>
                <w:rFonts w:ascii="Arial" w:hAnsi="Arial" w:cs="Arial"/>
                <w:b/>
                <w:sz w:val="22"/>
                <w:szCs w:val="22"/>
              </w:rPr>
            </w:pPr>
            <w:r>
              <w:rPr>
                <w:rFonts w:cs="Arial" w:ascii="Arial" w:hAnsi="Arial"/>
                <w:b/>
                <w:sz w:val="22"/>
                <w:szCs w:val="22"/>
              </w:rPr>
            </w:r>
          </w:p>
          <w:p>
            <w:pPr>
              <w:pStyle w:val="NormalWeb"/>
              <w:spacing w:before="0" w:after="0"/>
              <w:ind w:start="142" w:end="34"/>
              <w:rPr>
                <w:rFonts w:ascii="Arial" w:hAnsi="Arial" w:cs="Arial"/>
                <w:sz w:val="22"/>
                <w:szCs w:val="22"/>
              </w:rPr>
            </w:pPr>
            <w:r>
              <w:rPr>
                <w:rFonts w:cs="Arial" w:ascii="Arial" w:hAnsi="Arial"/>
                <w:b/>
                <w:sz w:val="22"/>
                <w:szCs w:val="22"/>
              </w:rPr>
              <w:t>NB.</w:t>
            </w:r>
            <w:r>
              <w:rPr>
                <w:rFonts w:cs="Arial" w:ascii="Arial" w:hAnsi="Arial"/>
                <w:sz w:val="22"/>
                <w:szCs w:val="22"/>
              </w:rPr>
              <w:t xml:space="preserve">  All marks are provisional until confirmed by the Final Examination Board.</w:t>
            </w:r>
          </w:p>
          <w:p>
            <w:pPr>
              <w:pStyle w:val="NormalWeb"/>
              <w:spacing w:before="0" w:after="0"/>
              <w:rPr>
                <w:rFonts w:ascii="Arial" w:hAnsi="Arial" w:cs="Arial"/>
                <w:b/>
                <w:sz w:val="22"/>
                <w:szCs w:val="22"/>
              </w:rPr>
            </w:pPr>
            <w:r>
              <w:rPr>
                <w:rFonts w:cs="Arial" w:ascii="Arial" w:hAnsi="Arial"/>
                <w:b/>
                <w:sz w:val="22"/>
                <w:szCs w:val="22"/>
              </w:rPr>
            </w:r>
          </w:p>
          <w:p>
            <w:pPr>
              <w:pStyle w:val="NormalWeb"/>
              <w:spacing w:before="0" w:after="0"/>
              <w:rPr>
                <w:rFonts w:ascii="Arial" w:hAnsi="Arial" w:cs="Arial"/>
                <w:b/>
                <w:sz w:val="22"/>
                <w:szCs w:val="22"/>
              </w:rPr>
            </w:pPr>
            <w:r>
              <w:rPr>
                <w:rFonts w:cs="Arial" w:ascii="Arial" w:hAnsi="Arial"/>
                <w:b/>
                <w:sz w:val="22"/>
                <w:szCs w:val="22"/>
              </w:rPr>
              <w:t>PLEASE NOTE: ALL COMMENTS WILL BE POSTED ON TURNITIN</w:t>
            </w:r>
          </w:p>
          <w:p>
            <w:pPr>
              <w:pStyle w:val="NormalWeb"/>
              <w:spacing w:before="0" w:after="0"/>
              <w:rPr>
                <w:rFonts w:ascii="Arial" w:hAnsi="Arial" w:cs="Arial"/>
                <w:b/>
                <w:sz w:val="22"/>
                <w:szCs w:val="22"/>
              </w:rPr>
            </w:pPr>
            <w:r>
              <w:rPr>
                <w:rFonts w:cs="Arial" w:ascii="Arial" w:hAnsi="Arial"/>
                <w:b/>
                <w:sz w:val="22"/>
                <w:szCs w:val="22"/>
              </w:rPr>
            </w:r>
          </w:p>
          <w:p>
            <w:pPr>
              <w:pStyle w:val="NormalWeb"/>
              <w:spacing w:before="0" w:after="0"/>
              <w:rPr>
                <w:rFonts w:ascii="Arial" w:hAnsi="Arial" w:cs="Arial"/>
                <w:b/>
                <w:sz w:val="22"/>
                <w:szCs w:val="22"/>
              </w:rPr>
            </w:pPr>
            <w:r>
              <w:rPr>
                <w:rFonts w:cs="Arial" w:ascii="Arial" w:hAnsi="Arial"/>
                <w:b/>
                <w:sz w:val="22"/>
                <w:szCs w:val="22"/>
              </w:rPr>
            </w:r>
          </w:p>
          <w:p>
            <w:pPr>
              <w:pStyle w:val="NormalWeb"/>
              <w:spacing w:before="0" w:after="0"/>
              <w:rPr/>
            </w:pPr>
            <w:r>
              <w:rPr>
                <w:rFonts w:cs="Arial" w:ascii="Arial" w:hAnsi="Arial"/>
                <w:b/>
                <w:sz w:val="22"/>
                <w:szCs w:val="22"/>
              </w:rPr>
              <w:t>For completion by Marker 1 :</w:t>
            </w:r>
          </w:p>
          <w:p>
            <w:pPr>
              <w:pStyle w:val="NormalWeb"/>
              <w:rPr>
                <w:rFonts w:ascii="Arial" w:hAnsi="Arial" w:cs="Arial"/>
                <w:sz w:val="22"/>
                <w:szCs w:val="22"/>
              </w:rPr>
            </w:pPr>
            <w:r>
              <w:rPr>
                <w:rFonts w:cs="Arial" w:ascii="Arial" w:hAnsi="Arial"/>
                <w:sz w:val="22"/>
                <w:szCs w:val="22"/>
              </w:rPr>
              <w:t>Comments:</w:t>
            </w:r>
          </w:p>
          <w:p>
            <w:pPr>
              <w:pStyle w:val="NormalWeb"/>
              <w:spacing w:before="280" w:after="0"/>
              <w:rPr>
                <w:rFonts w:ascii="Arial" w:hAnsi="Arial" w:cs="Arial"/>
                <w:sz w:val="22"/>
                <w:szCs w:val="22"/>
              </w:rPr>
            </w:pPr>
            <w:r>
              <w:rPr>
                <w:rFonts w:cs="Arial" w:ascii="Arial" w:hAnsi="Arial"/>
                <w:sz w:val="22"/>
                <w:szCs w:val="22"/>
              </w:rPr>
            </w:r>
          </w:p>
        </w:tc>
      </w:tr>
      <w:tr>
        <w:trPr>
          <w:trHeight w:val="492" w:hRule="atLeast"/>
        </w:trPr>
        <w:tc>
          <w:tcPr>
            <w:tcW w:w="6766" w:type="dxa"/>
            <w:gridSpan w:val="3"/>
            <w:tcBorders>
              <w:top w:val="single" w:sz="4" w:space="0" w:color="000000"/>
              <w:start w:val="single" w:sz="4" w:space="0" w:color="000000"/>
              <w:bottom w:val="single" w:sz="4" w:space="0" w:color="000000"/>
              <w:end w:val="single" w:sz="4" w:space="0" w:color="000000"/>
            </w:tcBorders>
          </w:tcPr>
          <w:p>
            <w:pPr>
              <w:pStyle w:val="NormalWeb"/>
              <w:spacing w:before="280" w:after="0"/>
              <w:ind w:start="142" w:end="34"/>
              <w:rPr>
                <w:rFonts w:ascii="Arial" w:hAnsi="Arial" w:cs="Arial"/>
                <w:sz w:val="22"/>
                <w:szCs w:val="22"/>
              </w:rPr>
            </w:pPr>
            <w:r>
              <w:rPr>
                <w:rFonts w:cs="Arial" w:ascii="Arial" w:hAnsi="Arial"/>
                <w:sz w:val="22"/>
                <w:szCs w:val="22"/>
              </w:rPr>
              <w:t>Marker’s signature:</w:t>
            </w:r>
          </w:p>
        </w:tc>
        <w:tc>
          <w:tcPr>
            <w:tcW w:w="2090" w:type="dxa"/>
            <w:gridSpan w:val="2"/>
            <w:tcBorders>
              <w:top w:val="single" w:sz="4" w:space="0" w:color="000000"/>
              <w:start w:val="single" w:sz="4" w:space="0" w:color="000000"/>
              <w:bottom w:val="single" w:sz="4" w:space="0" w:color="000000"/>
              <w:end w:val="single" w:sz="4" w:space="0" w:color="000000"/>
            </w:tcBorders>
          </w:tcPr>
          <w:p>
            <w:pPr>
              <w:pStyle w:val="NormalWeb"/>
              <w:spacing w:before="280" w:after="0"/>
              <w:ind w:start="142" w:end="34"/>
              <w:rPr>
                <w:rFonts w:ascii="Arial" w:hAnsi="Arial" w:cs="Arial"/>
                <w:sz w:val="22"/>
                <w:szCs w:val="22"/>
              </w:rPr>
            </w:pPr>
            <w:r>
              <w:rPr>
                <w:rFonts w:cs="Arial" w:ascii="Arial" w:hAnsi="Arial"/>
                <w:sz w:val="22"/>
                <w:szCs w:val="22"/>
              </w:rPr>
              <w:t>Date:</w:t>
            </w:r>
          </w:p>
        </w:tc>
      </w:tr>
      <w:tr>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Web"/>
              <w:snapToGrid w:val="false"/>
              <w:spacing w:before="0" w:after="0"/>
              <w:ind w:end="-334"/>
              <w:rPr>
                <w:rFonts w:ascii="Arial" w:hAnsi="Arial" w:cs="Arial"/>
                <w:bCs/>
                <w:i/>
                <w:i/>
                <w:sz w:val="22"/>
                <w:szCs w:val="22"/>
              </w:rPr>
            </w:pPr>
            <w:r>
              <w:rPr>
                <w:rFonts w:cs="Arial" w:ascii="Arial" w:hAnsi="Arial"/>
                <w:bCs/>
                <w:i/>
                <w:sz w:val="22"/>
                <w:szCs w:val="22"/>
              </w:rPr>
            </w:r>
          </w:p>
          <w:p>
            <w:pPr>
              <w:pStyle w:val="NormalWeb"/>
              <w:spacing w:before="0" w:after="0"/>
              <w:ind w:end="-334"/>
              <w:rPr/>
            </w:pPr>
            <w:r>
              <w:rPr>
                <w:rFonts w:cs="Arial" w:ascii="Arial" w:hAnsi="Arial"/>
                <w:b/>
                <w:bCs/>
                <w:sz w:val="22"/>
                <w:szCs w:val="22"/>
              </w:rPr>
              <w:t>For completion by Marker 2/Moderator:</w:t>
            </w:r>
          </w:p>
          <w:p>
            <w:pPr>
              <w:pStyle w:val="NormalWeb"/>
              <w:spacing w:before="0" w:after="0"/>
              <w:ind w:end="-334"/>
              <w:rPr>
                <w:rFonts w:ascii="Arial" w:hAnsi="Arial" w:cs="Arial"/>
                <w:b/>
                <w:bCs/>
                <w:sz w:val="22"/>
                <w:szCs w:val="22"/>
              </w:rPr>
            </w:pPr>
            <w:r>
              <w:rPr>
                <w:rFonts w:cs="Arial" w:ascii="Arial" w:hAnsi="Arial"/>
                <w:b/>
                <w:bCs/>
                <w:sz w:val="22"/>
                <w:szCs w:val="22"/>
              </w:rPr>
            </w:r>
          </w:p>
          <w:p>
            <w:pPr>
              <w:pStyle w:val="NormalWeb"/>
              <w:spacing w:before="0" w:after="0"/>
              <w:ind w:end="-334"/>
              <w:rPr>
                <w:rFonts w:ascii="Arial" w:hAnsi="Arial" w:cs="Arial"/>
                <w:bCs/>
                <w:sz w:val="22"/>
                <w:szCs w:val="22"/>
              </w:rPr>
            </w:pPr>
            <w:r>
              <w:rPr>
                <w:rFonts w:cs="Arial" w:ascii="Arial" w:hAnsi="Arial"/>
                <w:bCs/>
                <w:sz w:val="22"/>
                <w:szCs w:val="22"/>
              </w:rPr>
              <w:t>Comments:</w:t>
            </w:r>
          </w:p>
          <w:p>
            <w:pPr>
              <w:pStyle w:val="NormalWeb"/>
              <w:spacing w:before="0" w:after="0"/>
              <w:ind w:end="-334"/>
              <w:rPr>
                <w:rFonts w:ascii="Arial" w:hAnsi="Arial" w:cs="Arial"/>
                <w:bCs/>
                <w:sz w:val="22"/>
                <w:szCs w:val="22"/>
              </w:rPr>
            </w:pPr>
            <w:r>
              <w:rPr>
                <w:rFonts w:cs="Arial" w:ascii="Arial" w:hAnsi="Arial"/>
                <w:bCs/>
                <w:sz w:val="22"/>
                <w:szCs w:val="22"/>
              </w:rPr>
            </w:r>
          </w:p>
          <w:p>
            <w:pPr>
              <w:pStyle w:val="NormalWeb"/>
              <w:spacing w:before="0" w:after="0"/>
              <w:ind w:end="-334"/>
              <w:rPr>
                <w:rFonts w:ascii="Arial" w:hAnsi="Arial" w:cs="Arial"/>
                <w:bCs/>
                <w:sz w:val="22"/>
                <w:szCs w:val="22"/>
              </w:rPr>
            </w:pPr>
            <w:r>
              <w:rPr>
                <w:rFonts w:cs="Arial" w:ascii="Arial" w:hAnsi="Arial"/>
                <w:bCs/>
                <w:sz w:val="22"/>
                <w:szCs w:val="22"/>
              </w:rPr>
            </w:r>
          </w:p>
          <w:p>
            <w:pPr>
              <w:pStyle w:val="NormalWeb"/>
              <w:spacing w:before="0" w:after="0"/>
              <w:ind w:end="-334"/>
              <w:rPr>
                <w:rFonts w:ascii="Arial" w:hAnsi="Arial" w:cs="Arial"/>
                <w:bCs/>
                <w:sz w:val="22"/>
                <w:szCs w:val="22"/>
              </w:rPr>
            </w:pPr>
            <w:r>
              <w:rPr>
                <w:rFonts w:cs="Arial" w:ascii="Arial" w:hAnsi="Arial"/>
                <w:bCs/>
                <w:sz w:val="22"/>
                <w:szCs w:val="22"/>
              </w:rPr>
            </w:r>
          </w:p>
        </w:tc>
      </w:tr>
      <w:tr>
        <w:trPr>
          <w:trHeight w:val="720" w:hRule="atLeast"/>
        </w:trPr>
        <w:tc>
          <w:tcPr>
            <w:tcW w:w="5209" w:type="dxa"/>
            <w:gridSpan w:val="2"/>
            <w:tcBorders>
              <w:top w:val="single" w:sz="4" w:space="0" w:color="000000"/>
              <w:start w:val="single" w:sz="4" w:space="0" w:color="000000"/>
              <w:bottom w:val="single" w:sz="4" w:space="0" w:color="000000"/>
              <w:end w:val="single" w:sz="4" w:space="0" w:color="000000"/>
            </w:tcBorders>
          </w:tcPr>
          <w:p>
            <w:pPr>
              <w:pStyle w:val="NormalWeb"/>
              <w:spacing w:before="0" w:after="0"/>
              <w:ind w:end="-334"/>
              <w:rPr>
                <w:rFonts w:ascii="Arial" w:hAnsi="Arial" w:cs="Arial"/>
                <w:bCs/>
                <w:sz w:val="22"/>
                <w:szCs w:val="22"/>
              </w:rPr>
            </w:pPr>
            <w:r>
              <w:rPr>
                <w:rFonts w:cs="Arial" w:ascii="Arial" w:hAnsi="Arial"/>
                <w:bCs/>
                <w:sz w:val="22"/>
                <w:szCs w:val="22"/>
              </w:rPr>
              <w:t>Marker’s Signature:</w:t>
            </w:r>
          </w:p>
        </w:tc>
        <w:tc>
          <w:tcPr>
            <w:tcW w:w="3647" w:type="dxa"/>
            <w:gridSpan w:val="3"/>
            <w:tcBorders>
              <w:top w:val="single" w:sz="4" w:space="0" w:color="000000"/>
              <w:start w:val="single" w:sz="4" w:space="0" w:color="000000"/>
              <w:bottom w:val="single" w:sz="4" w:space="0" w:color="000000"/>
              <w:end w:val="single" w:sz="4" w:space="0" w:color="000000"/>
            </w:tcBorders>
          </w:tcPr>
          <w:p>
            <w:pPr>
              <w:pStyle w:val="NormalWeb"/>
              <w:spacing w:before="0" w:after="0"/>
              <w:ind w:end="-334"/>
              <w:rPr>
                <w:rFonts w:ascii="Arial" w:hAnsi="Arial" w:cs="Arial"/>
                <w:bCs/>
                <w:sz w:val="22"/>
                <w:szCs w:val="22"/>
              </w:rPr>
            </w:pPr>
            <w:r>
              <w:rPr>
                <w:rFonts w:cs="Arial" w:ascii="Arial" w:hAnsi="Arial"/>
                <w:bCs/>
                <w:sz w:val="22"/>
                <w:szCs w:val="22"/>
              </w:rPr>
              <w:t>Date:</w:t>
            </w:r>
          </w:p>
        </w:tc>
      </w:tr>
      <w:tr>
        <w:trPr>
          <w:trHeight w:val="720"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
              <w:bidi w:val="0"/>
              <w:jc w:val="start"/>
              <w:rPr>
                <w:rFonts w:ascii="Arial" w:hAnsi="Arial" w:cs="Arial"/>
                <w:b/>
                <w:sz w:val="22"/>
                <w:szCs w:val="22"/>
              </w:rPr>
            </w:pPr>
            <w:r>
              <w:rPr>
                <w:rFonts w:cs="Arial" w:ascii="Arial" w:hAnsi="Arial"/>
                <w:b/>
                <w:sz w:val="22"/>
                <w:szCs w:val="22"/>
              </w:rPr>
              <w:t>AGREED INTERNAL MARK (where necessary):</w:t>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t>Comment on process of arriving at agreed mark:</w:t>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r>
          </w:p>
        </w:tc>
      </w:tr>
      <w:tr>
        <w:trPr>
          <w:trHeight w:val="720"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
              <w:bidi w:val="0"/>
              <w:jc w:val="start"/>
              <w:rPr>
                <w:rFonts w:ascii="Arial" w:hAnsi="Arial" w:cs="Arial"/>
                <w:b/>
                <w:sz w:val="22"/>
                <w:szCs w:val="22"/>
              </w:rPr>
            </w:pPr>
            <w:r>
              <w:rPr>
                <w:rFonts w:cs="Arial" w:ascii="Arial" w:hAnsi="Arial"/>
                <w:b/>
                <w:sz w:val="22"/>
                <w:szCs w:val="22"/>
              </w:rPr>
              <w:t>External Examiner’s comments (if relevant)</w:t>
            </w:r>
          </w:p>
          <w:p>
            <w:pPr>
              <w:pStyle w:val="NormalWeb"/>
              <w:spacing w:before="0" w:after="0"/>
              <w:ind w:end="-334"/>
              <w:rPr>
                <w:rFonts w:ascii="Arial" w:hAnsi="Arial" w:cs="Arial"/>
                <w:b/>
                <w:bCs/>
                <w:sz w:val="22"/>
                <w:szCs w:val="22"/>
              </w:rPr>
            </w:pPr>
            <w:r>
              <w:rPr>
                <w:rFonts w:cs="Arial" w:ascii="Arial" w:hAnsi="Arial"/>
                <w:b/>
                <w:bCs/>
                <w:sz w:val="22"/>
                <w:szCs w:val="22"/>
              </w:rPr>
            </w:r>
          </w:p>
          <w:p>
            <w:pPr>
              <w:pStyle w:val="NormalWeb"/>
              <w:spacing w:before="0" w:after="0"/>
              <w:ind w:end="-334"/>
              <w:rPr>
                <w:rFonts w:ascii="Arial" w:hAnsi="Arial" w:cs="Arial"/>
                <w:bCs/>
                <w:sz w:val="22"/>
                <w:szCs w:val="22"/>
              </w:rPr>
            </w:pPr>
            <w:r>
              <w:rPr>
                <w:rFonts w:cs="Arial" w:ascii="Arial" w:hAnsi="Arial"/>
                <w:bCs/>
                <w:sz w:val="22"/>
                <w:szCs w:val="22"/>
              </w:rPr>
            </w:r>
          </w:p>
          <w:p>
            <w:pPr>
              <w:pStyle w:val="NormalWeb"/>
              <w:spacing w:before="0" w:after="0"/>
              <w:ind w:end="-334"/>
              <w:rPr>
                <w:rFonts w:ascii="Arial" w:hAnsi="Arial" w:cs="Arial"/>
                <w:bCs/>
                <w:sz w:val="22"/>
                <w:szCs w:val="22"/>
              </w:rPr>
            </w:pPr>
            <w:r>
              <w:rPr>
                <w:rFonts w:cs="Arial" w:ascii="Arial" w:hAnsi="Arial"/>
                <w:bCs/>
                <w:sz w:val="22"/>
                <w:szCs w:val="22"/>
              </w:rPr>
            </w:r>
          </w:p>
          <w:p>
            <w:pPr>
              <w:pStyle w:val="NormalWeb"/>
              <w:spacing w:before="0" w:after="0"/>
              <w:ind w:end="-334"/>
              <w:rPr>
                <w:rFonts w:ascii="Arial" w:hAnsi="Arial" w:cs="Arial"/>
                <w:bCs/>
                <w:sz w:val="22"/>
                <w:szCs w:val="22"/>
              </w:rPr>
            </w:pPr>
            <w:r>
              <w:rPr>
                <w:rFonts w:cs="Arial" w:ascii="Arial" w:hAnsi="Arial"/>
                <w:bCs/>
                <w:sz w:val="22"/>
                <w:szCs w:val="22"/>
              </w:rPr>
            </w:r>
          </w:p>
          <w:p>
            <w:pPr>
              <w:pStyle w:val="NormalWeb"/>
              <w:spacing w:before="0" w:after="0"/>
              <w:ind w:end="-334"/>
              <w:rPr>
                <w:rFonts w:ascii="Arial" w:hAnsi="Arial" w:cs="Arial"/>
                <w:bCs/>
                <w:sz w:val="22"/>
                <w:szCs w:val="22"/>
              </w:rPr>
            </w:pPr>
            <w:r>
              <w:rPr>
                <w:rFonts w:cs="Arial" w:ascii="Arial" w:hAnsi="Arial"/>
                <w:bCs/>
                <w:sz w:val="22"/>
                <w:szCs w:val="22"/>
              </w:rPr>
            </w:r>
          </w:p>
          <w:p>
            <w:pPr>
              <w:pStyle w:val="NormalWeb"/>
              <w:spacing w:before="0" w:after="0"/>
              <w:ind w:end="-334"/>
              <w:rPr>
                <w:rFonts w:ascii="Arial" w:hAnsi="Arial" w:cs="Arial"/>
                <w:bCs/>
                <w:sz w:val="22"/>
                <w:szCs w:val="22"/>
              </w:rPr>
            </w:pPr>
            <w:r>
              <w:rPr>
                <w:rFonts w:cs="Arial" w:ascii="Arial" w:hAnsi="Arial"/>
                <w:bCs/>
                <w:sz w:val="22"/>
                <w:szCs w:val="22"/>
              </w:rPr>
            </w:r>
          </w:p>
          <w:p>
            <w:pPr>
              <w:pStyle w:val="NormalWeb"/>
              <w:spacing w:before="0" w:after="0"/>
              <w:ind w:end="-334"/>
              <w:rPr>
                <w:rFonts w:ascii="Arial" w:hAnsi="Arial" w:cs="Arial"/>
                <w:bCs/>
                <w:sz w:val="22"/>
                <w:szCs w:val="22"/>
              </w:rPr>
            </w:pPr>
            <w:r>
              <w:rPr>
                <w:rFonts w:cs="Arial" w:ascii="Arial" w:hAnsi="Arial"/>
                <w:bCs/>
                <w:sz w:val="22"/>
                <w:szCs w:val="22"/>
              </w:rPr>
            </w:r>
          </w:p>
        </w:tc>
      </w:tr>
      <w:tr>
        <w:trPr>
          <w:trHeight w:val="720" w:hRule="atLeast"/>
        </w:trPr>
        <w:tc>
          <w:tcPr>
            <w:tcW w:w="5209" w:type="dxa"/>
            <w:gridSpan w:val="2"/>
            <w:tcBorders>
              <w:top w:val="single" w:sz="4" w:space="0" w:color="000000"/>
              <w:start w:val="single" w:sz="4" w:space="0" w:color="000000"/>
              <w:bottom w:val="single" w:sz="4" w:space="0" w:color="000000"/>
              <w:end w:val="single" w:sz="4" w:space="0" w:color="000000"/>
            </w:tcBorders>
          </w:tcPr>
          <w:p>
            <w:pPr>
              <w:pStyle w:val="Normal"/>
              <w:bidi w:val="0"/>
              <w:jc w:val="start"/>
              <w:rPr>
                <w:rFonts w:ascii="Arial" w:hAnsi="Arial" w:cs="Arial"/>
                <w:sz w:val="22"/>
                <w:szCs w:val="22"/>
              </w:rPr>
            </w:pPr>
            <w:r>
              <w:rPr>
                <w:rFonts w:cs="Arial" w:ascii="Arial" w:hAnsi="Arial"/>
                <w:sz w:val="22"/>
                <w:szCs w:val="22"/>
              </w:rPr>
              <w:t>External Examiner’s Signature:</w:t>
            </w:r>
          </w:p>
        </w:tc>
        <w:tc>
          <w:tcPr>
            <w:tcW w:w="3647" w:type="dxa"/>
            <w:gridSpan w:val="3"/>
            <w:tcBorders>
              <w:top w:val="single" w:sz="4" w:space="0" w:color="000000"/>
              <w:start w:val="single" w:sz="4" w:space="0" w:color="000000"/>
              <w:bottom w:val="single" w:sz="4" w:space="0" w:color="000000"/>
              <w:end w:val="single" w:sz="4" w:space="0" w:color="000000"/>
            </w:tcBorders>
          </w:tcPr>
          <w:p>
            <w:pPr>
              <w:pStyle w:val="Normal"/>
              <w:bidi w:val="0"/>
              <w:jc w:val="start"/>
              <w:rPr>
                <w:rFonts w:ascii="Arial" w:hAnsi="Arial" w:cs="Arial"/>
                <w:sz w:val="22"/>
                <w:szCs w:val="22"/>
              </w:rPr>
            </w:pPr>
            <w:r>
              <w:rPr>
                <w:rFonts w:cs="Arial" w:ascii="Arial" w:hAnsi="Arial"/>
                <w:sz w:val="22"/>
                <w:szCs w:val="22"/>
              </w:rPr>
              <w:t>Date:</w:t>
            </w:r>
          </w:p>
        </w:tc>
      </w:tr>
    </w:tbl>
    <w:p>
      <w:pPr>
        <w:pStyle w:val="NormalWeb"/>
        <w:spacing w:before="0" w:after="0"/>
        <w:ind w:end="-334"/>
        <w:rPr>
          <w:rFonts w:ascii="Times New Roman" w:hAnsi="Times New Roman" w:cs="Tahoma"/>
          <w:b/>
          <w:bCs/>
          <w:sz w:val="22"/>
          <w:szCs w:val="22"/>
        </w:rPr>
      </w:pPr>
      <w:r>
        <w:rPr>
          <w:rFonts w:cs="Tahoma" w:ascii="Times New Roman" w:hAnsi="Times New Roman"/>
          <w:b/>
          <w:bCs/>
          <w:sz w:val="22"/>
          <w:szCs w:val="22"/>
        </w:rPr>
      </w:r>
      <w:r>
        <w:br w:type="page"/>
      </w:r>
    </w:p>
    <w:p>
      <w:pPr>
        <w:pStyle w:val="NormalWeb"/>
        <w:spacing w:before="0" w:after="0"/>
        <w:ind w:end="-334"/>
        <w:rPr>
          <w:rFonts w:ascii="Times New Roman" w:hAnsi="Times New Roman" w:cs="Tahoma"/>
          <w:b w:val="false"/>
          <w:bCs w:val="false"/>
          <w:sz w:val="24"/>
          <w:szCs w:val="24"/>
        </w:rPr>
      </w:pPr>
      <w:r>
        <w:rPr>
          <w:rFonts w:cs="Tahoma" w:ascii="Times New Roman" w:hAnsi="Times New Roman"/>
          <w:b w:val="false"/>
          <w:bCs w:val="false"/>
          <w:sz w:val="24"/>
          <w:szCs w:val="24"/>
        </w:rPr>
      </w:r>
    </w:p>
    <w:p>
      <w:pPr>
        <w:pStyle w:val="NormalWeb"/>
        <w:spacing w:before="0" w:after="0"/>
        <w:ind w:end="-334"/>
        <w:jc w:val="center"/>
        <w:rPr>
          <w:rFonts w:ascii="Times New Roman" w:hAnsi="Times New Roman" w:cs="Tahoma"/>
          <w:b/>
          <w:bCs/>
          <w:sz w:val="24"/>
          <w:szCs w:val="24"/>
        </w:rPr>
      </w:pPr>
      <w:r>
        <w:rPr>
          <w:rFonts w:cs="Tahoma" w:ascii="Times New Roman" w:hAnsi="Times New Roman"/>
          <w:b/>
          <w:bCs/>
          <w:sz w:val="24"/>
          <w:szCs w:val="24"/>
        </w:rPr>
        <w:t>A Critical Comparison of Two Secondary Sources</w:t>
      </w:r>
    </w:p>
    <w:p>
      <w:pPr>
        <w:pStyle w:val="NormalWeb"/>
        <w:spacing w:before="0" w:after="0"/>
        <w:ind w:end="-334"/>
        <w:jc w:val="center"/>
        <w:rPr>
          <w:b w:val="false"/>
          <w:bCs w:val="false"/>
        </w:rPr>
      </w:pPr>
      <w:r>
        <w:rPr>
          <w:b w:val="false"/>
          <w:bCs w:val="false"/>
        </w:rPr>
      </w:r>
    </w:p>
    <w:p>
      <w:pPr>
        <w:pStyle w:val="NormalWeb"/>
        <w:spacing w:before="0" w:after="0"/>
        <w:ind w:end="-334"/>
        <w:jc w:val="center"/>
        <w:rPr>
          <w:b w:val="false"/>
          <w:bCs w:val="false"/>
        </w:rPr>
      </w:pPr>
      <w:r>
        <w:rPr>
          <w:b w:val="false"/>
          <w:bCs w:val="false"/>
        </w:rPr>
      </w:r>
    </w:p>
    <w:p>
      <w:pPr>
        <w:pStyle w:val="NormalWeb"/>
        <w:spacing w:before="0" w:after="0"/>
        <w:ind w:end="-334"/>
        <w:jc w:val="start"/>
        <w:rPr>
          <w:rFonts w:ascii="Times New Roman" w:hAnsi="Times New Roman"/>
          <w:sz w:val="24"/>
          <w:szCs w:val="24"/>
        </w:rPr>
      </w:pPr>
      <w:r>
        <w:rPr>
          <w:rFonts w:cs="Tahoma" w:ascii="Times New Roman" w:hAnsi="Times New Roman"/>
          <w:b w:val="false"/>
          <w:bCs w:val="false"/>
          <w:sz w:val="24"/>
          <w:szCs w:val="24"/>
        </w:rPr>
        <w:t>This essay critically compares and contrasts two papers.  The two papers discussed are Michelle Pfeffer,</w:t>
      </w:r>
      <w:r>
        <w:rPr>
          <w:rFonts w:ascii="Times New Roman" w:hAnsi="Times New Roman"/>
          <w:b w:val="false"/>
          <w:bCs w:val="false"/>
          <w:sz w:val="24"/>
          <w:szCs w:val="24"/>
        </w:rPr>
        <w:t xml:space="preserve"> 'Reassessing the Marginalization of Astrology in the Early Modern World.' The Historical Journal 66, no. 5 (2023): 1152-1176 and Roger French, 'Foretelling the Future: Arabic Astrology and English Medicine in the Late Twelfth </w:t>
      </w:r>
      <w:r>
        <w:rPr>
          <w:rFonts w:ascii="Times New Roman" w:hAnsi="Times New Roman"/>
          <w:sz w:val="24"/>
          <w:szCs w:val="24"/>
        </w:rPr>
        <w:t>Century.' Isis 87, no. 3 (1996): 453-480.</w:t>
      </w:r>
    </w:p>
    <w:p>
      <w:pPr>
        <w:pStyle w:val="NormalWeb"/>
        <w:spacing w:before="0" w:after="0"/>
        <w:ind w:end="-334"/>
        <w:jc w:val="start"/>
        <w:rPr>
          <w:rFonts w:ascii="Times New Roman" w:hAnsi="Times New Roman"/>
          <w:sz w:val="24"/>
          <w:szCs w:val="24"/>
        </w:rPr>
      </w:pPr>
      <w:r>
        <w:rPr/>
      </w:r>
    </w:p>
    <w:p>
      <w:pPr>
        <w:pStyle w:val="NormalWeb"/>
        <w:spacing w:before="0" w:after="0"/>
        <w:ind w:end="-334"/>
        <w:jc w:val="start"/>
        <w:rPr>
          <w:rFonts w:ascii="Times New Roman" w:hAnsi="Times New Roman"/>
          <w:sz w:val="24"/>
          <w:szCs w:val="24"/>
        </w:rPr>
      </w:pPr>
      <w:r>
        <w:rPr/>
      </w:r>
    </w:p>
    <w:p>
      <w:pPr>
        <w:pStyle w:val="NormalWeb"/>
        <w:spacing w:before="0" w:after="0"/>
        <w:ind w:end="-334"/>
        <w:jc w:val="start"/>
        <w:rPr>
          <w:u w:val="single"/>
        </w:rPr>
      </w:pPr>
      <w:r>
        <w:rPr>
          <w:rFonts w:ascii="Times New Roman" w:hAnsi="Times New Roman"/>
          <w:sz w:val="24"/>
          <w:szCs w:val="24"/>
          <w:u w:val="single"/>
        </w:rPr>
        <w:t>Michelle Pfeffer</w:t>
      </w:r>
    </w:p>
    <w:p>
      <w:pPr>
        <w:pStyle w:val="NormalWeb"/>
        <w:spacing w:before="0" w:after="0"/>
        <w:ind w:end="-334"/>
        <w:jc w:val="start"/>
        <w:rPr>
          <w:rFonts w:ascii="Times New Roman" w:hAnsi="Times New Roman"/>
          <w:sz w:val="24"/>
          <w:szCs w:val="24"/>
          <w:u w:val="none"/>
        </w:rPr>
      </w:pPr>
      <w:r>
        <w:rPr>
          <w:u w:val="single"/>
        </w:rPr>
      </w:r>
    </w:p>
    <w:p>
      <w:pPr>
        <w:pStyle w:val="Normal"/>
        <w:bidi w:val="0"/>
        <w:jc w:val="start"/>
        <w:rPr>
          <w:b/>
          <w:bCs/>
          <w:u w:val="none"/>
        </w:rPr>
      </w:pPr>
      <w:r>
        <w:rPr>
          <w:b/>
          <w:bCs/>
          <w:u w:val="none"/>
        </w:rPr>
        <w:t>B</w:t>
      </w:r>
      <w:r>
        <w:rPr>
          <w:b/>
          <w:bCs/>
          <w:u w:val="none"/>
        </w:rPr>
        <w:t>ackground/Biography</w:t>
      </w:r>
    </w:p>
    <w:p>
      <w:pPr>
        <w:pStyle w:val="Normal"/>
        <w:bidi w:val="0"/>
        <w:jc w:val="start"/>
        <w:rPr>
          <w:b/>
          <w:bCs/>
          <w:u w:val="none"/>
        </w:rPr>
      </w:pPr>
      <w:r>
        <w:rPr>
          <w:b/>
          <w:bCs/>
          <w:u w:val="none"/>
        </w:rPr>
      </w:r>
    </w:p>
    <w:p>
      <w:pPr>
        <w:pStyle w:val="Normal"/>
        <w:bidi w:val="0"/>
        <w:jc w:val="start"/>
        <w:rPr/>
      </w:pPr>
      <w:r>
        <w:rPr>
          <w:b w:val="false"/>
          <w:bCs w:val="false"/>
        </w:rPr>
        <w:t>Michelle Pfeffer (nee Aroney) has both a BA and PhD in history.  She also has an M</w:t>
      </w:r>
      <w:r>
        <w:rPr>
          <w:b w:val="false"/>
          <w:bCs w:val="false"/>
        </w:rPr>
        <w:t>S</w:t>
      </w:r>
      <w:r>
        <w:rPr>
          <w:b w:val="false"/>
          <w:bCs w:val="false"/>
        </w:rPr>
        <w:t>c in the History of Science, Medicine and Technology. Her primary focus is on the early modern period</w:t>
      </w:r>
      <w:r>
        <w:rPr>
          <w:rStyle w:val="FootnoteReference"/>
          <w:b w:val="false"/>
          <w:bCs w:val="false"/>
        </w:rPr>
        <w:footnoteReference w:id="2"/>
      </w:r>
      <w:r>
        <w:rPr>
          <w:b w:val="false"/>
          <w:bCs w:val="false"/>
        </w:rPr>
        <w:t xml:space="preserve"> and she has a “longstanding interest” in “</w:t>
      </w:r>
      <w:r>
        <w:rPr>
          <w:rFonts w:ascii="Times New Roman" w:hAnsi="Times New Roman"/>
          <w:b w:val="false"/>
          <w:i w:val="false"/>
          <w:caps w:val="false"/>
          <w:smallCaps w:val="false"/>
          <w:color w:val="2D2F32"/>
          <w:spacing w:val="0"/>
          <w:sz w:val="24"/>
          <w:szCs w:val="24"/>
        </w:rPr>
        <w:t>the decline of astrology in early modern England, and the other on the role of astrologers and diviners in the long history of forecasting...”</w:t>
      </w:r>
      <w:r>
        <w:rPr>
          <w:rStyle w:val="FootnoteReference"/>
          <w:rFonts w:ascii="Times New Roman" w:hAnsi="Times New Roman"/>
          <w:b w:val="false"/>
          <w:i w:val="false"/>
          <w:caps w:val="false"/>
          <w:smallCaps w:val="false"/>
          <w:color w:val="2D2F32"/>
          <w:spacing w:val="0"/>
          <w:sz w:val="24"/>
          <w:szCs w:val="24"/>
        </w:rPr>
        <w:footnoteReference w:id="3"/>
      </w:r>
      <w:r>
        <w:rPr>
          <w:rFonts w:ascii="Times New Roman" w:hAnsi="Times New Roman"/>
          <w:b w:val="false"/>
          <w:i w:val="false"/>
          <w:caps w:val="false"/>
          <w:smallCaps w:val="false"/>
          <w:color w:val="2D2F32"/>
          <w:spacing w:val="0"/>
          <w:sz w:val="24"/>
          <w:szCs w:val="24"/>
        </w:rPr>
        <w:t xml:space="preserve">  </w:t>
      </w:r>
      <w:r>
        <w:rPr>
          <w:rFonts w:ascii="Times New Roman" w:hAnsi="Times New Roman"/>
          <w:b w:val="false"/>
          <w:i w:val="false"/>
          <w:caps w:val="false"/>
          <w:smallCaps w:val="false"/>
          <w:color w:val="2D2F32"/>
          <w:spacing w:val="0"/>
          <w:sz w:val="24"/>
          <w:szCs w:val="24"/>
        </w:rPr>
        <w:t xml:space="preserve">Her PhD was awarded in 2020 and </w:t>
      </w:r>
      <w:r>
        <w:rPr>
          <w:rFonts w:ascii="Times New Roman" w:hAnsi="Times New Roman"/>
          <w:b w:val="false"/>
          <w:i w:val="false"/>
          <w:caps w:val="false"/>
          <w:smallCaps w:val="false"/>
          <w:color w:val="2D2F32"/>
          <w:spacing w:val="0"/>
          <w:sz w:val="24"/>
          <w:szCs w:val="24"/>
        </w:rPr>
        <w:t xml:space="preserve">it appears </w:t>
      </w:r>
      <w:r>
        <w:rPr>
          <w:rFonts w:ascii="Times New Roman" w:hAnsi="Times New Roman"/>
          <w:b w:val="false"/>
          <w:i w:val="false"/>
          <w:caps w:val="false"/>
          <w:smallCaps w:val="false"/>
          <w:color w:val="2D2F32"/>
          <w:spacing w:val="0"/>
          <w:sz w:val="24"/>
          <w:szCs w:val="24"/>
        </w:rPr>
        <w:t xml:space="preserve">that most (if </w:t>
      </w:r>
      <w:r>
        <w:rPr>
          <w:rFonts w:ascii="Times New Roman" w:hAnsi="Times New Roman"/>
          <w:b w:val="false"/>
          <w:i w:val="false"/>
          <w:caps w:val="false"/>
          <w:smallCaps w:val="false"/>
          <w:color w:val="2D2F32"/>
          <w:spacing w:val="0"/>
          <w:sz w:val="24"/>
          <w:szCs w:val="24"/>
        </w:rPr>
        <w:t>n</w:t>
      </w:r>
      <w:r>
        <w:rPr>
          <w:rFonts w:ascii="Times New Roman" w:hAnsi="Times New Roman"/>
          <w:b w:val="false"/>
          <w:i w:val="false"/>
          <w:caps w:val="false"/>
          <w:smallCaps w:val="false"/>
          <w:color w:val="2D2F32"/>
          <w:spacing w:val="0"/>
          <w:sz w:val="24"/>
          <w:szCs w:val="24"/>
        </w:rPr>
        <w:t xml:space="preserve">ot all) of her published works seem to </w:t>
      </w:r>
      <w:r>
        <w:rPr>
          <w:rFonts w:ascii="Times New Roman" w:hAnsi="Times New Roman"/>
          <w:b w:val="false"/>
          <w:i w:val="false"/>
          <w:caps w:val="false"/>
          <w:smallCaps w:val="false"/>
          <w:color w:val="2D2F32"/>
          <w:spacing w:val="0"/>
          <w:sz w:val="24"/>
          <w:szCs w:val="24"/>
        </w:rPr>
        <w:t>be</w:t>
      </w:r>
      <w:r>
        <w:rPr>
          <w:rFonts w:ascii="Times New Roman" w:hAnsi="Times New Roman"/>
          <w:b w:val="false"/>
          <w:i w:val="false"/>
          <w:caps w:val="false"/>
          <w:smallCaps w:val="false"/>
          <w:color w:val="2D2F32"/>
          <w:spacing w:val="0"/>
          <w:sz w:val="24"/>
          <w:szCs w:val="24"/>
        </w:rPr>
        <w:t xml:space="preserve"> from the years 2021 to the present (2024).  Dr. Pfeffer </w:t>
      </w:r>
      <w:r>
        <w:rPr>
          <w:rFonts w:ascii="Times New Roman" w:hAnsi="Times New Roman"/>
          <w:b w:val="false"/>
          <w:i w:val="false"/>
          <w:caps w:val="false"/>
          <w:smallCaps w:val="false"/>
          <w:color w:val="2D2F32"/>
          <w:spacing w:val="0"/>
          <w:sz w:val="24"/>
          <w:szCs w:val="24"/>
        </w:rPr>
        <w:t>is also</w:t>
      </w:r>
      <w:r>
        <w:rPr>
          <w:rFonts w:ascii="Times New Roman" w:hAnsi="Times New Roman"/>
          <w:b w:val="false"/>
          <w:i w:val="false"/>
          <w:caps w:val="false"/>
          <w:smallCaps w:val="false"/>
          <w:color w:val="2D2F32"/>
          <w:spacing w:val="0"/>
          <w:sz w:val="24"/>
          <w:szCs w:val="24"/>
        </w:rPr>
        <w:t xml:space="preserve"> interested in and very much engaged in (according to her bio) outreach regarding the sharing of her research with a larger, public audience via radio, podcasts and other venues.</w:t>
      </w:r>
      <w:r>
        <w:rPr>
          <w:rStyle w:val="FootnoteReference"/>
          <w:rFonts w:ascii="Times New Roman" w:hAnsi="Times New Roman"/>
          <w:b w:val="false"/>
          <w:i w:val="false"/>
          <w:caps w:val="false"/>
          <w:smallCaps w:val="false"/>
          <w:color w:val="2D2F32"/>
          <w:spacing w:val="0"/>
          <w:sz w:val="24"/>
          <w:szCs w:val="24"/>
        </w:rPr>
        <w:footnoteReference w:id="4"/>
      </w:r>
      <w:r>
        <w:rPr>
          <w:rFonts w:ascii="Times New Roman" w:hAnsi="Times New Roman"/>
          <w:b w:val="false"/>
          <w:i w:val="false"/>
          <w:caps w:val="false"/>
          <w:smallCaps w:val="false"/>
          <w:color w:val="2D2F32"/>
          <w:spacing w:val="0"/>
          <w:sz w:val="24"/>
          <w:szCs w:val="24"/>
        </w:rPr>
        <w:t xml:space="preserve">  </w:t>
      </w:r>
      <w:r>
        <w:rPr>
          <w:rFonts w:ascii="Times New Roman" w:hAnsi="Times New Roman"/>
          <w:b w:val="false"/>
          <w:i w:val="false"/>
          <w:caps w:val="false"/>
          <w:smallCaps w:val="false"/>
          <w:color w:val="2D2F32"/>
          <w:spacing w:val="0"/>
          <w:sz w:val="24"/>
          <w:szCs w:val="24"/>
        </w:rPr>
        <w:t>She is currently on the faculty of history at Oxford University.</w:t>
      </w:r>
      <w:r>
        <w:rPr>
          <w:rStyle w:val="FootnoteReference"/>
          <w:rFonts w:ascii="Times New Roman" w:hAnsi="Times New Roman"/>
          <w:b w:val="false"/>
          <w:i w:val="false"/>
          <w:caps w:val="false"/>
          <w:smallCaps w:val="false"/>
          <w:color w:val="2D2F32"/>
          <w:spacing w:val="0"/>
          <w:sz w:val="24"/>
          <w:szCs w:val="24"/>
        </w:rPr>
        <w:footnoteReference w:id="5"/>
      </w:r>
    </w:p>
    <w:p>
      <w:pPr>
        <w:pStyle w:val="Normal"/>
        <w:bidi w:val="0"/>
        <w:jc w:val="start"/>
        <w:rPr>
          <w:b w:val="false"/>
          <w:bCs w:val="false"/>
        </w:rPr>
      </w:pPr>
      <w:r>
        <w:rPr>
          <w:b w:val="false"/>
          <w:bCs w:val="false"/>
        </w:rPr>
      </w:r>
    </w:p>
    <w:p>
      <w:pPr>
        <w:pStyle w:val="NormalWeb"/>
        <w:spacing w:before="0" w:after="0"/>
        <w:ind w:end="-334"/>
        <w:jc w:val="start"/>
        <w:rPr>
          <w:u w:val="single"/>
        </w:rPr>
      </w:pPr>
      <w:r>
        <w:rPr>
          <w:rFonts w:ascii="Times New Roman" w:hAnsi="Times New Roman"/>
          <w:sz w:val="24"/>
          <w:szCs w:val="24"/>
          <w:u w:val="none"/>
        </w:rPr>
        <w:t xml:space="preserve"> </w:t>
      </w:r>
      <w:r>
        <w:rPr>
          <w:rFonts w:ascii="Times New Roman" w:hAnsi="Times New Roman"/>
          <w:b/>
          <w:bCs/>
          <w:sz w:val="24"/>
          <w:szCs w:val="24"/>
          <w:u w:val="none"/>
        </w:rPr>
        <w:t xml:space="preserve">The paper - </w:t>
      </w:r>
      <w:r>
        <w:rPr>
          <w:rFonts w:ascii="Times New Roman" w:hAnsi="Times New Roman"/>
          <w:b/>
          <w:bCs/>
          <w:sz w:val="24"/>
          <w:szCs w:val="24"/>
          <w:u w:val="none"/>
        </w:rPr>
        <w:t>“Reassessing the Marginalization of Astrology in the Early Modern World”</w:t>
      </w:r>
      <w:r>
        <w:rPr>
          <w:rStyle w:val="FootnoteReference"/>
          <w:rFonts w:ascii="Times New Roman" w:hAnsi="Times New Roman"/>
          <w:b/>
          <w:bCs/>
          <w:sz w:val="24"/>
          <w:szCs w:val="24"/>
          <w:u w:val="none"/>
        </w:rPr>
        <w:footnoteReference w:id="6"/>
      </w:r>
    </w:p>
    <w:p>
      <w:pPr>
        <w:pStyle w:val="NormalWeb"/>
        <w:spacing w:before="0" w:after="0"/>
        <w:ind w:end="-334"/>
        <w:jc w:val="start"/>
        <w:rPr>
          <w:rFonts w:ascii="Times New Roman" w:hAnsi="Times New Roman"/>
          <w:b w:val="false"/>
          <w:bCs w:val="false"/>
          <w:sz w:val="24"/>
          <w:szCs w:val="24"/>
          <w:u w:val="none"/>
        </w:rPr>
      </w:pPr>
      <w:r>
        <w:rPr>
          <w:u w:val="single"/>
        </w:rPr>
      </w:r>
    </w:p>
    <w:p>
      <w:pPr>
        <w:pStyle w:val="NormalWeb"/>
        <w:spacing w:before="0" w:after="0"/>
        <w:ind w:end="-334"/>
        <w:jc w:val="start"/>
        <w:rPr/>
      </w:pPr>
      <w:r>
        <w:rPr>
          <w:rFonts w:ascii="Times New Roman" w:hAnsi="Times New Roman"/>
          <w:b w:val="false"/>
          <w:bCs w:val="false"/>
          <w:sz w:val="24"/>
          <w:szCs w:val="24"/>
          <w:u w:val="none"/>
        </w:rPr>
        <w:t xml:space="preserve">Dr. Pfeffer’s paper appears to be challenging 2 primary explanations for the “marginalization” of astrology in (primarily) European society during the early modern period.  The first is the long held notion of astrology falling out of favor primarily because of advances in scientific knowledge and also the intellectual exploration that occurred during the Enlightenment.  The second seems to be what she sees as a (not total) repudiation of those notions in favor of “alternative social, political, and cultural narratives” to help explain this.  </w:t>
      </w:r>
      <w:r>
        <w:rPr>
          <w:rFonts w:ascii="Times New Roman" w:hAnsi="Times New Roman"/>
          <w:b w:val="false"/>
          <w:bCs w:val="false"/>
          <w:sz w:val="24"/>
          <w:szCs w:val="24"/>
          <w:u w:val="none"/>
        </w:rPr>
        <w:t xml:space="preserve">She points </w:t>
      </w:r>
      <w:r>
        <w:rPr>
          <w:rFonts w:ascii="Times New Roman" w:hAnsi="Times New Roman"/>
          <w:b w:val="false"/>
          <w:bCs w:val="false"/>
          <w:sz w:val="24"/>
          <w:szCs w:val="24"/>
          <w:u w:val="none"/>
        </w:rPr>
        <w:t xml:space="preserve">out that this “...marginalization…  </w:t>
      </w:r>
      <w:r>
        <w:rPr>
          <w:rFonts w:ascii="Times New Roman" w:hAnsi="Times New Roman"/>
          <w:b w:val="false"/>
          <w:bCs w:val="false"/>
          <w:sz w:val="24"/>
          <w:szCs w:val="24"/>
          <w:u w:val="none"/>
        </w:rPr>
        <w:t xml:space="preserve">for the most part </w:t>
      </w:r>
      <w:r>
        <w:rPr>
          <w:rFonts w:ascii="Times New Roman" w:hAnsi="Times New Roman"/>
          <w:b w:val="false"/>
          <w:bCs w:val="false"/>
          <w:sz w:val="24"/>
          <w:szCs w:val="24"/>
          <w:u w:val="none"/>
        </w:rPr>
        <w:t xml:space="preserve">took place in </w:t>
      </w:r>
      <w:r>
        <w:rPr>
          <w:rFonts w:ascii="Times New Roman" w:hAnsi="Times New Roman"/>
          <w:b w:val="false"/>
          <w:bCs w:val="false"/>
          <w:i/>
          <w:iCs/>
          <w:sz w:val="24"/>
          <w:szCs w:val="24"/>
          <w:u w:val="none"/>
        </w:rPr>
        <w:t>learned</w:t>
      </w:r>
      <w:r>
        <w:rPr>
          <w:rFonts w:ascii="Times New Roman" w:hAnsi="Times New Roman"/>
          <w:b w:val="false"/>
          <w:bCs w:val="false"/>
          <w:i w:val="false"/>
          <w:iCs w:val="false"/>
          <w:sz w:val="24"/>
          <w:szCs w:val="24"/>
          <w:u w:val="none"/>
        </w:rPr>
        <w:t xml:space="preserve"> culture…”</w:t>
      </w:r>
      <w:r>
        <w:rPr>
          <w:rStyle w:val="FootnoteReference"/>
          <w:rFonts w:ascii="Times New Roman" w:hAnsi="Times New Roman"/>
          <w:b w:val="false"/>
          <w:bCs w:val="false"/>
          <w:i w:val="false"/>
          <w:iCs w:val="false"/>
          <w:sz w:val="24"/>
          <w:szCs w:val="24"/>
          <w:u w:val="none"/>
        </w:rPr>
        <w:footnoteReference w:id="7"/>
      </w:r>
      <w:r>
        <w:rPr>
          <w:rFonts w:ascii="Times New Roman" w:hAnsi="Times New Roman"/>
          <w:b w:val="false"/>
          <w:bCs w:val="false"/>
          <w:i w:val="false"/>
          <w:iCs w:val="false"/>
          <w:sz w:val="24"/>
          <w:szCs w:val="24"/>
          <w:u w:val="none"/>
        </w:rPr>
        <w:t xml:space="preserve">  </w:t>
      </w:r>
      <w:r>
        <w:rPr>
          <w:rFonts w:ascii="Times New Roman" w:hAnsi="Times New Roman"/>
          <w:b w:val="false"/>
          <w:bCs w:val="false"/>
          <w:i w:val="false"/>
          <w:iCs w:val="false"/>
          <w:sz w:val="24"/>
          <w:szCs w:val="24"/>
          <w:u w:val="none"/>
        </w:rPr>
        <w:t>What follows is a very comprehesive review of “newer” academic literature regarding this subject.  She concludes by arguing that perhaps a clearer answer to the question of what factors contributed to astrology’s marginalization can be found by incorporating both the first and second notions mentioned above and by not “sidelining” or rejecting the legitimate contribution that intellectual history makes in this case.</w:t>
      </w:r>
      <w:r>
        <w:rPr>
          <w:rStyle w:val="FootnoteReference"/>
          <w:rFonts w:ascii="Times New Roman" w:hAnsi="Times New Roman"/>
          <w:b w:val="false"/>
          <w:bCs w:val="false"/>
          <w:i w:val="false"/>
          <w:iCs w:val="false"/>
          <w:sz w:val="24"/>
          <w:szCs w:val="24"/>
          <w:u w:val="none"/>
        </w:rPr>
        <w:footnoteReference w:id="8"/>
      </w:r>
    </w:p>
    <w:p>
      <w:pPr>
        <w:pStyle w:val="Normal"/>
        <w:bidi w:val="0"/>
        <w:jc w:val="start"/>
        <w:rPr>
          <w:b w:val="false"/>
          <w:bCs w:val="false"/>
        </w:rPr>
      </w:pPr>
      <w:r>
        <w:rPr>
          <w:b w:val="false"/>
          <w:bCs w:val="false"/>
        </w:rPr>
        <w:t xml:space="preserve">This paper appears to be written primarily </w:t>
      </w:r>
      <w:r>
        <w:rPr>
          <w:b w:val="false"/>
          <w:bCs w:val="false"/>
        </w:rPr>
        <w:t>as an overview and analysis</w:t>
      </w:r>
      <w:r>
        <w:rPr>
          <w:b w:val="false"/>
          <w:bCs w:val="false"/>
        </w:rPr>
        <w:t xml:space="preserve"> about the work </w:t>
      </w:r>
      <w:r>
        <w:rPr>
          <w:b w:val="false"/>
          <w:bCs w:val="false"/>
        </w:rPr>
        <w:t xml:space="preserve">(regarding the marginalization of astrology in the early modern period) </w:t>
      </w:r>
      <w:r>
        <w:rPr>
          <w:b w:val="false"/>
          <w:bCs w:val="false"/>
        </w:rPr>
        <w:t xml:space="preserve">of Dr. Pfeffer’s fellow historians and academics and also </w:t>
      </w:r>
      <w:r>
        <w:rPr>
          <w:b w:val="false"/>
          <w:bCs w:val="false"/>
        </w:rPr>
        <w:t>written primarily</w:t>
      </w:r>
      <w:r>
        <w:rPr>
          <w:b w:val="false"/>
          <w:bCs w:val="false"/>
        </w:rPr>
        <w:t xml:space="preserve"> </w:t>
      </w:r>
      <w:r>
        <w:rPr>
          <w:b w:val="false"/>
          <w:bCs w:val="false"/>
          <w:i/>
          <w:iCs/>
        </w:rPr>
        <w:t>for</w:t>
      </w:r>
      <w:r>
        <w:rPr>
          <w:b w:val="false"/>
          <w:bCs w:val="false"/>
        </w:rPr>
        <w:t xml:space="preserve"> them as well – meaning they are </w:t>
      </w:r>
      <w:r>
        <w:rPr>
          <w:b w:val="false"/>
          <w:bCs w:val="false"/>
        </w:rPr>
        <w:t>probably</w:t>
      </w:r>
      <w:r>
        <w:rPr>
          <w:b w:val="false"/>
          <w:bCs w:val="false"/>
        </w:rPr>
        <w:t xml:space="preserve"> the target audience.  First, it’s her attempt to assess how the scholarship regarding the marginalization of astrology has evolved or changed over time </w:t>
      </w:r>
      <w:r>
        <w:rPr>
          <w:b w:val="false"/>
          <w:bCs w:val="false"/>
          <w:i/>
          <w:iCs/>
        </w:rPr>
        <w:t>within</w:t>
      </w:r>
      <w:r>
        <w:rPr>
          <w:b w:val="false"/>
          <w:bCs w:val="false"/>
          <w:i w:val="false"/>
          <w:iCs w:val="false"/>
        </w:rPr>
        <w:t xml:space="preserve"> the </w:t>
      </w:r>
      <w:r>
        <w:rPr>
          <w:b w:val="false"/>
          <w:bCs w:val="false"/>
          <w:i w:val="false"/>
          <w:iCs w:val="false"/>
        </w:rPr>
        <w:t>(</w:t>
      </w:r>
      <w:r>
        <w:rPr>
          <w:b w:val="false"/>
          <w:bCs w:val="false"/>
          <w:i w:val="false"/>
          <w:iCs w:val="false"/>
        </w:rPr>
        <w:t>primarily</w:t>
      </w:r>
      <w:r>
        <w:rPr>
          <w:b w:val="false"/>
          <w:bCs w:val="false"/>
          <w:i w:val="false"/>
          <w:iCs w:val="false"/>
        </w:rPr>
        <w:t>)</w:t>
      </w:r>
      <w:r>
        <w:rPr>
          <w:b w:val="false"/>
          <w:bCs w:val="false"/>
          <w:i w:val="false"/>
          <w:iCs w:val="false"/>
        </w:rPr>
        <w:t xml:space="preserve"> historic academic community.</w:t>
      </w:r>
      <w:r>
        <w:rPr>
          <w:rStyle w:val="FootnoteReference"/>
          <w:b w:val="false"/>
          <w:bCs w:val="false"/>
          <w:i w:val="false"/>
          <w:iCs w:val="false"/>
        </w:rPr>
        <w:footnoteReference w:id="9"/>
      </w:r>
      <w:r>
        <w:rPr>
          <w:b w:val="false"/>
          <w:bCs w:val="false"/>
          <w:i w:val="false"/>
          <w:iCs w:val="false"/>
        </w:rPr>
        <w:t xml:space="preserve">  </w:t>
      </w:r>
      <w:r>
        <w:rPr>
          <w:b w:val="false"/>
          <w:bCs w:val="false"/>
          <w:i w:val="false"/>
          <w:iCs w:val="false"/>
        </w:rPr>
        <w:t>Secondly, f</w:t>
      </w:r>
      <w:r>
        <w:rPr>
          <w:b w:val="false"/>
          <w:bCs w:val="false"/>
          <w:i w:val="false"/>
          <w:iCs w:val="false"/>
        </w:rPr>
        <w:t>or a</w:t>
      </w:r>
      <w:r>
        <w:rPr>
          <w:b w:val="false"/>
          <w:bCs w:val="false"/>
          <w:i w:val="false"/>
          <w:iCs w:val="false"/>
        </w:rPr>
        <w:t xml:space="preserve"> layperson,</w:t>
      </w:r>
      <w:r>
        <w:rPr>
          <w:b w:val="false"/>
          <w:bCs w:val="false"/>
          <w:i w:val="false"/>
          <w:iCs w:val="false"/>
        </w:rPr>
        <w:t xml:space="preserve"> student or novice history buff</w:t>
      </w:r>
      <w:r>
        <w:rPr>
          <w:b w:val="false"/>
          <w:bCs w:val="false"/>
          <w:i w:val="false"/>
          <w:iCs w:val="false"/>
        </w:rPr>
        <w:t xml:space="preserve"> interested in this topic, the article’s highly specialized focus and terminology could make it a challenging read.</w:t>
      </w:r>
    </w:p>
    <w:p>
      <w:pPr>
        <w:pStyle w:val="Normal"/>
        <w:bidi w:val="0"/>
        <w:jc w:val="start"/>
        <w:rPr>
          <w:b w:val="false"/>
          <w:bCs w:val="false"/>
        </w:rPr>
      </w:pPr>
      <w:r>
        <w:rPr>
          <w:b w:val="false"/>
          <w:bCs w:val="false"/>
        </w:rPr>
      </w:r>
    </w:p>
    <w:p>
      <w:pPr>
        <w:pStyle w:val="Normal"/>
        <w:bidi w:val="0"/>
        <w:jc w:val="start"/>
        <w:rPr/>
      </w:pPr>
      <w:r>
        <w:rPr>
          <w:b w:val="false"/>
          <w:bCs w:val="false"/>
        </w:rPr>
        <w:t xml:space="preserve">The paper is peppered with names of academics - </w:t>
      </w:r>
      <w:r>
        <w:rPr>
          <w:b w:val="false"/>
          <w:bCs w:val="false"/>
        </w:rPr>
        <w:t>mostly historians</w:t>
      </w:r>
      <w:r>
        <w:rPr>
          <w:b w:val="false"/>
          <w:bCs w:val="false"/>
        </w:rPr>
        <w:t xml:space="preserve"> and </w:t>
      </w:r>
      <w:r>
        <w:rPr>
          <w:b w:val="false"/>
          <w:bCs w:val="false"/>
        </w:rPr>
        <w:t xml:space="preserve">other </w:t>
      </w:r>
      <w:r>
        <w:rPr>
          <w:b w:val="false"/>
          <w:bCs w:val="false"/>
        </w:rPr>
        <w:t xml:space="preserve">authors </w:t>
      </w:r>
      <w:r>
        <w:rPr>
          <w:b w:val="false"/>
          <w:bCs w:val="false"/>
        </w:rPr>
        <w:t>(approximately 2</w:t>
      </w:r>
      <w:r>
        <w:rPr>
          <w:b w:val="false"/>
          <w:bCs w:val="false"/>
        </w:rPr>
        <w:t>4</w:t>
      </w:r>
      <w:r>
        <w:rPr>
          <w:b w:val="false"/>
          <w:bCs w:val="false"/>
        </w:rPr>
        <w:t>)</w:t>
      </w:r>
      <w:r>
        <w:rPr>
          <w:b w:val="false"/>
          <w:bCs w:val="false"/>
        </w:rPr>
        <w:t xml:space="preserve"> – not just in the footnotes of course but mentioned </w:t>
      </w:r>
      <w:r>
        <w:rPr>
          <w:b w:val="false"/>
          <w:bCs w:val="false"/>
        </w:rPr>
        <w:t>throughout</w:t>
      </w:r>
      <w:r>
        <w:rPr>
          <w:b w:val="false"/>
          <w:bCs w:val="false"/>
        </w:rPr>
        <w:t xml:space="preserve"> the body of the paper.  Perhaps this is </w:t>
      </w:r>
      <w:r>
        <w:rPr>
          <w:b w:val="false"/>
          <w:bCs w:val="false"/>
        </w:rPr>
        <w:t xml:space="preserve">not </w:t>
      </w:r>
      <w:r>
        <w:rPr>
          <w:b w:val="false"/>
          <w:bCs w:val="false"/>
        </w:rPr>
        <w:t xml:space="preserve">an uncommon thing in literature reviews </w:t>
      </w:r>
      <w:r>
        <w:rPr>
          <w:b w:val="false"/>
          <w:bCs w:val="false"/>
        </w:rPr>
        <w:t>for the author to do this</w:t>
      </w:r>
      <w:r>
        <w:rPr>
          <w:b w:val="false"/>
          <w:bCs w:val="false"/>
        </w:rPr>
        <w:t xml:space="preserve"> but it </w:t>
      </w:r>
      <w:r>
        <w:rPr>
          <w:b w:val="false"/>
          <w:bCs w:val="false"/>
        </w:rPr>
        <w:t xml:space="preserve">made what was sometimes a challenging article more difficult to follow.   Instead of periodically mentioning them </w:t>
      </w:r>
      <w:r>
        <w:rPr>
          <w:b w:val="false"/>
          <w:bCs w:val="false"/>
        </w:rPr>
        <w:t>or</w:t>
      </w:r>
      <w:r>
        <w:rPr>
          <w:b w:val="false"/>
          <w:bCs w:val="false"/>
        </w:rPr>
        <w:t xml:space="preserve"> strictly naming these people in the footnotes, </w:t>
      </w:r>
      <w:r>
        <w:rPr>
          <w:b w:val="false"/>
          <w:bCs w:val="false"/>
        </w:rPr>
        <w:t>many if not most are</w:t>
      </w:r>
      <w:r>
        <w:rPr>
          <w:b w:val="false"/>
          <w:bCs w:val="false"/>
        </w:rPr>
        <w:t xml:space="preserve"> mentioned in both the footnotes and the body of the paper </w:t>
      </w:r>
      <w:r>
        <w:rPr>
          <w:b w:val="false"/>
          <w:bCs w:val="false"/>
        </w:rPr>
        <w:t xml:space="preserve">in a way that can often seem redundant.  For example, </w:t>
      </w:r>
      <w:r>
        <w:rPr>
          <w:b w:val="false"/>
          <w:bCs w:val="false"/>
        </w:rPr>
        <w:t>when she writes, “Anthony Grafton showed many years ago how Joseph Scaliger undermined astrology’s founding myth..”</w:t>
      </w:r>
      <w:r>
        <w:rPr>
          <w:rStyle w:val="FootnoteReference"/>
          <w:b w:val="false"/>
          <w:bCs w:val="false"/>
        </w:rPr>
        <w:footnoteReference w:id="10"/>
      </w:r>
      <w:r>
        <w:rPr>
          <w:b w:val="false"/>
          <w:bCs w:val="false"/>
        </w:rPr>
        <w:t xml:space="preserve">, </w:t>
      </w:r>
      <w:r>
        <w:rPr>
          <w:b w:val="false"/>
          <w:bCs w:val="false"/>
        </w:rPr>
        <w:t xml:space="preserve">the footnote says in part, “Anthony Grafton, </w:t>
      </w:r>
      <w:r>
        <w:rPr>
          <w:b w:val="false"/>
          <w:bCs w:val="false"/>
          <w:i/>
          <w:iCs/>
        </w:rPr>
        <w:t>Joseph Scaliger”</w:t>
      </w:r>
      <w:r>
        <w:rPr>
          <w:b w:val="false"/>
          <w:bCs w:val="false"/>
          <w:i w:val="false"/>
          <w:iCs w:val="false"/>
        </w:rPr>
        <w:t>…</w:t>
      </w:r>
      <w:r>
        <w:rPr>
          <w:rStyle w:val="FootnoteReference"/>
          <w:b w:val="false"/>
          <w:bCs w:val="false"/>
          <w:i w:val="false"/>
          <w:iCs w:val="false"/>
        </w:rPr>
        <w:footnoteReference w:id="11"/>
      </w:r>
      <w:r>
        <w:rPr>
          <w:b w:val="false"/>
          <w:bCs w:val="false"/>
          <w:i w:val="false"/>
          <w:iCs w:val="false"/>
        </w:rPr>
        <w:t xml:space="preserve">  </w:t>
      </w:r>
      <w:r>
        <w:rPr>
          <w:b w:val="false"/>
          <w:bCs w:val="false"/>
        </w:rPr>
        <w:t xml:space="preserve">What is the purpose of this? Did she feel it helped reinforce her arguments or emphasize the thoroughness of her literature review? </w:t>
      </w:r>
      <w:r>
        <w:rPr>
          <w:b w:val="false"/>
          <w:bCs w:val="false"/>
        </w:rPr>
        <w:t>M</w:t>
      </w:r>
      <w:r>
        <w:rPr>
          <w:b w:val="false"/>
          <w:bCs w:val="false"/>
        </w:rPr>
        <w:t xml:space="preserve">ight </w:t>
      </w:r>
      <w:r>
        <w:rPr>
          <w:b w:val="false"/>
          <w:bCs w:val="false"/>
        </w:rPr>
        <w:t>it</w:t>
      </w:r>
      <w:r>
        <w:rPr>
          <w:b w:val="false"/>
          <w:bCs w:val="false"/>
        </w:rPr>
        <w:t xml:space="preserve"> be seen as “name-dropping”?  </w:t>
      </w:r>
      <w:r>
        <w:rPr>
          <w:b w:val="false"/>
          <w:bCs w:val="false"/>
        </w:rPr>
        <w:t>As a novice student it’s difficult to know. However, the</w:t>
      </w:r>
      <w:r>
        <w:rPr>
          <w:b w:val="false"/>
          <w:bCs w:val="false"/>
        </w:rPr>
        <w:t xml:space="preserve"> paper might h</w:t>
      </w:r>
      <w:r>
        <w:rPr>
          <w:b w:val="false"/>
          <w:bCs w:val="false"/>
        </w:rPr>
        <w:t xml:space="preserve">ave </w:t>
      </w:r>
      <w:r>
        <w:rPr>
          <w:b w:val="false"/>
          <w:bCs w:val="false"/>
        </w:rPr>
        <w:t>easier to follow (in regard to the actual subject matter of the paper)</w:t>
      </w:r>
      <w:r>
        <w:rPr>
          <w:b w:val="false"/>
          <w:bCs w:val="false"/>
        </w:rPr>
        <w:t xml:space="preserve"> </w:t>
      </w:r>
      <w:r>
        <w:rPr>
          <w:b w:val="false"/>
          <w:bCs w:val="false"/>
        </w:rPr>
        <w:t xml:space="preserve">if this </w:t>
      </w:r>
      <w:r>
        <w:rPr>
          <w:b w:val="false"/>
          <w:bCs w:val="false"/>
        </w:rPr>
        <w:t xml:space="preserve">kind of </w:t>
      </w:r>
      <w:r>
        <w:rPr>
          <w:b w:val="false"/>
          <w:bCs w:val="false"/>
        </w:rPr>
        <w:t xml:space="preserve">information had been consolidated better.  </w:t>
      </w:r>
      <w:r>
        <w:rPr>
          <w:b w:val="false"/>
          <w:bCs w:val="false"/>
        </w:rPr>
        <w:t xml:space="preserve">The subcategories of her paper are numbered instead of using text.  </w:t>
      </w:r>
      <w:r>
        <w:rPr>
          <w:b w:val="false"/>
          <w:bCs w:val="false"/>
        </w:rPr>
        <w:t xml:space="preserve">For example, </w:t>
      </w:r>
      <w:r>
        <w:rPr>
          <w:b w:val="false"/>
          <w:bCs w:val="false"/>
        </w:rPr>
        <w:t>Pfeffer</w:t>
      </w:r>
      <w:r>
        <w:rPr>
          <w:b w:val="false"/>
          <w:bCs w:val="false"/>
        </w:rPr>
        <w:t xml:space="preserve"> </w:t>
      </w:r>
      <w:r>
        <w:rPr>
          <w:b w:val="false"/>
          <w:bCs w:val="false"/>
        </w:rPr>
        <w:t xml:space="preserve">uses Roman numerals to indicate various sections of the paper.  Perhaps, </w:t>
      </w:r>
      <w:r>
        <w:rPr>
          <w:b w:val="false"/>
          <w:bCs w:val="false"/>
        </w:rPr>
        <w:t xml:space="preserve">instead of the subcategory identified as [Roman numeral] I, it could have been named something like, “The Story of Carlos de </w:t>
      </w:r>
      <w:r>
        <w:rPr>
          <w:b w:val="false"/>
          <w:bCs w:val="false"/>
        </w:rPr>
        <w:t>Siguenza</w:t>
      </w:r>
      <w:r>
        <w:rPr>
          <w:b w:val="false"/>
          <w:bCs w:val="false"/>
        </w:rPr>
        <w:t xml:space="preserve"> </w:t>
      </w:r>
      <w:r>
        <w:rPr>
          <w:rFonts w:eastAsia="NSimSun" w:cs="Lucida Sans"/>
          <w:b w:val="false"/>
          <w:bCs w:val="false"/>
        </w:rPr>
        <w:t>y Gongora” for better clarity or illustration</w:t>
      </w:r>
      <w:r>
        <w:rPr>
          <w:rStyle w:val="FootnoteReference"/>
          <w:rFonts w:eastAsia="NSimSun" w:cs="Lucida Sans"/>
          <w:b w:val="false"/>
          <w:bCs w:val="false"/>
        </w:rPr>
        <w:footnoteReference w:id="12"/>
      </w:r>
      <w:r>
        <w:rPr>
          <w:rFonts w:eastAsia="NSimSun" w:cs="Lucida Sans"/>
          <w:b w:val="false"/>
          <w:bCs w:val="false"/>
        </w:rPr>
        <w:t xml:space="preserve"> </w:t>
      </w:r>
      <w:r>
        <w:rPr>
          <w:rFonts w:eastAsia="NSimSun" w:cs="Lucida Sans"/>
          <w:b w:val="false"/>
          <w:bCs w:val="false"/>
        </w:rPr>
        <w:t>given that Gongora was the main focus of that section of her article and his story is used to help illustrate her arguments.  That said, other articles that she’s written such as “Bad Omens”</w:t>
      </w:r>
      <w:r>
        <w:rPr>
          <w:rStyle w:val="FootnoteReference"/>
          <w:rFonts w:eastAsia="NSimSun" w:cs="Lucida Sans"/>
          <w:b w:val="false"/>
          <w:bCs w:val="false"/>
        </w:rPr>
        <w:footnoteReference w:id="13"/>
      </w:r>
      <w:r>
        <w:rPr>
          <w:rFonts w:eastAsia="NSimSun" w:cs="Lucida Sans"/>
          <w:b w:val="false"/>
          <w:bCs w:val="false"/>
        </w:rPr>
        <w:t xml:space="preserve"> and “</w:t>
      </w:r>
      <w:r>
        <w:rPr>
          <w:rFonts w:eastAsia="NSimSun" w:cs="Lucida Sans" w:ascii="Times New Roman" w:hAnsi="Times New Roman"/>
          <w:color w:val="000000"/>
          <w:sz w:val="24"/>
          <w:szCs w:val="24"/>
        </w:rPr>
        <w:t>The Society of Astrologers (</w:t>
      </w:r>
      <w:r>
        <w:rPr>
          <w:rFonts w:ascii="Times New Roman" w:hAnsi="Times New Roman"/>
          <w:color w:val="000000"/>
          <w:sz w:val="24"/>
          <w:szCs w:val="24"/>
        </w:rPr>
        <w:t>c.1647–1684): sermons,</w:t>
      </w:r>
    </w:p>
    <w:p>
      <w:pPr>
        <w:pStyle w:val="Normal"/>
        <w:jc w:val="start"/>
        <w:rPr>
          <w:rFonts w:ascii="Times New Roman" w:hAnsi="Times New Roman"/>
          <w:color w:val="000000"/>
          <w:sz w:val="24"/>
          <w:szCs w:val="24"/>
        </w:rPr>
      </w:pPr>
      <w:r>
        <w:rPr>
          <w:rFonts w:ascii="Times New Roman" w:hAnsi="Times New Roman"/>
          <w:color w:val="000000"/>
          <w:sz w:val="24"/>
          <w:szCs w:val="24"/>
        </w:rPr>
        <w:t xml:space="preserve">feasts and the resuscitation of astrology in </w:t>
      </w:r>
      <w:r>
        <w:rPr>
          <w:rFonts w:ascii="Times New Roman" w:hAnsi="Times New Roman"/>
          <w:b w:val="false"/>
          <w:bCs w:val="false"/>
          <w:color w:val="000000"/>
          <w:sz w:val="24"/>
          <w:szCs w:val="24"/>
        </w:rPr>
        <w:t>seventeenth-century London”</w:t>
      </w:r>
      <w:r>
        <w:rPr>
          <w:rStyle w:val="FootnoteReference"/>
          <w:rFonts w:ascii="Times New Roman" w:hAnsi="Times New Roman"/>
          <w:b w:val="false"/>
          <w:bCs w:val="false"/>
          <w:color w:val="000000"/>
          <w:sz w:val="24"/>
          <w:szCs w:val="24"/>
        </w:rPr>
        <w:footnoteReference w:id="14"/>
      </w:r>
      <w:r>
        <w:rPr>
          <w:rFonts w:ascii="Times New Roman" w:hAnsi="Times New Roman"/>
          <w:b w:val="false"/>
          <w:bCs w:val="false"/>
          <w:color w:val="000000"/>
          <w:sz w:val="24"/>
          <w:szCs w:val="24"/>
        </w:rPr>
        <w:t xml:space="preserve"> </w:t>
      </w:r>
      <w:r>
        <w:rPr>
          <w:rFonts w:ascii="Times New Roman" w:hAnsi="Times New Roman"/>
          <w:b w:val="false"/>
          <w:bCs w:val="false"/>
          <w:color w:val="000000"/>
          <w:sz w:val="24"/>
          <w:szCs w:val="24"/>
        </w:rPr>
        <w:t>seem much more accessible to the general public and more clearly laid out.  This would support her statement regarding wanting to share her knowledge with a wider audience that includes but goes beyond strictly academic circles.</w:t>
      </w:r>
    </w:p>
    <w:p>
      <w:pPr>
        <w:pStyle w:val="Normal"/>
        <w:bidi w:val="0"/>
        <w:jc w:val="start"/>
        <w:rPr>
          <w:b w:val="false"/>
          <w:bCs w:val="false"/>
        </w:rPr>
      </w:pPr>
      <w:r>
        <w:rPr>
          <w:b w:val="false"/>
          <w:bCs w:val="false"/>
        </w:rPr>
      </w:r>
    </w:p>
    <w:p>
      <w:pPr>
        <w:pStyle w:val="Normal"/>
        <w:bidi w:val="0"/>
        <w:jc w:val="start"/>
        <w:rPr>
          <w:b w:val="false"/>
          <w:bCs w:val="false"/>
        </w:rPr>
      </w:pPr>
      <w:r>
        <w:rPr>
          <w:b w:val="false"/>
          <w:bCs w:val="false"/>
        </w:rPr>
        <w:t xml:space="preserve">It was </w:t>
      </w:r>
      <w:r>
        <w:rPr>
          <w:b w:val="false"/>
          <w:bCs w:val="false"/>
        </w:rPr>
        <w:t>s</w:t>
      </w:r>
      <w:r>
        <w:rPr>
          <w:b w:val="false"/>
          <w:bCs w:val="false"/>
        </w:rPr>
        <w:t>omewhat surpri</w:t>
      </w:r>
      <w:r>
        <w:rPr>
          <w:b w:val="false"/>
          <w:bCs w:val="false"/>
        </w:rPr>
        <w:t>sing</w:t>
      </w:r>
      <w:r>
        <w:rPr>
          <w:b w:val="false"/>
          <w:bCs w:val="false"/>
        </w:rPr>
        <w:t xml:space="preserve"> and interest</w:t>
      </w:r>
      <w:r>
        <w:rPr>
          <w:b w:val="false"/>
          <w:bCs w:val="false"/>
        </w:rPr>
        <w:t>ing</w:t>
      </w:r>
      <w:r>
        <w:rPr>
          <w:b w:val="false"/>
          <w:bCs w:val="false"/>
        </w:rPr>
        <w:t xml:space="preserve"> to see that one of Pfeffer’s references was not only a historian but a professional astrologer </w:t>
      </w:r>
      <w:r>
        <w:rPr>
          <w:b w:val="false"/>
          <w:bCs w:val="false"/>
        </w:rPr>
        <w:t>(Jane Ridder-Patrick)</w:t>
      </w:r>
      <w:r>
        <w:rPr>
          <w:b w:val="false"/>
          <w:bCs w:val="false"/>
        </w:rPr>
        <w:t xml:space="preserve"> whose Ph.D. dealt with astrology in the early modern period in Scotland.  Her area of focus or specialization is in Medical Astrology. </w:t>
      </w:r>
      <w:r>
        <w:rPr>
          <w:b w:val="false"/>
          <w:bCs w:val="false"/>
          <w:i w:val="false"/>
          <w:iCs w:val="false"/>
        </w:rPr>
        <w:t xml:space="preserve">Given that some of Dr. Pfeffer’s main interests are the history of astrology and medicine (particularly in the early modern period) </w:t>
      </w:r>
      <w:r>
        <w:rPr>
          <w:rStyle w:val="FootnoteReference"/>
          <w:b w:val="false"/>
          <w:bCs w:val="false"/>
          <w:i w:val="false"/>
          <w:iCs w:val="false"/>
        </w:rPr>
        <w:footnoteReference w:id="15"/>
      </w:r>
      <w:r>
        <w:rPr>
          <w:b w:val="false"/>
          <w:bCs w:val="false"/>
          <w:i w:val="false"/>
          <w:iCs w:val="false"/>
        </w:rPr>
        <w:t xml:space="preserve"> it could</w:t>
      </w:r>
      <w:r>
        <w:rPr>
          <w:b w:val="false"/>
          <w:bCs w:val="false"/>
          <w:i w:val="false"/>
          <w:iCs w:val="false"/>
        </w:rPr>
        <w:t xml:space="preserve"> suggest </w:t>
      </w:r>
      <w:r>
        <w:rPr>
          <w:b w:val="false"/>
          <w:bCs w:val="false"/>
        </w:rPr>
        <w:t xml:space="preserve">that whatever Pfeffer’s personal beliefs may be about astrology </w:t>
      </w:r>
      <w:r>
        <w:rPr>
          <w:b w:val="false"/>
          <w:bCs w:val="false"/>
        </w:rPr>
        <w:t>as a practice (in the present day)</w:t>
      </w:r>
      <w:r>
        <w:rPr>
          <w:b w:val="false"/>
          <w:bCs w:val="false"/>
        </w:rPr>
        <w:t xml:space="preserve">, she did not automatically dismiss Dr. Ridder-Patrick’s </w:t>
      </w:r>
      <w:r>
        <w:rPr>
          <w:b w:val="false"/>
          <w:bCs w:val="false"/>
        </w:rPr>
        <w:t>scholarship as a historian and it did not preclude Ridder-Patrick from being used as a source in peer reviewed paper.</w:t>
      </w:r>
    </w:p>
    <w:p>
      <w:pPr>
        <w:pStyle w:val="Normal"/>
        <w:bidi w:val="0"/>
        <w:jc w:val="start"/>
        <w:rPr>
          <w:b w:val="false"/>
          <w:bCs w:val="false"/>
        </w:rPr>
      </w:pPr>
      <w:r>
        <w:rPr>
          <w:b w:val="false"/>
          <w:bCs w:val="false"/>
        </w:rPr>
      </w:r>
    </w:p>
    <w:p>
      <w:pPr>
        <w:pStyle w:val="Normal"/>
        <w:bidi w:val="0"/>
        <w:jc w:val="start"/>
        <w:rPr>
          <w:b w:val="false"/>
          <w:bCs w:val="false"/>
        </w:rPr>
      </w:pPr>
      <w:r>
        <w:rPr>
          <w:b w:val="false"/>
          <w:bCs w:val="false"/>
        </w:rPr>
      </w:r>
    </w:p>
    <w:p>
      <w:pPr>
        <w:pStyle w:val="Normal"/>
        <w:bidi w:val="0"/>
        <w:jc w:val="start"/>
        <w:rPr>
          <w:b w:val="false"/>
          <w:bCs w:val="false"/>
          <w:u w:val="single"/>
        </w:rPr>
      </w:pPr>
      <w:r>
        <w:rPr>
          <w:b w:val="false"/>
          <w:bCs w:val="false"/>
          <w:u w:val="single"/>
        </w:rPr>
        <w:t>Roger French</w:t>
      </w:r>
    </w:p>
    <w:p>
      <w:pPr>
        <w:pStyle w:val="Normal"/>
        <w:bidi w:val="0"/>
        <w:jc w:val="start"/>
        <w:rPr>
          <w:u w:val="none"/>
        </w:rPr>
      </w:pPr>
      <w:r>
        <w:rPr>
          <w:b w:val="false"/>
          <w:bCs w:val="false"/>
          <w:u w:val="single"/>
        </w:rPr>
      </w:r>
    </w:p>
    <w:p>
      <w:pPr>
        <w:pStyle w:val="Normal"/>
        <w:bidi w:val="0"/>
        <w:jc w:val="start"/>
        <w:rPr>
          <w:b/>
          <w:bCs/>
          <w:u w:val="single"/>
        </w:rPr>
      </w:pPr>
      <w:r>
        <w:rPr>
          <w:b/>
          <w:bCs/>
          <w:u w:val="none"/>
        </w:rPr>
        <w:t>B</w:t>
      </w:r>
      <w:r>
        <w:rPr>
          <w:b/>
          <w:bCs/>
          <w:u w:val="none"/>
        </w:rPr>
        <w:t>iography/Background</w:t>
      </w:r>
    </w:p>
    <w:p>
      <w:pPr>
        <w:pStyle w:val="Normal"/>
        <w:bidi w:val="0"/>
        <w:jc w:val="start"/>
        <w:rPr>
          <w:u w:val="none"/>
        </w:rPr>
      </w:pPr>
      <w:r>
        <w:rPr>
          <w:b w:val="false"/>
          <w:bCs w:val="false"/>
          <w:u w:val="single"/>
        </w:rPr>
      </w:r>
    </w:p>
    <w:p>
      <w:pPr>
        <w:pStyle w:val="Normal"/>
        <w:bidi w:val="0"/>
        <w:jc w:val="start"/>
        <w:rPr>
          <w:b w:val="false"/>
          <w:bCs w:val="false"/>
          <w:u w:val="single"/>
        </w:rPr>
      </w:pPr>
      <w:r>
        <w:rPr>
          <w:b w:val="false"/>
          <w:bCs w:val="false"/>
          <w:u w:val="none"/>
        </w:rPr>
        <w:t xml:space="preserve">Roger French (12 April 1938 – 14 May 2002) was a lecturer in Medical History at Cambridge University where his primary interest </w:t>
      </w:r>
      <w:r>
        <w:rPr>
          <w:b w:val="false"/>
          <w:bCs w:val="false"/>
          <w:u w:val="none"/>
        </w:rPr>
        <w:t>and</w:t>
      </w:r>
      <w:r>
        <w:rPr>
          <w:b w:val="false"/>
          <w:bCs w:val="false"/>
          <w:u w:val="none"/>
        </w:rPr>
        <w:t xml:space="preserve"> focus was on medical history, </w:t>
      </w:r>
      <w:r>
        <w:rPr>
          <w:b w:val="false"/>
          <w:bCs w:val="false"/>
          <w:u w:val="none"/>
        </w:rPr>
        <w:t>particularly during the medieval and renaissance periods. He initially studied zoology at Oxford University but moved on to complete his PhD in the history of science and mathematics.  Along with Dr. French’s obituary mentioning his many academic and professional accomplishments</w:t>
      </w:r>
      <w:r>
        <w:rPr>
          <w:rStyle w:val="FootnoteReference"/>
          <w:b w:val="false"/>
          <w:bCs w:val="false"/>
          <w:u w:val="none"/>
        </w:rPr>
        <w:footnoteReference w:id="16"/>
      </w:r>
      <w:r>
        <w:rPr>
          <w:b w:val="false"/>
          <w:bCs w:val="false"/>
          <w:u w:val="none"/>
        </w:rPr>
        <w:t xml:space="preserve">, it also states that he was known for taking a “relaxed approach” to heading up and running the Wellcome Unit for the History of Medicine at Cambridge. </w:t>
      </w:r>
      <w:r>
        <w:rPr>
          <w:b w:val="false"/>
          <w:bCs w:val="false"/>
          <w:u w:val="none"/>
        </w:rPr>
        <w:t xml:space="preserve">“He </w:t>
      </w:r>
      <w:r>
        <w:rPr>
          <w:b w:val="false"/>
          <w:bCs w:val="false"/>
          <w:u w:val="none"/>
        </w:rPr>
        <w:t>avoid</w:t>
      </w:r>
      <w:r>
        <w:rPr>
          <w:b w:val="false"/>
          <w:bCs w:val="false"/>
          <w:u w:val="none"/>
        </w:rPr>
        <w:t>ed</w:t>
      </w:r>
      <w:r>
        <w:rPr>
          <w:b w:val="false"/>
          <w:bCs w:val="false"/>
          <w:u w:val="none"/>
        </w:rPr>
        <w:t xml:space="preserve"> all internal politics…” </w:t>
      </w:r>
      <w:r>
        <w:rPr>
          <w:b w:val="false"/>
          <w:bCs w:val="false"/>
          <w:u w:val="none"/>
        </w:rPr>
        <w:t>and allowed “...the staff… to pursue their own scholarly interests…”</w:t>
      </w:r>
      <w:r>
        <w:rPr>
          <w:rStyle w:val="FootnoteReference"/>
          <w:b w:val="false"/>
          <w:bCs w:val="false"/>
          <w:u w:val="none"/>
        </w:rPr>
        <w:footnoteReference w:id="17"/>
      </w:r>
      <w:r>
        <w:rPr>
          <w:b w:val="false"/>
          <w:bCs w:val="false"/>
          <w:u w:val="none"/>
        </w:rPr>
        <w:t xml:space="preserve"> which (according to the author of the obituary), “...is best for scholarly originality.”</w:t>
      </w:r>
      <w:r>
        <w:rPr>
          <w:rStyle w:val="FootnoteReference"/>
          <w:b w:val="false"/>
          <w:bCs w:val="false"/>
          <w:u w:val="none"/>
        </w:rPr>
        <w:footnoteReference w:id="18"/>
      </w:r>
      <w:r>
        <w:rPr>
          <w:b w:val="false"/>
          <w:bCs w:val="false"/>
          <w:u w:val="none"/>
        </w:rPr>
        <w:t xml:space="preserve">  Be that as it may, this approach was not approved by superiors at the Wellcome Trust, resulting in his termination from that position (despite his department being extremely successful under his watch.)</w:t>
      </w:r>
      <w:r>
        <w:rPr>
          <w:rStyle w:val="FootnoteReference"/>
          <w:b w:val="false"/>
          <w:bCs w:val="false"/>
          <w:u w:val="none"/>
        </w:rPr>
        <w:footnoteReference w:id="19"/>
      </w:r>
    </w:p>
    <w:p>
      <w:pPr>
        <w:pStyle w:val="Normal"/>
        <w:bidi w:val="0"/>
        <w:jc w:val="start"/>
        <w:rPr>
          <w:u w:val="none"/>
        </w:rPr>
      </w:pPr>
      <w:r>
        <w:rPr>
          <w:b w:val="false"/>
          <w:bCs w:val="false"/>
          <w:u w:val="single"/>
        </w:rPr>
      </w:r>
    </w:p>
    <w:p>
      <w:pPr>
        <w:pStyle w:val="Normal"/>
        <w:bidi w:val="0"/>
        <w:jc w:val="start"/>
        <w:rPr>
          <w:b/>
          <w:bCs/>
        </w:rPr>
      </w:pPr>
      <w:r>
        <w:rPr>
          <w:b/>
          <w:bCs/>
          <w:u w:val="none"/>
        </w:rPr>
        <w:t>The Paper -</w:t>
      </w:r>
      <w:r>
        <w:rPr>
          <w:b w:val="false"/>
          <w:bCs w:val="false"/>
          <w:u w:val="none"/>
        </w:rPr>
        <w:t xml:space="preserve"> </w:t>
      </w:r>
      <w:r>
        <w:rPr>
          <w:b/>
          <w:bCs/>
          <w:u w:val="none"/>
        </w:rPr>
        <w:t>“</w:t>
      </w:r>
      <w:r>
        <w:rPr>
          <w:b/>
          <w:bCs/>
          <w:u w:val="none"/>
        </w:rPr>
        <w:t>Foretelling the Future: Arabic Astrology and English Medicine in the Late Twelfth Century”</w:t>
      </w:r>
      <w:r>
        <w:rPr>
          <w:rStyle w:val="FootnoteReference"/>
          <w:b w:val="false"/>
          <w:bCs w:val="false"/>
          <w:u w:val="none"/>
        </w:rPr>
        <w:footnoteReference w:id="20"/>
      </w:r>
      <w:r>
        <w:rPr>
          <w:b/>
          <w:bCs/>
          <w:u w:val="none"/>
        </w:rPr>
        <w:t xml:space="preserve"> </w:t>
      </w:r>
    </w:p>
    <w:p>
      <w:pPr>
        <w:pStyle w:val="Normal"/>
        <w:bidi w:val="0"/>
        <w:jc w:val="start"/>
        <w:rPr>
          <w:b w:val="false"/>
          <w:bCs w:val="false"/>
          <w:u w:val="none"/>
        </w:rPr>
      </w:pPr>
      <w:r>
        <w:rPr>
          <w:b/>
          <w:bCs/>
        </w:rPr>
      </w:r>
    </w:p>
    <w:p>
      <w:pPr>
        <w:pStyle w:val="Normal"/>
        <w:bidi w:val="0"/>
        <w:jc w:val="start"/>
        <w:rPr>
          <w:b/>
          <w:bCs/>
        </w:rPr>
      </w:pPr>
      <w:r>
        <w:rPr>
          <w:b w:val="false"/>
          <w:bCs w:val="false"/>
          <w:u w:val="none"/>
        </w:rPr>
        <w:t xml:space="preserve">In this paper, Roger French </w:t>
      </w:r>
      <w:r>
        <w:rPr>
          <w:b w:val="false"/>
          <w:bCs w:val="false"/>
          <w:u w:val="none"/>
        </w:rPr>
        <w:t xml:space="preserve">talks about the contributions that astrologerRoger of Hereford made in “the dissemination of Arabic astrology in England” by incorporating the work of astrologer Abu Ma’ shar into his own work and </w:t>
      </w:r>
      <w:r>
        <w:rPr>
          <w:b w:val="false"/>
          <w:bCs w:val="false"/>
          <w:u w:val="none"/>
        </w:rPr>
        <w:t xml:space="preserve">helping to “spread… the doctrines of the </w:t>
      </w:r>
      <w:r>
        <w:rPr>
          <w:b w:val="false"/>
          <w:bCs w:val="false"/>
          <w:i/>
          <w:iCs/>
          <w:u w:val="none"/>
        </w:rPr>
        <w:t>Introductorium</w:t>
      </w:r>
      <w:r>
        <w:rPr>
          <w:b w:val="false"/>
          <w:bCs w:val="false"/>
          <w:i w:val="false"/>
          <w:iCs w:val="false"/>
          <w:u w:val="none"/>
        </w:rPr>
        <w:t>, a work by Ma’ shar.</w:t>
      </w:r>
      <w:r>
        <w:rPr>
          <w:rStyle w:val="FootnoteReference"/>
          <w:b w:val="false"/>
          <w:bCs w:val="false"/>
          <w:i w:val="false"/>
          <w:iCs w:val="false"/>
          <w:u w:val="none"/>
        </w:rPr>
        <w:footnoteReference w:id="21"/>
      </w:r>
    </w:p>
    <w:p>
      <w:pPr>
        <w:pStyle w:val="Normal"/>
        <w:bidi w:val="0"/>
        <w:jc w:val="start"/>
        <w:rPr>
          <w:b/>
          <w:bCs/>
        </w:rPr>
      </w:pPr>
      <w:r>
        <w:rPr>
          <w:b w:val="false"/>
          <w:bCs w:val="false"/>
          <w:i w:val="false"/>
          <w:iCs w:val="false"/>
          <w:u w:val="none"/>
        </w:rPr>
        <w:t>F</w:t>
      </w:r>
      <w:r>
        <w:rPr>
          <w:b w:val="false"/>
          <w:bCs w:val="false"/>
          <w:i w:val="false"/>
          <w:iCs w:val="false"/>
          <w:u w:val="none"/>
        </w:rPr>
        <w:t>rench discusses how this “new” astrological information very much influenced the field of medicine and how it shifted the focus of astrological practice to a kind of (and in some cases) means of predicting the future.  In medicine he argues, this kind of knowledge could give a physician or medical practitioner an edge with clients.  Thus this astrological knowledge could help the practitioner have a very lucrative business, “...</w:t>
      </w:r>
      <w:r>
        <w:rPr>
          <w:b w:val="false"/>
          <w:bCs w:val="false"/>
          <w:i w:val="false"/>
          <w:iCs w:val="false"/>
          <w:u w:val="none"/>
        </w:rPr>
        <w:t>the doctors wanted astrological techniques to make themselves better doctors in terms of prognostication… [it] linked the patient to the celestial bodies themselves – the causes of everything – was sound advertising.”</w:t>
      </w:r>
      <w:r>
        <w:rPr>
          <w:rStyle w:val="FootnoteReference"/>
          <w:b w:val="false"/>
          <w:bCs w:val="false"/>
          <w:i w:val="false"/>
          <w:iCs w:val="false"/>
          <w:u w:val="none"/>
        </w:rPr>
        <w:footnoteReference w:id="22"/>
      </w:r>
    </w:p>
    <w:p>
      <w:pPr>
        <w:pStyle w:val="Normal"/>
        <w:bidi w:val="0"/>
        <w:jc w:val="start"/>
        <w:rPr>
          <w:u w:val="none"/>
        </w:rPr>
      </w:pPr>
      <w:r>
        <w:rPr>
          <w:b/>
          <w:bCs/>
        </w:rPr>
      </w:r>
    </w:p>
    <w:p>
      <w:pPr>
        <w:pStyle w:val="Normal"/>
        <w:bidi w:val="0"/>
        <w:jc w:val="start"/>
        <w:rPr>
          <w:b w:val="false"/>
          <w:bCs w:val="false"/>
        </w:rPr>
      </w:pPr>
      <w:r>
        <w:rPr>
          <w:b w:val="false"/>
          <w:bCs w:val="false"/>
        </w:rPr>
        <w:t>French’s paper was</w:t>
      </w:r>
      <w:r>
        <w:rPr>
          <w:b w:val="false"/>
          <w:bCs w:val="false"/>
        </w:rPr>
        <w:t xml:space="preserve"> much more easy to follow.  </w:t>
      </w:r>
      <w:r>
        <w:rPr>
          <w:b w:val="false"/>
          <w:bCs w:val="false"/>
        </w:rPr>
        <w:t>It had</w:t>
      </w:r>
      <w:r>
        <w:rPr>
          <w:b w:val="false"/>
          <w:bCs w:val="false"/>
        </w:rPr>
        <w:t xml:space="preserve"> helpful additional footnotes of </w:t>
      </w:r>
      <w:r>
        <w:rPr>
          <w:b w:val="false"/>
          <w:bCs w:val="false"/>
        </w:rPr>
        <w:t xml:space="preserve">that included more information and relevant asides that related to the central story.  Much of his footnotes are in Latin but they largely derived from the primary sources of his paper. </w:t>
      </w:r>
      <w:r>
        <w:rPr>
          <w:b w:val="false"/>
          <w:bCs w:val="false"/>
        </w:rPr>
        <w:t>Not having studied Latin or even having a working knowledge of it (other than Latin terminology that is frequently used in main stream parlance) there were more than a few words or phrases in the main body of the paper that had no footnote to translate or define.</w:t>
      </w:r>
      <w:r>
        <w:rPr>
          <w:b w:val="false"/>
          <w:bCs w:val="false"/>
        </w:rPr>
        <w:t xml:space="preserve"> </w:t>
      </w:r>
      <w:r>
        <w:rPr>
          <w:b w:val="false"/>
          <w:bCs w:val="false"/>
        </w:rPr>
        <w:t>However, even though h</w:t>
      </w:r>
      <w:r>
        <w:rPr>
          <w:b w:val="false"/>
          <w:bCs w:val="false"/>
        </w:rPr>
        <w:t>is paper seem</w:t>
      </w:r>
      <w:r>
        <w:rPr>
          <w:b w:val="false"/>
          <w:bCs w:val="false"/>
        </w:rPr>
        <w:t>ed</w:t>
      </w:r>
      <w:r>
        <w:rPr>
          <w:b w:val="false"/>
          <w:bCs w:val="false"/>
        </w:rPr>
        <w:t xml:space="preserve"> aimed at</w:t>
      </w:r>
      <w:r>
        <w:rPr>
          <w:b w:val="false"/>
          <w:bCs w:val="false"/>
        </w:rPr>
        <w:t xml:space="preserve"> fellow academics,</w:t>
      </w:r>
      <w:r>
        <w:rPr>
          <w:b w:val="false"/>
          <w:bCs w:val="false"/>
        </w:rPr>
        <w:t xml:space="preserve"> overall it</w:t>
      </w:r>
      <w:r>
        <w:rPr>
          <w:b w:val="false"/>
          <w:bCs w:val="false"/>
        </w:rPr>
        <w:t xml:space="preserve">was </w:t>
      </w:r>
      <w:r>
        <w:rPr>
          <w:b w:val="false"/>
          <w:bCs w:val="false"/>
        </w:rPr>
        <w:t>very access</w:t>
      </w:r>
      <w:r>
        <w:rPr>
          <w:b w:val="false"/>
          <w:bCs w:val="false"/>
        </w:rPr>
        <w:t>i</w:t>
      </w:r>
      <w:r>
        <w:rPr>
          <w:b w:val="false"/>
          <w:bCs w:val="false"/>
        </w:rPr>
        <w:t>ble.</w:t>
      </w:r>
    </w:p>
    <w:p>
      <w:pPr>
        <w:pStyle w:val="Normal"/>
        <w:bidi w:val="0"/>
        <w:jc w:val="start"/>
        <w:rPr>
          <w:b/>
          <w:bCs/>
        </w:rPr>
      </w:pPr>
      <w:r>
        <w:rPr>
          <w:b/>
          <w:bCs/>
        </w:rPr>
        <w:t>What the Authors have in Common</w:t>
      </w:r>
    </w:p>
    <w:p>
      <w:pPr>
        <w:pStyle w:val="Normal"/>
        <w:bidi w:val="0"/>
        <w:jc w:val="start"/>
        <w:rPr>
          <w:b w:val="false"/>
          <w:bCs w:val="false"/>
        </w:rPr>
      </w:pPr>
      <w:r>
        <w:rPr>
          <w:b w:val="false"/>
          <w:bCs w:val="false"/>
        </w:rPr>
      </w:r>
    </w:p>
    <w:p>
      <w:pPr>
        <w:pStyle w:val="Normal"/>
        <w:bidi w:val="0"/>
        <w:jc w:val="start"/>
        <w:rPr>
          <w:b w:val="false"/>
          <w:bCs w:val="false"/>
        </w:rPr>
      </w:pPr>
      <w:r>
        <w:rPr>
          <w:b w:val="false"/>
          <w:bCs w:val="false"/>
        </w:rPr>
        <w:t xml:space="preserve">Both </w:t>
      </w:r>
      <w:r>
        <w:rPr>
          <w:b w:val="false"/>
          <w:bCs w:val="false"/>
        </w:rPr>
        <w:t>Pfeffer and French</w:t>
      </w:r>
      <w:r>
        <w:rPr>
          <w:b w:val="false"/>
          <w:bCs w:val="false"/>
        </w:rPr>
        <w:t xml:space="preserve"> use a historical figure </w:t>
      </w:r>
      <w:r>
        <w:rPr>
          <w:b w:val="false"/>
          <w:bCs w:val="false"/>
        </w:rPr>
        <w:t>(</w:t>
      </w:r>
      <w:r>
        <w:rPr>
          <w:b w:val="false"/>
          <w:bCs w:val="false"/>
        </w:rPr>
        <w:t xml:space="preserve">Carlos de </w:t>
      </w:r>
      <w:r>
        <w:rPr>
          <w:b w:val="false"/>
          <w:bCs w:val="false"/>
        </w:rPr>
        <w:t>Siguenza</w:t>
      </w:r>
      <w:r>
        <w:rPr>
          <w:b w:val="false"/>
          <w:bCs w:val="false"/>
        </w:rPr>
        <w:t xml:space="preserve"> </w:t>
      </w:r>
      <w:r>
        <w:rPr>
          <w:rFonts w:eastAsia="NSimSun" w:cs="Lucida Sans"/>
          <w:b w:val="false"/>
          <w:bCs w:val="false"/>
        </w:rPr>
        <w:t xml:space="preserve">y Gongora </w:t>
      </w:r>
      <w:r>
        <w:rPr>
          <w:rFonts w:eastAsia="NSimSun" w:cs="Lucida Sans"/>
          <w:b w:val="false"/>
          <w:bCs w:val="false"/>
        </w:rPr>
        <w:t xml:space="preserve">and Roger of Hereford respectively) </w:t>
      </w:r>
      <w:r>
        <w:rPr>
          <w:b w:val="false"/>
          <w:bCs w:val="false"/>
        </w:rPr>
        <w:t xml:space="preserve">to </w:t>
      </w:r>
      <w:r>
        <w:rPr>
          <w:b w:val="false"/>
          <w:bCs w:val="false"/>
        </w:rPr>
        <w:t>help defend their arguments and also anchor the subject matter of their article in a larger cultural and historical context.</w:t>
      </w:r>
    </w:p>
    <w:p>
      <w:pPr>
        <w:pStyle w:val="Normal"/>
        <w:bidi w:val="0"/>
        <w:jc w:val="start"/>
        <w:rPr>
          <w:b w:val="false"/>
          <w:bCs w:val="false"/>
        </w:rPr>
      </w:pPr>
      <w:r>
        <w:rPr>
          <w:b w:val="false"/>
          <w:bCs w:val="false"/>
        </w:rPr>
        <w:t xml:space="preserve">Both authors are historians with a focus and interest in history, science, medicine and astrology and are well-established with both published books and papers in their fields of expertise. </w:t>
      </w:r>
    </w:p>
    <w:p>
      <w:pPr>
        <w:pStyle w:val="Normal"/>
        <w:bidi w:val="0"/>
        <w:jc w:val="start"/>
        <w:rPr>
          <w:b w:val="false"/>
          <w:bCs w:val="false"/>
        </w:rPr>
      </w:pPr>
      <w:r>
        <w:rPr>
          <w:b w:val="false"/>
          <w:bCs w:val="false"/>
        </w:rPr>
        <w:t xml:space="preserve">It </w:t>
      </w:r>
      <w:r>
        <w:rPr>
          <w:b w:val="false"/>
          <w:bCs w:val="false"/>
        </w:rPr>
        <w:t>seems that</w:t>
      </w:r>
      <w:r>
        <w:rPr>
          <w:b w:val="false"/>
          <w:bCs w:val="false"/>
        </w:rPr>
        <w:t xml:space="preserve"> both </w:t>
      </w:r>
      <w:r>
        <w:rPr>
          <w:b w:val="false"/>
          <w:bCs w:val="false"/>
        </w:rPr>
        <w:t>articles</w:t>
      </w:r>
      <w:r>
        <w:rPr>
          <w:b w:val="false"/>
          <w:bCs w:val="false"/>
        </w:rPr>
        <w:t xml:space="preserve"> are aimed </w:t>
      </w:r>
      <w:r>
        <w:rPr>
          <w:b w:val="false"/>
          <w:bCs w:val="false"/>
        </w:rPr>
        <w:t xml:space="preserve">primarily </w:t>
      </w:r>
      <w:r>
        <w:rPr>
          <w:b w:val="false"/>
          <w:bCs w:val="false"/>
        </w:rPr>
        <w:t xml:space="preserve">at </w:t>
      </w:r>
      <w:r>
        <w:rPr>
          <w:b w:val="false"/>
          <w:bCs w:val="false"/>
        </w:rPr>
        <w:t xml:space="preserve">their </w:t>
      </w:r>
      <w:r>
        <w:rPr>
          <w:b w:val="false"/>
          <w:bCs w:val="false"/>
        </w:rPr>
        <w:t xml:space="preserve">peers or those in academia.  </w:t>
      </w:r>
      <w:r>
        <w:rPr>
          <w:b w:val="false"/>
          <w:bCs w:val="false"/>
        </w:rPr>
        <w:t>For example, b</w:t>
      </w:r>
      <w:r>
        <w:rPr>
          <w:b w:val="false"/>
          <w:bCs w:val="false"/>
        </w:rPr>
        <w:t xml:space="preserve">oth </w:t>
      </w:r>
      <w:r>
        <w:rPr>
          <w:b w:val="false"/>
          <w:bCs w:val="false"/>
        </w:rPr>
        <w:t>Pfeffer and French</w:t>
      </w:r>
      <w:r>
        <w:rPr>
          <w:b w:val="false"/>
          <w:bCs w:val="false"/>
        </w:rPr>
        <w:t xml:space="preserve"> </w:t>
      </w:r>
      <w:r>
        <w:rPr>
          <w:b w:val="false"/>
          <w:bCs w:val="false"/>
        </w:rPr>
        <w:t>sometimes seem to</w:t>
      </w:r>
      <w:r>
        <w:rPr>
          <w:b w:val="false"/>
          <w:bCs w:val="false"/>
        </w:rPr>
        <w:t xml:space="preserve"> make assumptions that the reader is already f</w:t>
      </w:r>
      <w:r>
        <w:rPr>
          <w:b w:val="false"/>
          <w:bCs w:val="false"/>
        </w:rPr>
        <w:t>a</w:t>
      </w:r>
      <w:r>
        <w:rPr>
          <w:b w:val="false"/>
          <w:bCs w:val="false"/>
        </w:rPr>
        <w:t xml:space="preserve">miliar with what’s being discussed and therefore </w:t>
      </w:r>
      <w:r>
        <w:rPr>
          <w:b w:val="false"/>
          <w:bCs w:val="false"/>
        </w:rPr>
        <w:t>there may be</w:t>
      </w:r>
      <w:r>
        <w:rPr>
          <w:b w:val="false"/>
          <w:bCs w:val="false"/>
        </w:rPr>
        <w:t xml:space="preserve"> little or no explanation </w:t>
      </w:r>
      <w:r>
        <w:rPr>
          <w:b w:val="false"/>
          <w:bCs w:val="false"/>
        </w:rPr>
        <w:t>when using</w:t>
      </w:r>
      <w:r>
        <w:rPr>
          <w:b w:val="false"/>
          <w:bCs w:val="false"/>
        </w:rPr>
        <w:t xml:space="preserve"> certain terms, phrases </w:t>
      </w:r>
      <w:r>
        <w:rPr>
          <w:b w:val="false"/>
          <w:bCs w:val="false"/>
        </w:rPr>
        <w:t>or subjects</w:t>
      </w:r>
      <w:r>
        <w:rPr>
          <w:b w:val="false"/>
          <w:bCs w:val="false"/>
        </w:rPr>
        <w:t xml:space="preserve">.  </w:t>
      </w:r>
      <w:r>
        <w:rPr>
          <w:b w:val="false"/>
          <w:bCs w:val="false"/>
        </w:rPr>
        <w:t xml:space="preserve">For example, </w:t>
      </w:r>
      <w:r>
        <w:rPr>
          <w:b w:val="false"/>
          <w:bCs w:val="false"/>
        </w:rPr>
        <w:t xml:space="preserve">Dr. Pfeffer makes reference to terms like “Parcelsianism and Helmontianism” </w:t>
      </w:r>
      <w:r>
        <w:rPr>
          <w:rStyle w:val="FootnoteReference"/>
          <w:b w:val="false"/>
          <w:bCs w:val="false"/>
        </w:rPr>
        <w:footnoteReference w:id="23"/>
      </w:r>
      <w:r>
        <w:rPr>
          <w:b w:val="false"/>
          <w:bCs w:val="false"/>
        </w:rPr>
        <w:t xml:space="preserve"> without explaining or footnoting the terms.  There is a passage in Dr. French’s paper that reads, “</w:t>
      </w:r>
      <w:r>
        <w:rPr>
          <w:rFonts w:ascii="Times New Roman" w:hAnsi="Times New Roman"/>
          <w:b w:val="false"/>
          <w:bCs w:val="false"/>
          <w:sz w:val="24"/>
          <w:szCs w:val="24"/>
        </w:rPr>
        <w:t xml:space="preserve">There is a </w:t>
      </w:r>
      <w:r>
        <w:rPr>
          <w:rFonts w:ascii="Times New Roman" w:hAnsi="Times New Roman"/>
          <w:b w:val="false"/>
          <w:bCs w:val="false"/>
          <w:i/>
          <w:iCs/>
          <w:sz w:val="24"/>
          <w:szCs w:val="24"/>
        </w:rPr>
        <w:t>Theorica planetarum</w:t>
      </w:r>
      <w:r>
        <w:rPr>
          <w:rFonts w:ascii="Times New Roman" w:hAnsi="Times New Roman"/>
          <w:b w:val="false"/>
          <w:bCs w:val="false"/>
          <w:sz w:val="24"/>
          <w:szCs w:val="24"/>
        </w:rPr>
        <w:t xml:space="preserve"> with the incipit "Diversi astrologi secundum diversos . . ." and a </w:t>
      </w:r>
      <w:r>
        <w:rPr>
          <w:rFonts w:ascii="Times New Roman" w:hAnsi="Times New Roman"/>
          <w:b w:val="false"/>
          <w:bCs w:val="false"/>
          <w:i/>
          <w:iCs/>
          <w:sz w:val="24"/>
          <w:szCs w:val="24"/>
        </w:rPr>
        <w:t>De quatuor partibus astronomie</w:t>
      </w:r>
      <w:r>
        <w:rPr>
          <w:rFonts w:ascii="Times New Roman" w:hAnsi="Times New Roman"/>
          <w:b w:val="false"/>
          <w:bCs w:val="false"/>
          <w:sz w:val="24"/>
          <w:szCs w:val="24"/>
        </w:rPr>
        <w:t xml:space="preserve"> that begins "Quoniam principium huic arti dignum duximus de quatuor eius partibus agamus . . . ,"  Also attributed to Roger is a </w:t>
      </w:r>
      <w:r>
        <w:rPr>
          <w:rFonts w:ascii="Times New Roman" w:hAnsi="Times New Roman"/>
          <w:b w:val="false"/>
          <w:bCs w:val="false"/>
          <w:i/>
          <w:iCs/>
          <w:sz w:val="24"/>
          <w:szCs w:val="24"/>
        </w:rPr>
        <w:t>De rebus metallicis</w:t>
      </w:r>
      <w:r>
        <w:rPr>
          <w:rFonts w:ascii="Times New Roman" w:hAnsi="Times New Roman"/>
          <w:b w:val="false"/>
          <w:bCs w:val="false"/>
          <w:sz w:val="24"/>
          <w:szCs w:val="24"/>
        </w:rPr>
        <w:t xml:space="preserve"> and a related </w:t>
      </w:r>
      <w:r>
        <w:rPr>
          <w:rFonts w:ascii="Times New Roman" w:hAnsi="Times New Roman"/>
          <w:b w:val="false"/>
          <w:bCs w:val="false"/>
          <w:i/>
          <w:iCs/>
          <w:sz w:val="24"/>
          <w:szCs w:val="24"/>
        </w:rPr>
        <w:t>Expositiones Aelphidii,</w:t>
      </w:r>
      <w:r>
        <w:rPr>
          <w:rFonts w:ascii="Times New Roman" w:hAnsi="Times New Roman"/>
          <w:b w:val="false"/>
          <w:bCs w:val="false"/>
          <w:sz w:val="24"/>
          <w:szCs w:val="24"/>
        </w:rPr>
        <w:t xml:space="preserve"> which would seem to be a commentary on </w:t>
      </w:r>
      <w:r>
        <w:rPr>
          <w:rFonts w:ascii="Times New Roman" w:hAnsi="Times New Roman"/>
          <w:b w:val="false"/>
          <w:bCs w:val="false"/>
          <w:i/>
          <w:iCs/>
          <w:sz w:val="24"/>
          <w:szCs w:val="24"/>
        </w:rPr>
        <w:t>Alphidius's De creationem metallorum.”</w:t>
      </w:r>
      <w:r>
        <w:rPr>
          <w:rStyle w:val="FootnoteReference"/>
          <w:rFonts w:ascii="Times New Roman" w:hAnsi="Times New Roman"/>
          <w:b w:val="false"/>
          <w:bCs w:val="false"/>
          <w:i/>
          <w:iCs/>
          <w:sz w:val="24"/>
          <w:szCs w:val="24"/>
        </w:rPr>
        <w:footnoteReference w:id="24"/>
      </w:r>
      <w:r>
        <w:rPr>
          <w:rFonts w:ascii="Times New Roman" w:hAnsi="Times New Roman"/>
          <w:b w:val="false"/>
          <w:bCs w:val="false"/>
          <w:i w:val="false"/>
          <w:iCs w:val="false"/>
          <w:sz w:val="24"/>
          <w:szCs w:val="24"/>
        </w:rPr>
        <w:t xml:space="preserve">  </w:t>
      </w:r>
      <w:r>
        <w:rPr>
          <w:rFonts w:ascii="Times New Roman" w:hAnsi="Times New Roman"/>
          <w:b w:val="false"/>
          <w:bCs w:val="false"/>
          <w:i w:val="false"/>
          <w:iCs w:val="false"/>
          <w:sz w:val="24"/>
          <w:szCs w:val="24"/>
        </w:rPr>
        <w:t>Although this passage is referenced, it seems one would need at least a basic understand of some Latin terminology to fully comprehend that sentence.</w:t>
      </w:r>
    </w:p>
    <w:p>
      <w:pPr>
        <w:pStyle w:val="Normal"/>
        <w:bidi w:val="0"/>
        <w:jc w:val="start"/>
        <w:rPr>
          <w:b w:val="false"/>
          <w:bCs w:val="false"/>
        </w:rPr>
      </w:pPr>
      <w:r>
        <w:rPr>
          <w:b w:val="false"/>
          <w:bCs w:val="false"/>
        </w:rPr>
        <w:t xml:space="preserve">Both </w:t>
      </w:r>
      <w:r>
        <w:rPr>
          <w:b w:val="false"/>
          <w:bCs w:val="false"/>
        </w:rPr>
        <w:t xml:space="preserve">papers </w:t>
      </w:r>
      <w:r>
        <w:rPr>
          <w:b w:val="false"/>
          <w:bCs w:val="false"/>
        </w:rPr>
        <w:t xml:space="preserve">are extremely well-referenced.  </w:t>
      </w:r>
      <w:r>
        <w:rPr>
          <w:b w:val="false"/>
          <w:bCs w:val="false"/>
        </w:rPr>
        <w:t xml:space="preserve">They use their footnotes </w:t>
      </w:r>
      <w:r>
        <w:rPr>
          <w:b w:val="false"/>
          <w:bCs w:val="false"/>
        </w:rPr>
        <w:t xml:space="preserve">not just </w:t>
      </w:r>
      <w:r>
        <w:rPr>
          <w:b w:val="false"/>
          <w:bCs w:val="false"/>
        </w:rPr>
        <w:t>to cite</w:t>
      </w:r>
      <w:r>
        <w:rPr>
          <w:b w:val="false"/>
          <w:bCs w:val="false"/>
        </w:rPr>
        <w:t xml:space="preserve"> other works </w:t>
      </w:r>
      <w:r>
        <w:rPr>
          <w:b w:val="false"/>
          <w:bCs w:val="false"/>
        </w:rPr>
        <w:t>to support their arguments</w:t>
      </w:r>
      <w:r>
        <w:rPr>
          <w:b w:val="false"/>
          <w:bCs w:val="false"/>
        </w:rPr>
        <w:t xml:space="preserve"> but, </w:t>
      </w:r>
      <w:r>
        <w:rPr>
          <w:b w:val="false"/>
          <w:bCs w:val="false"/>
        </w:rPr>
        <w:t>particularly in the case of French’s article,</w:t>
      </w:r>
      <w:r>
        <w:rPr>
          <w:b w:val="false"/>
          <w:bCs w:val="false"/>
        </w:rPr>
        <w:t xml:space="preserve"> </w:t>
      </w:r>
      <w:r>
        <w:rPr>
          <w:b w:val="false"/>
          <w:bCs w:val="false"/>
        </w:rPr>
        <w:t xml:space="preserve">to use the footnotes </w:t>
      </w:r>
      <w:r>
        <w:rPr>
          <w:b w:val="false"/>
          <w:bCs w:val="false"/>
        </w:rPr>
        <w:t xml:space="preserve">to elaborate on some of the points </w:t>
      </w:r>
      <w:r>
        <w:rPr>
          <w:b w:val="false"/>
          <w:bCs w:val="false"/>
        </w:rPr>
        <w:t>made</w:t>
      </w:r>
      <w:r>
        <w:rPr>
          <w:b w:val="false"/>
          <w:bCs w:val="false"/>
        </w:rPr>
        <w:t xml:space="preserve"> in the article proper </w:t>
      </w:r>
      <w:r>
        <w:rPr>
          <w:b w:val="false"/>
          <w:bCs w:val="false"/>
        </w:rPr>
        <w:t>in a way that adds relevant content</w:t>
      </w:r>
      <w:r>
        <w:rPr>
          <w:b w:val="false"/>
          <w:bCs w:val="false"/>
        </w:rPr>
        <w:t>.</w:t>
      </w:r>
    </w:p>
    <w:p>
      <w:pPr>
        <w:pStyle w:val="Normal"/>
        <w:bidi w:val="0"/>
        <w:jc w:val="start"/>
        <w:rPr>
          <w:b w:val="false"/>
          <w:bCs w:val="false"/>
        </w:rPr>
      </w:pPr>
      <w:r>
        <w:rPr>
          <w:b w:val="false"/>
          <w:bCs w:val="false"/>
        </w:rPr>
      </w:r>
    </w:p>
    <w:p>
      <w:pPr>
        <w:pStyle w:val="Normal"/>
        <w:bidi w:val="0"/>
        <w:jc w:val="start"/>
        <w:rPr>
          <w:b/>
          <w:bCs/>
        </w:rPr>
      </w:pPr>
      <w:r>
        <w:rPr>
          <w:b/>
          <w:bCs/>
        </w:rPr>
        <w:t>What the Authors do or say that’s Different</w:t>
      </w:r>
    </w:p>
    <w:p>
      <w:pPr>
        <w:pStyle w:val="Normal"/>
        <w:bidi w:val="0"/>
        <w:jc w:val="start"/>
        <w:rPr>
          <w:b w:val="false"/>
          <w:bCs w:val="false"/>
        </w:rPr>
      </w:pPr>
      <w:r>
        <w:rPr>
          <w:b w:val="false"/>
          <w:bCs w:val="false"/>
        </w:rPr>
        <w:t xml:space="preserve">To the best of my knowledge, none of Roger French’s references </w:t>
      </w:r>
      <w:r>
        <w:rPr>
          <w:b w:val="false"/>
          <w:bCs w:val="false"/>
        </w:rPr>
        <w:t xml:space="preserve">were “present </w:t>
      </w:r>
      <w:r>
        <w:rPr>
          <w:b w:val="false"/>
          <w:bCs w:val="false"/>
        </w:rPr>
        <w:t xml:space="preserve">day” practicing astrologers </w:t>
      </w:r>
      <w:r>
        <w:rPr>
          <w:b w:val="false"/>
          <w:bCs w:val="false"/>
        </w:rPr>
        <w:t>(as was the case in Pfeffer’s paper</w:t>
      </w:r>
      <w:r>
        <w:rPr>
          <w:b w:val="false"/>
          <w:bCs w:val="false"/>
        </w:rPr>
        <w:t>.</w:t>
      </w:r>
      <w:r>
        <w:rPr>
          <w:b w:val="false"/>
          <w:bCs w:val="false"/>
        </w:rPr>
        <w:t>)</w:t>
      </w:r>
      <w:r>
        <w:rPr>
          <w:b w:val="false"/>
          <w:bCs w:val="false"/>
        </w:rPr>
        <w:t xml:space="preserve">  This could be relevant because this m</w:t>
      </w:r>
      <w:r>
        <w:rPr>
          <w:b w:val="false"/>
          <w:bCs w:val="false"/>
        </w:rPr>
        <w:t>ight</w:t>
      </w:r>
      <w:r>
        <w:rPr>
          <w:b w:val="false"/>
          <w:bCs w:val="false"/>
        </w:rPr>
        <w:t xml:space="preserve"> be a sign of things </w:t>
      </w:r>
      <w:r>
        <w:rPr>
          <w:b w:val="false"/>
          <w:bCs w:val="false"/>
        </w:rPr>
        <w:t>having</w:t>
      </w:r>
      <w:r>
        <w:rPr>
          <w:b w:val="false"/>
          <w:bCs w:val="false"/>
        </w:rPr>
        <w:t xml:space="preserve"> chang</w:t>
      </w:r>
      <w:r>
        <w:rPr>
          <w:b w:val="false"/>
          <w:bCs w:val="false"/>
        </w:rPr>
        <w:t>ed (and that are still changing)</w:t>
      </w:r>
      <w:r>
        <w:rPr>
          <w:b w:val="false"/>
          <w:bCs w:val="false"/>
        </w:rPr>
        <w:t xml:space="preserve"> in the world of academia.  With all respect to Dr. French, it’s hard to imagine during the time he was actively writing and researching that using a legitimate source that also happened to be an astrologer would</w:t>
      </w:r>
      <w:r>
        <w:rPr>
          <w:b w:val="false"/>
          <w:bCs w:val="false"/>
        </w:rPr>
        <w:t xml:space="preserve"> </w:t>
      </w:r>
      <w:r>
        <w:rPr>
          <w:b w:val="false"/>
          <w:bCs w:val="false"/>
        </w:rPr>
        <w:t xml:space="preserve">have been considered acceptable in a peer-reviewed paper.  </w:t>
      </w:r>
    </w:p>
    <w:p>
      <w:pPr>
        <w:pStyle w:val="Normal"/>
        <w:bidi w:val="0"/>
        <w:jc w:val="start"/>
        <w:rPr>
          <w:b w:val="false"/>
          <w:bCs w:val="false"/>
        </w:rPr>
      </w:pPr>
      <w:r>
        <w:rPr>
          <w:b w:val="false"/>
          <w:bCs w:val="false"/>
        </w:rPr>
        <w:t xml:space="preserve">In Dr. Pfeffer’s paper she states that from the 1970’s until the present time, historians have wondered what factors played a role in the “marginalization of astrology.”  The assumption was primarily that it was a “...casualty of the ‘scientific revolution’ and ‘enlightenment’…” but also there emerged developing theories about the roles other “social, political and cultural” factors could have played in that process. </w:t>
      </w:r>
      <w:r>
        <w:rPr>
          <w:rStyle w:val="FootnoteReference"/>
          <w:b w:val="false"/>
          <w:bCs w:val="false"/>
        </w:rPr>
        <w:footnoteReference w:id="25"/>
      </w:r>
      <w:r>
        <w:rPr>
          <w:b w:val="false"/>
          <w:bCs w:val="false"/>
        </w:rPr>
        <w:t xml:space="preserve">  This suggests (as does the dates when they were/are active) that Pfeffer has the advantage of time and much more research that has come out since Dr. French has passed.  </w:t>
      </w:r>
    </w:p>
    <w:p>
      <w:pPr>
        <w:pStyle w:val="Normal"/>
        <w:bidi w:val="0"/>
        <w:jc w:val="start"/>
        <w:rPr>
          <w:b w:val="false"/>
          <w:bCs w:val="false"/>
        </w:rPr>
      </w:pPr>
      <w:r>
        <w:rPr>
          <w:b w:val="false"/>
          <w:bCs w:val="false"/>
        </w:rPr>
        <w:t xml:space="preserve"> </w:t>
      </w:r>
      <w:r>
        <w:rPr>
          <w:b w:val="false"/>
          <w:bCs w:val="false"/>
        </w:rPr>
        <w:t xml:space="preserve">His scholarship is </w:t>
      </w:r>
      <w:r>
        <w:rPr>
          <w:b w:val="false"/>
          <w:bCs w:val="false"/>
        </w:rPr>
        <w:t>just as</w:t>
      </w:r>
      <w:r>
        <w:rPr>
          <w:b w:val="false"/>
          <w:bCs w:val="false"/>
        </w:rPr>
        <w:t xml:space="preserve"> impressive </w:t>
      </w:r>
      <w:r>
        <w:rPr>
          <w:b w:val="false"/>
          <w:bCs w:val="false"/>
        </w:rPr>
        <w:t xml:space="preserve">as Dr. Pfeffer’s </w:t>
      </w:r>
      <w:r>
        <w:rPr>
          <w:b w:val="false"/>
          <w:bCs w:val="false"/>
        </w:rPr>
        <w:t xml:space="preserve">but </w:t>
      </w:r>
      <w:r>
        <w:rPr>
          <w:b w:val="false"/>
          <w:bCs w:val="false"/>
        </w:rPr>
        <w:t>given the date of his death, he could not take advantage of this new research and perhaps, a more holistic, less biased approach to the subject of astrology in more recent times.</w:t>
      </w:r>
      <w:r>
        <w:rPr>
          <w:b w:val="false"/>
          <w:bCs w:val="false"/>
        </w:rPr>
        <w:t xml:space="preserve"> </w:t>
      </w:r>
      <w:r>
        <w:rPr>
          <w:b w:val="false"/>
          <w:bCs w:val="false"/>
        </w:rPr>
        <w:t>Her above statement also points to a relatively more recent trend in academia in general to bring a more diverse or intersectional approach in  researching history, etc.  Dr. French was less likely to have been exposed to that approach.</w:t>
      </w:r>
    </w:p>
    <w:p>
      <w:pPr>
        <w:pStyle w:val="Normal"/>
        <w:bidi w:val="0"/>
        <w:jc w:val="start"/>
        <w:rPr>
          <w:b w:val="false"/>
          <w:bCs w:val="false"/>
        </w:rPr>
      </w:pPr>
      <w:r>
        <w:rPr>
          <w:b w:val="false"/>
          <w:bCs w:val="false"/>
        </w:rPr>
      </w:r>
    </w:p>
    <w:p>
      <w:pPr>
        <w:pStyle w:val="Normal"/>
        <w:bidi w:val="0"/>
        <w:jc w:val="start"/>
        <w:rPr>
          <w:b/>
          <w:bCs/>
        </w:rPr>
      </w:pPr>
      <w:r>
        <w:rPr>
          <w:b/>
          <w:bCs/>
        </w:rPr>
        <w:t>Conclusion</w:t>
      </w:r>
    </w:p>
    <w:p>
      <w:pPr>
        <w:pStyle w:val="Normal"/>
        <w:bidi w:val="0"/>
        <w:jc w:val="start"/>
        <w:rPr>
          <w:b w:val="false"/>
          <w:bCs w:val="false"/>
        </w:rPr>
      </w:pPr>
      <w:r>
        <w:rPr>
          <w:b/>
          <w:bCs/>
        </w:rPr>
      </w:r>
    </w:p>
    <w:p>
      <w:pPr>
        <w:pStyle w:val="Normal"/>
        <w:bidi w:val="0"/>
        <w:jc w:val="start"/>
        <w:rPr>
          <w:b/>
          <w:bCs/>
        </w:rPr>
      </w:pPr>
      <w:r>
        <w:rPr>
          <w:b w:val="false"/>
          <w:bCs w:val="false"/>
        </w:rPr>
        <w:t>Both articles involved the history of astrology in the 12</w:t>
      </w:r>
      <w:r>
        <w:rPr>
          <w:b w:val="false"/>
          <w:bCs w:val="false"/>
          <w:vertAlign w:val="superscript"/>
        </w:rPr>
        <w:t>th</w:t>
      </w:r>
      <w:r>
        <w:rPr>
          <w:b w:val="false"/>
          <w:bCs w:val="false"/>
        </w:rPr>
        <w:t xml:space="preserve"> century and in the early modern era.  They both attempted to demonstrate it’s effect on the larger culture (such as medicine) but also the effect the respective cultures of the day had on astrology as well.  In French’s paper, astrology techniques were being used as an attempt by medicine to seem more “scientific” or technical.</w:t>
      </w:r>
    </w:p>
    <w:p>
      <w:pPr>
        <w:pStyle w:val="Normal"/>
        <w:bidi w:val="0"/>
        <w:jc w:val="start"/>
        <w:rPr>
          <w:b/>
          <w:bCs/>
        </w:rPr>
      </w:pPr>
      <w:r>
        <w:rPr>
          <w:b w:val="false"/>
          <w:bCs w:val="false"/>
        </w:rPr>
        <w:t>The focus of Pfeffer’s paper is more how in the early modern era, astrology was seen less and less as something scientific and began to fall out of favor as new scientific advances or discoveries were being made.</w:t>
      </w:r>
    </w:p>
    <w:p>
      <w:pPr>
        <w:pStyle w:val="Normal"/>
        <w:bidi w:val="0"/>
        <w:jc w:val="start"/>
        <w:rPr>
          <w:b w:val="false"/>
          <w:bCs w:val="false"/>
        </w:rPr>
      </w:pPr>
      <w:r>
        <w:rPr>
          <w:b w:val="false"/>
          <w:bCs w:val="false"/>
        </w:rPr>
      </w:r>
    </w:p>
    <w:p>
      <w:pPr>
        <w:pStyle w:val="Normal"/>
        <w:bidi w:val="0"/>
        <w:jc w:val="start"/>
        <w:rPr>
          <w:b w:val="false"/>
          <w:bCs w:val="false"/>
        </w:rPr>
      </w:pPr>
      <w:r>
        <w:rPr>
          <w:b w:val="false"/>
          <w:bCs w:val="false"/>
        </w:rPr>
      </w:r>
      <w:r>
        <w:br w:type="page"/>
      </w:r>
    </w:p>
    <w:p>
      <w:pPr>
        <w:pStyle w:val="Normal"/>
        <w:bidi w:val="0"/>
        <w:jc w:val="start"/>
        <w:rPr>
          <w:b w:val="false"/>
          <w:bCs w:val="false"/>
        </w:rPr>
      </w:pPr>
      <w:r>
        <w:rPr>
          <w:b w:val="false"/>
          <w:bCs w:val="false"/>
        </w:rPr>
      </w:r>
    </w:p>
    <w:p>
      <w:pPr>
        <w:pStyle w:val="Normal"/>
        <w:bidi w:val="0"/>
        <w:jc w:val="center"/>
        <w:rPr>
          <w:b/>
          <w:bCs/>
        </w:rPr>
      </w:pPr>
      <w:r>
        <w:rPr>
          <w:b/>
          <w:bCs/>
        </w:rPr>
        <w:t>Bibliography</w:t>
      </w:r>
    </w:p>
    <w:p>
      <w:pPr>
        <w:pStyle w:val="Normal"/>
        <w:bidi w:val="0"/>
        <w:jc w:val="start"/>
        <w:rPr>
          <w:b w:val="false"/>
          <w:bCs w:val="false"/>
        </w:rPr>
      </w:pPr>
      <w:r>
        <w:rPr>
          <w:b w:val="false"/>
          <w:bCs w:val="false"/>
        </w:rPr>
      </w:r>
    </w:p>
    <w:p>
      <w:pPr>
        <w:pStyle w:val="Normal"/>
        <w:bidi w:val="0"/>
        <w:jc w:val="start"/>
        <w:rPr>
          <w:b w:val="false"/>
        </w:rPr>
      </w:pPr>
      <w:r>
        <w:rPr>
          <w:b w:val="false"/>
          <w:bCs w:val="false"/>
        </w:rPr>
        <w:t>Cunningham, Andrew, “</w:t>
      </w:r>
      <w:bookmarkStart w:id="17" w:name="documentTitle_Copy_1"/>
      <w:bookmarkEnd w:id="17"/>
      <w:r>
        <w:rPr>
          <w:rFonts w:ascii="Times New Roman" w:hAnsi="Times New Roman"/>
          <w:b w:val="false"/>
          <w:i w:val="false"/>
          <w:caps w:val="false"/>
          <w:smallCaps w:val="false"/>
          <w:color w:val="000000"/>
          <w:spacing w:val="0"/>
          <w:sz w:val="24"/>
          <w:szCs w:val="24"/>
        </w:rPr>
        <w:t xml:space="preserve">Obituary: Roger French (12 April 1938-14 May 2002), </w:t>
      </w:r>
      <w:r>
        <w:rPr>
          <w:rFonts w:ascii="Times New Roman" w:hAnsi="Times New Roman"/>
          <w:b w:val="false"/>
          <w:i w:val="false"/>
          <w:caps w:val="false"/>
          <w:smallCaps w:val="false"/>
          <w:color w:val="000000"/>
          <w:spacing w:val="0"/>
          <w:sz w:val="24"/>
          <w:szCs w:val="24"/>
        </w:rPr>
        <w:t>October 2002, Medical History, Vol. 46, Issue 4</w:t>
      </w:r>
    </w:p>
    <w:p>
      <w:pPr>
        <w:pStyle w:val="Normal"/>
        <w:bidi w:val="0"/>
        <w:jc w:val="start"/>
        <w:rPr>
          <w:rFonts w:ascii="Times New Roman" w:hAnsi="Times New Roman"/>
          <w:b w:val="false"/>
          <w:bCs w:val="false"/>
          <w:color w:val="000000"/>
          <w:sz w:val="24"/>
          <w:szCs w:val="24"/>
        </w:rPr>
      </w:pPr>
      <w:r>
        <w:rPr>
          <w:rFonts w:ascii="Times New Roman" w:hAnsi="Times New Roman"/>
          <w:b w:val="false"/>
          <w:bCs w:val="false"/>
          <w:color w:val="000000"/>
          <w:sz w:val="24"/>
          <w:szCs w:val="24"/>
        </w:rPr>
      </w:r>
    </w:p>
    <w:p>
      <w:pPr>
        <w:pStyle w:val="Normal"/>
        <w:bidi w:val="0"/>
        <w:jc w:val="start"/>
        <w:rPr>
          <w:b w:val="false"/>
          <w:bCs w:val="false"/>
        </w:rPr>
      </w:pPr>
      <w:r>
        <w:rPr>
          <w:b w:val="false"/>
          <w:bCs w:val="false"/>
        </w:rPr>
        <w:t>French, Roger, “Foretelling the Future: Arabic Astrology and English Medicine in the Late Twelfth Century”, Isis, September 1996, Volume 87, No. 3, 453-480</w:t>
      </w:r>
    </w:p>
    <w:p>
      <w:pPr>
        <w:pStyle w:val="Normal"/>
        <w:bidi w:val="0"/>
        <w:jc w:val="start"/>
        <w:rPr>
          <w:b w:val="false"/>
          <w:bCs w:val="false"/>
        </w:rPr>
      </w:pPr>
      <w:r>
        <w:rPr>
          <w:b w:val="false"/>
          <w:bCs w:val="false"/>
        </w:rPr>
      </w:r>
    </w:p>
    <w:p>
      <w:pPr>
        <w:pStyle w:val="Normal"/>
        <w:bidi w:val="0"/>
        <w:jc w:val="start"/>
        <w:rPr>
          <w:b w:val="false"/>
          <w:bCs w:val="false"/>
        </w:rPr>
      </w:pPr>
      <w:r>
        <w:rPr>
          <w:b w:val="false"/>
          <w:bCs w:val="false"/>
        </w:rPr>
        <w:t>French, Roger, “The Languages of William Harvey’s Natural Philosophy”, The Journal of the History of Medicine and Allied Sciences, January 1994, Vol. 49, No.1, p 24-51</w:t>
      </w:r>
    </w:p>
    <w:p>
      <w:pPr>
        <w:pStyle w:val="Normal"/>
        <w:bidi w:val="0"/>
        <w:jc w:val="start"/>
        <w:rPr>
          <w:b w:val="false"/>
          <w:bCs w:val="false"/>
        </w:rPr>
      </w:pPr>
      <w:r>
        <w:rPr>
          <w:b w:val="false"/>
          <w:bCs w:val="false"/>
        </w:rPr>
      </w:r>
    </w:p>
    <w:p>
      <w:pPr>
        <w:pStyle w:val="Normal"/>
        <w:bidi w:val="0"/>
        <w:jc w:val="start"/>
        <w:rPr>
          <w:b w:val="false"/>
          <w:bCs w:val="false"/>
        </w:rPr>
      </w:pPr>
      <w:r>
        <w:rPr>
          <w:b w:val="false"/>
          <w:bCs w:val="false"/>
        </w:rPr>
        <w:t>Pfeffer, Michelle, “Reassessing the Marginalization of Astrology in the Early Modern World”, The Historical Journal, 2023, Vol. 66, 1152-1176</w:t>
      </w:r>
    </w:p>
    <w:p>
      <w:pPr>
        <w:pStyle w:val="Normal"/>
        <w:bidi w:val="0"/>
        <w:jc w:val="start"/>
        <w:rPr>
          <w:b w:val="false"/>
          <w:bCs w:val="false"/>
        </w:rPr>
      </w:pPr>
      <w:r>
        <w:rPr>
          <w:b w:val="false"/>
          <w:bCs w:val="false"/>
        </w:rPr>
      </w:r>
    </w:p>
    <w:p>
      <w:pPr>
        <w:pStyle w:val="Normal"/>
        <w:bidi w:val="0"/>
        <w:jc w:val="start"/>
        <w:rPr>
          <w:b w:val="false"/>
          <w:bCs w:val="false"/>
        </w:rPr>
      </w:pPr>
      <w:r>
        <w:rPr>
          <w:b w:val="false"/>
          <w:bCs w:val="false"/>
        </w:rPr>
        <w:t>Pfeffer, Michelle, “Bad Omens”, History Today, February 2024, Vol. 74, p. 13-16</w:t>
      </w:r>
    </w:p>
    <w:p>
      <w:pPr>
        <w:pStyle w:val="Normal"/>
        <w:bidi w:val="0"/>
        <w:jc w:val="start"/>
        <w:rPr>
          <w:b w:val="false"/>
          <w:bCs w:val="false"/>
        </w:rPr>
      </w:pPr>
      <w:r>
        <w:rPr>
          <w:b w:val="false"/>
          <w:bCs w:val="false"/>
        </w:rPr>
      </w:r>
    </w:p>
    <w:p>
      <w:pPr>
        <w:pStyle w:val="Normal"/>
        <w:bidi w:val="0"/>
        <w:jc w:val="start"/>
        <w:rPr>
          <w:b w:val="false"/>
          <w:bCs w:val="false"/>
        </w:rPr>
      </w:pPr>
      <w:r>
        <w:rPr>
          <w:b w:val="false"/>
          <w:bCs w:val="false"/>
        </w:rPr>
        <w:t>Pfeffer, Michelle, “The Society of Astrologers (c. 1647-1684): Sermons, Feasts and the Resus</w:t>
      </w:r>
      <w:r>
        <w:rPr>
          <w:b w:val="false"/>
          <w:bCs w:val="false"/>
        </w:rPr>
        <w:t>citation of Astrology in the 17</w:t>
      </w:r>
      <w:r>
        <w:rPr>
          <w:b w:val="false"/>
          <w:bCs w:val="false"/>
          <w:vertAlign w:val="superscript"/>
        </w:rPr>
        <w:t>th</w:t>
      </w:r>
      <w:r>
        <w:rPr>
          <w:b w:val="false"/>
          <w:bCs w:val="false"/>
        </w:rPr>
        <w:t xml:space="preserve"> Century, The British Journal for the History of Science, 2021, 54, 133-153</w:t>
      </w:r>
    </w:p>
    <w:p>
      <w:pPr>
        <w:pStyle w:val="Normal"/>
        <w:bidi w:val="0"/>
        <w:jc w:val="start"/>
        <w:rPr>
          <w:b w:val="false"/>
          <w:bCs w:val="false"/>
        </w:rPr>
      </w:pPr>
      <w:r>
        <w:rPr>
          <w:b w:val="false"/>
          <w:bCs w:val="false"/>
        </w:rPr>
      </w:r>
    </w:p>
    <w:p>
      <w:pPr>
        <w:pStyle w:val="Normal"/>
        <w:bidi w:val="0"/>
        <w:jc w:val="start"/>
        <w:rPr>
          <w:b w:val="false"/>
        </w:rPr>
      </w:pPr>
      <w:r>
        <w:rPr>
          <w:b w:val="false"/>
          <w:bCs w:val="false"/>
        </w:rPr>
        <w:t xml:space="preserve">Pfeffer, Michelle, </w:t>
      </w:r>
      <w:r>
        <w:rPr>
          <w:rFonts w:ascii="Times New Roman" w:hAnsi="Times New Roman"/>
          <w:b w:val="false"/>
          <w:bCs w:val="false"/>
          <w:i w:val="false"/>
          <w:caps w:val="false"/>
          <w:smallCaps w:val="false"/>
          <w:color w:val="000000"/>
          <w:spacing w:val="0"/>
          <w:sz w:val="24"/>
          <w:szCs w:val="24"/>
        </w:rPr>
        <w:t xml:space="preserve">“Calleva Postdoctoral Researcher, Magdalen College”, </w:t>
      </w:r>
      <w:hyperlink r:id="rId3">
        <w:r>
          <w:rPr>
            <w:rStyle w:val="Hyperlink"/>
            <w:rFonts w:ascii="Times New Roman" w:hAnsi="Times New Roman"/>
            <w:b w:val="false"/>
            <w:bCs w:val="false"/>
            <w:i w:val="false"/>
            <w:caps w:val="false"/>
            <w:smallCaps w:val="false"/>
            <w:color w:val="000000"/>
            <w:spacing w:val="0"/>
            <w:sz w:val="24"/>
            <w:szCs w:val="24"/>
          </w:rPr>
          <w:t>https://www.history.ox.ac.uk/people/dr-michelle-pfeffer</w:t>
        </w:r>
      </w:hyperlink>
    </w:p>
    <w:p>
      <w:pPr>
        <w:pStyle w:val="Normal"/>
        <w:bidi w:val="0"/>
        <w:jc w:val="start"/>
        <w:rPr>
          <w:rFonts w:ascii="Times New Roman" w:hAnsi="Times New Roman"/>
          <w:b w:val="false"/>
          <w:bCs w:val="false"/>
          <w:i w:val="false"/>
          <w:caps w:val="false"/>
          <w:smallCaps w:val="false"/>
          <w:color w:val="000000"/>
          <w:spacing w:val="0"/>
          <w:sz w:val="24"/>
          <w:szCs w:val="24"/>
        </w:rPr>
      </w:pPr>
      <w:r>
        <w:rPr>
          <w:b w:val="false"/>
        </w:rPr>
      </w:r>
    </w:p>
    <w:p>
      <w:pPr>
        <w:pStyle w:val="Normal"/>
        <w:bidi w:val="0"/>
        <w:jc w:val="start"/>
        <w:rPr>
          <w:b w:val="false"/>
        </w:rPr>
      </w:pPr>
      <w:r>
        <w:rPr>
          <w:rFonts w:ascii="Times New Roman" w:hAnsi="Times New Roman"/>
          <w:b w:val="false"/>
          <w:bCs w:val="false"/>
          <w:i w:val="false"/>
          <w:caps w:val="false"/>
          <w:smallCaps w:val="false"/>
          <w:color w:val="000000"/>
          <w:spacing w:val="0"/>
          <w:sz w:val="24"/>
          <w:szCs w:val="24"/>
        </w:rPr>
        <w:t xml:space="preserve">Pfeffer, Michelle, “Magdalen College”, </w:t>
      </w:r>
      <w:hyperlink r:id="rId4">
        <w:r>
          <w:rPr>
            <w:rStyle w:val="Hyperlink"/>
            <w:rFonts w:ascii="Times New Roman" w:hAnsi="Times New Roman"/>
            <w:b w:val="false"/>
            <w:bCs w:val="false"/>
            <w:i w:val="false"/>
            <w:caps w:val="false"/>
            <w:smallCaps w:val="false"/>
            <w:color w:val="000000"/>
            <w:spacing w:val="0"/>
            <w:sz w:val="24"/>
            <w:szCs w:val="24"/>
          </w:rPr>
          <w:t>https://www.magd.ox.ac.uk/people/dr-michelle-aroney/</w:t>
        </w:r>
      </w:hyperlink>
    </w:p>
    <w:p>
      <w:pPr>
        <w:pStyle w:val="Normal"/>
        <w:bidi w:val="0"/>
        <w:jc w:val="start"/>
        <w:rPr>
          <w:rFonts w:ascii="Times New Roman" w:hAnsi="Times New Roman"/>
          <w:b w:val="false"/>
          <w:bCs w:val="false"/>
          <w:i w:val="false"/>
          <w:caps w:val="false"/>
          <w:smallCaps w:val="false"/>
          <w:color w:val="000000"/>
          <w:spacing w:val="0"/>
          <w:sz w:val="24"/>
          <w:szCs w:val="24"/>
        </w:rPr>
      </w:pPr>
      <w:r>
        <w:rPr>
          <w:b w:val="false"/>
        </w:rPr>
      </w:r>
    </w:p>
    <w:p>
      <w:pPr>
        <w:pStyle w:val="Normal"/>
        <w:bidi w:val="0"/>
        <w:jc w:val="start"/>
        <w:rPr>
          <w:b w:val="false"/>
        </w:rPr>
      </w:pPr>
      <w:r>
        <w:rPr>
          <w:rFonts w:ascii="Times New Roman" w:hAnsi="Times New Roman"/>
          <w:b w:val="false"/>
          <w:bCs w:val="false"/>
          <w:i w:val="false"/>
          <w:caps w:val="false"/>
          <w:smallCaps w:val="false"/>
          <w:color w:val="000000"/>
          <w:spacing w:val="0"/>
          <w:sz w:val="24"/>
          <w:szCs w:val="24"/>
        </w:rPr>
        <w:t>Ridder-Patrick, Jane, “The Marginalization of Astrology in Seventeenth-Century Scotland”, Early Science and Medicine, January 2017, Vol. 22, (5-6), p. 464-486</w:t>
      </w:r>
    </w:p>
    <w:p>
      <w:pPr>
        <w:pStyle w:val="Normal"/>
        <w:bidi w:val="0"/>
        <w:jc w:val="start"/>
        <w:rPr>
          <w:rFonts w:ascii="Times New Roman" w:hAnsi="Times New Roman"/>
          <w:b w:val="false"/>
          <w:bCs w:val="false"/>
          <w:i w:val="false"/>
          <w:caps w:val="false"/>
          <w:smallCaps w:val="false"/>
          <w:color w:val="000000"/>
          <w:spacing w:val="0"/>
          <w:sz w:val="24"/>
          <w:szCs w:val="24"/>
        </w:rPr>
      </w:pPr>
      <w:r>
        <w:rPr>
          <w:b w:val="false"/>
        </w:rPr>
      </w:r>
    </w:p>
    <w:p>
      <w:pPr>
        <w:pStyle w:val="Normal"/>
        <w:bidi w:val="0"/>
        <w:jc w:val="start"/>
        <w:rPr>
          <w:b w:val="false"/>
        </w:rPr>
      </w:pPr>
      <w:r>
        <w:rPr>
          <w:rFonts w:ascii="Times New Roman" w:hAnsi="Times New Roman"/>
          <w:b w:val="false"/>
          <w:bCs w:val="false"/>
          <w:i w:val="false"/>
          <w:caps w:val="false"/>
          <w:smallCaps w:val="false"/>
          <w:color w:val="000000"/>
          <w:spacing w:val="0"/>
          <w:sz w:val="24"/>
          <w:szCs w:val="24"/>
        </w:rPr>
        <w:t xml:space="preserve">Ridder-Patrick, Jane, “Jane Ridder-Patrick: Astrology, Health, History”,  </w:t>
      </w:r>
      <w:hyperlink r:id="rId5">
        <w:r>
          <w:rPr>
            <w:rStyle w:val="Hyperlink"/>
            <w:rFonts w:ascii="Times New Roman" w:hAnsi="Times New Roman"/>
            <w:b w:val="false"/>
            <w:bCs w:val="false"/>
            <w:i w:val="false"/>
            <w:caps w:val="false"/>
            <w:smallCaps w:val="false"/>
            <w:color w:val="000000"/>
            <w:spacing w:val="0"/>
            <w:sz w:val="24"/>
            <w:szCs w:val="24"/>
          </w:rPr>
          <w:t>http://www.janeridderpatrick.com/bio/</w:t>
        </w:r>
      </w:hyperlink>
    </w:p>
    <w:p>
      <w:pPr>
        <w:pStyle w:val="Normal"/>
        <w:bidi w:val="0"/>
        <w:jc w:val="start"/>
        <w:rPr>
          <w:rFonts w:ascii="Times New Roman" w:hAnsi="Times New Roman"/>
          <w:b w:val="false"/>
          <w:bCs w:val="false"/>
          <w:i w:val="false"/>
          <w:caps w:val="false"/>
          <w:smallCaps w:val="false"/>
          <w:color w:val="000000"/>
          <w:spacing w:val="0"/>
          <w:sz w:val="24"/>
          <w:szCs w:val="24"/>
          <w:u w:val="none"/>
        </w:rPr>
      </w:pPr>
      <w:r>
        <w:rPr>
          <w:b w:val="false"/>
        </w:rPr>
      </w:r>
    </w:p>
    <w:sectPr>
      <w:headerReference w:type="even" r:id="rId6"/>
      <w:headerReference w:type="default" r:id="rId7"/>
      <w:headerReference w:type="first" r:id="rId8"/>
      <w:footnotePr>
        <w:numFmt w:val="decimal"/>
      </w:footnotePr>
      <w:type w:val="nextPage"/>
      <w:pgSz w:w="12240" w:h="15840"/>
      <w:pgMar w:left="1134" w:right="1134" w:gutter="0" w:header="1134" w:top="1969" w:footer="0" w:bottom="1134"/>
      <w:pgNumType w:fmt="decimal"/>
      <w:formProt w:val="false"/>
      <w:textDirection w:val="lrTb"/>
      <w:docGrid w:type="default" w:linePitch="312" w:charSpace="0"/>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0" w:characterSet="windows-1252"/>
    <w:family w:val="roman"/>
    <w:pitch w:val="variable"/>
  </w:font>
  <w:font w:name="Symbol">
    <w:charset w:val="00" w:characterSet="windows-1252"/>
    <w:family w:val="roman"/>
    <w:pitch w:val="variable"/>
  </w:font>
  <w:font w:name="Courier New">
    <w:charset w:val="00" w:characterSet="windows-1252"/>
    <w:family w:val="auto"/>
    <w:pitch w:val="variable"/>
  </w:font>
  <w:font w:name="Wingdings">
    <w:charset w:val="00" w:characterSet="windows-1252"/>
    <w:family w:val="auto"/>
    <w:pitch w:val="variable"/>
  </w:font>
  <w:font w:name="Albertus">
    <w:charset w:val="00" w:characterSet="windows-1252"/>
    <w:family w:val="roman"/>
    <w:pitch w:val="variable"/>
  </w:font>
  <w:font w:name="Tahoma">
    <w:charset w:val="00" w:characterSet="windows-1252"/>
    <w:family w:val="swiss"/>
    <w:pitch w:val="variable"/>
  </w:font>
  <w:font w:name="Trebuchet MS">
    <w:charset w:val="00" w:characterSet="windows-1252"/>
    <w:family w:val="swiss"/>
    <w:pitch w:val="variable"/>
  </w:font>
  <w:font w:name="Liberation Sans">
    <w:altName w:val="Arial"/>
    <w:charset w:val="00" w:characterSet="windows-1252"/>
    <w:family w:val="swiss"/>
    <w:pitch w:val="variable"/>
  </w:font>
  <w:font w:name="Georgia">
    <w:charset w:val="00" w:characterSet="windows-1252"/>
    <w:family w:val="roman"/>
    <w:pitch w:val="variable"/>
  </w:font>
  <w:font w:name="Code">
    <w:charset w:val="00" w:characterSet="windows-1252"/>
    <w:family w:val="auto"/>
    <w:pitch w:val="variable"/>
  </w:font>
  <w:font w:name="Calibri">
    <w:charset w:val="00" w:characterSet="windows-1252"/>
    <w:family w:val="swiss"/>
    <w:pitch w:val="variable"/>
  </w:font>
  <w:font w:name="Times New Roman">
    <w:charset w:val="01"/>
    <w:family w:val="roman"/>
    <w:pitch w:val="variable"/>
  </w:font>
</w:fonts>
</file>

<file path=word/footnotes.xml><?xml version="1.0" encoding="utf-8"?>
<w:footnotes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footnote w:id="0" w:type="separator">
    <w:p>
      <w:r>
        <w:separator/>
      </w:r>
    </w:p>
  </w:footnote>
  <w:footnote w:id="1" w:type="continuationSeparator">
    <w:p>
      <w:r>
        <w:continuationSeparator/>
      </w:r>
    </w:p>
  </w:footnote>
  <w:footnote w:id="2">
    <w:p>
      <w:pPr>
        <w:pStyle w:val="Normal"/>
        <w:bidi w:val="0"/>
        <w:jc w:val="start"/>
        <w:rPr>
          <w:b w:val="false"/>
        </w:rPr>
      </w:pPr>
      <w:r>
        <w:rPr>
          <w:rStyle w:val="FootnoteCharacters"/>
        </w:rPr>
        <w:footnoteRef/>
      </w:r>
      <w:r>
        <w:rPr>
          <w:rFonts w:ascii="Times New Roman" w:hAnsi="Times New Roman"/>
          <w:b w:val="false"/>
          <w:bCs w:val="false"/>
          <w:sz w:val="20"/>
          <w:szCs w:val="20"/>
        </w:rPr>
        <w:t xml:space="preserve"> </w:t>
      </w:r>
      <w:r>
        <w:rPr>
          <w:rFonts w:ascii="Times New Roman" w:hAnsi="Times New Roman"/>
          <w:b w:val="false"/>
          <w:bCs w:val="false"/>
          <w:sz w:val="20"/>
          <w:szCs w:val="20"/>
        </w:rPr>
        <w:t xml:space="preserve">Pfeffer, Michelle, </w:t>
      </w:r>
      <w:r>
        <w:rPr>
          <w:rFonts w:ascii="Times New Roman" w:hAnsi="Times New Roman"/>
          <w:b w:val="false"/>
          <w:bCs w:val="false"/>
          <w:i w:val="false"/>
          <w:caps w:val="false"/>
          <w:smallCaps w:val="false"/>
          <w:color w:val="000000"/>
          <w:spacing w:val="0"/>
          <w:sz w:val="20"/>
          <w:szCs w:val="20"/>
        </w:rPr>
        <w:t xml:space="preserve">“Calleva Postdoctoral Researcher, Magdalen College”, </w:t>
      </w:r>
      <w:hyperlink r:id="rId1">
        <w:r>
          <w:rPr>
            <w:rStyle w:val="Hyperlink"/>
            <w:rFonts w:ascii="Times New Roman" w:hAnsi="Times New Roman"/>
            <w:b w:val="false"/>
            <w:bCs w:val="false"/>
            <w:i w:val="false"/>
            <w:caps w:val="false"/>
            <w:smallCaps w:val="false"/>
            <w:color w:val="000000"/>
            <w:spacing w:val="0"/>
            <w:sz w:val="20"/>
            <w:szCs w:val="20"/>
          </w:rPr>
          <w:t>https://www.history.ox.ac.uk/people/dr-michelle-pfeffer</w:t>
        </w:r>
      </w:hyperlink>
    </w:p>
  </w:footnote>
  <w:footnote w:id="3">
    <w:p>
      <w:pPr>
        <w:pStyle w:val="Normal"/>
        <w:bidi w:val="0"/>
        <w:jc w:val="start"/>
        <w:rPr>
          <w:b w:val="false"/>
        </w:rPr>
      </w:pPr>
      <w:r>
        <w:rPr>
          <w:rStyle w:val="FootnoteCharacters"/>
        </w:rPr>
        <w:footnoteRef/>
      </w:r>
      <w:r>
        <w:rPr>
          <w:rFonts w:ascii="Times New Roman" w:hAnsi="Times New Roman"/>
          <w:b w:val="false"/>
          <w:bCs w:val="false"/>
          <w:i w:val="false"/>
          <w:caps w:val="false"/>
          <w:smallCaps w:val="false"/>
          <w:color w:val="000000"/>
          <w:spacing w:val="0"/>
          <w:sz w:val="20"/>
          <w:szCs w:val="20"/>
        </w:rPr>
        <w:t xml:space="preserve"> </w:t>
      </w:r>
      <w:r>
        <w:rPr>
          <w:rFonts w:ascii="Times New Roman" w:hAnsi="Times New Roman"/>
          <w:b w:val="false"/>
          <w:bCs w:val="false"/>
          <w:i w:val="false"/>
          <w:caps w:val="false"/>
          <w:smallCaps w:val="false"/>
          <w:color w:val="000000"/>
          <w:spacing w:val="0"/>
          <w:sz w:val="20"/>
          <w:szCs w:val="20"/>
        </w:rPr>
        <w:t xml:space="preserve">Pfeffer, Michelle, “Magdalen College”, </w:t>
      </w:r>
      <w:hyperlink r:id="rId2">
        <w:r>
          <w:rPr>
            <w:rStyle w:val="Hyperlink"/>
            <w:rFonts w:ascii="Times New Roman" w:hAnsi="Times New Roman"/>
            <w:b w:val="false"/>
            <w:bCs w:val="false"/>
            <w:i w:val="false"/>
            <w:caps w:val="false"/>
            <w:smallCaps w:val="false"/>
            <w:color w:val="000000"/>
            <w:spacing w:val="0"/>
            <w:sz w:val="20"/>
            <w:szCs w:val="20"/>
          </w:rPr>
          <w:t>https://www.magd.ox.ac.uk/people/dr-michelle-aroney/</w:t>
        </w:r>
      </w:hyperlink>
    </w:p>
  </w:footnote>
  <w:footnote w:id="4">
    <w:p>
      <w:pPr>
        <w:pStyle w:val="Normal"/>
        <w:bidi w:val="0"/>
        <w:jc w:val="start"/>
        <w:rPr/>
      </w:pPr>
      <w:r>
        <w:rPr>
          <w:rStyle w:val="FootnoteCharacters"/>
        </w:rPr>
        <w:footnoteRef/>
      </w:r>
      <w:r>
        <w:rPr>
          <w:rFonts w:ascii="Times New Roman" w:hAnsi="Times New Roman"/>
          <w:b w:val="false"/>
          <w:bCs w:val="false"/>
          <w:i w:val="false"/>
          <w:caps w:val="false"/>
          <w:smallCaps w:val="false"/>
          <w:color w:val="000000"/>
          <w:spacing w:val="0"/>
          <w:sz w:val="20"/>
          <w:szCs w:val="20"/>
        </w:rPr>
        <w:t xml:space="preserve">Pfeffer, Michelle, “Magdalen College”, </w:t>
      </w:r>
      <w:hyperlink r:id="rId3">
        <w:r>
          <w:rPr>
            <w:rStyle w:val="Hyperlink"/>
            <w:rFonts w:ascii="Times New Roman" w:hAnsi="Times New Roman"/>
            <w:b w:val="false"/>
            <w:bCs w:val="false"/>
            <w:i w:val="false"/>
            <w:caps w:val="false"/>
            <w:smallCaps w:val="false"/>
            <w:color w:val="000000"/>
            <w:spacing w:val="0"/>
            <w:sz w:val="20"/>
            <w:szCs w:val="20"/>
          </w:rPr>
          <w:t>https://www.magd.ox.ac.uk/people/dr-michelle-aroney/</w:t>
        </w:r>
      </w:hyperlink>
      <w:r>
        <w:rPr>
          <w:rFonts w:ascii="Times New Roman" w:hAnsi="Times New Roman"/>
          <w:sz w:val="20"/>
          <w:szCs w:val="20"/>
        </w:rPr>
        <w:t xml:space="preserve"> </w:t>
      </w:r>
    </w:p>
  </w:footnote>
  <w:footnote w:id="5">
    <w:p>
      <w:pPr>
        <w:pStyle w:val="FootnoteText"/>
        <w:rPr/>
      </w:pPr>
      <w:r>
        <w:rPr>
          <w:rStyle w:val="FootnoteCharacters"/>
        </w:rPr>
        <w:footnoteRef/>
      </w:r>
      <w:r>
        <w:rPr>
          <w:rFonts w:ascii="Times New Roman" w:hAnsi="Times New Roman"/>
          <w:b w:val="false"/>
          <w:bCs w:val="false"/>
          <w:sz w:val="20"/>
          <w:szCs w:val="20"/>
        </w:rPr>
        <w:tab/>
        <w:t xml:space="preserve"> </w:t>
      </w:r>
      <w:r>
        <w:rPr>
          <w:rFonts w:ascii="Times New Roman" w:hAnsi="Times New Roman"/>
          <w:b w:val="false"/>
          <w:bCs w:val="false"/>
          <w:sz w:val="20"/>
          <w:szCs w:val="20"/>
        </w:rPr>
        <w:t xml:space="preserve">Pfeffer, Michelle, </w:t>
      </w:r>
      <w:r>
        <w:rPr>
          <w:rFonts w:ascii="Times New Roman" w:hAnsi="Times New Roman"/>
          <w:b w:val="false"/>
          <w:bCs w:val="false"/>
          <w:i w:val="false"/>
          <w:caps w:val="false"/>
          <w:smallCaps w:val="false"/>
          <w:color w:val="000000"/>
          <w:spacing w:val="0"/>
          <w:sz w:val="20"/>
          <w:szCs w:val="20"/>
        </w:rPr>
        <w:t xml:space="preserve">“Calleva Postdoctoral Researcher, Magdalen College”, </w:t>
      </w:r>
      <w:hyperlink r:id="rId4">
        <w:r>
          <w:rPr>
            <w:rStyle w:val="Hyperlink"/>
            <w:rFonts w:ascii="Times New Roman" w:hAnsi="Times New Roman"/>
            <w:b w:val="false"/>
            <w:bCs w:val="false"/>
            <w:i w:val="false"/>
            <w:caps w:val="false"/>
            <w:smallCaps w:val="false"/>
            <w:color w:val="000000"/>
            <w:spacing w:val="0"/>
            <w:sz w:val="20"/>
            <w:szCs w:val="20"/>
          </w:rPr>
          <w:t>https://www.history.ox.ac.uk/people/dr-michelle-pfeffer</w:t>
        </w:r>
      </w:hyperlink>
      <w:r>
        <w:rPr/>
        <w:t xml:space="preserve"> </w:t>
      </w:r>
    </w:p>
  </w:footnote>
  <w:footnote w:id="6">
    <w:p>
      <w:pPr>
        <w:pStyle w:val="FootnoteText"/>
        <w:rPr/>
      </w:pPr>
      <w:r>
        <w:rPr>
          <w:rStyle w:val="FootnoteCharacters"/>
        </w:rPr>
        <w:footnoteRef/>
      </w:r>
      <w:r>
        <w:rPr>
          <w:b w:val="false"/>
          <w:bCs w:val="false"/>
        </w:rPr>
        <w:tab/>
        <w:t xml:space="preserve"> </w:t>
      </w:r>
      <w:r>
        <w:rPr>
          <w:b w:val="false"/>
          <w:bCs w:val="false"/>
        </w:rPr>
        <w:t>Pfeffer, Michelle, “Reassessing the Marginalization of Astrology in the Early Modern World”, The Historical Journal, 2023, Vol. 66, 1152-1176</w:t>
      </w:r>
    </w:p>
  </w:footnote>
  <w:footnote w:id="7">
    <w:p>
      <w:pPr>
        <w:pStyle w:val="FootnoteText"/>
        <w:rPr/>
      </w:pPr>
      <w:r>
        <w:rPr>
          <w:rStyle w:val="FootnoteCharacters"/>
        </w:rPr>
        <w:footnoteRef/>
      </w:r>
      <w:r>
        <w:rPr/>
        <w:tab/>
        <w:t xml:space="preserve"> </w:t>
      </w:r>
      <w:r>
        <w:rPr/>
        <w:t>Ibid, p. 1153</w:t>
      </w:r>
    </w:p>
  </w:footnote>
  <w:footnote w:id="8">
    <w:p>
      <w:pPr>
        <w:pStyle w:val="FootnoteText"/>
        <w:rPr/>
      </w:pPr>
      <w:r>
        <w:rPr>
          <w:rStyle w:val="FootnoteCharacters"/>
        </w:rPr>
        <w:footnoteRef/>
      </w:r>
      <w:r>
        <w:rPr/>
        <w:tab/>
        <w:t xml:space="preserve"> </w:t>
      </w:r>
      <w:r>
        <w:rPr/>
        <w:t>Ibid, p. 1175</w:t>
      </w:r>
    </w:p>
  </w:footnote>
  <w:footnote w:id="9">
    <w:p>
      <w:pPr>
        <w:pStyle w:val="FootnoteText"/>
        <w:rPr/>
      </w:pPr>
      <w:r>
        <w:rPr>
          <w:rStyle w:val="FootnoteCharacters"/>
        </w:rPr>
        <w:footnoteRef/>
      </w:r>
      <w:r>
        <w:rPr>
          <w:b w:val="false"/>
          <w:bCs w:val="false"/>
        </w:rPr>
        <w:tab/>
        <w:t xml:space="preserve"> </w:t>
      </w:r>
      <w:r>
        <w:rPr>
          <w:b w:val="false"/>
          <w:bCs w:val="false"/>
        </w:rPr>
        <w:t>Pfeffer, Michelle, “Reassessing the Marginalization of Astrology in the Early Modern World”, The Historical Journal, 2023, Vol. 66, 1152-1176</w:t>
      </w:r>
      <w:r>
        <w:rPr/>
        <w:t xml:space="preserve"> </w:t>
      </w:r>
    </w:p>
  </w:footnote>
  <w:footnote w:id="10">
    <w:p>
      <w:pPr>
        <w:pStyle w:val="FootnoteText"/>
        <w:rPr/>
      </w:pPr>
      <w:r>
        <w:rPr>
          <w:rStyle w:val="FootnoteCharacters"/>
        </w:rPr>
        <w:footnoteRef/>
      </w:r>
      <w:r>
        <w:rPr/>
        <w:tab/>
        <w:t xml:space="preserve"> </w:t>
      </w:r>
      <w:r>
        <w:rPr/>
        <w:t>Ibid, p. 1164</w:t>
      </w:r>
    </w:p>
  </w:footnote>
  <w:footnote w:id="11">
    <w:p>
      <w:pPr>
        <w:pStyle w:val="FootnoteText"/>
        <w:rPr/>
      </w:pPr>
      <w:r>
        <w:rPr>
          <w:rStyle w:val="FootnoteCharacters"/>
        </w:rPr>
        <w:footnoteRef/>
      </w:r>
      <w:r>
        <w:rPr/>
        <w:tab/>
        <w:t xml:space="preserve"> </w:t>
      </w:r>
      <w:r>
        <w:rPr/>
        <w:t>Ibid, p. 1164</w:t>
      </w:r>
    </w:p>
  </w:footnote>
  <w:footnote w:id="12">
    <w:p>
      <w:pPr>
        <w:pStyle w:val="FootnoteText"/>
        <w:rPr/>
      </w:pPr>
      <w:r>
        <w:rPr>
          <w:rStyle w:val="FootnoteCharacters"/>
        </w:rPr>
        <w:footnoteRef/>
      </w:r>
      <w:r>
        <w:rPr/>
        <w:tab/>
        <w:t>Ibid, p. 1154</w:t>
      </w:r>
    </w:p>
  </w:footnote>
  <w:footnote w:id="13">
    <w:p>
      <w:pPr>
        <w:pStyle w:val="Normal"/>
        <w:bidi w:val="0"/>
        <w:jc w:val="start"/>
        <w:rPr>
          <w:rFonts w:ascii="Times New Roman" w:hAnsi="Times New Roman"/>
          <w:b w:val="false"/>
          <w:bCs w:val="false"/>
          <w:sz w:val="20"/>
          <w:szCs w:val="20"/>
        </w:rPr>
      </w:pPr>
      <w:r>
        <w:rPr>
          <w:rStyle w:val="FootnoteCharacters"/>
        </w:rPr>
        <w:footnoteRef/>
      </w:r>
      <w:r>
        <w:rPr>
          <w:rFonts w:ascii="Times New Roman" w:hAnsi="Times New Roman"/>
          <w:b w:val="false"/>
          <w:bCs w:val="false"/>
          <w:sz w:val="20"/>
          <w:szCs w:val="20"/>
        </w:rPr>
        <w:t xml:space="preserve"> </w:t>
      </w:r>
      <w:r>
        <w:rPr>
          <w:rFonts w:ascii="Times New Roman" w:hAnsi="Times New Roman"/>
          <w:b w:val="false"/>
          <w:bCs w:val="false"/>
          <w:sz w:val="20"/>
          <w:szCs w:val="20"/>
        </w:rPr>
        <w:t>Pfeffer, Michelle, “Bad Omens”, History Today, February 2024, Vol. 74, p. 13-16</w:t>
      </w:r>
    </w:p>
  </w:footnote>
  <w:footnote w:id="14">
    <w:p>
      <w:pPr>
        <w:pStyle w:val="Normal"/>
        <w:bidi w:val="0"/>
        <w:jc w:val="start"/>
        <w:rPr>
          <w:rFonts w:ascii="Times New Roman" w:hAnsi="Times New Roman"/>
          <w:b w:val="false"/>
          <w:bCs w:val="false"/>
          <w:sz w:val="20"/>
          <w:szCs w:val="20"/>
        </w:rPr>
      </w:pPr>
      <w:r>
        <w:rPr>
          <w:rStyle w:val="FootnoteCharacters"/>
        </w:rPr>
        <w:footnoteRef/>
      </w:r>
      <w:r>
        <w:rPr>
          <w:rFonts w:ascii="Times New Roman" w:hAnsi="Times New Roman"/>
          <w:b w:val="false"/>
          <w:bCs w:val="false"/>
          <w:sz w:val="20"/>
          <w:szCs w:val="20"/>
        </w:rPr>
        <w:t>Pfeffer, Michelle, “The Society of Astrologers (c. 1647-1684): Sermons, Feasts and the Resus</w:t>
      </w:r>
      <w:r>
        <w:rPr>
          <w:rFonts w:ascii="Times New Roman" w:hAnsi="Times New Roman"/>
          <w:b w:val="false"/>
          <w:bCs w:val="false"/>
          <w:sz w:val="20"/>
          <w:szCs w:val="20"/>
        </w:rPr>
        <w:t>citation of Astrology in the 17</w:t>
      </w:r>
      <w:r>
        <w:rPr>
          <w:rFonts w:ascii="Times New Roman" w:hAnsi="Times New Roman"/>
          <w:b w:val="false"/>
          <w:bCs w:val="false"/>
          <w:sz w:val="20"/>
          <w:szCs w:val="20"/>
          <w:vertAlign w:val="superscript"/>
        </w:rPr>
        <w:t>th</w:t>
      </w:r>
      <w:r>
        <w:rPr>
          <w:rFonts w:ascii="Times New Roman" w:hAnsi="Times New Roman"/>
          <w:b w:val="false"/>
          <w:bCs w:val="false"/>
          <w:sz w:val="20"/>
          <w:szCs w:val="20"/>
        </w:rPr>
        <w:t xml:space="preserve"> Century, The British Journal for the History of Science, 2021, 54, 133-153</w:t>
      </w:r>
    </w:p>
  </w:footnote>
  <w:footnote w:id="15">
    <w:p>
      <w:pPr>
        <w:pStyle w:val="Normal"/>
        <w:bidi w:val="0"/>
        <w:jc w:val="start"/>
        <w:rPr/>
      </w:pPr>
      <w:r>
        <w:rPr>
          <w:rStyle w:val="FootnoteCharacters"/>
        </w:rPr>
        <w:footnoteRef/>
      </w:r>
      <w:r>
        <w:rPr>
          <w:rFonts w:ascii="Times New Roman" w:hAnsi="Times New Roman"/>
          <w:b w:val="false"/>
          <w:bCs w:val="false"/>
          <w:i w:val="false"/>
          <w:caps w:val="false"/>
          <w:smallCaps w:val="false"/>
          <w:color w:val="000000"/>
          <w:spacing w:val="0"/>
          <w:sz w:val="22"/>
          <w:szCs w:val="22"/>
        </w:rPr>
        <w:t xml:space="preserve"> </w:t>
      </w:r>
      <w:r>
        <w:rPr>
          <w:rFonts w:ascii="Times New Roman" w:hAnsi="Times New Roman"/>
          <w:b w:val="false"/>
          <w:bCs w:val="false"/>
          <w:i w:val="false"/>
          <w:caps w:val="false"/>
          <w:smallCaps w:val="false"/>
          <w:color w:val="000000"/>
          <w:spacing w:val="0"/>
          <w:sz w:val="20"/>
          <w:szCs w:val="20"/>
        </w:rPr>
        <w:t xml:space="preserve">Pfeffer, Michelle, “Magdalen College”, </w:t>
      </w:r>
      <w:hyperlink r:id="rId5">
        <w:r>
          <w:rPr>
            <w:rStyle w:val="Hyperlink"/>
            <w:rFonts w:ascii="Times New Roman" w:hAnsi="Times New Roman"/>
            <w:b w:val="false"/>
            <w:bCs w:val="false"/>
            <w:i w:val="false"/>
            <w:caps w:val="false"/>
            <w:smallCaps w:val="false"/>
            <w:color w:val="000000"/>
            <w:spacing w:val="0"/>
            <w:sz w:val="20"/>
            <w:szCs w:val="20"/>
          </w:rPr>
          <w:t>https://www.magd.ox.ac.uk/people/dr-michelle-aroney/</w:t>
        </w:r>
      </w:hyperlink>
    </w:p>
  </w:footnote>
  <w:footnote w:id="16">
    <w:p>
      <w:pPr>
        <w:pStyle w:val="FootnoteText"/>
        <w:rPr/>
      </w:pPr>
      <w:r>
        <w:rPr>
          <w:rStyle w:val="FootnoteCharacters"/>
        </w:rPr>
        <w:footnoteRef/>
      </w:r>
      <w:r>
        <w:rPr>
          <w:rFonts w:ascii="Times New Roman" w:hAnsi="Times New Roman"/>
          <w:b w:val="false"/>
          <w:bCs w:val="false"/>
          <w:sz w:val="20"/>
          <w:szCs w:val="20"/>
        </w:rPr>
        <w:tab/>
        <w:t xml:space="preserve"> </w:t>
      </w:r>
      <w:r>
        <w:rPr>
          <w:rFonts w:ascii="Times New Roman" w:hAnsi="Times New Roman"/>
          <w:b w:val="false"/>
          <w:bCs w:val="false"/>
          <w:sz w:val="20"/>
          <w:szCs w:val="20"/>
        </w:rPr>
        <w:t>Cunningham, Andrew, “</w:t>
      </w:r>
      <w:bookmarkStart w:id="20" w:name="documentTitle"/>
      <w:bookmarkEnd w:id="20"/>
      <w:r>
        <w:rPr>
          <w:rFonts w:ascii="Times New Roman" w:hAnsi="Times New Roman"/>
          <w:b w:val="false"/>
          <w:i w:val="false"/>
          <w:caps w:val="false"/>
          <w:smallCaps w:val="false"/>
          <w:color w:val="000000"/>
          <w:spacing w:val="0"/>
          <w:sz w:val="20"/>
          <w:szCs w:val="20"/>
        </w:rPr>
        <w:t xml:space="preserve">Obituary: Roger French (12 April 1938-14 May 2002), </w:t>
      </w:r>
      <w:r>
        <w:rPr>
          <w:rFonts w:ascii="Times New Roman" w:hAnsi="Times New Roman"/>
          <w:b w:val="false"/>
          <w:i w:val="false"/>
          <w:caps w:val="false"/>
          <w:smallCaps w:val="false"/>
          <w:color w:val="000000"/>
          <w:spacing w:val="0"/>
          <w:sz w:val="20"/>
          <w:szCs w:val="20"/>
        </w:rPr>
        <w:t>October 2002, Medical History, Vol. 46, Issue 4</w:t>
      </w:r>
      <w:r>
        <w:rPr/>
        <w:t xml:space="preserve"> </w:t>
      </w:r>
    </w:p>
  </w:footnote>
  <w:footnote w:id="17">
    <w:p>
      <w:pPr>
        <w:pStyle w:val="FootnoteText"/>
        <w:rPr/>
      </w:pPr>
      <w:r>
        <w:rPr>
          <w:rStyle w:val="FootnoteCharacters"/>
        </w:rPr>
        <w:footnoteRef/>
      </w:r>
      <w:r>
        <w:rPr/>
        <w:tab/>
        <w:t xml:space="preserve"> </w:t>
      </w:r>
      <w:r>
        <w:rPr/>
        <w:t>Ibid, p. 582</w:t>
      </w:r>
    </w:p>
  </w:footnote>
  <w:footnote w:id="18">
    <w:p>
      <w:pPr>
        <w:pStyle w:val="FootnoteText"/>
        <w:rPr/>
      </w:pPr>
      <w:r>
        <w:rPr>
          <w:rStyle w:val="FootnoteCharacters"/>
        </w:rPr>
        <w:footnoteRef/>
      </w:r>
      <w:r>
        <w:rPr/>
        <w:tab/>
        <w:t xml:space="preserve"> </w:t>
      </w:r>
      <w:r>
        <w:rPr/>
        <w:t>Ibid, p. 582</w:t>
      </w:r>
    </w:p>
  </w:footnote>
  <w:footnote w:id="19">
    <w:p>
      <w:pPr>
        <w:pStyle w:val="FootnoteText"/>
        <w:rPr/>
      </w:pPr>
      <w:r>
        <w:rPr>
          <w:rStyle w:val="FootnoteCharacters"/>
        </w:rPr>
        <w:footnoteRef/>
      </w:r>
      <w:r>
        <w:rPr/>
        <w:tab/>
        <w:t xml:space="preserve"> </w:t>
      </w:r>
      <w:r>
        <w:rPr/>
        <w:t>Ibid, p. 582</w:t>
      </w:r>
    </w:p>
  </w:footnote>
  <w:footnote w:id="20">
    <w:p>
      <w:pPr>
        <w:pStyle w:val="Normal"/>
        <w:bidi w:val="0"/>
        <w:jc w:val="start"/>
        <w:rPr>
          <w:rFonts w:ascii="Times New Roman" w:hAnsi="Times New Roman"/>
          <w:b w:val="false"/>
          <w:bCs w:val="false"/>
          <w:sz w:val="20"/>
          <w:szCs w:val="20"/>
        </w:rPr>
      </w:pPr>
      <w:r>
        <w:rPr>
          <w:rStyle w:val="FootnoteCharacters"/>
        </w:rPr>
        <w:footnoteRef/>
      </w:r>
      <w:r>
        <w:rPr>
          <w:rFonts w:ascii="Times New Roman" w:hAnsi="Times New Roman"/>
          <w:b w:val="false"/>
          <w:bCs w:val="false"/>
          <w:sz w:val="20"/>
          <w:szCs w:val="20"/>
        </w:rPr>
        <w:t xml:space="preserve"> </w:t>
      </w:r>
      <w:r>
        <w:rPr>
          <w:rFonts w:ascii="Times New Roman" w:hAnsi="Times New Roman"/>
          <w:b w:val="false"/>
          <w:bCs w:val="false"/>
          <w:sz w:val="20"/>
          <w:szCs w:val="20"/>
        </w:rPr>
        <w:t>French, Roger, “Foretelling the Future: Arabic Astrology and English Medicine in the Late Twelfth Century”, Isis, September 1996, Volume 87, No. 3, 453-480</w:t>
      </w:r>
    </w:p>
  </w:footnote>
  <w:footnote w:id="21">
    <w:p>
      <w:pPr>
        <w:pStyle w:val="FootnoteText"/>
        <w:rPr/>
      </w:pPr>
      <w:r>
        <w:rPr>
          <w:rStyle w:val="FootnoteCharacters"/>
        </w:rPr>
        <w:footnoteRef/>
      </w:r>
      <w:r>
        <w:rPr>
          <w:b w:val="false"/>
          <w:bCs w:val="false"/>
        </w:rPr>
        <w:tab/>
        <w:t xml:space="preserve"> </w:t>
      </w:r>
      <w:r>
        <w:rPr>
          <w:b w:val="false"/>
          <w:bCs w:val="false"/>
        </w:rPr>
        <w:t>French, Roger, “Foretelling the Future: Arabic Astrology and English Medicine in the Late Twelfth Century”, Isis, September 1996, Volume 87, No. 3,</w:t>
      </w:r>
      <w:r>
        <w:rPr/>
        <w:t xml:space="preserve"> </w:t>
      </w:r>
      <w:r>
        <w:rPr/>
        <w:t>p. 455.</w:t>
      </w:r>
    </w:p>
  </w:footnote>
  <w:footnote w:id="22">
    <w:p>
      <w:pPr>
        <w:pStyle w:val="FootnoteText"/>
        <w:rPr/>
      </w:pPr>
      <w:r>
        <w:rPr>
          <w:rStyle w:val="FootnoteCharacters"/>
        </w:rPr>
        <w:footnoteRef/>
      </w:r>
      <w:r>
        <w:rPr/>
        <w:tab/>
        <w:t xml:space="preserve"> </w:t>
      </w:r>
      <w:r>
        <w:rPr/>
        <w:t>Ibid, p. 475</w:t>
      </w:r>
    </w:p>
  </w:footnote>
  <w:footnote w:id="23">
    <w:p>
      <w:pPr>
        <w:pStyle w:val="FootnoteText"/>
        <w:rPr/>
      </w:pPr>
      <w:r>
        <w:rPr>
          <w:rStyle w:val="FootnoteCharacters"/>
        </w:rPr>
        <w:footnoteRef/>
      </w:r>
      <w:r>
        <w:rPr>
          <w:b w:val="false"/>
          <w:bCs w:val="false"/>
        </w:rPr>
        <w:tab/>
        <w:t xml:space="preserve"> </w:t>
      </w:r>
      <w:r>
        <w:rPr>
          <w:b w:val="false"/>
          <w:bCs w:val="false"/>
        </w:rPr>
        <w:t xml:space="preserve">Pfeffer, Michelle, “Reassessing the Marginalization of Astrology in the Early Modern World”, The Historical Journal, 2023, Vol. 66, </w:t>
      </w:r>
      <w:r>
        <w:rPr>
          <w:b w:val="false"/>
          <w:bCs w:val="false"/>
        </w:rPr>
        <w:t>p. 1163</w:t>
      </w:r>
    </w:p>
  </w:footnote>
  <w:footnote w:id="24">
    <w:p>
      <w:pPr>
        <w:pStyle w:val="FootnoteText"/>
        <w:rPr/>
      </w:pPr>
      <w:r>
        <w:rPr>
          <w:rStyle w:val="FootnoteCharacters"/>
        </w:rPr>
        <w:footnoteRef/>
      </w:r>
      <w:r>
        <w:rPr>
          <w:b w:val="false"/>
          <w:bCs w:val="false"/>
        </w:rPr>
        <w:tab/>
        <w:t xml:space="preserve">French, Roger, “Foretelling the Future: Arabic Astrology and English Medicine in the Late Twelfth Century”, Isis, September 1996, Volume 87, No. 3, </w:t>
      </w:r>
      <w:r>
        <w:rPr>
          <w:b w:val="false"/>
          <w:bCs w:val="false"/>
        </w:rPr>
        <w:t>p. 466</w:t>
      </w:r>
      <w:r>
        <w:rPr/>
        <w:t xml:space="preserve"> </w:t>
      </w:r>
    </w:p>
  </w:footnote>
  <w:footnote w:id="25">
    <w:p>
      <w:pPr>
        <w:pStyle w:val="FootnoteText"/>
        <w:rPr/>
      </w:pPr>
      <w:r>
        <w:rPr>
          <w:rStyle w:val="FootnoteCharacters"/>
        </w:rPr>
        <w:footnoteRef/>
      </w:r>
      <w:r>
        <w:rPr>
          <w:b w:val="false"/>
          <w:bCs w:val="false"/>
        </w:rPr>
        <w:tab/>
        <w:t xml:space="preserve"> </w:t>
      </w:r>
      <w:r>
        <w:rPr>
          <w:b w:val="false"/>
          <w:bCs w:val="false"/>
        </w:rPr>
        <w:t xml:space="preserve">Pfeffer, Michelle, “Reassessing the Marginalization of Astrology in the Early Modern World”, The Historical Journal, 2023, Vol. 66, </w:t>
      </w:r>
      <w:r>
        <w:rPr>
          <w:b w:val="false"/>
          <w:bCs w:val="false"/>
        </w:rPr>
        <w:t>p. 1152</w:t>
      </w:r>
    </w:p>
  </w:footnote>
</w:footnote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bidi w:val="0"/>
      <w:jc w:val="end"/>
      <w:rPr/>
    </w:pPr>
    <w:r>
      <w:rPr/>
      <w:t xml:space="preserve"> </w:t>
    </w:r>
    <w:bookmarkStart w:id="18" w:name="PageNumWizard_HEADER_Default_Page_Style1"/>
    <w:r>
      <w:rPr/>
      <w:fldChar w:fldCharType="begin"/>
    </w:r>
    <w:r>
      <w:rPr/>
      <w:instrText xml:space="preserve"> PAGE </w:instrText>
    </w:r>
    <w:r>
      <w:rPr/>
      <w:fldChar w:fldCharType="separate"/>
    </w:r>
    <w:r>
      <w:rPr/>
      <w:t>5</w:t>
    </w:r>
    <w:r>
      <w:rPr/>
      <w:fldChar w:fldCharType="end"/>
    </w:r>
    <w:bookmarkEnd w:id="18"/>
  </w:p>
  <w:p>
    <w:pPr>
      <w:pStyle w:val="Header"/>
      <w:bidi w:val="0"/>
      <w:jc w:val="start"/>
      <w:rPr/>
    </w:pPr>
    <w:r>
      <w:rPr/>
      <w:t>Doris Maat 2322109</w:t>
      <w:tab/>
      <w:tab/>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bidi w:val="0"/>
      <w:jc w:val="end"/>
      <w:rPr/>
    </w:pPr>
    <w:r>
      <w:rPr/>
      <w:t xml:space="preserve"> </w:t>
    </w:r>
    <w:bookmarkStart w:id="19" w:name="PageNumWizard_HEADER_Default_Page_Style1"/>
    <w:r>
      <w:rPr/>
      <w:fldChar w:fldCharType="begin"/>
    </w:r>
    <w:r>
      <w:rPr/>
      <w:instrText xml:space="preserve"> PAGE </w:instrText>
    </w:r>
    <w:r>
      <w:rPr/>
      <w:fldChar w:fldCharType="separate"/>
    </w:r>
    <w:r>
      <w:rPr/>
      <w:t>5</w:t>
    </w:r>
    <w:r>
      <w:rPr/>
      <w:fldChar w:fldCharType="end"/>
    </w:r>
    <w:bookmarkEnd w:id="19"/>
  </w:p>
  <w:p>
    <w:pPr>
      <w:pStyle w:val="Header"/>
      <w:bidi w:val="0"/>
      <w:jc w:val="start"/>
      <w:rPr/>
    </w:pPr>
    <w:r>
      <w:rPr/>
      <w:t>Doris Maat 2322109</w:t>
      <w:tab/>
      <w:tab/>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start"/>
      <w:pPr>
        <w:tabs>
          <w:tab w:val="num" w:pos="0"/>
        </w:tabs>
        <w:ind w:start="0" w:hanging="0"/>
      </w:pPr>
      <w:rPr/>
    </w:lvl>
    <w:lvl w:ilvl="1">
      <w:start w:val="1"/>
      <w:numFmt w:val="none"/>
      <w:suff w:val="nothing"/>
      <w:lvlText w:val=""/>
      <w:lvlJc w:val="start"/>
      <w:pPr>
        <w:tabs>
          <w:tab w:val="num" w:pos="0"/>
        </w:tabs>
        <w:ind w:start="0" w:hanging="0"/>
      </w:pPr>
      <w:rPr/>
    </w:lvl>
    <w:lvl w:ilvl="2">
      <w:start w:val="1"/>
      <w:numFmt w:val="none"/>
      <w:suff w:val="nothing"/>
      <w:lvlText w:val=""/>
      <w:lvlJc w:val="start"/>
      <w:pPr>
        <w:tabs>
          <w:tab w:val="num" w:pos="0"/>
        </w:tabs>
        <w:ind w:start="0" w:hanging="0"/>
      </w:pPr>
      <w:rPr/>
    </w:lvl>
    <w:lvl w:ilvl="3">
      <w:start w:val="1"/>
      <w:numFmt w:val="none"/>
      <w:suff w:val="nothing"/>
      <w:lvlText w:val=""/>
      <w:lvlJc w:val="start"/>
      <w:pPr>
        <w:tabs>
          <w:tab w:val="num" w:pos="0"/>
        </w:tabs>
        <w:ind w:start="0" w:hanging="0"/>
      </w:pPr>
      <w:rPr/>
    </w:lvl>
    <w:lvl w:ilvl="4">
      <w:start w:val="1"/>
      <w:numFmt w:val="none"/>
      <w:suff w:val="nothing"/>
      <w:lvlText w:val=""/>
      <w:lvlJc w:val="start"/>
      <w:pPr>
        <w:tabs>
          <w:tab w:val="num" w:pos="0"/>
        </w:tabs>
        <w:ind w:start="0" w:hanging="0"/>
      </w:pPr>
      <w:rPr/>
    </w:lvl>
    <w:lvl w:ilvl="5">
      <w:start w:val="1"/>
      <w:numFmt w:val="none"/>
      <w:suff w:val="nothing"/>
      <w:lvlText w:val=""/>
      <w:lvlJc w:val="start"/>
      <w:pPr>
        <w:tabs>
          <w:tab w:val="num" w:pos="0"/>
        </w:tabs>
        <w:ind w:start="0" w:hanging="0"/>
      </w:pPr>
      <w:rPr/>
    </w:lvl>
    <w:lvl w:ilvl="6">
      <w:start w:val="1"/>
      <w:numFmt w:val="none"/>
      <w:suff w:val="nothing"/>
      <w:lvlText w:val=""/>
      <w:lvlJc w:val="start"/>
      <w:pPr>
        <w:tabs>
          <w:tab w:val="num" w:pos="0"/>
        </w:tabs>
        <w:ind w:start="0" w:hanging="0"/>
      </w:pPr>
      <w:rPr/>
    </w:lvl>
    <w:lvl w:ilvl="7">
      <w:start w:val="1"/>
      <w:numFmt w:val="none"/>
      <w:suff w:val="nothing"/>
      <w:lvlText w:val=""/>
      <w:lvlJc w:val="start"/>
      <w:pPr>
        <w:tabs>
          <w:tab w:val="num" w:pos="0"/>
        </w:tabs>
        <w:ind w:start="0" w:hanging="0"/>
      </w:pPr>
      <w:rPr/>
    </w:lvl>
    <w:lvl w:ilvl="8">
      <w:start w:val="1"/>
      <w:numFmt w:val="none"/>
      <w:suff w:val="nothing"/>
      <w:lvlText w:val=""/>
      <w:lvlJc w:val="start"/>
      <w:pPr>
        <w:tabs>
          <w:tab w:val="num" w:pos="0"/>
        </w:tabs>
        <w:ind w:start="0" w:hanging="0"/>
      </w:pPr>
      <w:rPr/>
    </w:lvl>
  </w:abstractNum>
  <w:abstractNum w:abstractNumId="2">
    <w:lvl w:ilvl="0">
      <w:start w:val="1"/>
      <w:numFmt w:val="none"/>
      <w:suff w:val="nothing"/>
      <w:lvlText w:val=""/>
      <w:lvlJc w:val="start"/>
      <w:pPr>
        <w:tabs>
          <w:tab w:val="num" w:pos="0"/>
        </w:tabs>
        <w:ind w:start="0" w:hanging="0"/>
      </w:pPr>
    </w:lvl>
    <w:lvl w:ilvl="1">
      <w:start w:val="1"/>
      <w:numFmt w:val="none"/>
      <w:suff w:val="nothing"/>
      <w:lvlText w:val=""/>
      <w:lvlJc w:val="start"/>
      <w:pPr>
        <w:tabs>
          <w:tab w:val="num" w:pos="0"/>
        </w:tabs>
        <w:ind w:start="0" w:hanging="0"/>
      </w:pPr>
    </w:lvl>
    <w:lvl w:ilvl="2">
      <w:start w:val="1"/>
      <w:numFmt w:val="none"/>
      <w:suff w:val="nothing"/>
      <w:lvlText w:val=""/>
      <w:lvlJc w:val="start"/>
      <w:pPr>
        <w:tabs>
          <w:tab w:val="num" w:pos="0"/>
        </w:tabs>
        <w:ind w:start="0" w:hanging="0"/>
      </w:pPr>
    </w:lvl>
    <w:lvl w:ilvl="3">
      <w:start w:val="1"/>
      <w:numFmt w:val="none"/>
      <w:suff w:val="nothing"/>
      <w:lvlText w:val=""/>
      <w:lvlJc w:val="start"/>
      <w:pPr>
        <w:tabs>
          <w:tab w:val="num" w:pos="0"/>
        </w:tabs>
        <w:ind w:start="0" w:hanging="0"/>
      </w:pPr>
    </w:lvl>
    <w:lvl w:ilvl="4">
      <w:start w:val="1"/>
      <w:numFmt w:val="none"/>
      <w:suff w:val="nothing"/>
      <w:lvlText w:val=""/>
      <w:lvlJc w:val="start"/>
      <w:pPr>
        <w:tabs>
          <w:tab w:val="num" w:pos="0"/>
        </w:tabs>
        <w:ind w:start="0" w:hanging="0"/>
      </w:pPr>
    </w:lvl>
    <w:lvl w:ilvl="5">
      <w:start w:val="1"/>
      <w:numFmt w:val="none"/>
      <w:suff w:val="nothing"/>
      <w:lvlText w:val=""/>
      <w:lvlJc w:val="start"/>
      <w:pPr>
        <w:tabs>
          <w:tab w:val="num" w:pos="0"/>
        </w:tabs>
        <w:ind w:start="0" w:hanging="0"/>
      </w:pPr>
    </w:lvl>
    <w:lvl w:ilvl="6">
      <w:start w:val="1"/>
      <w:numFmt w:val="none"/>
      <w:suff w:val="nothing"/>
      <w:lvlText w:val=""/>
      <w:lvlJc w:val="start"/>
      <w:pPr>
        <w:tabs>
          <w:tab w:val="num" w:pos="0"/>
        </w:tabs>
        <w:ind w:start="0" w:hanging="0"/>
      </w:pPr>
    </w:lvl>
    <w:lvl w:ilvl="7">
      <w:start w:val="1"/>
      <w:numFmt w:val="none"/>
      <w:suff w:val="nothing"/>
      <w:lvlText w:val=""/>
      <w:lvlJc w:val="start"/>
      <w:pPr>
        <w:tabs>
          <w:tab w:val="num" w:pos="0"/>
        </w:tabs>
        <w:ind w:start="0" w:hanging="0"/>
      </w:pPr>
    </w:lvl>
    <w:lvl w:ilvl="8">
      <w:start w:val="1"/>
      <w:numFmt w:val="none"/>
      <w:suff w:val="nothing"/>
      <w:lvlText w:val=""/>
      <w:lvlJc w:val="start"/>
      <w:pPr>
        <w:tabs>
          <w:tab w:val="num" w:pos="0"/>
        </w:tabs>
        <w:ind w:start="0" w:hanging="0"/>
      </w:pPr>
    </w:lvl>
  </w:abstractNum>
  <w:num w:numId="1">
    <w:abstractNumId w:val="1"/>
  </w:num>
  <w:num w:numId="2">
    <w:abstractNumId w:val="2"/>
  </w:num>
</w:numbering>
</file>

<file path=word/settings.xml><?xml version="1.0" encoding="utf-8"?>
<w:settings xmlns:w="http://schemas.openxmlformats.org/wordprocessingml/2006/main">
  <w:zoom w:percent="110"/>
  <w:defaultTabStop w:val="709"/>
  <w:autoHyphenation w:val="true"/>
  <w:hyphenationZone w:val="0"/>
  <w:footnotePr>
    <w:numFmt w:val="decimal"/>
    <w:footnote w:id="0"/>
    <w:footnote w:id="1"/>
  </w:footnotePr>
  <w:compat>
    <w:doNotBreakWrappedTables/>
    <w:compatSetting w:name="compatibilityMode" w:uri="http://schemas.microsoft.com/office/word" w:val="12"/>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Lucida Sans"/>
        <w:kern w:val="2"/>
        <w:sz w:val="24"/>
        <w:szCs w:val="24"/>
        <w:lang w:val="en-US" w:eastAsia="zh-CN" w:bidi="hi-IN"/>
      </w:rPr>
    </w:rPrDefault>
    <w:pPrDefault>
      <w:pPr>
        <w:suppressAutoHyphens w:val="true"/>
      </w:pPr>
    </w:pPrDefault>
  </w:docDefaults>
  <w:style w:type="paragraph" w:styleId="Normal">
    <w:name w:val="Normal"/>
    <w:qFormat/>
    <w:pPr>
      <w:widowControl/>
      <w:suppressAutoHyphens w:val="true"/>
      <w:bidi w:val="0"/>
      <w:spacing w:before="0" w:after="0"/>
      <w:jc w:val="start"/>
    </w:pPr>
    <w:rPr>
      <w:rFonts w:ascii="Liberation Serif" w:hAnsi="Liberation Serif" w:eastAsia="NSimSun" w:cs="Lucida Sans"/>
      <w:color w:val="auto"/>
      <w:kern w:val="2"/>
      <w:sz w:val="24"/>
      <w:szCs w:val="24"/>
      <w:lang w:val="en-US" w:eastAsia="zh-CN" w:bidi="hi-IN"/>
    </w:rPr>
  </w:style>
  <w:style w:type="paragraph" w:styleId="Heading1">
    <w:name w:val="heading 1"/>
    <w:basedOn w:val="Normal"/>
    <w:next w:val="Normal"/>
    <w:qFormat/>
    <w:pPr>
      <w:numPr>
        <w:ilvl w:val="0"/>
        <w:numId w:val="1"/>
      </w:numPr>
      <w:spacing w:before="240" w:after="120"/>
      <w:outlineLvl w:val="0"/>
    </w:pPr>
    <w:rPr>
      <w:b/>
      <w:bCs/>
      <w:sz w:val="36"/>
      <w:szCs w:val="36"/>
    </w:rPr>
  </w:style>
  <w:style w:type="paragraph" w:styleId="Heading2">
    <w:name w:val="heading 2"/>
    <w:basedOn w:val="Normal"/>
    <w:next w:val="Normal"/>
    <w:qFormat/>
    <w:pPr>
      <w:numPr>
        <w:ilvl w:val="1"/>
        <w:numId w:val="1"/>
      </w:numPr>
      <w:spacing w:before="200" w:after="120"/>
      <w:outlineLvl w:val="1"/>
    </w:pPr>
    <w:rPr>
      <w:b/>
      <w:bCs/>
      <w:sz w:val="32"/>
      <w:szCs w:val="32"/>
    </w:rPr>
  </w:style>
  <w:style w:type="paragraph" w:styleId="Heading3">
    <w:name w:val="heading 3"/>
    <w:basedOn w:val="Normal"/>
    <w:next w:val="BodyText"/>
    <w:qFormat/>
    <w:pPr>
      <w:numPr>
        <w:ilvl w:val="2"/>
        <w:numId w:val="1"/>
      </w:numPr>
      <w:spacing w:before="140" w:after="120"/>
      <w:outlineLvl w:val="2"/>
    </w:pPr>
    <w:rPr>
      <w:b/>
      <w:bCs/>
      <w:sz w:val="28"/>
      <w:szCs w:val="28"/>
    </w:rPr>
  </w:style>
  <w:style w:type="character" w:styleId="WW8Num2z0">
    <w:name w:val="WW8Num2z0"/>
    <w:qFormat/>
    <w:rPr>
      <w:rFonts w:ascii="Symbol" w:hAnsi="Symbol" w:cs="Symbol"/>
    </w:rPr>
  </w:style>
  <w:style w:type="character" w:styleId="WW8Num2z1">
    <w:name w:val="WW8Num2z1"/>
    <w:qFormat/>
    <w:rPr>
      <w:rFonts w:ascii="Courier New" w:hAnsi="Courier New" w:cs="Courier New"/>
    </w:rPr>
  </w:style>
  <w:style w:type="character" w:styleId="WW8Num2z2">
    <w:name w:val="WW8Num2z2"/>
    <w:qFormat/>
    <w:rPr>
      <w:rFonts w:ascii="Wingdings" w:hAnsi="Wingdings" w:cs="Wingdings"/>
    </w:rPr>
  </w:style>
  <w:style w:type="character" w:styleId="WW8Num3z0">
    <w:name w:val="WW8Num3z0"/>
    <w:qFormat/>
    <w:rPr>
      <w:rFonts w:ascii="Symbol" w:hAnsi="Symbol" w:cs="Symbol"/>
    </w:rPr>
  </w:style>
  <w:style w:type="character" w:styleId="WW8Num3z1">
    <w:name w:val="WW8Num3z1"/>
    <w:qFormat/>
    <w:rPr>
      <w:rFonts w:ascii="Courier New" w:hAnsi="Courier New" w:cs="Courier New"/>
    </w:rPr>
  </w:style>
  <w:style w:type="character" w:styleId="WW8Num3z2">
    <w:name w:val="WW8Num3z2"/>
    <w:qFormat/>
    <w:rPr>
      <w:rFonts w:ascii="Wingdings" w:hAnsi="Wingdings" w:cs="Wingdings"/>
    </w:rPr>
  </w:style>
  <w:style w:type="character" w:styleId="WW8Num4z0">
    <w:name w:val="WW8Num4z0"/>
    <w:qFormat/>
    <w:rPr>
      <w:rFonts w:ascii="Symbol" w:hAnsi="Symbol" w:cs="Symbol"/>
    </w:rPr>
  </w:style>
  <w:style w:type="character" w:styleId="WW8Num5z0">
    <w:name w:val="WW8Num5z0"/>
    <w:qFormat/>
    <w:rPr>
      <w:rFonts w:ascii="Symbol" w:hAnsi="Symbol" w:cs="Symbol"/>
    </w:rPr>
  </w:style>
  <w:style w:type="character" w:styleId="WW8Num5z1">
    <w:name w:val="WW8Num5z1"/>
    <w:qFormat/>
    <w:rPr>
      <w:rFonts w:ascii="Courier New" w:hAnsi="Courier New" w:cs="Courier New"/>
    </w:rPr>
  </w:style>
  <w:style w:type="character" w:styleId="WW8Num5z2">
    <w:name w:val="WW8Num5z2"/>
    <w:qFormat/>
    <w:rPr>
      <w:rFonts w:ascii="Wingdings" w:hAnsi="Wingdings" w:cs="Wingdings"/>
    </w:rPr>
  </w:style>
  <w:style w:type="character" w:styleId="WW8Num6z0">
    <w:name w:val="WW8Num6z0"/>
    <w:qFormat/>
    <w:rPr>
      <w:rFonts w:ascii="Symbol" w:hAnsi="Symbol" w:cs="Symbol"/>
    </w:rPr>
  </w:style>
  <w:style w:type="character" w:styleId="WW8Num6z1">
    <w:name w:val="WW8Num6z1"/>
    <w:qFormat/>
    <w:rPr>
      <w:rFonts w:ascii="Courier New" w:hAnsi="Courier New" w:cs="Courier New"/>
    </w:rPr>
  </w:style>
  <w:style w:type="character" w:styleId="WW8Num6z2">
    <w:name w:val="WW8Num6z2"/>
    <w:qFormat/>
    <w:rPr>
      <w:rFonts w:ascii="Wingdings" w:hAnsi="Wingdings" w:cs="Wingdings"/>
    </w:rPr>
  </w:style>
  <w:style w:type="character" w:styleId="WW8Num8z0">
    <w:name w:val="WW8Num8z0"/>
    <w:qFormat/>
    <w:rPr>
      <w:rFonts w:ascii="Symbol" w:hAnsi="Symbol" w:cs="Symbol"/>
    </w:rPr>
  </w:style>
  <w:style w:type="character" w:styleId="WW8Num8z1">
    <w:name w:val="WW8Num8z1"/>
    <w:qFormat/>
    <w:rPr>
      <w:rFonts w:ascii="Courier New" w:hAnsi="Courier New" w:cs="Courier New"/>
    </w:rPr>
  </w:style>
  <w:style w:type="character" w:styleId="WW8Num8z2">
    <w:name w:val="WW8Num8z2"/>
    <w:qFormat/>
    <w:rPr>
      <w:rFonts w:ascii="Wingdings" w:hAnsi="Wingdings" w:cs="Wingdings"/>
    </w:rPr>
  </w:style>
  <w:style w:type="character" w:styleId="WW8Num10z0">
    <w:name w:val="WW8Num10z0"/>
    <w:qFormat/>
    <w:rPr>
      <w:sz w:val="20"/>
    </w:rPr>
  </w:style>
  <w:style w:type="character" w:styleId="WW8Num11z0">
    <w:name w:val="WW8Num11z0"/>
    <w:qFormat/>
    <w:rPr>
      <w:rFonts w:ascii="Symbol" w:hAnsi="Symbol" w:cs="Symbol"/>
    </w:rPr>
  </w:style>
  <w:style w:type="character" w:styleId="WW8Num12z0">
    <w:name w:val="WW8Num12z0"/>
    <w:qFormat/>
    <w:rPr>
      <w:rFonts w:ascii="Symbol" w:hAnsi="Symbol" w:cs="Symbol"/>
    </w:rPr>
  </w:style>
  <w:style w:type="character" w:styleId="WW8Num13z0">
    <w:name w:val="WW8Num13z0"/>
    <w:qFormat/>
    <w:rPr>
      <w:rFonts w:ascii="Symbol" w:hAnsi="Symbol" w:cs="Symbol"/>
    </w:rPr>
  </w:style>
  <w:style w:type="character" w:styleId="WW8Num14z0">
    <w:name w:val="WW8Num14z0"/>
    <w:qFormat/>
    <w:rPr>
      <w:rFonts w:ascii="Symbol" w:hAnsi="Symbol" w:cs="Symbol"/>
    </w:rPr>
  </w:style>
  <w:style w:type="character" w:styleId="WW8Num14z1">
    <w:name w:val="WW8Num14z1"/>
    <w:qFormat/>
    <w:rPr>
      <w:rFonts w:ascii="Courier New" w:hAnsi="Courier New" w:cs="Courier New"/>
    </w:rPr>
  </w:style>
  <w:style w:type="character" w:styleId="WW8Num14z2">
    <w:name w:val="WW8Num14z2"/>
    <w:qFormat/>
    <w:rPr>
      <w:rFonts w:ascii="Wingdings" w:hAnsi="Wingdings" w:cs="Wingdings"/>
    </w:rPr>
  </w:style>
  <w:style w:type="character" w:styleId="WW8Num15z0">
    <w:name w:val="WW8Num15z0"/>
    <w:qFormat/>
    <w:rPr>
      <w:rFonts w:ascii="Symbol" w:hAnsi="Symbol" w:cs="Symbol"/>
    </w:rPr>
  </w:style>
  <w:style w:type="character" w:styleId="WW8Num16z0">
    <w:name w:val="WW8Num16z0"/>
    <w:qFormat/>
    <w:rPr>
      <w:rFonts w:ascii="Symbol" w:hAnsi="Symbol" w:cs="Symbol"/>
    </w:rPr>
  </w:style>
  <w:style w:type="character" w:styleId="WW8Num16z1">
    <w:name w:val="WW8Num16z1"/>
    <w:qFormat/>
    <w:rPr>
      <w:rFonts w:ascii="Courier New" w:hAnsi="Courier New" w:cs="Courier New"/>
    </w:rPr>
  </w:style>
  <w:style w:type="character" w:styleId="WW8Num16z2">
    <w:name w:val="WW8Num16z2"/>
    <w:qFormat/>
    <w:rPr>
      <w:rFonts w:ascii="Wingdings" w:hAnsi="Wingdings" w:cs="Wingdings"/>
    </w:rPr>
  </w:style>
  <w:style w:type="character" w:styleId="WW8Num17z0">
    <w:name w:val="WW8Num17z0"/>
    <w:qFormat/>
    <w:rPr>
      <w:rFonts w:ascii="Symbol" w:hAnsi="Symbol" w:cs="Symbol"/>
    </w:rPr>
  </w:style>
  <w:style w:type="character" w:styleId="WW8Num18z0">
    <w:name w:val="WW8Num18z0"/>
    <w:qFormat/>
    <w:rPr>
      <w:rFonts w:ascii="Symbol" w:hAnsi="Symbol" w:cs="Symbol"/>
    </w:rPr>
  </w:style>
  <w:style w:type="character" w:styleId="WW8Num18z1">
    <w:name w:val="WW8Num18z1"/>
    <w:qFormat/>
    <w:rPr>
      <w:rFonts w:ascii="Courier New" w:hAnsi="Courier New" w:cs="Courier New"/>
    </w:rPr>
  </w:style>
  <w:style w:type="character" w:styleId="WW8Num18z2">
    <w:name w:val="WW8Num18z2"/>
    <w:qFormat/>
    <w:rPr>
      <w:rFonts w:ascii="Wingdings" w:hAnsi="Wingdings" w:cs="Wingdings"/>
    </w:rPr>
  </w:style>
  <w:style w:type="character" w:styleId="WW8Num19z0">
    <w:name w:val="WW8Num19z0"/>
    <w:qFormat/>
    <w:rPr>
      <w:rFonts w:ascii="Albertus" w:hAnsi="Albertus" w:cs="Albertus"/>
    </w:rPr>
  </w:style>
  <w:style w:type="character" w:styleId="WW8Num19z1">
    <w:name w:val="WW8Num19z1"/>
    <w:qFormat/>
    <w:rPr>
      <w:rFonts w:ascii="Courier New" w:hAnsi="Courier New" w:cs="Courier New"/>
    </w:rPr>
  </w:style>
  <w:style w:type="character" w:styleId="WW8Num19z2">
    <w:name w:val="WW8Num19z2"/>
    <w:qFormat/>
    <w:rPr>
      <w:rFonts w:ascii="Wingdings" w:hAnsi="Wingdings" w:cs="Wingdings"/>
    </w:rPr>
  </w:style>
  <w:style w:type="character" w:styleId="WW8Num19z3">
    <w:name w:val="WW8Num19z3"/>
    <w:qFormat/>
    <w:rPr>
      <w:rFonts w:ascii="Symbol" w:hAnsi="Symbol" w:cs="Symbol"/>
    </w:rPr>
  </w:style>
  <w:style w:type="character" w:styleId="WW8Num21z0">
    <w:name w:val="WW8Num21z0"/>
    <w:qFormat/>
    <w:rPr>
      <w:rFonts w:ascii="Symbol" w:hAnsi="Symbol" w:cs="Symbol"/>
    </w:rPr>
  </w:style>
  <w:style w:type="character" w:styleId="WW8Num21z1">
    <w:name w:val="WW8Num21z1"/>
    <w:qFormat/>
    <w:rPr>
      <w:rFonts w:ascii="Courier New" w:hAnsi="Courier New" w:cs="Courier New"/>
    </w:rPr>
  </w:style>
  <w:style w:type="character" w:styleId="WW8Num21z2">
    <w:name w:val="WW8Num21z2"/>
    <w:qFormat/>
    <w:rPr>
      <w:rFonts w:ascii="Wingdings" w:hAnsi="Wingdings" w:cs="Wingdings"/>
    </w:rPr>
  </w:style>
  <w:style w:type="character" w:styleId="WW8Num22z0">
    <w:name w:val="WW8Num22z0"/>
    <w:qFormat/>
    <w:rPr>
      <w:rFonts w:ascii="Symbol" w:hAnsi="Symbol" w:cs="Symbol"/>
    </w:rPr>
  </w:style>
  <w:style w:type="character" w:styleId="WW8Num22z1">
    <w:name w:val="WW8Num22z1"/>
    <w:qFormat/>
    <w:rPr>
      <w:rFonts w:ascii="Courier New" w:hAnsi="Courier New" w:cs="Courier New"/>
    </w:rPr>
  </w:style>
  <w:style w:type="character" w:styleId="WW8Num22z2">
    <w:name w:val="WW8Num22z2"/>
    <w:qFormat/>
    <w:rPr>
      <w:rFonts w:ascii="Wingdings" w:hAnsi="Wingdings" w:cs="Wingdings"/>
    </w:rPr>
  </w:style>
  <w:style w:type="character" w:styleId="WW8Num23z0">
    <w:name w:val="WW8Num23z0"/>
    <w:qFormat/>
    <w:rPr>
      <w:rFonts w:ascii="Symbol" w:hAnsi="Symbol" w:cs="Symbol"/>
    </w:rPr>
  </w:style>
  <w:style w:type="character" w:styleId="WW8Num24z0">
    <w:name w:val="WW8Num24z0"/>
    <w:qFormat/>
    <w:rPr>
      <w:rFonts w:ascii="Symbol" w:hAnsi="Symbol" w:cs="Symbol"/>
    </w:rPr>
  </w:style>
  <w:style w:type="character" w:styleId="WW8Num24z1">
    <w:name w:val="WW8Num24z1"/>
    <w:qFormat/>
    <w:rPr>
      <w:rFonts w:ascii="Courier New" w:hAnsi="Courier New" w:cs="Courier New"/>
    </w:rPr>
  </w:style>
  <w:style w:type="character" w:styleId="WW8Num24z2">
    <w:name w:val="WW8Num24z2"/>
    <w:qFormat/>
    <w:rPr>
      <w:rFonts w:ascii="Wingdings" w:hAnsi="Wingdings" w:cs="Wingdings"/>
    </w:rPr>
  </w:style>
  <w:style w:type="character" w:styleId="WW8NumSt16z0">
    <w:name w:val="WW8NumSt16z0"/>
    <w:qFormat/>
    <w:rPr>
      <w:rFonts w:ascii="Symbol" w:hAnsi="Symbol" w:cs="Symbol"/>
    </w:rPr>
  </w:style>
  <w:style w:type="character" w:styleId="WW8NumSt18z0">
    <w:name w:val="WW8NumSt18z0"/>
    <w:qFormat/>
    <w:rPr>
      <w:rFonts w:ascii="Symbol" w:hAnsi="Symbol" w:cs="Symbol"/>
    </w:rPr>
  </w:style>
  <w:style w:type="character" w:styleId="DefaultParagraphFont">
    <w:name w:val="Default Paragraph Font"/>
    <w:qFormat/>
    <w:rPr/>
  </w:style>
  <w:style w:type="character" w:styleId="CommentReference">
    <w:name w:val="Comment Reference"/>
    <w:qFormat/>
    <w:rPr>
      <w:sz w:val="16"/>
      <w:szCs w:val="16"/>
    </w:rPr>
  </w:style>
  <w:style w:type="character" w:styleId="CommentTextChar">
    <w:name w:val="Comment Text Char"/>
    <w:qFormat/>
    <w:rPr>
      <w:lang w:eastAsia="zh-CN"/>
    </w:rPr>
  </w:style>
  <w:style w:type="character" w:styleId="CommentSubjectChar">
    <w:name w:val="Comment Subject Char"/>
    <w:qFormat/>
    <w:rPr>
      <w:b/>
      <w:bCs/>
      <w:lang w:eastAsia="zh-CN"/>
    </w:rPr>
  </w:style>
  <w:style w:type="character" w:styleId="BalloonTextChar">
    <w:name w:val="Balloon Text Char"/>
    <w:qFormat/>
    <w:rPr>
      <w:rFonts w:ascii="Tahoma" w:hAnsi="Tahoma" w:cs="Tahoma"/>
      <w:sz w:val="16"/>
      <w:szCs w:val="16"/>
      <w:lang w:eastAsia="zh-CN"/>
    </w:rPr>
  </w:style>
  <w:style w:type="character" w:styleId="HeaderChar">
    <w:name w:val="Header Char"/>
    <w:qFormat/>
    <w:rPr>
      <w:rFonts w:ascii="Trebuchet MS" w:hAnsi="Trebuchet MS" w:eastAsia="Calibri" w:cs="Tahoma"/>
      <w:sz w:val="22"/>
    </w:rPr>
  </w:style>
  <w:style w:type="character" w:styleId="FooterChar">
    <w:name w:val="Footer Char"/>
    <w:qFormat/>
    <w:rPr>
      <w:sz w:val="24"/>
      <w:szCs w:val="24"/>
      <w:lang w:eastAsia="zh-CN"/>
    </w:rPr>
  </w:style>
  <w:style w:type="character" w:styleId="FootnoteCharacters">
    <w:name w:val="Footnote Characters"/>
    <w:qFormat/>
    <w:rPr/>
  </w:style>
  <w:style w:type="character" w:styleId="FootnoteReference">
    <w:name w:val="footnote reference"/>
    <w:rPr>
      <w:vertAlign w:val="superscript"/>
    </w:rPr>
  </w:style>
  <w:style w:type="character" w:styleId="EndnoteReference">
    <w:name w:val="endnote reference"/>
    <w:rPr>
      <w:vertAlign w:val="superscript"/>
    </w:rPr>
  </w:style>
  <w:style w:type="character" w:styleId="EndnoteCharacters">
    <w:name w:val="Endnote Characters"/>
    <w:qFormat/>
    <w:rPr/>
  </w:style>
  <w:style w:type="character" w:styleId="Hyperlink">
    <w:name w:val="Hyperlink"/>
    <w:rPr>
      <w:color w:val="000080"/>
      <w:u w:val="single"/>
    </w:rPr>
  </w:style>
  <w:style w:type="paragraph" w:styleId="Heading">
    <w:name w:val="Heading"/>
    <w:basedOn w:val="Normal"/>
    <w:next w:val="BodyText"/>
    <w:qFormat/>
    <w:pPr>
      <w:keepNext w:val="true"/>
      <w:spacing w:before="240" w:after="120"/>
    </w:pPr>
    <w:rPr>
      <w:rFonts w:ascii="Liberation Sans" w:hAnsi="Liberation Sans" w:eastAsia="Microsoft YaHei" w:cs="Lucida San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HeaderandFooter">
    <w:name w:val="Header and Footer"/>
    <w:basedOn w:val="Normal"/>
    <w:qFormat/>
    <w:pPr>
      <w:suppressLineNumbers/>
      <w:tabs>
        <w:tab w:val="clear" w:pos="709"/>
        <w:tab w:val="center" w:pos="4986" w:leader="none"/>
        <w:tab w:val="right" w:pos="9972" w:leader="none"/>
      </w:tabs>
    </w:pPr>
    <w:rPr/>
  </w:style>
  <w:style w:type="paragraph" w:styleId="Header">
    <w:name w:val="header"/>
    <w:basedOn w:val="Normal"/>
    <w:pPr>
      <w:suppressLineNumbers/>
      <w:tabs>
        <w:tab w:val="clear" w:pos="709"/>
        <w:tab w:val="center" w:pos="4986" w:leader="none"/>
        <w:tab w:val="right" w:pos="9972" w:leader="none"/>
      </w:tabs>
    </w:pPr>
    <w:rPr/>
  </w:style>
  <w:style w:type="paragraph" w:styleId="NormalWeb">
    <w:name w:val="Normal (Web)"/>
    <w:basedOn w:val="Normal"/>
    <w:qFormat/>
    <w:pPr>
      <w:widowControl/>
      <w:bidi w:val="0"/>
      <w:spacing w:before="280" w:after="280"/>
    </w:pPr>
    <w:rPr>
      <w:rFonts w:ascii="Georgia" w:hAnsi="Georgia" w:eastAsia="SimSun;宋体" w:cs="Georgia"/>
      <w:color w:val="000000"/>
      <w:sz w:val="21"/>
      <w:szCs w:val="21"/>
    </w:rPr>
  </w:style>
  <w:style w:type="paragraph" w:styleId="CommentText">
    <w:name w:val="Comment Text"/>
    <w:basedOn w:val="Normal"/>
    <w:qFormat/>
    <w:pPr>
      <w:widowControl/>
      <w:bidi w:val="0"/>
    </w:pPr>
    <w:rPr>
      <w:rFonts w:ascii="Times New Roman" w:hAnsi="Times New Roman" w:eastAsia="SimSun;宋体" w:cs="Times New Roman"/>
      <w:color w:val="auto"/>
      <w:sz w:val="20"/>
      <w:szCs w:val="20"/>
      <w:lang w:val="en-US"/>
    </w:rPr>
  </w:style>
  <w:style w:type="paragraph" w:styleId="CommentSubject">
    <w:name w:val="Comment Subject"/>
    <w:basedOn w:val="CommentText"/>
    <w:next w:val="CommentText"/>
    <w:qFormat/>
    <w:pPr/>
    <w:rPr>
      <w:b/>
      <w:bCs/>
    </w:rPr>
  </w:style>
  <w:style w:type="paragraph" w:styleId="BalloonText">
    <w:name w:val="Balloon Text"/>
    <w:basedOn w:val="Normal"/>
    <w:qFormat/>
    <w:pPr>
      <w:widowControl/>
      <w:bidi w:val="0"/>
    </w:pPr>
    <w:rPr>
      <w:rFonts w:ascii="Tahoma" w:hAnsi="Tahoma" w:eastAsia="SimSun;宋体" w:cs="Tahoma"/>
      <w:color w:val="auto"/>
      <w:sz w:val="16"/>
      <w:szCs w:val="16"/>
      <w:lang w:val="en-US"/>
    </w:rPr>
  </w:style>
  <w:style w:type="paragraph" w:styleId="Footer">
    <w:name w:val="footer"/>
    <w:basedOn w:val="Normal"/>
    <w:pPr>
      <w:suppressLineNumbers/>
      <w:tabs>
        <w:tab w:val="clear" w:pos="709"/>
        <w:tab w:val="center" w:pos="4986" w:leader="none"/>
        <w:tab w:val="right" w:pos="9972" w:leader="none"/>
      </w:tabs>
    </w:pPr>
    <w:rPr/>
  </w:style>
  <w:style w:type="paragraph" w:styleId="TableContents">
    <w:name w:val="Table Contents"/>
    <w:basedOn w:val="Normal"/>
    <w:qFormat/>
    <w:pPr>
      <w:widowControl w:val="false"/>
      <w:suppressLineNumbers/>
    </w:pPr>
    <w:rPr/>
  </w:style>
  <w:style w:type="paragraph" w:styleId="TableHeading">
    <w:name w:val="Table Heading"/>
    <w:basedOn w:val="TableContents"/>
    <w:qFormat/>
    <w:pPr>
      <w:suppressLineNumbers/>
      <w:jc w:val="center"/>
    </w:pPr>
    <w:rPr>
      <w:b/>
      <w:bCs/>
    </w:rPr>
  </w:style>
  <w:style w:type="paragraph" w:styleId="FootnoteText">
    <w:name w:val="footnote text"/>
    <w:basedOn w:val="Normal"/>
    <w:pPr>
      <w:suppressLineNumbers/>
      <w:ind w:hanging="340" w:start="340"/>
    </w:pPr>
    <w:rPr>
      <w:sz w:val="20"/>
      <w:szCs w:val="20"/>
    </w:rPr>
  </w:style>
  <w:style w:type="paragraph" w:styleId="Default">
    <w:name w:val="Default"/>
    <w:qFormat/>
    <w:pPr>
      <w:widowControl/>
      <w:bidi w:val="0"/>
      <w:spacing w:before="0" w:after="0"/>
      <w:jc w:val="start"/>
    </w:pPr>
    <w:rPr>
      <w:rFonts w:ascii="Code" w:hAnsi="Code" w:eastAsia="NSimSun" w:cs="Lucida Sans"/>
      <w:color w:val="000000"/>
      <w:kern w:val="2"/>
      <w:sz w:val="24"/>
      <w:szCs w:val="24"/>
      <w:lang w:val="en-US" w:eastAsia="zh-CN" w:bidi="hi-IN"/>
    </w:rPr>
  </w:style>
  <w:style w:type="numbering" w:styleId="WW8Num1">
    <w:name w:val="WW8Num1"/>
    <w:qFormat/>
  </w:style>
  <w:style w:type="numbering" w:styleId="WW8Num2">
    <w:name w:val="WW8Num2"/>
    <w:qFormat/>
  </w:style>
  <w:style w:type="numbering" w:styleId="WW8Num3">
    <w:name w:val="WW8Num3"/>
    <w:qFormat/>
  </w:style>
  <w:style w:type="numbering" w:styleId="WW8Num4">
    <w:name w:val="WW8Num4"/>
    <w:qFormat/>
  </w:style>
  <w:style w:type="numbering" w:styleId="WW8Num5">
    <w:name w:val="WW8Num5"/>
    <w:qFormat/>
  </w:style>
  <w:style w:type="numbering" w:styleId="WW8Num6">
    <w:name w:val="WW8Num6"/>
    <w:qFormat/>
  </w:style>
  <w:style w:type="numbering" w:styleId="WW8Num7">
    <w:name w:val="WW8Num7"/>
    <w:qFormat/>
  </w:style>
  <w:style w:type="numbering" w:styleId="WW8Num8">
    <w:name w:val="WW8Num8"/>
    <w:qFormat/>
  </w:style>
  <w:style w:type="numbering" w:styleId="WW8Num9">
    <w:name w:val="WW8Num9"/>
    <w:qFormat/>
  </w:style>
  <w:style w:type="numbering" w:styleId="WW8Num10">
    <w:name w:val="WW8Num10"/>
    <w:qFormat/>
  </w:style>
  <w:style w:type="numbering" w:styleId="WW8Num11">
    <w:name w:val="WW8Num11"/>
    <w:qFormat/>
  </w:style>
  <w:style w:type="numbering" w:styleId="WW8Num12">
    <w:name w:val="WW8Num12"/>
    <w:qFormat/>
  </w:style>
  <w:style w:type="numbering" w:styleId="WW8Num13">
    <w:name w:val="WW8Num13"/>
    <w:qFormat/>
  </w:style>
  <w:style w:type="numbering" w:styleId="WW8Num14">
    <w:name w:val="WW8Num14"/>
    <w:qFormat/>
  </w:style>
  <w:style w:type="numbering" w:styleId="WW8Num15">
    <w:name w:val="WW8Num15"/>
    <w:qFormat/>
  </w:style>
  <w:style w:type="numbering" w:styleId="WW8Num16">
    <w:name w:val="WW8Num16"/>
    <w:qFormat/>
  </w:style>
  <w:style w:type="numbering" w:styleId="WW8Num17">
    <w:name w:val="WW8Num17"/>
    <w:qFormat/>
  </w:style>
  <w:style w:type="numbering" w:styleId="WW8Num18">
    <w:name w:val="WW8Num18"/>
    <w:qFormat/>
  </w:style>
  <w:style w:type="numbering" w:styleId="WW8Num19">
    <w:name w:val="WW8Num19"/>
    <w:qFormat/>
  </w:style>
  <w:style w:type="numbering" w:styleId="WW8Num20">
    <w:name w:val="WW8Num20"/>
    <w:qFormat/>
  </w:style>
  <w:style w:type="numbering" w:styleId="WW8Num21">
    <w:name w:val="WW8Num21"/>
    <w:qFormat/>
  </w:style>
  <w:style w:type="numbering" w:styleId="WW8Num22">
    <w:name w:val="WW8Num22"/>
    <w:qFormat/>
  </w:style>
  <w:style w:type="numbering" w:styleId="WW8Num23">
    <w:name w:val="WW8Num23"/>
    <w:qFormat/>
  </w:style>
  <w:style w:type="numbering" w:styleId="WW8Num24">
    <w:name w:val="WW8Num24"/>
    <w:qFormat/>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www.history.ox.ac.uk/people/dr-michelle-pfeffer" TargetMode="External"/><Relationship Id="rId4" Type="http://schemas.openxmlformats.org/officeDocument/2006/relationships/hyperlink" Target="https://www.magd.ox.ac.uk/people/dr-michelle-aroney/" TargetMode="External"/><Relationship Id="rId5" Type="http://schemas.openxmlformats.org/officeDocument/2006/relationships/hyperlink" Target="http://www.janeridderpatrick.com/bio/" TargetMode="External"/><Relationship Id="rId6" Type="http://schemas.openxmlformats.org/officeDocument/2006/relationships/header" Target="header1.xml"/><Relationship Id="rId7" Type="http://schemas.openxmlformats.org/officeDocument/2006/relationships/header" Target="header2.xml"/><Relationship Id="rId8" Type="http://schemas.openxmlformats.org/officeDocument/2006/relationships/header" Target="header3.xml"/><Relationship Id="rId9" Type="http://schemas.openxmlformats.org/officeDocument/2006/relationships/footnotes" Target="footnotes.xml"/><Relationship Id="rId10" Type="http://schemas.openxmlformats.org/officeDocument/2006/relationships/numbering" Target="numbering.xml"/><Relationship Id="rId11" Type="http://schemas.openxmlformats.org/officeDocument/2006/relationships/fontTable" Target="fontTable.xml"/><Relationship Id="rId12" Type="http://schemas.openxmlformats.org/officeDocument/2006/relationships/settings" Target="settings.xml"/><Relationship Id="rId13" Type="http://schemas.openxmlformats.org/officeDocument/2006/relationships/theme" Target="theme/theme1.xml"/>
</Relationships>
</file>

<file path=word/_rels/footnotes.xml.rels><?xml version="1.0" encoding="UTF-8"?>
<Relationships xmlns="http://schemas.openxmlformats.org/package/2006/relationships"><Relationship Id="rId1" Type="http://schemas.openxmlformats.org/officeDocument/2006/relationships/hyperlink" Target="https://www.history.ox.ac.uk/people/dr-michelle-pfeffer" TargetMode="External"/><Relationship Id="rId2" Type="http://schemas.openxmlformats.org/officeDocument/2006/relationships/hyperlink" Target="https://www.magd.ox.ac.uk/people/dr-michelle-aroney/" TargetMode="External"/><Relationship Id="rId3" Type="http://schemas.openxmlformats.org/officeDocument/2006/relationships/hyperlink" Target="https://www.magd.ox.ac.uk/people/dr-michelle-aroney/" TargetMode="External"/><Relationship Id="rId4" Type="http://schemas.openxmlformats.org/officeDocument/2006/relationships/hyperlink" Target="https://www.history.ox.ac.uk/people/dr-michelle-pfeffer" TargetMode="External"/><Relationship Id="rId5" Type="http://schemas.openxmlformats.org/officeDocument/2006/relationships/hyperlink" Target="https://www.magd.ox.ac.uk/people/dr-michelle-aroney/" TargetMode="External"/>
</Relationships>
</file>

<file path=word/theme/theme1.xml><?xml version="1.0" encoding="utf-8"?>
<a:theme xmlns:a="http://schemas.openxmlformats.org/drawingml/2006/main" xmlns:r="http://schemas.openxmlformats.org/officeDocument/2006/relationships" name="Office">
  <a:themeElements>
    <a:clrScheme name="LibreOffice">
      <a:dk1>
        <a:srgbClr val="000000"/>
      </a:dk1>
      <a:lt1>
        <a:srgbClr val="ffffff"/>
      </a:lt1>
      <a:dk2>
        <a:srgbClr val="000000"/>
      </a:dk2>
      <a:lt2>
        <a:srgbClr val="ffffff"/>
      </a:lt2>
      <a:accent1>
        <a:srgbClr val="18a303"/>
      </a:accent1>
      <a:accent2>
        <a:srgbClr val="0369a3"/>
      </a:accent2>
      <a:accent3>
        <a:srgbClr val="a33e03"/>
      </a:accent3>
      <a:accent4>
        <a:srgbClr val="8e03a3"/>
      </a:accent4>
      <a:accent5>
        <a:srgbClr val="c99c00"/>
      </a:accent5>
      <a:accent6>
        <a:srgbClr val="c9211e"/>
      </a:accent6>
      <a:hlink>
        <a:srgbClr val="0000ee"/>
      </a:hlink>
      <a:folHlink>
        <a:srgbClr val="551a8b"/>
      </a:folHlink>
    </a:clrScheme>
    <a:fontScheme name="Office">
      <a:majorFont>
        <a:latin typeface="Arial" pitchFamily="0" charset="1"/>
        <a:ea typeface="DejaVu Sans" pitchFamily="0" charset="1"/>
        <a:cs typeface="DejaVu Sans" pitchFamily="0" charset="1"/>
      </a:majorFont>
      <a:minorFont>
        <a:latin typeface="Arial" pitchFamily="0" charset="1"/>
        <a:ea typeface="DejaVu Sans" pitchFamily="0" charset="1"/>
        <a:cs typeface="DejaVu Sans" pitchFamily="0" charset="1"/>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theme>
</file>

<file path=docProps/app.xml><?xml version="1.0" encoding="utf-8"?>
<Properties xmlns="http://schemas.openxmlformats.org/officeDocument/2006/extended-properties" xmlns:vt="http://schemas.openxmlformats.org/officeDocument/2006/docPropsVTypes">
  <Template/>
  <TotalTime>295</TotalTime>
  <Application>LibreOffice/24.8.5.2$Windows_X86_64 LibreOffice_project/fddf2685c70b461e7832239a0162a77216259f22</Application>
  <AppVersion>15.0000</AppVersion>
  <Pages>8</Pages>
  <Words>2674</Words>
  <Characters>14783</Characters>
  <CharactersWithSpaces>17465</CharactersWithSpaces>
  <Paragraphs>108</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2025-04-07T01:39:00Z</dcterms:created>
  <dc:creator/>
  <dc:description/>
  <dc:language>en-US</dc:language>
  <cp:lastModifiedBy/>
  <dcterms:modified xsi:type="dcterms:W3CDTF">2025-04-08T18:43:43Z</dcterms:modified>
  <cp:revision>36</cp:revision>
  <dc:subject/>
  <dc:title>Foretelling the Future: Arabic Astrology and English Medicine in the Late Twelfth Century</dc:title>
</cp:coreProperties>
</file>

<file path=docProps/custom.xml><?xml version="1.0" encoding="utf-8"?>
<Properties xmlns="http://schemas.openxmlformats.org/officeDocument/2006/custom-properties" xmlns:vt="http://schemas.openxmlformats.org/officeDocument/2006/docPropsVTypes"/>
</file>