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B935D2" w14:textId="5E635FF1"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r>
        <w:rPr>
          <w:rFonts w:ascii="Arial"/>
          <w:b/>
          <w:noProof/>
          <w:sz w:val="56"/>
        </w:rPr>
        <w:drawing>
          <wp:anchor distT="0" distB="0" distL="114300" distR="114300" simplePos="0" relativeHeight="251658240" behindDoc="1" locked="0" layoutInCell="1" allowOverlap="1" wp14:anchorId="25648A47" wp14:editId="4684FCE7">
            <wp:simplePos x="0" y="0"/>
            <wp:positionH relativeFrom="column">
              <wp:posOffset>1040860</wp:posOffset>
            </wp:positionH>
            <wp:positionV relativeFrom="paragraph">
              <wp:posOffset>0</wp:posOffset>
            </wp:positionV>
            <wp:extent cx="3524324" cy="1404938"/>
            <wp:effectExtent l="0" t="0" r="0" b="5080"/>
            <wp:wrapTight wrapText="bothSides">
              <wp:wrapPolygon edited="0">
                <wp:start x="0" y="0"/>
                <wp:lineTo x="0" y="21483"/>
                <wp:lineTo x="21483" y="21483"/>
                <wp:lineTo x="2148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4324" cy="1404938"/>
                    </a:xfrm>
                    <a:prstGeom prst="rect">
                      <a:avLst/>
                    </a:prstGeom>
                    <a:noFill/>
                  </pic:spPr>
                </pic:pic>
              </a:graphicData>
            </a:graphic>
            <wp14:sizeRelH relativeFrom="page">
              <wp14:pctWidth>0</wp14:pctWidth>
            </wp14:sizeRelH>
            <wp14:sizeRelV relativeFrom="page">
              <wp14:pctHeight>0</wp14:pctHeight>
            </wp14:sizeRelV>
          </wp:anchor>
        </w:drawing>
      </w:r>
    </w:p>
    <w:p w14:paraId="2445944E"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59F201F4"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5BA83EAE"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30E5ECE0"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753BADC8" w14:textId="087E330D" w:rsidR="0005631A" w:rsidRPr="0005631A" w:rsidRDefault="0005631A" w:rsidP="0005631A">
      <w:pPr>
        <w:spacing w:after="100" w:afterAutospacing="1" w:line="240" w:lineRule="auto"/>
        <w:jc w:val="center"/>
        <w:outlineLvl w:val="1"/>
        <w:rPr>
          <w:rFonts w:ascii="Arial" w:eastAsia="Times New Roman" w:hAnsi="Arial" w:cs="Arial"/>
          <w:b/>
          <w:bCs/>
          <w:kern w:val="0"/>
          <w:sz w:val="32"/>
          <w:szCs w:val="32"/>
          <w:u w:val="single"/>
          <w:lang w:eastAsia="en-GB"/>
          <w14:ligatures w14:val="none"/>
        </w:rPr>
      </w:pPr>
      <w:r w:rsidRPr="0005631A">
        <w:rPr>
          <w:rFonts w:ascii="Arial" w:eastAsia="Times New Roman" w:hAnsi="Arial" w:cs="Arial"/>
          <w:b/>
          <w:bCs/>
          <w:kern w:val="0"/>
          <w:sz w:val="32"/>
          <w:szCs w:val="32"/>
          <w:u w:val="single"/>
          <w:lang w:eastAsia="en-GB"/>
          <w14:ligatures w14:val="none"/>
        </w:rPr>
        <w:t>Module Code – ECAD6050</w:t>
      </w:r>
    </w:p>
    <w:p w14:paraId="00B66478" w14:textId="3979468A" w:rsidR="0005631A" w:rsidRPr="0005631A" w:rsidRDefault="0005631A" w:rsidP="0005631A">
      <w:pPr>
        <w:spacing w:after="100" w:afterAutospacing="1" w:line="240" w:lineRule="auto"/>
        <w:jc w:val="center"/>
        <w:outlineLvl w:val="1"/>
        <w:rPr>
          <w:rFonts w:ascii="Arial" w:eastAsia="Times New Roman" w:hAnsi="Arial" w:cs="Arial"/>
          <w:b/>
          <w:bCs/>
          <w:kern w:val="0"/>
          <w:sz w:val="32"/>
          <w:szCs w:val="32"/>
          <w:u w:val="single"/>
          <w:lang w:eastAsia="en-GB"/>
          <w14:ligatures w14:val="none"/>
        </w:rPr>
      </w:pPr>
      <w:r w:rsidRPr="0005631A">
        <w:rPr>
          <w:rFonts w:ascii="Arial" w:eastAsia="Times New Roman" w:hAnsi="Arial" w:cs="Arial"/>
          <w:b/>
          <w:bCs/>
          <w:kern w:val="0"/>
          <w:sz w:val="32"/>
          <w:szCs w:val="32"/>
          <w:u w:val="single"/>
          <w:lang w:eastAsia="en-GB"/>
          <w14:ligatures w14:val="none"/>
        </w:rPr>
        <w:t>Student Number - 2307917</w:t>
      </w:r>
    </w:p>
    <w:p w14:paraId="1C64B1F6"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0C5B0A54"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14AABA39"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26AD921B"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62898E49"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5CB90B3E"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5C4AE86B"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1E216D90"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37506680"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1BB98981"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2C11DC0A"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7ABB6A21"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6BBC443C"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0384D7FB"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311EBD8B"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3CB2A5F5"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7D023FE4"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0603E48B" w14:textId="77777777" w:rsid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p>
    <w:p w14:paraId="395AEACB" w14:textId="53873B89" w:rsidR="0005631A" w:rsidRPr="0005631A" w:rsidRDefault="0005631A"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lastRenderedPageBreak/>
        <w:t xml:space="preserve">AI Declaration </w:t>
      </w:r>
    </w:p>
    <w:p w14:paraId="76495FBF" w14:textId="77777777" w:rsidR="0005631A" w:rsidRPr="0005631A" w:rsidRDefault="0005631A" w:rsidP="0005631A">
      <w:pPr>
        <w:rPr>
          <w:rFonts w:ascii="Arial" w:hAnsi="Arial" w:cs="Arial"/>
        </w:rPr>
      </w:pPr>
      <w:r w:rsidRPr="0005631A">
        <w:rPr>
          <w:rFonts w:ascii="Arial" w:hAnsi="Arial" w:cs="Arial"/>
        </w:rPr>
        <w:t xml:space="preserve">I confirm that I have not used any AI tools in the research and creation of this assignment. </w:t>
      </w:r>
    </w:p>
    <w:p w14:paraId="77EB0DFB" w14:textId="77777777" w:rsidR="0005631A" w:rsidRPr="0005631A" w:rsidRDefault="0005631A" w:rsidP="0005631A">
      <w:pPr>
        <w:rPr>
          <w:rFonts w:ascii="Arial" w:hAnsi="Arial" w:cs="Arial"/>
        </w:rPr>
      </w:pPr>
      <w:r w:rsidRPr="0005631A">
        <w:rPr>
          <w:rFonts w:ascii="Arial" w:hAnsi="Arial" w:cs="Arial"/>
        </w:rPr>
        <w:t xml:space="preserve">I confirm that I have not presented any AI generated materials as my own work. </w:t>
      </w:r>
    </w:p>
    <w:p w14:paraId="001D1208" w14:textId="565FB3EC" w:rsidR="0005631A" w:rsidRDefault="0005631A" w:rsidP="0005631A">
      <w:pPr>
        <w:rPr>
          <w:rFonts w:ascii="Arial" w:hAnsi="Arial" w:cs="Arial"/>
        </w:rPr>
      </w:pPr>
      <w:r w:rsidRPr="0005631A">
        <w:rPr>
          <w:rFonts w:ascii="Arial" w:hAnsi="Arial" w:cs="Arial"/>
        </w:rPr>
        <w:t>I confirm that I have copies of my drafts, notes, and other resources I used, which I may be asked to provide in evidence.</w:t>
      </w:r>
    </w:p>
    <w:p w14:paraId="100F51F1" w14:textId="77777777" w:rsidR="0005631A" w:rsidRDefault="0005631A" w:rsidP="0005631A">
      <w:pPr>
        <w:rPr>
          <w:rFonts w:ascii="Arial" w:hAnsi="Arial" w:cs="Arial"/>
        </w:rPr>
      </w:pPr>
    </w:p>
    <w:p w14:paraId="13C60E2D" w14:textId="77777777" w:rsidR="0005631A" w:rsidRDefault="0005631A" w:rsidP="0005631A">
      <w:pPr>
        <w:rPr>
          <w:rFonts w:ascii="Arial" w:hAnsi="Arial" w:cs="Arial"/>
        </w:rPr>
      </w:pPr>
    </w:p>
    <w:p w14:paraId="0657CA21" w14:textId="55B19C63" w:rsidR="0005631A" w:rsidRDefault="0005631A" w:rsidP="0005631A">
      <w:pPr>
        <w:rPr>
          <w:rFonts w:ascii="Arial" w:hAnsi="Arial" w:cs="Arial"/>
        </w:rPr>
      </w:pPr>
    </w:p>
    <w:p w14:paraId="0E5D65B1" w14:textId="77777777" w:rsidR="0005631A" w:rsidRDefault="0005631A" w:rsidP="0005631A">
      <w:pPr>
        <w:rPr>
          <w:rFonts w:ascii="Arial" w:hAnsi="Arial" w:cs="Arial"/>
        </w:rPr>
      </w:pPr>
    </w:p>
    <w:p w14:paraId="633849C5" w14:textId="77777777" w:rsidR="0005631A" w:rsidRDefault="0005631A" w:rsidP="0005631A">
      <w:pPr>
        <w:rPr>
          <w:rFonts w:ascii="Arial" w:hAnsi="Arial" w:cs="Arial"/>
        </w:rPr>
      </w:pPr>
    </w:p>
    <w:p w14:paraId="32F895B1" w14:textId="77777777" w:rsidR="0005631A" w:rsidRDefault="0005631A" w:rsidP="0005631A">
      <w:pPr>
        <w:rPr>
          <w:rFonts w:ascii="Arial" w:hAnsi="Arial" w:cs="Arial"/>
        </w:rPr>
      </w:pPr>
    </w:p>
    <w:p w14:paraId="04A07858" w14:textId="77777777" w:rsidR="0005631A" w:rsidRDefault="0005631A" w:rsidP="0005631A">
      <w:pPr>
        <w:rPr>
          <w:rFonts w:ascii="Arial" w:hAnsi="Arial" w:cs="Arial"/>
        </w:rPr>
      </w:pPr>
    </w:p>
    <w:p w14:paraId="6F02982E" w14:textId="77777777" w:rsidR="0005631A" w:rsidRDefault="0005631A" w:rsidP="0005631A">
      <w:pPr>
        <w:rPr>
          <w:rFonts w:ascii="Arial" w:hAnsi="Arial" w:cs="Arial"/>
        </w:rPr>
      </w:pPr>
    </w:p>
    <w:p w14:paraId="602B6296" w14:textId="77777777" w:rsidR="0005631A" w:rsidRDefault="0005631A" w:rsidP="0005631A">
      <w:pPr>
        <w:rPr>
          <w:rFonts w:ascii="Arial" w:hAnsi="Arial" w:cs="Arial"/>
        </w:rPr>
      </w:pPr>
    </w:p>
    <w:p w14:paraId="5DD0D90A" w14:textId="77777777" w:rsidR="0005631A" w:rsidRDefault="0005631A" w:rsidP="0005631A">
      <w:pPr>
        <w:rPr>
          <w:rFonts w:ascii="Arial" w:hAnsi="Arial" w:cs="Arial"/>
        </w:rPr>
      </w:pPr>
    </w:p>
    <w:p w14:paraId="53330D2D" w14:textId="77777777" w:rsidR="0005631A" w:rsidRDefault="0005631A" w:rsidP="0005631A">
      <w:pPr>
        <w:rPr>
          <w:rFonts w:ascii="Arial" w:hAnsi="Arial" w:cs="Arial"/>
        </w:rPr>
      </w:pPr>
    </w:p>
    <w:p w14:paraId="127B9893" w14:textId="77777777" w:rsidR="0005631A" w:rsidRDefault="0005631A" w:rsidP="0005631A">
      <w:pPr>
        <w:rPr>
          <w:rFonts w:ascii="Arial" w:hAnsi="Arial" w:cs="Arial"/>
        </w:rPr>
      </w:pPr>
    </w:p>
    <w:p w14:paraId="4B2E5671" w14:textId="77777777" w:rsidR="0005631A" w:rsidRDefault="0005631A" w:rsidP="0005631A">
      <w:pPr>
        <w:rPr>
          <w:rFonts w:ascii="Arial" w:hAnsi="Arial" w:cs="Arial"/>
        </w:rPr>
      </w:pPr>
    </w:p>
    <w:p w14:paraId="4722EF6A" w14:textId="77777777" w:rsidR="0005631A" w:rsidRDefault="0005631A" w:rsidP="0005631A">
      <w:pPr>
        <w:rPr>
          <w:rFonts w:ascii="Arial" w:hAnsi="Arial" w:cs="Arial"/>
        </w:rPr>
      </w:pPr>
    </w:p>
    <w:p w14:paraId="2EBA9659" w14:textId="77777777" w:rsidR="0005631A" w:rsidRDefault="0005631A" w:rsidP="0005631A">
      <w:pPr>
        <w:rPr>
          <w:rFonts w:ascii="Arial" w:hAnsi="Arial" w:cs="Arial"/>
        </w:rPr>
      </w:pPr>
    </w:p>
    <w:p w14:paraId="32A6D7A4" w14:textId="77777777" w:rsidR="0005631A" w:rsidRDefault="0005631A" w:rsidP="0005631A">
      <w:pPr>
        <w:rPr>
          <w:rFonts w:ascii="Arial" w:hAnsi="Arial" w:cs="Arial"/>
        </w:rPr>
      </w:pPr>
    </w:p>
    <w:p w14:paraId="5CC06F08" w14:textId="77777777" w:rsidR="0005631A" w:rsidRDefault="0005631A" w:rsidP="0005631A">
      <w:pPr>
        <w:rPr>
          <w:rFonts w:ascii="Arial" w:hAnsi="Arial" w:cs="Arial"/>
        </w:rPr>
      </w:pPr>
    </w:p>
    <w:p w14:paraId="3ABFB7F0" w14:textId="77777777" w:rsidR="0005631A" w:rsidRDefault="0005631A" w:rsidP="0005631A">
      <w:pPr>
        <w:rPr>
          <w:rFonts w:ascii="Arial" w:hAnsi="Arial" w:cs="Arial"/>
        </w:rPr>
      </w:pPr>
    </w:p>
    <w:p w14:paraId="6FA7EC3F" w14:textId="77777777" w:rsidR="0005631A" w:rsidRDefault="0005631A" w:rsidP="0005631A">
      <w:pPr>
        <w:rPr>
          <w:rFonts w:ascii="Arial" w:hAnsi="Arial" w:cs="Arial"/>
        </w:rPr>
      </w:pPr>
    </w:p>
    <w:p w14:paraId="7B8B05B5" w14:textId="77777777" w:rsidR="0005631A" w:rsidRDefault="0005631A" w:rsidP="0005631A">
      <w:pPr>
        <w:rPr>
          <w:rFonts w:ascii="Arial" w:hAnsi="Arial" w:cs="Arial"/>
        </w:rPr>
      </w:pPr>
    </w:p>
    <w:p w14:paraId="4AA41F45" w14:textId="77777777" w:rsidR="0005631A" w:rsidRDefault="0005631A" w:rsidP="0005631A">
      <w:pPr>
        <w:rPr>
          <w:rFonts w:ascii="Arial" w:hAnsi="Arial" w:cs="Arial"/>
        </w:rPr>
      </w:pPr>
    </w:p>
    <w:p w14:paraId="4D2A5E0B" w14:textId="77777777" w:rsidR="0005631A" w:rsidRDefault="0005631A" w:rsidP="0005631A">
      <w:pPr>
        <w:rPr>
          <w:rFonts w:ascii="Arial" w:hAnsi="Arial" w:cs="Arial"/>
        </w:rPr>
      </w:pPr>
    </w:p>
    <w:p w14:paraId="17C39F98" w14:textId="77777777" w:rsidR="0005631A" w:rsidRDefault="0005631A" w:rsidP="0005631A">
      <w:pPr>
        <w:rPr>
          <w:rFonts w:ascii="Arial" w:hAnsi="Arial" w:cs="Arial"/>
        </w:rPr>
      </w:pPr>
    </w:p>
    <w:p w14:paraId="7520F94B" w14:textId="77777777" w:rsidR="0005631A" w:rsidRPr="0005631A" w:rsidRDefault="0005631A" w:rsidP="0005631A">
      <w:pPr>
        <w:rPr>
          <w:rFonts w:ascii="Arial" w:hAnsi="Arial" w:cs="Arial"/>
        </w:rPr>
      </w:pPr>
    </w:p>
    <w:p w14:paraId="0935E1B6" w14:textId="7CADF9F3"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lastRenderedPageBreak/>
        <w:t>Introduction</w:t>
      </w:r>
    </w:p>
    <w:p w14:paraId="4A1DAA7A" w14:textId="519DB8D4"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According to </w:t>
      </w:r>
      <w:r>
        <w:rPr>
          <w:rFonts w:ascii="Arial" w:hAnsi="Arial" w:cs="Arial"/>
        </w:rPr>
        <w:t>Nguyen et al. (2022)</w:t>
      </w:r>
      <w:r>
        <w:rPr>
          <w:rFonts w:ascii="Arial" w:eastAsia="Times New Roman" w:hAnsi="Arial" w:cs="Arial"/>
          <w:kern w:val="0"/>
          <w:lang w:eastAsia="en-GB"/>
          <w14:ligatures w14:val="none"/>
        </w:rPr>
        <w:t xml:space="preserve"> reflective teaching requires educators to move beyond simply observing classroom phenomena and actively transform critical insights into targeted pedagogical interventions. In part A, Tripp’s critical incident methodology was applied to analyse an episode of prolonged, passive daydreaming in a foundation phase classroom. The initial observation revealed that learner A displayed </w:t>
      </w:r>
      <w:proofErr w:type="gramStart"/>
      <w:r>
        <w:rPr>
          <w:rFonts w:ascii="Arial" w:eastAsia="Times New Roman" w:hAnsi="Arial" w:cs="Arial"/>
          <w:kern w:val="0"/>
          <w:lang w:eastAsia="en-GB"/>
          <w14:ligatures w14:val="none"/>
        </w:rPr>
        <w:t>a</w:t>
      </w:r>
      <w:proofErr w:type="gramEnd"/>
      <w:r>
        <w:rPr>
          <w:rFonts w:ascii="Arial" w:eastAsia="Times New Roman" w:hAnsi="Arial" w:cs="Arial"/>
          <w:kern w:val="0"/>
          <w:lang w:eastAsia="en-GB"/>
          <w14:ligatures w14:val="none"/>
        </w:rPr>
        <w:t xml:space="preserve"> extended non-disruptive disconnection during a lesson. A deep-dive deconstruction through the theoretical framework of attention deficit/hyperactivity disorder (ADHD) and Barkley’s model of executive dysfunction demonstrated that this behaviour was not active non-compliance. Instead, it represented an involuntary manifestation of working memory fatigue and cortical hypo-arousal caused by low stimulation, continuous auditory delivery. </w:t>
      </w:r>
    </w:p>
    <w:p w14:paraId="26D9DECC" w14:textId="69F27207"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purpose of part B is to complete Tripp’s reflective cycle (observe – analyse – plan/develop – implement/re-observe) by preparing two evidence based instructional interventions personalised to support learner A’s executive functioning needs. According to </w:t>
      </w:r>
      <w:r>
        <w:rPr>
          <w:rFonts w:ascii="Arial" w:hAnsi="Arial" w:cs="Arial"/>
        </w:rPr>
        <w:t>Azuka et al. (2024)</w:t>
      </w:r>
      <w:r>
        <w:rPr>
          <w:rFonts w:ascii="Arial" w:eastAsia="Times New Roman" w:hAnsi="Arial" w:cs="Arial"/>
          <w:kern w:val="0"/>
          <w:lang w:eastAsia="en-GB"/>
          <w14:ligatures w14:val="none"/>
        </w:rPr>
        <w:t xml:space="preserve"> targeted interventions in school settings, function to adjust environmental, structural and instructional parameters, ensuring that learners with neurodivergent profiles can access the curriculum equitably alongside their peers. In accordance with the British Educational Research Association (BERA) ethical guidelines all identifying information remains fully anonymised. </w:t>
      </w:r>
    </w:p>
    <w:p w14:paraId="148F70A3" w14:textId="1812A44F"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assignment is structured into four main sections. First, it introduces the background context and theoretical grounding derived from part A. Next, it critically evaluates intervention 1: micro-instructional chunking and explicit visual timers, examining its theoretical alignment with cognitive load theory, practical implementation and logistical challenges. It then examines intervention 2: dual-coded graphic organisers and interactive physical response tools, analysing its impact on working memory support and active engagement. Finally, the assignment concludes by synthesising key findings, reflecting on personal professional growth and linking these insights to national professional teaching standards. </w:t>
      </w:r>
    </w:p>
    <w:p w14:paraId="21AE424B" w14:textId="07E92185"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t xml:space="preserve">Intervention 1 </w:t>
      </w:r>
    </w:p>
    <w:p w14:paraId="402B653B" w14:textId="13496C83"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To relieve the working memory fatigue observed during extended teacher talk, the first proposed strategy is micro-instructional chunking paired with visual timers. Embedded in cognitive load theory, this intervention addresses the strict capacity limits of working memory </w:t>
      </w:r>
      <w:r>
        <w:rPr>
          <w:rFonts w:ascii="Arial" w:hAnsi="Arial" w:cs="Arial"/>
        </w:rPr>
        <w:t>(</w:t>
      </w:r>
      <w:proofErr w:type="spellStart"/>
      <w:r>
        <w:rPr>
          <w:rFonts w:ascii="Arial" w:hAnsi="Arial" w:cs="Arial"/>
        </w:rPr>
        <w:t>Meguerdichian</w:t>
      </w:r>
      <w:proofErr w:type="spellEnd"/>
      <w:r>
        <w:rPr>
          <w:rFonts w:ascii="Arial" w:hAnsi="Arial" w:cs="Arial"/>
        </w:rPr>
        <w:t>, Walker and Bajaj, 2016)</w:t>
      </w:r>
      <w:r>
        <w:rPr>
          <w:rFonts w:ascii="Arial" w:eastAsia="Times New Roman" w:hAnsi="Arial" w:cs="Arial"/>
          <w:kern w:val="0"/>
          <w:lang w:eastAsia="en-GB"/>
          <w14:ligatures w14:val="none"/>
        </w:rPr>
        <w:t xml:space="preserve">. </w:t>
      </w:r>
      <w:r>
        <w:rPr>
          <w:rFonts w:ascii="Arial" w:hAnsi="Arial" w:cs="Arial"/>
        </w:rPr>
        <w:t>Colomer et al. (2017)</w:t>
      </w:r>
      <w:r>
        <w:rPr>
          <w:rFonts w:ascii="Arial" w:eastAsia="Times New Roman" w:hAnsi="Arial" w:cs="Arial"/>
          <w:kern w:val="0"/>
          <w:lang w:eastAsia="en-GB"/>
          <w14:ligatures w14:val="none"/>
        </w:rPr>
        <w:t xml:space="preserve"> highlights that for pupils with inattentive ADHD traits, extended auditory explanations impose high extraneous cognitive load, rapidly reducing executive processing stores. </w:t>
      </w:r>
    </w:p>
    <w:p w14:paraId="204C8598" w14:textId="6A65485E"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practical classroom terms, direct instruction is restricted into time-bound portions lasting no more than 5 to 7 minutes </w:t>
      </w:r>
      <w:r>
        <w:rPr>
          <w:rFonts w:ascii="Arial" w:hAnsi="Arial" w:cs="Arial"/>
        </w:rPr>
        <w:t>(Shammas, 2023)</w:t>
      </w:r>
      <w:r>
        <w:rPr>
          <w:rFonts w:ascii="Arial" w:eastAsia="Times New Roman" w:hAnsi="Arial" w:cs="Arial"/>
          <w:kern w:val="0"/>
          <w:lang w:eastAsia="en-GB"/>
          <w14:ligatures w14:val="none"/>
        </w:rPr>
        <w:t xml:space="preserve">. Each micro-lesson focuses on a single, isolated skill, such as blending words in relation to phonics, supported by an onscreen visual countdown timer. Once the timer elapses, the teacher immediately transitions the class into a 2-minute active processing phase such as ‘think, pair, share’ before delivering the next chunk, an example of this has been observed in foundation phase as ‘snap’ to a partner to try the sound then ‘snap’ back </w:t>
      </w:r>
      <w:r>
        <w:rPr>
          <w:rFonts w:ascii="Arial" w:eastAsia="Times New Roman" w:hAnsi="Arial" w:cs="Arial"/>
          <w:kern w:val="0"/>
          <w:lang w:eastAsia="en-GB"/>
          <w14:ligatures w14:val="none"/>
        </w:rPr>
        <w:lastRenderedPageBreak/>
        <w:t xml:space="preserve">on the teachers’ command and try as a group. This structural boundary provides clear predictability, lowers the risk of auditory processing fatigue and prevents the default mode network from triggering involuntary mind-wandering </w:t>
      </w:r>
      <w:r>
        <w:rPr>
          <w:rFonts w:ascii="Arial" w:hAnsi="Arial" w:cs="Arial"/>
        </w:rPr>
        <w:t>(Poerio et al., 2017)</w:t>
      </w:r>
      <w:r>
        <w:rPr>
          <w:rFonts w:ascii="Arial" w:eastAsia="Times New Roman" w:hAnsi="Arial" w:cs="Arial"/>
          <w:kern w:val="0"/>
          <w:lang w:eastAsia="en-GB"/>
          <w14:ligatures w14:val="none"/>
        </w:rPr>
        <w:t xml:space="preserve">. </w:t>
      </w:r>
    </w:p>
    <w:p w14:paraId="42809764" w14:textId="6A57F961"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t xml:space="preserve">Critical review </w:t>
      </w:r>
    </w:p>
    <w:p w14:paraId="42F6C31B" w14:textId="0FAAF380"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Recent literature from </w:t>
      </w:r>
      <w:r>
        <w:rPr>
          <w:rFonts w:ascii="Arial" w:hAnsi="Arial" w:cs="Arial"/>
        </w:rPr>
        <w:t xml:space="preserve">Thomas and </w:t>
      </w:r>
      <w:proofErr w:type="spellStart"/>
      <w:r>
        <w:rPr>
          <w:rFonts w:ascii="Arial" w:hAnsi="Arial" w:cs="Arial"/>
        </w:rPr>
        <w:t>Karuppali</w:t>
      </w:r>
      <w:proofErr w:type="spellEnd"/>
      <w:r>
        <w:rPr>
          <w:rFonts w:ascii="Arial" w:hAnsi="Arial" w:cs="Arial"/>
        </w:rPr>
        <w:t xml:space="preserve"> (2022)</w:t>
      </w:r>
      <w:r>
        <w:rPr>
          <w:rFonts w:ascii="Arial" w:eastAsia="Times New Roman" w:hAnsi="Arial" w:cs="Arial"/>
          <w:kern w:val="0"/>
          <w:lang w:eastAsia="en-GB"/>
          <w14:ligatures w14:val="none"/>
        </w:rPr>
        <w:t xml:space="preserve"> strongly supports the use of chunked delivery and time management aids for pupils displaying executive dysfunction. </w:t>
      </w:r>
      <w:r>
        <w:rPr>
          <w:rFonts w:ascii="Arial" w:hAnsi="Arial" w:cs="Arial"/>
        </w:rPr>
        <w:t>Monib, Qazi and Apong (2025)</w:t>
      </w:r>
      <w:r>
        <w:rPr>
          <w:rFonts w:ascii="Arial" w:eastAsia="Times New Roman" w:hAnsi="Arial" w:cs="Arial"/>
          <w:kern w:val="0"/>
          <w:lang w:eastAsia="en-GB"/>
          <w14:ligatures w14:val="none"/>
        </w:rPr>
        <w:t xml:space="preserve"> argue that the use of micro-instruction lowers unnecessary load by reducing spoken information, thereby freeing capacity for schema construction. Furthermore, visual timers externalise time perception, an executive function area where children with ADHD display marked impairment </w:t>
      </w:r>
      <w:r>
        <w:rPr>
          <w:rFonts w:ascii="Arial" w:hAnsi="Arial" w:cs="Arial"/>
        </w:rPr>
        <w:t>(Ptacek et al., 2019)</w:t>
      </w:r>
      <w:r>
        <w:rPr>
          <w:rFonts w:ascii="Arial" w:eastAsia="Times New Roman" w:hAnsi="Arial" w:cs="Arial"/>
          <w:kern w:val="0"/>
          <w:lang w:eastAsia="en-GB"/>
          <w14:ligatures w14:val="none"/>
        </w:rPr>
        <w:t xml:space="preserve">. </w:t>
      </w:r>
    </w:p>
    <w:p w14:paraId="7CCBE910" w14:textId="63A97D28"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However, applying micro-chunking introduces practical challenges within a mainstream primary environment. From a logistical perspective, maintaining rigid 5-to-7-minute instructional time limits require high teacher discipline and accurate lesson pacing which can feel restrictive during open ended class discussions </w:t>
      </w:r>
      <w:r>
        <w:rPr>
          <w:rFonts w:ascii="Arial" w:hAnsi="Arial" w:cs="Arial"/>
        </w:rPr>
        <w:t>(Bach, Hofer and Bichler, 2024)</w:t>
      </w:r>
      <w:r>
        <w:rPr>
          <w:rFonts w:ascii="Arial" w:eastAsia="Times New Roman" w:hAnsi="Arial" w:cs="Arial"/>
          <w:kern w:val="0"/>
          <w:lang w:eastAsia="en-GB"/>
          <w14:ligatures w14:val="none"/>
        </w:rPr>
        <w:t xml:space="preserve">. Additionally, </w:t>
      </w:r>
      <w:proofErr w:type="spellStart"/>
      <w:r>
        <w:rPr>
          <w:rFonts w:ascii="Arial" w:hAnsi="Arial" w:cs="Arial"/>
        </w:rPr>
        <w:t>Hallez</w:t>
      </w:r>
      <w:proofErr w:type="spellEnd"/>
      <w:r>
        <w:rPr>
          <w:rFonts w:ascii="Arial" w:hAnsi="Arial" w:cs="Arial"/>
        </w:rPr>
        <w:t xml:space="preserve"> and Vallier (2025)</w:t>
      </w:r>
      <w:r>
        <w:rPr>
          <w:rFonts w:ascii="Arial" w:eastAsia="Times New Roman" w:hAnsi="Arial" w:cs="Arial"/>
          <w:kern w:val="0"/>
          <w:lang w:eastAsia="en-GB"/>
          <w14:ligatures w14:val="none"/>
        </w:rPr>
        <w:t xml:space="preserve"> argue that over reliance on countdown timers may increase anxiety for a subset of learners, moving the cognitive focus from deep understanding to clock watching. </w:t>
      </w:r>
    </w:p>
    <w:p w14:paraId="37BF0479" w14:textId="34547DC5"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Furthermore, while policy frameworks prioritise inclusive quality first teaching, literature from </w:t>
      </w:r>
      <w:r>
        <w:rPr>
          <w:rFonts w:ascii="Arial" w:hAnsi="Arial" w:cs="Arial"/>
        </w:rPr>
        <w:t xml:space="preserve">Nuru, </w:t>
      </w:r>
      <w:proofErr w:type="spellStart"/>
      <w:r>
        <w:rPr>
          <w:rFonts w:ascii="Arial" w:hAnsi="Arial" w:cs="Arial"/>
        </w:rPr>
        <w:t>Mhagama</w:t>
      </w:r>
      <w:proofErr w:type="spellEnd"/>
      <w:r>
        <w:rPr>
          <w:rFonts w:ascii="Arial" w:hAnsi="Arial" w:cs="Arial"/>
        </w:rPr>
        <w:t xml:space="preserve"> and </w:t>
      </w:r>
      <w:proofErr w:type="spellStart"/>
      <w:r>
        <w:rPr>
          <w:rFonts w:ascii="Arial" w:hAnsi="Arial" w:cs="Arial"/>
        </w:rPr>
        <w:t>Mwamakula</w:t>
      </w:r>
      <w:proofErr w:type="spellEnd"/>
      <w:r>
        <w:rPr>
          <w:rFonts w:ascii="Arial" w:hAnsi="Arial" w:cs="Arial"/>
        </w:rPr>
        <w:t xml:space="preserve"> (2025) </w:t>
      </w:r>
      <w:r>
        <w:rPr>
          <w:rFonts w:ascii="Arial" w:eastAsia="Times New Roman" w:hAnsi="Arial" w:cs="Arial"/>
          <w:kern w:val="0"/>
          <w:lang w:eastAsia="en-GB"/>
          <w14:ligatures w14:val="none"/>
        </w:rPr>
        <w:t xml:space="preserve">highlights a gap between intervention design and classroom reality, chunking often fails if teachers reduce lesson length without streamlining content difficulty, merely compressing dense information into shorter windows. To be effective, </w:t>
      </w:r>
      <w:r>
        <w:rPr>
          <w:rFonts w:ascii="Arial" w:hAnsi="Arial" w:cs="Arial"/>
        </w:rPr>
        <w:t>Jones (2012) insists that</w:t>
      </w:r>
      <w:r>
        <w:rPr>
          <w:rFonts w:ascii="Arial" w:eastAsia="Times New Roman" w:hAnsi="Arial" w:cs="Arial"/>
          <w:kern w:val="0"/>
          <w:lang w:eastAsia="en-GB"/>
          <w14:ligatures w14:val="none"/>
        </w:rPr>
        <w:t xml:space="preserve"> micro-chunking must be paired with clear, precise modelling rather than simply quicker delivery. </w:t>
      </w:r>
    </w:p>
    <w:p w14:paraId="37A20BFF" w14:textId="5EB301D6"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t>Intervention 2</w:t>
      </w:r>
    </w:p>
    <w:p w14:paraId="6ACF7D8F" w14:textId="0E845B3A"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second proposed intervention combines dual coded graphic organisers with interactive response tools. This strategy directly links to </w:t>
      </w:r>
      <w:proofErr w:type="spellStart"/>
      <w:r w:rsidRPr="008957A3">
        <w:rPr>
          <w:rFonts w:ascii="Arial" w:hAnsi="Arial" w:cs="Arial"/>
          <w:color w:val="1F1F1F"/>
          <w:shd w:val="clear" w:color="auto" w:fill="FFFFFF"/>
        </w:rPr>
        <w:t>Paivio’s</w:t>
      </w:r>
      <w:proofErr w:type="spellEnd"/>
      <w:r>
        <w:rPr>
          <w:rFonts w:ascii="Arial" w:eastAsia="Times New Roman" w:hAnsi="Arial" w:cs="Arial"/>
          <w:kern w:val="0"/>
          <w:lang w:eastAsia="en-GB"/>
          <w14:ligatures w14:val="none"/>
        </w:rPr>
        <w:t xml:space="preserve"> dual coding theory and Mayer’s cognitive theory of multimedia learning, which state that working memory processes visual and verbal information through separate channels </w:t>
      </w:r>
      <w:r>
        <w:rPr>
          <w:rFonts w:ascii="Arial" w:hAnsi="Arial" w:cs="Arial"/>
        </w:rPr>
        <w:t>(Mayer, 2024)</w:t>
      </w:r>
      <w:r>
        <w:rPr>
          <w:rFonts w:ascii="Arial" w:eastAsia="Times New Roman" w:hAnsi="Arial" w:cs="Arial"/>
          <w:kern w:val="0"/>
          <w:lang w:eastAsia="en-GB"/>
          <w14:ligatures w14:val="none"/>
        </w:rPr>
        <w:t xml:space="preserve">. </w:t>
      </w:r>
    </w:p>
    <w:p w14:paraId="0EB929F7" w14:textId="3338D6BB"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During the critical incident, Learner A was expected to process spoken instructions while holding inference cues in working memory, resulting in cognitive overload. Implementing dual-coded graphic organisers such as structured ‘inference maps’ combining pictorial icons with text boxes, provides a visual scaffold that holds information in the environment rather than forcing the learner to retain it internally </w:t>
      </w:r>
      <w:r>
        <w:rPr>
          <w:rFonts w:ascii="Arial" w:hAnsi="Arial" w:cs="Arial"/>
        </w:rPr>
        <w:t>(Castro-Alonso et al., 2021)</w:t>
      </w:r>
      <w:r>
        <w:rPr>
          <w:rFonts w:ascii="Arial" w:eastAsia="Times New Roman" w:hAnsi="Arial" w:cs="Arial"/>
          <w:kern w:val="0"/>
          <w:lang w:eastAsia="en-GB"/>
          <w14:ligatures w14:val="none"/>
        </w:rPr>
        <w:t xml:space="preserve">. </w:t>
      </w:r>
    </w:p>
    <w:p w14:paraId="3B68C034" w14:textId="01E6BCF7"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Practically, during the instructional phase, learner A receives a visual organiser that mirrors the teachers slide presentation. Instead of remaining a passive listener, learner A uses immediate response tools such as pre-printed prompt cards or mini whiteboards with fill in boxes to respond every 2 to 3 minutes. This transforms </w:t>
      </w:r>
      <w:r>
        <w:rPr>
          <w:rFonts w:ascii="Arial" w:eastAsia="Times New Roman" w:hAnsi="Arial" w:cs="Arial"/>
          <w:kern w:val="0"/>
          <w:lang w:eastAsia="en-GB"/>
          <w14:ligatures w14:val="none"/>
        </w:rPr>
        <w:lastRenderedPageBreak/>
        <w:t xml:space="preserve">passive reception into active physical kinaesthetic processing, helping maintain cortical arousal and executive control </w:t>
      </w:r>
      <w:r>
        <w:rPr>
          <w:rFonts w:ascii="Arial" w:hAnsi="Arial" w:cs="Arial"/>
        </w:rPr>
        <w:t>(Florio, 2025)</w:t>
      </w:r>
      <w:r>
        <w:rPr>
          <w:rFonts w:ascii="Arial" w:eastAsia="Times New Roman" w:hAnsi="Arial" w:cs="Arial"/>
          <w:kern w:val="0"/>
          <w:lang w:eastAsia="en-GB"/>
          <w14:ligatures w14:val="none"/>
        </w:rPr>
        <w:t xml:space="preserve">. </w:t>
      </w:r>
    </w:p>
    <w:p w14:paraId="34A8177B" w14:textId="09D782CD"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t>Critical review</w:t>
      </w:r>
    </w:p>
    <w:p w14:paraId="599FE7AC" w14:textId="37F4340D"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Research from </w:t>
      </w:r>
      <w:r>
        <w:rPr>
          <w:rFonts w:ascii="Arial" w:hAnsi="Arial" w:cs="Arial"/>
        </w:rPr>
        <w:t>Hilton et al. (2019)</w:t>
      </w:r>
      <w:r>
        <w:rPr>
          <w:rFonts w:ascii="Arial" w:eastAsia="Times New Roman" w:hAnsi="Arial" w:cs="Arial"/>
          <w:kern w:val="0"/>
          <w:lang w:eastAsia="en-GB"/>
          <w14:ligatures w14:val="none"/>
        </w:rPr>
        <w:t xml:space="preserve"> validates dual-coding and graphic organisers as highly effective accommodations for learners with ADHD and working memory deficits. By presenting verbal cues alongside visual diagrams, the instructional design reduces cognitive load on the auditory channel, allowing pupils to construct relationships between abstract concepts more effectively </w:t>
      </w:r>
      <w:r>
        <w:rPr>
          <w:rFonts w:ascii="Arial" w:hAnsi="Arial" w:cs="Arial"/>
        </w:rPr>
        <w:t>(Tabbers, Martens and Van Merriënboer, 2004)</w:t>
      </w:r>
      <w:r>
        <w:rPr>
          <w:rFonts w:ascii="Arial" w:eastAsia="Times New Roman" w:hAnsi="Arial" w:cs="Arial"/>
          <w:kern w:val="0"/>
          <w:lang w:eastAsia="en-GB"/>
          <w14:ligatures w14:val="none"/>
        </w:rPr>
        <w:t xml:space="preserve">. </w:t>
      </w:r>
      <w:proofErr w:type="spellStart"/>
      <w:r>
        <w:rPr>
          <w:rFonts w:ascii="Arial" w:hAnsi="Arial" w:cs="Arial"/>
        </w:rPr>
        <w:t>Halkiopoulos</w:t>
      </w:r>
      <w:proofErr w:type="spellEnd"/>
      <w:r>
        <w:rPr>
          <w:rFonts w:ascii="Arial" w:hAnsi="Arial" w:cs="Arial"/>
        </w:rPr>
        <w:t xml:space="preserve"> et al. (2025)</w:t>
      </w:r>
      <w:r>
        <w:rPr>
          <w:rFonts w:ascii="Arial" w:eastAsia="Times New Roman" w:hAnsi="Arial" w:cs="Arial"/>
          <w:kern w:val="0"/>
          <w:lang w:eastAsia="en-GB"/>
          <w14:ligatures w14:val="none"/>
        </w:rPr>
        <w:t xml:space="preserve"> further argues that interactive response tools further promote active engagement, directly targeting the cortical hypo-arousal highlighted in neuroimaging research. </w:t>
      </w:r>
    </w:p>
    <w:p w14:paraId="13ADB787" w14:textId="5DE70D9D"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Despite these benefits, practical barriers exist. Preparing customised, dual-coded visual templates for every literacy session increases teacher workload and requires careful planning </w:t>
      </w:r>
      <w:r>
        <w:rPr>
          <w:rFonts w:ascii="Arial" w:hAnsi="Arial" w:cs="Arial"/>
        </w:rPr>
        <w:t>(</w:t>
      </w:r>
      <w:proofErr w:type="spellStart"/>
      <w:r>
        <w:rPr>
          <w:rFonts w:ascii="Arial" w:hAnsi="Arial" w:cs="Arial"/>
        </w:rPr>
        <w:t>Gkintoni</w:t>
      </w:r>
      <w:proofErr w:type="spellEnd"/>
      <w:r>
        <w:rPr>
          <w:rFonts w:ascii="Arial" w:hAnsi="Arial" w:cs="Arial"/>
        </w:rPr>
        <w:t xml:space="preserve"> et al., 2025)</w:t>
      </w:r>
      <w:r>
        <w:rPr>
          <w:rFonts w:ascii="Arial" w:eastAsia="Times New Roman" w:hAnsi="Arial" w:cs="Arial"/>
          <w:kern w:val="0"/>
          <w:lang w:eastAsia="en-GB"/>
          <w14:ligatures w14:val="none"/>
        </w:rPr>
        <w:t xml:space="preserve">. In terms of classroom dynamics </w:t>
      </w:r>
      <w:r>
        <w:rPr>
          <w:rFonts w:ascii="Arial" w:hAnsi="Arial" w:cs="Arial"/>
        </w:rPr>
        <w:t>Kim et al. (2020)</w:t>
      </w:r>
      <w:r>
        <w:rPr>
          <w:rFonts w:ascii="Arial" w:eastAsia="Times New Roman" w:hAnsi="Arial" w:cs="Arial"/>
          <w:kern w:val="0"/>
          <w:lang w:eastAsia="en-GB"/>
          <w14:ligatures w14:val="none"/>
        </w:rPr>
        <w:t xml:space="preserve"> highlight the significance of providing a specialised organisers to a single pupil, risks stigmatising the learner among peers. To avoid this, literature from </w:t>
      </w:r>
      <w:r>
        <w:rPr>
          <w:rFonts w:ascii="Arial" w:hAnsi="Arial" w:cs="Arial"/>
        </w:rPr>
        <w:t xml:space="preserve">AlRawi and </w:t>
      </w:r>
      <w:proofErr w:type="spellStart"/>
      <w:r>
        <w:rPr>
          <w:rFonts w:ascii="Arial" w:hAnsi="Arial" w:cs="Arial"/>
        </w:rPr>
        <w:t>AlKahtani</w:t>
      </w:r>
      <w:proofErr w:type="spellEnd"/>
      <w:r>
        <w:rPr>
          <w:rFonts w:ascii="Arial" w:hAnsi="Arial" w:cs="Arial"/>
        </w:rPr>
        <w:t xml:space="preserve"> (2021) </w:t>
      </w:r>
      <w:r>
        <w:rPr>
          <w:rFonts w:ascii="Arial" w:eastAsia="Times New Roman" w:hAnsi="Arial" w:cs="Arial"/>
          <w:kern w:val="0"/>
          <w:lang w:eastAsia="en-GB"/>
          <w14:ligatures w14:val="none"/>
        </w:rPr>
        <w:t xml:space="preserve">recommends universal design for learning approaches, where dual-coded organisers are embedded as standard practise for the entire class rather than isolated as an additional needs alteration. </w:t>
      </w:r>
    </w:p>
    <w:p w14:paraId="17115662" w14:textId="1CCBF5C6"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critical gap in current research involves long term independence, while graphic organisers successfully support immediate task completion, recent studies from </w:t>
      </w:r>
      <w:r>
        <w:rPr>
          <w:rFonts w:ascii="Arial" w:hAnsi="Arial" w:cs="Arial"/>
        </w:rPr>
        <w:t>Pich Chueng and Heng (2025)</w:t>
      </w:r>
      <w:r>
        <w:rPr>
          <w:rFonts w:ascii="Arial" w:eastAsia="Times New Roman" w:hAnsi="Arial" w:cs="Arial"/>
          <w:kern w:val="0"/>
          <w:lang w:eastAsia="en-GB"/>
          <w14:ligatures w14:val="none"/>
        </w:rPr>
        <w:t xml:space="preserve"> highlight that increased scaffolding without a structured reduction plan can create learned helplessness, preventing pupils from developing autonomous inference abilities. Therefore, the teacher must systematically reduce template structure as Learner A develops schema stability. </w:t>
      </w:r>
    </w:p>
    <w:p w14:paraId="265DE814" w14:textId="0D10C916" w:rsidR="008957A3" w:rsidRPr="0005631A" w:rsidRDefault="008957A3" w:rsidP="008957A3">
      <w:pPr>
        <w:spacing w:after="100" w:afterAutospacing="1" w:line="240" w:lineRule="auto"/>
        <w:outlineLvl w:val="1"/>
        <w:rPr>
          <w:rFonts w:ascii="Arial" w:eastAsia="Times New Roman" w:hAnsi="Arial" w:cs="Arial"/>
          <w:b/>
          <w:bCs/>
          <w:kern w:val="0"/>
          <w:u w:val="single"/>
          <w:lang w:eastAsia="en-GB"/>
          <w14:ligatures w14:val="none"/>
        </w:rPr>
      </w:pPr>
      <w:r w:rsidRPr="0005631A">
        <w:rPr>
          <w:rFonts w:ascii="Arial" w:eastAsia="Times New Roman" w:hAnsi="Arial" w:cs="Arial"/>
          <w:b/>
          <w:bCs/>
          <w:kern w:val="0"/>
          <w:u w:val="single"/>
          <w:lang w:eastAsia="en-GB"/>
          <w14:ligatures w14:val="none"/>
        </w:rPr>
        <w:t xml:space="preserve">Conclusion </w:t>
      </w:r>
    </w:p>
    <w:p w14:paraId="64C48874" w14:textId="32421B0A"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two-part assignment demonstrated the value of structured reflective practise in deconstructing routine classroom events. Part A reframed Learner A’s daydreaming from a behavioural problem into an executive functioning response to working memory overload. Part B completed Tripp’s reflective cycle by developing two targeted interventions, micro-instructional chunking with visual timers and dual-coded graphic organisers with interactive response. Both strategies address the root cognitive causes of inattention by optimising cognitive load and maintaining active engagement. </w:t>
      </w:r>
    </w:p>
    <w:p w14:paraId="7983FA13" w14:textId="785FD8C7" w:rsidR="008957A3" w:rsidRDefault="008957A3" w:rsidP="008957A3">
      <w:pPr>
        <w:spacing w:after="100" w:afterAutospacing="1" w:line="240" w:lineRule="auto"/>
        <w:outlineLvl w:val="1"/>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Engaging with Tripp’s methodology has significantly enhanced my professional outlook. Moving beyond superficial, descriptive reflections has enabled me to question classroom observations through respected educational and neuroscientific research. This practise directly aligns with professional teaching standards, which mandate that educators adapt teaching methods to match the strengths and needs of all learners. </w:t>
      </w:r>
    </w:p>
    <w:p w14:paraId="0FBCCE6A" w14:textId="77777777" w:rsidR="008957A3" w:rsidRDefault="008957A3">
      <w:pPr>
        <w:rPr>
          <w:color w:val="EE0000"/>
        </w:rPr>
      </w:pPr>
    </w:p>
    <w:p w14:paraId="24E494E6" w14:textId="70A53CA0" w:rsidR="00CA316A" w:rsidRPr="0005631A" w:rsidRDefault="00CA316A">
      <w:pPr>
        <w:rPr>
          <w:rFonts w:ascii="Arial" w:hAnsi="Arial" w:cs="Arial"/>
          <w:b/>
          <w:bCs/>
          <w:u w:val="single"/>
        </w:rPr>
      </w:pPr>
      <w:r w:rsidRPr="0005631A">
        <w:rPr>
          <w:rFonts w:ascii="Arial" w:hAnsi="Arial" w:cs="Arial"/>
          <w:b/>
          <w:bCs/>
          <w:u w:val="single"/>
        </w:rPr>
        <w:lastRenderedPageBreak/>
        <w:t xml:space="preserve">Reference List </w:t>
      </w:r>
    </w:p>
    <w:p w14:paraId="307433A1"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AlRawi, J.M. and </w:t>
      </w:r>
      <w:proofErr w:type="spellStart"/>
      <w:r w:rsidRPr="00CA316A">
        <w:rPr>
          <w:rFonts w:ascii="Arial" w:eastAsia="Times New Roman" w:hAnsi="Arial" w:cs="Arial"/>
          <w:color w:val="040102"/>
          <w:kern w:val="0"/>
          <w:bdr w:val="single" w:sz="2" w:space="0" w:color="CECECE" w:frame="1"/>
          <w:lang w:eastAsia="en-GB"/>
          <w14:ligatures w14:val="none"/>
        </w:rPr>
        <w:t>AlKahtani</w:t>
      </w:r>
      <w:proofErr w:type="spellEnd"/>
      <w:r w:rsidRPr="00CA316A">
        <w:rPr>
          <w:rFonts w:ascii="Arial" w:eastAsia="Times New Roman" w:hAnsi="Arial" w:cs="Arial"/>
          <w:color w:val="040102"/>
          <w:kern w:val="0"/>
          <w:bdr w:val="single" w:sz="2" w:space="0" w:color="CECECE" w:frame="1"/>
          <w:lang w:eastAsia="en-GB"/>
          <w14:ligatures w14:val="none"/>
        </w:rPr>
        <w:t xml:space="preserve">, M.A. (2021). Universal design for learning for educating students with intellectual disabilities: A systematic review. </w:t>
      </w:r>
      <w:r w:rsidRPr="00CA316A">
        <w:rPr>
          <w:rFonts w:ascii="Arial" w:eastAsia="Times New Roman" w:hAnsi="Arial" w:cs="Arial"/>
          <w:i/>
          <w:iCs/>
          <w:color w:val="040102"/>
          <w:kern w:val="0"/>
          <w:bdr w:val="single" w:sz="2" w:space="0" w:color="CECECE" w:frame="1"/>
          <w:lang w:eastAsia="en-GB"/>
          <w14:ligatures w14:val="none"/>
        </w:rPr>
        <w:t>International Journal of Developmental Disabilities</w:t>
      </w:r>
      <w:r w:rsidRPr="00CA316A">
        <w:rPr>
          <w:rFonts w:ascii="Arial" w:eastAsia="Times New Roman" w:hAnsi="Arial" w:cs="Arial"/>
          <w:color w:val="040102"/>
          <w:kern w:val="0"/>
          <w:bdr w:val="single" w:sz="2" w:space="0" w:color="CECECE" w:frame="1"/>
          <w:lang w:eastAsia="en-GB"/>
          <w14:ligatures w14:val="none"/>
        </w:rPr>
        <w:t>, [online] 68(6), pp.1–9. doi:10.1080/20473869.2021.1900505.</w:t>
      </w:r>
    </w:p>
    <w:p w14:paraId="74ED7B55"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Azuka, C.V., Wei, C.R., Ikechukwu, U.L. and Nwachukwu, E.L. (2024). Inclusive instructional design for neurodiverse learners. </w:t>
      </w:r>
      <w:r w:rsidRPr="00CA316A">
        <w:rPr>
          <w:rFonts w:ascii="Arial" w:eastAsia="Times New Roman" w:hAnsi="Arial" w:cs="Arial"/>
          <w:i/>
          <w:iCs/>
          <w:color w:val="040102"/>
          <w:kern w:val="0"/>
          <w:bdr w:val="single" w:sz="2" w:space="0" w:color="CECECE" w:frame="1"/>
          <w:lang w:eastAsia="en-GB"/>
          <w14:ligatures w14:val="none"/>
        </w:rPr>
        <w:t>Current Perspectives in Educational Research</w:t>
      </w:r>
      <w:r w:rsidRPr="00CA316A">
        <w:rPr>
          <w:rFonts w:ascii="Arial" w:eastAsia="Times New Roman" w:hAnsi="Arial" w:cs="Arial"/>
          <w:color w:val="040102"/>
          <w:kern w:val="0"/>
          <w:bdr w:val="single" w:sz="2" w:space="0" w:color="CECECE" w:frame="1"/>
          <w:lang w:eastAsia="en-GB"/>
          <w14:ligatures w14:val="none"/>
        </w:rPr>
        <w:t>, [online] 7(1), pp.56–67. doi:10.46303/cuper.2024.4.</w:t>
      </w:r>
    </w:p>
    <w:p w14:paraId="55A14F88"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Bach, K.M., Hofer, S. and Bichler, S. (2024). </w:t>
      </w:r>
      <w:r w:rsidRPr="00CA316A">
        <w:rPr>
          <w:rFonts w:ascii="Arial" w:eastAsia="Times New Roman" w:hAnsi="Arial" w:cs="Arial"/>
          <w:i/>
          <w:iCs/>
          <w:color w:val="040102"/>
          <w:kern w:val="0"/>
          <w:bdr w:val="single" w:sz="2" w:space="0" w:color="CECECE" w:frame="1"/>
          <w:lang w:eastAsia="en-GB"/>
          <w14:ligatures w14:val="none"/>
        </w:rPr>
        <w:t xml:space="preserve">Adaptive learning, instruction, and teaching in schools: </w:t>
      </w:r>
      <w:proofErr w:type="spellStart"/>
      <w:r w:rsidRPr="00CA316A">
        <w:rPr>
          <w:rFonts w:ascii="Arial" w:eastAsia="Times New Roman" w:hAnsi="Arial" w:cs="Arial"/>
          <w:i/>
          <w:iCs/>
          <w:color w:val="040102"/>
          <w:kern w:val="0"/>
          <w:bdr w:val="single" w:sz="2" w:space="0" w:color="CECECE" w:frame="1"/>
          <w:lang w:eastAsia="en-GB"/>
          <w14:ligatures w14:val="none"/>
        </w:rPr>
        <w:t>Unraveling</w:t>
      </w:r>
      <w:proofErr w:type="spellEnd"/>
      <w:r w:rsidRPr="00CA316A">
        <w:rPr>
          <w:rFonts w:ascii="Arial" w:eastAsia="Times New Roman" w:hAnsi="Arial" w:cs="Arial"/>
          <w:i/>
          <w:iCs/>
          <w:color w:val="040102"/>
          <w:kern w:val="0"/>
          <w:bdr w:val="single" w:sz="2" w:space="0" w:color="CECECE" w:frame="1"/>
          <w:lang w:eastAsia="en-GB"/>
          <w14:ligatures w14:val="none"/>
        </w:rPr>
        <w:t xml:space="preserve"> context, sources, implementation, and goals in a systematic review</w:t>
      </w:r>
      <w:r w:rsidRPr="00CA316A">
        <w:rPr>
          <w:rFonts w:ascii="Arial" w:eastAsia="Times New Roman" w:hAnsi="Arial" w:cs="Arial"/>
          <w:color w:val="040102"/>
          <w:kern w:val="0"/>
          <w:bdr w:val="single" w:sz="2" w:space="0" w:color="CECECE" w:frame="1"/>
          <w:lang w:eastAsia="en-GB"/>
          <w14:ligatures w14:val="none"/>
        </w:rPr>
        <w:t>. [online] ResearchGate. Available at: https://www.researchgate.net/publication/386243569_Adaptive_Learning_Instruction_and_Teaching_in_Schools_Unraveling_Context_Sources_Implementation_and_Goals_in_a_Systematic_Review [Accessed 17 Oct. 2026].</w:t>
      </w:r>
    </w:p>
    <w:p w14:paraId="28750493"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Castro-Alonso, J.C., de Koning, B.B., Fiorella, L. and Paas, F. (2021). Five strategies for optimizing instructional materials: Instructor- and learner-managed cognitive load. </w:t>
      </w:r>
      <w:r w:rsidRPr="00CA316A">
        <w:rPr>
          <w:rFonts w:ascii="Arial" w:eastAsia="Times New Roman" w:hAnsi="Arial" w:cs="Arial"/>
          <w:i/>
          <w:iCs/>
          <w:color w:val="040102"/>
          <w:kern w:val="0"/>
          <w:bdr w:val="single" w:sz="2" w:space="0" w:color="CECECE" w:frame="1"/>
          <w:lang w:eastAsia="en-GB"/>
          <w14:ligatures w14:val="none"/>
        </w:rPr>
        <w:t>Educational Psychology Review</w:t>
      </w:r>
      <w:r w:rsidRPr="00CA316A">
        <w:rPr>
          <w:rFonts w:ascii="Arial" w:eastAsia="Times New Roman" w:hAnsi="Arial" w:cs="Arial"/>
          <w:color w:val="040102"/>
          <w:kern w:val="0"/>
          <w:bdr w:val="single" w:sz="2" w:space="0" w:color="CECECE" w:frame="1"/>
          <w:lang w:eastAsia="en-GB"/>
          <w14:ligatures w14:val="none"/>
        </w:rPr>
        <w:t>, [online] 33(4), pp.1379–1407. doi:10.1007/s10648-021-09606-9.</w:t>
      </w:r>
    </w:p>
    <w:p w14:paraId="2C3D5205"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Colomer, C., Berenguer, C., </w:t>
      </w:r>
      <w:proofErr w:type="spellStart"/>
      <w:r w:rsidRPr="00CA316A">
        <w:rPr>
          <w:rFonts w:ascii="Arial" w:eastAsia="Times New Roman" w:hAnsi="Arial" w:cs="Arial"/>
          <w:color w:val="040102"/>
          <w:kern w:val="0"/>
          <w:bdr w:val="single" w:sz="2" w:space="0" w:color="CECECE" w:frame="1"/>
          <w:lang w:eastAsia="en-GB"/>
          <w14:ligatures w14:val="none"/>
        </w:rPr>
        <w:t>Roselló</w:t>
      </w:r>
      <w:proofErr w:type="spellEnd"/>
      <w:r w:rsidRPr="00CA316A">
        <w:rPr>
          <w:rFonts w:ascii="Arial" w:eastAsia="Times New Roman" w:hAnsi="Arial" w:cs="Arial"/>
          <w:color w:val="040102"/>
          <w:kern w:val="0"/>
          <w:bdr w:val="single" w:sz="2" w:space="0" w:color="CECECE" w:frame="1"/>
          <w:lang w:eastAsia="en-GB"/>
          <w14:ligatures w14:val="none"/>
        </w:rPr>
        <w:t xml:space="preserve">, B., </w:t>
      </w:r>
      <w:proofErr w:type="spellStart"/>
      <w:r w:rsidRPr="00CA316A">
        <w:rPr>
          <w:rFonts w:ascii="Arial" w:eastAsia="Times New Roman" w:hAnsi="Arial" w:cs="Arial"/>
          <w:color w:val="040102"/>
          <w:kern w:val="0"/>
          <w:bdr w:val="single" w:sz="2" w:space="0" w:color="CECECE" w:frame="1"/>
          <w:lang w:eastAsia="en-GB"/>
          <w14:ligatures w14:val="none"/>
        </w:rPr>
        <w:t>Baixauli</w:t>
      </w:r>
      <w:proofErr w:type="spellEnd"/>
      <w:r w:rsidRPr="00CA316A">
        <w:rPr>
          <w:rFonts w:ascii="Arial" w:eastAsia="Times New Roman" w:hAnsi="Arial" w:cs="Arial"/>
          <w:color w:val="040102"/>
          <w:kern w:val="0"/>
          <w:bdr w:val="single" w:sz="2" w:space="0" w:color="CECECE" w:frame="1"/>
          <w:lang w:eastAsia="en-GB"/>
          <w14:ligatures w14:val="none"/>
        </w:rPr>
        <w:t xml:space="preserve">, I. and Miranda, A. (2017). The impact of inattention, hyperactivity/impulsivity symptoms, and executive functions on learning </w:t>
      </w:r>
      <w:proofErr w:type="spellStart"/>
      <w:r w:rsidRPr="00CA316A">
        <w:rPr>
          <w:rFonts w:ascii="Arial" w:eastAsia="Times New Roman" w:hAnsi="Arial" w:cs="Arial"/>
          <w:color w:val="040102"/>
          <w:kern w:val="0"/>
          <w:bdr w:val="single" w:sz="2" w:space="0" w:color="CECECE" w:frame="1"/>
          <w:lang w:eastAsia="en-GB"/>
          <w14:ligatures w14:val="none"/>
        </w:rPr>
        <w:t>behaviors</w:t>
      </w:r>
      <w:proofErr w:type="spellEnd"/>
      <w:r w:rsidRPr="00CA316A">
        <w:rPr>
          <w:rFonts w:ascii="Arial" w:eastAsia="Times New Roman" w:hAnsi="Arial" w:cs="Arial"/>
          <w:color w:val="040102"/>
          <w:kern w:val="0"/>
          <w:bdr w:val="single" w:sz="2" w:space="0" w:color="CECECE" w:frame="1"/>
          <w:lang w:eastAsia="en-GB"/>
          <w14:ligatures w14:val="none"/>
        </w:rPr>
        <w:t xml:space="preserve"> of children with ADHD. </w:t>
      </w:r>
      <w:r w:rsidRPr="00CA316A">
        <w:rPr>
          <w:rFonts w:ascii="Arial" w:eastAsia="Times New Roman" w:hAnsi="Arial" w:cs="Arial"/>
          <w:i/>
          <w:iCs/>
          <w:color w:val="040102"/>
          <w:kern w:val="0"/>
          <w:bdr w:val="single" w:sz="2" w:space="0" w:color="CECECE" w:frame="1"/>
          <w:lang w:eastAsia="en-GB"/>
          <w14:ligatures w14:val="none"/>
        </w:rPr>
        <w:t>Frontiers in Psychology</w:t>
      </w:r>
      <w:r w:rsidRPr="00CA316A">
        <w:rPr>
          <w:rFonts w:ascii="Arial" w:eastAsia="Times New Roman" w:hAnsi="Arial" w:cs="Arial"/>
          <w:color w:val="040102"/>
          <w:kern w:val="0"/>
          <w:bdr w:val="single" w:sz="2" w:space="0" w:color="CECECE" w:frame="1"/>
          <w:lang w:eastAsia="en-GB"/>
          <w14:ligatures w14:val="none"/>
        </w:rPr>
        <w:t>, [online] 8(540). doi:10.3389/fpsyg.2017.00540.</w:t>
      </w:r>
    </w:p>
    <w:p w14:paraId="478062C2"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Florio, T.M. (2025). Emergent aspects of the integration of sensory and motor functions. </w:t>
      </w:r>
      <w:r w:rsidRPr="00CA316A">
        <w:rPr>
          <w:rFonts w:ascii="Arial" w:eastAsia="Times New Roman" w:hAnsi="Arial" w:cs="Arial"/>
          <w:i/>
          <w:iCs/>
          <w:color w:val="040102"/>
          <w:kern w:val="0"/>
          <w:bdr w:val="single" w:sz="2" w:space="0" w:color="CECECE" w:frame="1"/>
          <w:lang w:eastAsia="en-GB"/>
          <w14:ligatures w14:val="none"/>
        </w:rPr>
        <w:t>Brain Sciences</w:t>
      </w:r>
      <w:r w:rsidRPr="00CA316A">
        <w:rPr>
          <w:rFonts w:ascii="Arial" w:eastAsia="Times New Roman" w:hAnsi="Arial" w:cs="Arial"/>
          <w:color w:val="040102"/>
          <w:kern w:val="0"/>
          <w:bdr w:val="single" w:sz="2" w:space="0" w:color="CECECE" w:frame="1"/>
          <w:lang w:eastAsia="en-GB"/>
          <w14:ligatures w14:val="none"/>
        </w:rPr>
        <w:t>, [online] 15(2), p.162. doi:10.3390/brainsci15020162.</w:t>
      </w:r>
    </w:p>
    <w:p w14:paraId="23597742"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proofErr w:type="spellStart"/>
      <w:r w:rsidRPr="00CA316A">
        <w:rPr>
          <w:rFonts w:ascii="Arial" w:eastAsia="Times New Roman" w:hAnsi="Arial" w:cs="Arial"/>
          <w:color w:val="040102"/>
          <w:kern w:val="0"/>
          <w:bdr w:val="single" w:sz="2" w:space="0" w:color="CECECE" w:frame="1"/>
          <w:lang w:eastAsia="en-GB"/>
          <w14:ligatures w14:val="none"/>
        </w:rPr>
        <w:t>Gkintoni</w:t>
      </w:r>
      <w:proofErr w:type="spellEnd"/>
      <w:r w:rsidRPr="00CA316A">
        <w:rPr>
          <w:rFonts w:ascii="Arial" w:eastAsia="Times New Roman" w:hAnsi="Arial" w:cs="Arial"/>
          <w:color w:val="040102"/>
          <w:kern w:val="0"/>
          <w:bdr w:val="single" w:sz="2" w:space="0" w:color="CECECE" w:frame="1"/>
          <w:lang w:eastAsia="en-GB"/>
          <w14:ligatures w14:val="none"/>
        </w:rPr>
        <w:t xml:space="preserve">, E., Antonopoulou, H., Sortwell, A. and </w:t>
      </w:r>
      <w:proofErr w:type="spellStart"/>
      <w:r w:rsidRPr="00CA316A">
        <w:rPr>
          <w:rFonts w:ascii="Arial" w:eastAsia="Times New Roman" w:hAnsi="Arial" w:cs="Arial"/>
          <w:color w:val="040102"/>
          <w:kern w:val="0"/>
          <w:bdr w:val="single" w:sz="2" w:space="0" w:color="CECECE" w:frame="1"/>
          <w:lang w:eastAsia="en-GB"/>
          <w14:ligatures w14:val="none"/>
        </w:rPr>
        <w:t>Halkiopoulos</w:t>
      </w:r>
      <w:proofErr w:type="spellEnd"/>
      <w:r w:rsidRPr="00CA316A">
        <w:rPr>
          <w:rFonts w:ascii="Arial" w:eastAsia="Times New Roman" w:hAnsi="Arial" w:cs="Arial"/>
          <w:color w:val="040102"/>
          <w:kern w:val="0"/>
          <w:bdr w:val="single" w:sz="2" w:space="0" w:color="CECECE" w:frame="1"/>
          <w:lang w:eastAsia="en-GB"/>
          <w14:ligatures w14:val="none"/>
        </w:rPr>
        <w:t xml:space="preserve">, C. (2025). Challenging cognitive load theory: The role of educational neuroscience and artificial intelligence in redefining learning efficacy. </w:t>
      </w:r>
      <w:r w:rsidRPr="00CA316A">
        <w:rPr>
          <w:rFonts w:ascii="Arial" w:eastAsia="Times New Roman" w:hAnsi="Arial" w:cs="Arial"/>
          <w:i/>
          <w:iCs/>
          <w:color w:val="040102"/>
          <w:kern w:val="0"/>
          <w:bdr w:val="single" w:sz="2" w:space="0" w:color="CECECE" w:frame="1"/>
          <w:lang w:eastAsia="en-GB"/>
          <w14:ligatures w14:val="none"/>
        </w:rPr>
        <w:t>Brain Sciences</w:t>
      </w:r>
      <w:r w:rsidRPr="00CA316A">
        <w:rPr>
          <w:rFonts w:ascii="Arial" w:eastAsia="Times New Roman" w:hAnsi="Arial" w:cs="Arial"/>
          <w:color w:val="040102"/>
          <w:kern w:val="0"/>
          <w:bdr w:val="single" w:sz="2" w:space="0" w:color="CECECE" w:frame="1"/>
          <w:lang w:eastAsia="en-GB"/>
          <w14:ligatures w14:val="none"/>
        </w:rPr>
        <w:t>, [online] 15(2), pp.203–203. doi:10.3390/brainsci15020203.</w:t>
      </w:r>
    </w:p>
    <w:p w14:paraId="3A40DD18"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proofErr w:type="spellStart"/>
      <w:r w:rsidRPr="00CA316A">
        <w:rPr>
          <w:rFonts w:ascii="Arial" w:eastAsia="Times New Roman" w:hAnsi="Arial" w:cs="Arial"/>
          <w:color w:val="040102"/>
          <w:kern w:val="0"/>
          <w:bdr w:val="single" w:sz="2" w:space="0" w:color="CECECE" w:frame="1"/>
          <w:lang w:eastAsia="en-GB"/>
          <w14:ligatures w14:val="none"/>
        </w:rPr>
        <w:t>Halkiopoulos</w:t>
      </w:r>
      <w:proofErr w:type="spellEnd"/>
      <w:r w:rsidRPr="00CA316A">
        <w:rPr>
          <w:rFonts w:ascii="Arial" w:eastAsia="Times New Roman" w:hAnsi="Arial" w:cs="Arial"/>
          <w:color w:val="040102"/>
          <w:kern w:val="0"/>
          <w:bdr w:val="single" w:sz="2" w:space="0" w:color="CECECE" w:frame="1"/>
          <w:lang w:eastAsia="en-GB"/>
          <w14:ligatures w14:val="none"/>
        </w:rPr>
        <w:t xml:space="preserve">, C., </w:t>
      </w:r>
      <w:proofErr w:type="spellStart"/>
      <w:r w:rsidRPr="00CA316A">
        <w:rPr>
          <w:rFonts w:ascii="Arial" w:eastAsia="Times New Roman" w:hAnsi="Arial" w:cs="Arial"/>
          <w:color w:val="040102"/>
          <w:kern w:val="0"/>
          <w:bdr w:val="single" w:sz="2" w:space="0" w:color="CECECE" w:frame="1"/>
          <w:lang w:eastAsia="en-GB"/>
          <w14:ligatures w14:val="none"/>
        </w:rPr>
        <w:t>Gkintoni</w:t>
      </w:r>
      <w:proofErr w:type="spellEnd"/>
      <w:r w:rsidRPr="00CA316A">
        <w:rPr>
          <w:rFonts w:ascii="Arial" w:eastAsia="Times New Roman" w:hAnsi="Arial" w:cs="Arial"/>
          <w:color w:val="040102"/>
          <w:kern w:val="0"/>
          <w:bdr w:val="single" w:sz="2" w:space="0" w:color="CECECE" w:frame="1"/>
          <w:lang w:eastAsia="en-GB"/>
          <w14:ligatures w14:val="none"/>
        </w:rPr>
        <w:t xml:space="preserve">, E., </w:t>
      </w:r>
      <w:proofErr w:type="spellStart"/>
      <w:r w:rsidRPr="00CA316A">
        <w:rPr>
          <w:rFonts w:ascii="Arial" w:eastAsia="Times New Roman" w:hAnsi="Arial" w:cs="Arial"/>
          <w:color w:val="040102"/>
          <w:kern w:val="0"/>
          <w:bdr w:val="single" w:sz="2" w:space="0" w:color="CECECE" w:frame="1"/>
          <w:lang w:eastAsia="en-GB"/>
          <w14:ligatures w14:val="none"/>
        </w:rPr>
        <w:t>Aroutzidis</w:t>
      </w:r>
      <w:proofErr w:type="spellEnd"/>
      <w:r w:rsidRPr="00CA316A">
        <w:rPr>
          <w:rFonts w:ascii="Arial" w:eastAsia="Times New Roman" w:hAnsi="Arial" w:cs="Arial"/>
          <w:color w:val="040102"/>
          <w:kern w:val="0"/>
          <w:bdr w:val="single" w:sz="2" w:space="0" w:color="CECECE" w:frame="1"/>
          <w:lang w:eastAsia="en-GB"/>
          <w14:ligatures w14:val="none"/>
        </w:rPr>
        <w:t xml:space="preserve">, A. and Antonopoulou, H. (2025). Advances in neuroimaging and deep learning for emotion detection: A systematic review of cognitive neuroscience and algorithmic innovations. </w:t>
      </w:r>
      <w:r w:rsidRPr="00CA316A">
        <w:rPr>
          <w:rFonts w:ascii="Arial" w:eastAsia="Times New Roman" w:hAnsi="Arial" w:cs="Arial"/>
          <w:i/>
          <w:iCs/>
          <w:color w:val="040102"/>
          <w:kern w:val="0"/>
          <w:bdr w:val="single" w:sz="2" w:space="0" w:color="CECECE" w:frame="1"/>
          <w:lang w:eastAsia="en-GB"/>
          <w14:ligatures w14:val="none"/>
        </w:rPr>
        <w:t>Diagnostics</w:t>
      </w:r>
      <w:r w:rsidRPr="00CA316A">
        <w:rPr>
          <w:rFonts w:ascii="Arial" w:eastAsia="Times New Roman" w:hAnsi="Arial" w:cs="Arial"/>
          <w:color w:val="040102"/>
          <w:kern w:val="0"/>
          <w:bdr w:val="single" w:sz="2" w:space="0" w:color="CECECE" w:frame="1"/>
          <w:lang w:eastAsia="en-GB"/>
          <w14:ligatures w14:val="none"/>
        </w:rPr>
        <w:t>, [online] 15(4), p.456. doi:10.3390/diagnostics15040456.</w:t>
      </w:r>
    </w:p>
    <w:p w14:paraId="656EAB72"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Hallez, Q. and Vallier, V. (2025). Time on their side: How visual timers affect anticipatory anxiety, performance, and on-task </w:t>
      </w:r>
      <w:proofErr w:type="spellStart"/>
      <w:r w:rsidRPr="00CA316A">
        <w:rPr>
          <w:rFonts w:ascii="Arial" w:eastAsia="Times New Roman" w:hAnsi="Arial" w:cs="Arial"/>
          <w:color w:val="040102"/>
          <w:kern w:val="0"/>
          <w:bdr w:val="single" w:sz="2" w:space="0" w:color="CECECE" w:frame="1"/>
          <w:lang w:eastAsia="en-GB"/>
          <w14:ligatures w14:val="none"/>
        </w:rPr>
        <w:t>behavior</w:t>
      </w:r>
      <w:proofErr w:type="spellEnd"/>
      <w:r w:rsidRPr="00CA316A">
        <w:rPr>
          <w:rFonts w:ascii="Arial" w:eastAsia="Times New Roman" w:hAnsi="Arial" w:cs="Arial"/>
          <w:color w:val="040102"/>
          <w:kern w:val="0"/>
          <w:bdr w:val="single" w:sz="2" w:space="0" w:color="CECECE" w:frame="1"/>
          <w:lang w:eastAsia="en-GB"/>
          <w14:ligatures w14:val="none"/>
        </w:rPr>
        <w:t xml:space="preserve"> in elementary math assessments. </w:t>
      </w:r>
      <w:r w:rsidRPr="00CA316A">
        <w:rPr>
          <w:rFonts w:ascii="Arial" w:eastAsia="Times New Roman" w:hAnsi="Arial" w:cs="Arial"/>
          <w:i/>
          <w:iCs/>
          <w:color w:val="040102"/>
          <w:kern w:val="0"/>
          <w:bdr w:val="single" w:sz="2" w:space="0" w:color="CECECE" w:frame="1"/>
          <w:lang w:eastAsia="en-GB"/>
          <w14:ligatures w14:val="none"/>
        </w:rPr>
        <w:t>European Journal of Investigation in Health, Psychology and Education</w:t>
      </w:r>
      <w:r w:rsidRPr="00CA316A">
        <w:rPr>
          <w:rFonts w:ascii="Arial" w:eastAsia="Times New Roman" w:hAnsi="Arial" w:cs="Arial"/>
          <w:color w:val="040102"/>
          <w:kern w:val="0"/>
          <w:bdr w:val="single" w:sz="2" w:space="0" w:color="CECECE" w:frame="1"/>
          <w:lang w:eastAsia="en-GB"/>
          <w14:ligatures w14:val="none"/>
        </w:rPr>
        <w:t>, [online] 15(12), p.243. doi:10.3390/ejihpe15120243.</w:t>
      </w:r>
    </w:p>
    <w:p w14:paraId="61B42A6D"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Hilton, D.C., Jarrett, M.A., Rondon, A.T., </w:t>
      </w:r>
      <w:proofErr w:type="spellStart"/>
      <w:r w:rsidRPr="00CA316A">
        <w:rPr>
          <w:rFonts w:ascii="Arial" w:eastAsia="Times New Roman" w:hAnsi="Arial" w:cs="Arial"/>
          <w:color w:val="040102"/>
          <w:kern w:val="0"/>
          <w:bdr w:val="single" w:sz="2" w:space="0" w:color="CECECE" w:frame="1"/>
          <w:lang w:eastAsia="en-GB"/>
          <w14:ligatures w14:val="none"/>
        </w:rPr>
        <w:t>Tutek</w:t>
      </w:r>
      <w:proofErr w:type="spellEnd"/>
      <w:r w:rsidRPr="00CA316A">
        <w:rPr>
          <w:rFonts w:ascii="Arial" w:eastAsia="Times New Roman" w:hAnsi="Arial" w:cs="Arial"/>
          <w:color w:val="040102"/>
          <w:kern w:val="0"/>
          <w:bdr w:val="single" w:sz="2" w:space="0" w:color="CECECE" w:frame="1"/>
          <w:lang w:eastAsia="en-GB"/>
          <w14:ligatures w14:val="none"/>
        </w:rPr>
        <w:t xml:space="preserve">, J. and Mulla, M.M. (2019). Increased working memory load in a dual-task design impairs nonverbal social encoding in </w:t>
      </w:r>
      <w:r w:rsidRPr="00CA316A">
        <w:rPr>
          <w:rFonts w:ascii="Arial" w:eastAsia="Times New Roman" w:hAnsi="Arial" w:cs="Arial"/>
          <w:color w:val="040102"/>
          <w:kern w:val="0"/>
          <w:bdr w:val="single" w:sz="2" w:space="0" w:color="CECECE" w:frame="1"/>
          <w:lang w:eastAsia="en-GB"/>
          <w14:ligatures w14:val="none"/>
        </w:rPr>
        <w:lastRenderedPageBreak/>
        <w:t xml:space="preserve">children with high and low attention-deficit/hyperactivity disorder symptoms. </w:t>
      </w:r>
      <w:r w:rsidRPr="00CA316A">
        <w:rPr>
          <w:rFonts w:ascii="Arial" w:eastAsia="Times New Roman" w:hAnsi="Arial" w:cs="Arial"/>
          <w:i/>
          <w:iCs/>
          <w:color w:val="040102"/>
          <w:kern w:val="0"/>
          <w:bdr w:val="single" w:sz="2" w:space="0" w:color="CECECE" w:frame="1"/>
          <w:lang w:eastAsia="en-GB"/>
          <w14:ligatures w14:val="none"/>
        </w:rPr>
        <w:t>Child Psychiatry &amp; Human Development</w:t>
      </w:r>
      <w:r w:rsidRPr="00CA316A">
        <w:rPr>
          <w:rFonts w:ascii="Arial" w:eastAsia="Times New Roman" w:hAnsi="Arial" w:cs="Arial"/>
          <w:color w:val="040102"/>
          <w:kern w:val="0"/>
          <w:bdr w:val="single" w:sz="2" w:space="0" w:color="CECECE" w:frame="1"/>
          <w:lang w:eastAsia="en-GB"/>
          <w14:ligatures w14:val="none"/>
        </w:rPr>
        <w:t>, [online] 51(1), pp.127–137. doi:10.1007/s10578-019-00915-3.</w:t>
      </w:r>
    </w:p>
    <w:p w14:paraId="57CC74A8"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Jones, G. (2012). Why chunking should be considered as an explanation for developmental change before short-term memory capacity and processing speed. </w:t>
      </w:r>
      <w:r w:rsidRPr="00CA316A">
        <w:rPr>
          <w:rFonts w:ascii="Arial" w:eastAsia="Times New Roman" w:hAnsi="Arial" w:cs="Arial"/>
          <w:i/>
          <w:iCs/>
          <w:color w:val="040102"/>
          <w:kern w:val="0"/>
          <w:bdr w:val="single" w:sz="2" w:space="0" w:color="CECECE" w:frame="1"/>
          <w:lang w:eastAsia="en-GB"/>
          <w14:ligatures w14:val="none"/>
        </w:rPr>
        <w:t>Frontiers in Psychology</w:t>
      </w:r>
      <w:r w:rsidRPr="00CA316A">
        <w:rPr>
          <w:rFonts w:ascii="Arial" w:eastAsia="Times New Roman" w:hAnsi="Arial" w:cs="Arial"/>
          <w:color w:val="040102"/>
          <w:kern w:val="0"/>
          <w:bdr w:val="single" w:sz="2" w:space="0" w:color="CECECE" w:frame="1"/>
          <w:lang w:eastAsia="en-GB"/>
          <w14:ligatures w14:val="none"/>
        </w:rPr>
        <w:t>, [online] 3(1). doi:10.3389/fpsyg.2012.00167.</w:t>
      </w:r>
    </w:p>
    <w:p w14:paraId="59A441CC"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Kim, S., Lin, T.-J., Chen, J., Logan, J., Purtell, K.M. and Justice, L.M. (2020). Influence of teachers’ grouping strategies on children’s peer social experiences in early elementary classrooms. </w:t>
      </w:r>
      <w:r w:rsidRPr="00CA316A">
        <w:rPr>
          <w:rFonts w:ascii="Arial" w:eastAsia="Times New Roman" w:hAnsi="Arial" w:cs="Arial"/>
          <w:i/>
          <w:iCs/>
          <w:color w:val="040102"/>
          <w:kern w:val="0"/>
          <w:bdr w:val="single" w:sz="2" w:space="0" w:color="CECECE" w:frame="1"/>
          <w:lang w:eastAsia="en-GB"/>
          <w14:ligatures w14:val="none"/>
        </w:rPr>
        <w:t>Frontiers in Psychology</w:t>
      </w:r>
      <w:r w:rsidRPr="00CA316A">
        <w:rPr>
          <w:rFonts w:ascii="Arial" w:eastAsia="Times New Roman" w:hAnsi="Arial" w:cs="Arial"/>
          <w:color w:val="040102"/>
          <w:kern w:val="0"/>
          <w:bdr w:val="single" w:sz="2" w:space="0" w:color="CECECE" w:frame="1"/>
          <w:lang w:eastAsia="en-GB"/>
          <w14:ligatures w14:val="none"/>
        </w:rPr>
        <w:t>, [online] 11. doi:10.3389/fpsyg.2020.587170.</w:t>
      </w:r>
    </w:p>
    <w:p w14:paraId="0D7D171D"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Mayer, R.E. (2024). The past, present, and future of the cognitive theory of multimedia learning. </w:t>
      </w:r>
      <w:r w:rsidRPr="00CA316A">
        <w:rPr>
          <w:rFonts w:ascii="Arial" w:eastAsia="Times New Roman" w:hAnsi="Arial" w:cs="Arial"/>
          <w:i/>
          <w:iCs/>
          <w:color w:val="040102"/>
          <w:kern w:val="0"/>
          <w:bdr w:val="single" w:sz="2" w:space="0" w:color="CECECE" w:frame="1"/>
          <w:lang w:eastAsia="en-GB"/>
          <w14:ligatures w14:val="none"/>
        </w:rPr>
        <w:t>Educational Psychology Review</w:t>
      </w:r>
      <w:r w:rsidRPr="00CA316A">
        <w:rPr>
          <w:rFonts w:ascii="Arial" w:eastAsia="Times New Roman" w:hAnsi="Arial" w:cs="Arial"/>
          <w:color w:val="040102"/>
          <w:kern w:val="0"/>
          <w:bdr w:val="single" w:sz="2" w:space="0" w:color="CECECE" w:frame="1"/>
          <w:lang w:eastAsia="en-GB"/>
          <w14:ligatures w14:val="none"/>
        </w:rPr>
        <w:t>, [online] 36(8), pp.1–25. doi:10.1007/s10648-023-09842-1.</w:t>
      </w:r>
    </w:p>
    <w:p w14:paraId="12EC6B82"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proofErr w:type="spellStart"/>
      <w:r w:rsidRPr="00CA316A">
        <w:rPr>
          <w:rFonts w:ascii="Arial" w:eastAsia="Times New Roman" w:hAnsi="Arial" w:cs="Arial"/>
          <w:color w:val="040102"/>
          <w:kern w:val="0"/>
          <w:bdr w:val="single" w:sz="2" w:space="0" w:color="CECECE" w:frame="1"/>
          <w:lang w:eastAsia="en-GB"/>
          <w14:ligatures w14:val="none"/>
        </w:rPr>
        <w:t>Meguerdichian</w:t>
      </w:r>
      <w:proofErr w:type="spellEnd"/>
      <w:r w:rsidRPr="00CA316A">
        <w:rPr>
          <w:rFonts w:ascii="Arial" w:eastAsia="Times New Roman" w:hAnsi="Arial" w:cs="Arial"/>
          <w:color w:val="040102"/>
          <w:kern w:val="0"/>
          <w:bdr w:val="single" w:sz="2" w:space="0" w:color="CECECE" w:frame="1"/>
          <w:lang w:eastAsia="en-GB"/>
          <w14:ligatures w14:val="none"/>
        </w:rPr>
        <w:t xml:space="preserve">, M., Walker, K. and Bajaj, K. (2016). Working memory is limited: Improving knowledge transfer by optimising simulation through cognitive load theory. </w:t>
      </w:r>
      <w:r w:rsidRPr="00CA316A">
        <w:rPr>
          <w:rFonts w:ascii="Arial" w:eastAsia="Times New Roman" w:hAnsi="Arial" w:cs="Arial"/>
          <w:i/>
          <w:iCs/>
          <w:color w:val="040102"/>
          <w:kern w:val="0"/>
          <w:bdr w:val="single" w:sz="2" w:space="0" w:color="CECECE" w:frame="1"/>
          <w:lang w:eastAsia="en-GB"/>
          <w14:ligatures w14:val="none"/>
        </w:rPr>
        <w:t>BMJ Simulation and Technology Enhanced Learning</w:t>
      </w:r>
      <w:r w:rsidRPr="00CA316A">
        <w:rPr>
          <w:rFonts w:ascii="Arial" w:eastAsia="Times New Roman" w:hAnsi="Arial" w:cs="Arial"/>
          <w:color w:val="040102"/>
          <w:kern w:val="0"/>
          <w:bdr w:val="single" w:sz="2" w:space="0" w:color="CECECE" w:frame="1"/>
          <w:lang w:eastAsia="en-GB"/>
          <w14:ligatures w14:val="none"/>
        </w:rPr>
        <w:t>, [online] 2(4), pp.131–138. doi:10.1136/bmjstel-2015-000098.</w:t>
      </w:r>
    </w:p>
    <w:p w14:paraId="12E52801"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Monib, W.K., Qazi, A. and Apong, R.A. (2025). Microlearning beyond boundaries: A systematic review and a novel framework for improving learning outcomes. </w:t>
      </w:r>
      <w:proofErr w:type="spellStart"/>
      <w:r w:rsidRPr="00CA316A">
        <w:rPr>
          <w:rFonts w:ascii="Arial" w:eastAsia="Times New Roman" w:hAnsi="Arial" w:cs="Arial"/>
          <w:i/>
          <w:iCs/>
          <w:color w:val="040102"/>
          <w:kern w:val="0"/>
          <w:bdr w:val="single" w:sz="2" w:space="0" w:color="CECECE" w:frame="1"/>
          <w:lang w:eastAsia="en-GB"/>
          <w14:ligatures w14:val="none"/>
        </w:rPr>
        <w:t>Heliyon</w:t>
      </w:r>
      <w:proofErr w:type="spellEnd"/>
      <w:r w:rsidRPr="00CA316A">
        <w:rPr>
          <w:rFonts w:ascii="Arial" w:eastAsia="Times New Roman" w:hAnsi="Arial" w:cs="Arial"/>
          <w:color w:val="040102"/>
          <w:kern w:val="0"/>
          <w:bdr w:val="single" w:sz="2" w:space="0" w:color="CECECE" w:frame="1"/>
          <w:lang w:eastAsia="en-GB"/>
          <w14:ligatures w14:val="none"/>
        </w:rPr>
        <w:t xml:space="preserve">, [online] 11(2), p.e41413. </w:t>
      </w:r>
      <w:proofErr w:type="gramStart"/>
      <w:r w:rsidRPr="00CA316A">
        <w:rPr>
          <w:rFonts w:ascii="Arial" w:eastAsia="Times New Roman" w:hAnsi="Arial" w:cs="Arial"/>
          <w:color w:val="040102"/>
          <w:kern w:val="0"/>
          <w:bdr w:val="single" w:sz="2" w:space="0" w:color="CECECE" w:frame="1"/>
          <w:lang w:eastAsia="en-GB"/>
          <w14:ligatures w14:val="none"/>
        </w:rPr>
        <w:t>doi:10.1016/j.heliyon</w:t>
      </w:r>
      <w:proofErr w:type="gramEnd"/>
      <w:r w:rsidRPr="00CA316A">
        <w:rPr>
          <w:rFonts w:ascii="Arial" w:eastAsia="Times New Roman" w:hAnsi="Arial" w:cs="Arial"/>
          <w:color w:val="040102"/>
          <w:kern w:val="0"/>
          <w:bdr w:val="single" w:sz="2" w:space="0" w:color="CECECE" w:frame="1"/>
          <w:lang w:eastAsia="en-GB"/>
          <w14:ligatures w14:val="none"/>
        </w:rPr>
        <w:t>.2024.e41413.</w:t>
      </w:r>
    </w:p>
    <w:p w14:paraId="7C3C76AA"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Nguyen, M., Chang, A., Micciche, E., Meshulam, M., Nastase, S.A. and Hasson, U. (2022). Teacher-student neural coupling during teaching and learning. </w:t>
      </w:r>
      <w:r w:rsidRPr="00CA316A">
        <w:rPr>
          <w:rFonts w:ascii="Arial" w:eastAsia="Times New Roman" w:hAnsi="Arial" w:cs="Arial"/>
          <w:i/>
          <w:iCs/>
          <w:color w:val="040102"/>
          <w:kern w:val="0"/>
          <w:bdr w:val="single" w:sz="2" w:space="0" w:color="CECECE" w:frame="1"/>
          <w:lang w:eastAsia="en-GB"/>
          <w14:ligatures w14:val="none"/>
        </w:rPr>
        <w:t>Social cognitive and affective neuroscience</w:t>
      </w:r>
      <w:r w:rsidRPr="00CA316A">
        <w:rPr>
          <w:rFonts w:ascii="Arial" w:eastAsia="Times New Roman" w:hAnsi="Arial" w:cs="Arial"/>
          <w:color w:val="040102"/>
          <w:kern w:val="0"/>
          <w:bdr w:val="single" w:sz="2" w:space="0" w:color="CECECE" w:frame="1"/>
          <w:lang w:eastAsia="en-GB"/>
          <w14:ligatures w14:val="none"/>
        </w:rPr>
        <w:t>, [online] 17(4), pp.367–376. doi:10.1093/scan/nsab103.</w:t>
      </w:r>
    </w:p>
    <w:p w14:paraId="36A162D3"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Nuru, J.H., </w:t>
      </w:r>
      <w:proofErr w:type="spellStart"/>
      <w:r w:rsidRPr="00CA316A">
        <w:rPr>
          <w:rFonts w:ascii="Arial" w:eastAsia="Times New Roman" w:hAnsi="Arial" w:cs="Arial"/>
          <w:color w:val="040102"/>
          <w:kern w:val="0"/>
          <w:bdr w:val="single" w:sz="2" w:space="0" w:color="CECECE" w:frame="1"/>
          <w:lang w:eastAsia="en-GB"/>
          <w14:ligatures w14:val="none"/>
        </w:rPr>
        <w:t>Mhagama</w:t>
      </w:r>
      <w:proofErr w:type="spellEnd"/>
      <w:r w:rsidRPr="00CA316A">
        <w:rPr>
          <w:rFonts w:ascii="Arial" w:eastAsia="Times New Roman" w:hAnsi="Arial" w:cs="Arial"/>
          <w:color w:val="040102"/>
          <w:kern w:val="0"/>
          <w:bdr w:val="single" w:sz="2" w:space="0" w:color="CECECE" w:frame="1"/>
          <w:lang w:eastAsia="en-GB"/>
          <w14:ligatures w14:val="none"/>
        </w:rPr>
        <w:t xml:space="preserve">, M. and </w:t>
      </w:r>
      <w:proofErr w:type="spellStart"/>
      <w:r w:rsidRPr="00CA316A">
        <w:rPr>
          <w:rFonts w:ascii="Arial" w:eastAsia="Times New Roman" w:hAnsi="Arial" w:cs="Arial"/>
          <w:color w:val="040102"/>
          <w:kern w:val="0"/>
          <w:bdr w:val="single" w:sz="2" w:space="0" w:color="CECECE" w:frame="1"/>
          <w:lang w:eastAsia="en-GB"/>
          <w14:ligatures w14:val="none"/>
        </w:rPr>
        <w:t>Mwamakula</w:t>
      </w:r>
      <w:proofErr w:type="spellEnd"/>
      <w:r w:rsidRPr="00CA316A">
        <w:rPr>
          <w:rFonts w:ascii="Arial" w:eastAsia="Times New Roman" w:hAnsi="Arial" w:cs="Arial"/>
          <w:color w:val="040102"/>
          <w:kern w:val="0"/>
          <w:bdr w:val="single" w:sz="2" w:space="0" w:color="CECECE" w:frame="1"/>
          <w:lang w:eastAsia="en-GB"/>
          <w14:ligatures w14:val="none"/>
        </w:rPr>
        <w:t xml:space="preserve">, F. (2025). Barriers to Effective Implementation of Inclusive Education Curriculum in Selected Public Primary Schools in Temeke Municipality. </w:t>
      </w:r>
      <w:r w:rsidRPr="00CA316A">
        <w:rPr>
          <w:rFonts w:ascii="Arial" w:eastAsia="Times New Roman" w:hAnsi="Arial" w:cs="Arial"/>
          <w:i/>
          <w:iCs/>
          <w:color w:val="040102"/>
          <w:kern w:val="0"/>
          <w:bdr w:val="single" w:sz="2" w:space="0" w:color="CECECE" w:frame="1"/>
          <w:lang w:eastAsia="en-GB"/>
          <w14:ligatures w14:val="none"/>
        </w:rPr>
        <w:t>Journal of Education and Teacher Training Innovation</w:t>
      </w:r>
      <w:r w:rsidRPr="00CA316A">
        <w:rPr>
          <w:rFonts w:ascii="Arial" w:eastAsia="Times New Roman" w:hAnsi="Arial" w:cs="Arial"/>
          <w:color w:val="040102"/>
          <w:kern w:val="0"/>
          <w:bdr w:val="single" w:sz="2" w:space="0" w:color="CECECE" w:frame="1"/>
          <w:lang w:eastAsia="en-GB"/>
          <w14:ligatures w14:val="none"/>
        </w:rPr>
        <w:t>, [online] 3(2), pp.297–313. doi:10.61227/</w:t>
      </w:r>
      <w:proofErr w:type="gramStart"/>
      <w:r w:rsidRPr="00CA316A">
        <w:rPr>
          <w:rFonts w:ascii="Arial" w:eastAsia="Times New Roman" w:hAnsi="Arial" w:cs="Arial"/>
          <w:color w:val="040102"/>
          <w:kern w:val="0"/>
          <w:bdr w:val="single" w:sz="2" w:space="0" w:color="CECECE" w:frame="1"/>
          <w:lang w:eastAsia="en-GB"/>
          <w14:ligatures w14:val="none"/>
        </w:rPr>
        <w:t>jetti.v</w:t>
      </w:r>
      <w:proofErr w:type="gramEnd"/>
      <w:r w:rsidRPr="00CA316A">
        <w:rPr>
          <w:rFonts w:ascii="Arial" w:eastAsia="Times New Roman" w:hAnsi="Arial" w:cs="Arial"/>
          <w:color w:val="040102"/>
          <w:kern w:val="0"/>
          <w:bdr w:val="single" w:sz="2" w:space="0" w:color="CECECE" w:frame="1"/>
          <w:lang w:eastAsia="en-GB"/>
          <w14:ligatures w14:val="none"/>
        </w:rPr>
        <w:t>3i2.245.</w:t>
      </w:r>
    </w:p>
    <w:p w14:paraId="68591749"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Pich Chueng and Heng, K. (2025). The impact of instructional scaffolding on learner autonomy: A literature review. </w:t>
      </w:r>
      <w:r w:rsidRPr="00CA316A">
        <w:rPr>
          <w:rFonts w:ascii="Arial" w:eastAsia="Times New Roman" w:hAnsi="Arial" w:cs="Arial"/>
          <w:i/>
          <w:iCs/>
          <w:color w:val="040102"/>
          <w:kern w:val="0"/>
          <w:bdr w:val="single" w:sz="2" w:space="0" w:color="CECECE" w:frame="1"/>
          <w:lang w:eastAsia="en-GB"/>
          <w14:ligatures w14:val="none"/>
        </w:rPr>
        <w:t xml:space="preserve">Educative </w:t>
      </w:r>
      <w:proofErr w:type="spellStart"/>
      <w:r w:rsidRPr="00CA316A">
        <w:rPr>
          <w:rFonts w:ascii="Arial" w:eastAsia="Times New Roman" w:hAnsi="Arial" w:cs="Arial"/>
          <w:i/>
          <w:iCs/>
          <w:color w:val="040102"/>
          <w:kern w:val="0"/>
          <w:bdr w:val="single" w:sz="2" w:space="0" w:color="CECECE" w:frame="1"/>
          <w:lang w:eastAsia="en-GB"/>
          <w14:ligatures w14:val="none"/>
        </w:rPr>
        <w:t>Jurnal</w:t>
      </w:r>
      <w:proofErr w:type="spellEnd"/>
      <w:r w:rsidRPr="00CA316A">
        <w:rPr>
          <w:rFonts w:ascii="Arial" w:eastAsia="Times New Roman" w:hAnsi="Arial" w:cs="Arial"/>
          <w:i/>
          <w:iCs/>
          <w:color w:val="040102"/>
          <w:kern w:val="0"/>
          <w:bdr w:val="single" w:sz="2" w:space="0" w:color="CECECE" w:frame="1"/>
          <w:lang w:eastAsia="en-GB"/>
          <w14:ligatures w14:val="none"/>
        </w:rPr>
        <w:t xml:space="preserve"> </w:t>
      </w:r>
      <w:proofErr w:type="spellStart"/>
      <w:r w:rsidRPr="00CA316A">
        <w:rPr>
          <w:rFonts w:ascii="Arial" w:eastAsia="Times New Roman" w:hAnsi="Arial" w:cs="Arial"/>
          <w:i/>
          <w:iCs/>
          <w:color w:val="040102"/>
          <w:kern w:val="0"/>
          <w:bdr w:val="single" w:sz="2" w:space="0" w:color="CECECE" w:frame="1"/>
          <w:lang w:eastAsia="en-GB"/>
          <w14:ligatures w14:val="none"/>
        </w:rPr>
        <w:t>Ilmiah</w:t>
      </w:r>
      <w:proofErr w:type="spellEnd"/>
      <w:r w:rsidRPr="00CA316A">
        <w:rPr>
          <w:rFonts w:ascii="Arial" w:eastAsia="Times New Roman" w:hAnsi="Arial" w:cs="Arial"/>
          <w:i/>
          <w:iCs/>
          <w:color w:val="040102"/>
          <w:kern w:val="0"/>
          <w:bdr w:val="single" w:sz="2" w:space="0" w:color="CECECE" w:frame="1"/>
          <w:lang w:eastAsia="en-GB"/>
          <w14:ligatures w14:val="none"/>
        </w:rPr>
        <w:t xml:space="preserve"> Pendidikan</w:t>
      </w:r>
      <w:r w:rsidRPr="00CA316A">
        <w:rPr>
          <w:rFonts w:ascii="Arial" w:eastAsia="Times New Roman" w:hAnsi="Arial" w:cs="Arial"/>
          <w:color w:val="040102"/>
          <w:kern w:val="0"/>
          <w:bdr w:val="single" w:sz="2" w:space="0" w:color="CECECE" w:frame="1"/>
          <w:lang w:eastAsia="en-GB"/>
          <w14:ligatures w14:val="none"/>
        </w:rPr>
        <w:t>, [online] 3(3), pp.167–175. doi:10.70437/</w:t>
      </w:r>
      <w:proofErr w:type="gramStart"/>
      <w:r w:rsidRPr="00CA316A">
        <w:rPr>
          <w:rFonts w:ascii="Arial" w:eastAsia="Times New Roman" w:hAnsi="Arial" w:cs="Arial"/>
          <w:color w:val="040102"/>
          <w:kern w:val="0"/>
          <w:bdr w:val="single" w:sz="2" w:space="0" w:color="CECECE" w:frame="1"/>
          <w:lang w:eastAsia="en-GB"/>
          <w14:ligatures w14:val="none"/>
        </w:rPr>
        <w:t>educative.v</w:t>
      </w:r>
      <w:proofErr w:type="gramEnd"/>
      <w:r w:rsidRPr="00CA316A">
        <w:rPr>
          <w:rFonts w:ascii="Arial" w:eastAsia="Times New Roman" w:hAnsi="Arial" w:cs="Arial"/>
          <w:color w:val="040102"/>
          <w:kern w:val="0"/>
          <w:bdr w:val="single" w:sz="2" w:space="0" w:color="CECECE" w:frame="1"/>
          <w:lang w:eastAsia="en-GB"/>
          <w14:ligatures w14:val="none"/>
        </w:rPr>
        <w:t>3i3.1522.</w:t>
      </w:r>
    </w:p>
    <w:p w14:paraId="3CDF352B"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Poerio, G.L., </w:t>
      </w:r>
      <w:proofErr w:type="spellStart"/>
      <w:r w:rsidRPr="00CA316A">
        <w:rPr>
          <w:rFonts w:ascii="Arial" w:eastAsia="Times New Roman" w:hAnsi="Arial" w:cs="Arial"/>
          <w:color w:val="040102"/>
          <w:kern w:val="0"/>
          <w:bdr w:val="single" w:sz="2" w:space="0" w:color="CECECE" w:frame="1"/>
          <w:lang w:eastAsia="en-GB"/>
          <w14:ligatures w14:val="none"/>
        </w:rPr>
        <w:t>Sormaz</w:t>
      </w:r>
      <w:proofErr w:type="spellEnd"/>
      <w:r w:rsidRPr="00CA316A">
        <w:rPr>
          <w:rFonts w:ascii="Arial" w:eastAsia="Times New Roman" w:hAnsi="Arial" w:cs="Arial"/>
          <w:color w:val="040102"/>
          <w:kern w:val="0"/>
          <w:bdr w:val="single" w:sz="2" w:space="0" w:color="CECECE" w:frame="1"/>
          <w:lang w:eastAsia="en-GB"/>
          <w14:ligatures w14:val="none"/>
        </w:rPr>
        <w:t xml:space="preserve">, M., Wang, H.-T., Margulies, D., Jefferies, E. and Smallwood, J. (2017). The role of the default mode network in component processes underlying the wandering mind. </w:t>
      </w:r>
      <w:r w:rsidRPr="00CA316A">
        <w:rPr>
          <w:rFonts w:ascii="Arial" w:eastAsia="Times New Roman" w:hAnsi="Arial" w:cs="Arial"/>
          <w:i/>
          <w:iCs/>
          <w:color w:val="040102"/>
          <w:kern w:val="0"/>
          <w:bdr w:val="single" w:sz="2" w:space="0" w:color="CECECE" w:frame="1"/>
          <w:lang w:eastAsia="en-GB"/>
          <w14:ligatures w14:val="none"/>
        </w:rPr>
        <w:t>Social Cognitive and Affective Neuroscience</w:t>
      </w:r>
      <w:r w:rsidRPr="00CA316A">
        <w:rPr>
          <w:rFonts w:ascii="Arial" w:eastAsia="Times New Roman" w:hAnsi="Arial" w:cs="Arial"/>
          <w:color w:val="040102"/>
          <w:kern w:val="0"/>
          <w:bdr w:val="single" w:sz="2" w:space="0" w:color="CECECE" w:frame="1"/>
          <w:lang w:eastAsia="en-GB"/>
          <w14:ligatures w14:val="none"/>
        </w:rPr>
        <w:t>, [online] 12(7), pp.1047–1062. doi:10.1093/scan/nsx041.</w:t>
      </w:r>
    </w:p>
    <w:p w14:paraId="5A0790CE"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Ptacek, R., Weissenberger, S., Braaten, E., </w:t>
      </w:r>
      <w:proofErr w:type="spellStart"/>
      <w:r w:rsidRPr="00CA316A">
        <w:rPr>
          <w:rFonts w:ascii="Arial" w:eastAsia="Times New Roman" w:hAnsi="Arial" w:cs="Arial"/>
          <w:color w:val="040102"/>
          <w:kern w:val="0"/>
          <w:bdr w:val="single" w:sz="2" w:space="0" w:color="CECECE" w:frame="1"/>
          <w:lang w:eastAsia="en-GB"/>
          <w14:ligatures w14:val="none"/>
        </w:rPr>
        <w:t>Klicperova</w:t>
      </w:r>
      <w:proofErr w:type="spellEnd"/>
      <w:r w:rsidRPr="00CA316A">
        <w:rPr>
          <w:rFonts w:ascii="Arial" w:eastAsia="Times New Roman" w:hAnsi="Arial" w:cs="Arial"/>
          <w:color w:val="040102"/>
          <w:kern w:val="0"/>
          <w:bdr w:val="single" w:sz="2" w:space="0" w:color="CECECE" w:frame="1"/>
          <w:lang w:eastAsia="en-GB"/>
          <w14:ligatures w14:val="none"/>
        </w:rPr>
        <w:t xml:space="preserve">-Baker, M., Goetz, M., </w:t>
      </w:r>
      <w:proofErr w:type="spellStart"/>
      <w:r w:rsidRPr="00CA316A">
        <w:rPr>
          <w:rFonts w:ascii="Arial" w:eastAsia="Times New Roman" w:hAnsi="Arial" w:cs="Arial"/>
          <w:color w:val="040102"/>
          <w:kern w:val="0"/>
          <w:bdr w:val="single" w:sz="2" w:space="0" w:color="CECECE" w:frame="1"/>
          <w:lang w:eastAsia="en-GB"/>
          <w14:ligatures w14:val="none"/>
        </w:rPr>
        <w:t>Raboch</w:t>
      </w:r>
      <w:proofErr w:type="spellEnd"/>
      <w:r w:rsidRPr="00CA316A">
        <w:rPr>
          <w:rFonts w:ascii="Arial" w:eastAsia="Times New Roman" w:hAnsi="Arial" w:cs="Arial"/>
          <w:color w:val="040102"/>
          <w:kern w:val="0"/>
          <w:bdr w:val="single" w:sz="2" w:space="0" w:color="CECECE" w:frame="1"/>
          <w:lang w:eastAsia="en-GB"/>
          <w14:ligatures w14:val="none"/>
        </w:rPr>
        <w:t xml:space="preserve">, J., </w:t>
      </w:r>
      <w:proofErr w:type="spellStart"/>
      <w:r w:rsidRPr="00CA316A">
        <w:rPr>
          <w:rFonts w:ascii="Arial" w:eastAsia="Times New Roman" w:hAnsi="Arial" w:cs="Arial"/>
          <w:color w:val="040102"/>
          <w:kern w:val="0"/>
          <w:bdr w:val="single" w:sz="2" w:space="0" w:color="CECECE" w:frame="1"/>
          <w:lang w:eastAsia="en-GB"/>
          <w14:ligatures w14:val="none"/>
        </w:rPr>
        <w:t>Vnukova</w:t>
      </w:r>
      <w:proofErr w:type="spellEnd"/>
      <w:r w:rsidRPr="00CA316A">
        <w:rPr>
          <w:rFonts w:ascii="Arial" w:eastAsia="Times New Roman" w:hAnsi="Arial" w:cs="Arial"/>
          <w:color w:val="040102"/>
          <w:kern w:val="0"/>
          <w:bdr w:val="single" w:sz="2" w:space="0" w:color="CECECE" w:frame="1"/>
          <w:lang w:eastAsia="en-GB"/>
          <w14:ligatures w14:val="none"/>
        </w:rPr>
        <w:t xml:space="preserve">, M. and Stefano, G.B. (2019). Clinical implications of the </w:t>
      </w:r>
      <w:r w:rsidRPr="00CA316A">
        <w:rPr>
          <w:rFonts w:ascii="Arial" w:eastAsia="Times New Roman" w:hAnsi="Arial" w:cs="Arial"/>
          <w:color w:val="040102"/>
          <w:kern w:val="0"/>
          <w:bdr w:val="single" w:sz="2" w:space="0" w:color="CECECE" w:frame="1"/>
          <w:lang w:eastAsia="en-GB"/>
          <w14:ligatures w14:val="none"/>
        </w:rPr>
        <w:lastRenderedPageBreak/>
        <w:t xml:space="preserve">perception of time in attention deficit hyperactivity disorder (ADHD): A review. </w:t>
      </w:r>
      <w:r w:rsidRPr="00CA316A">
        <w:rPr>
          <w:rFonts w:ascii="Arial" w:eastAsia="Times New Roman" w:hAnsi="Arial" w:cs="Arial"/>
          <w:i/>
          <w:iCs/>
          <w:color w:val="040102"/>
          <w:kern w:val="0"/>
          <w:bdr w:val="single" w:sz="2" w:space="0" w:color="CECECE" w:frame="1"/>
          <w:lang w:eastAsia="en-GB"/>
          <w14:ligatures w14:val="none"/>
        </w:rPr>
        <w:t>Medical Science Monitor</w:t>
      </w:r>
      <w:r w:rsidRPr="00CA316A">
        <w:rPr>
          <w:rFonts w:ascii="Arial" w:eastAsia="Times New Roman" w:hAnsi="Arial" w:cs="Arial"/>
          <w:color w:val="040102"/>
          <w:kern w:val="0"/>
          <w:bdr w:val="single" w:sz="2" w:space="0" w:color="CECECE" w:frame="1"/>
          <w:lang w:eastAsia="en-GB"/>
          <w14:ligatures w14:val="none"/>
        </w:rPr>
        <w:t>, [online] 25(25), pp.3918–3924. doi:10.12659/msm.914225.</w:t>
      </w:r>
    </w:p>
    <w:p w14:paraId="6F4B1509"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Shammas, N. (2023). An exploration of direct instruction: Why teaching matters. </w:t>
      </w:r>
      <w:r w:rsidRPr="00CA316A">
        <w:rPr>
          <w:rFonts w:ascii="Arial" w:eastAsia="Times New Roman" w:hAnsi="Arial" w:cs="Arial"/>
          <w:i/>
          <w:iCs/>
          <w:color w:val="040102"/>
          <w:kern w:val="0"/>
          <w:bdr w:val="single" w:sz="2" w:space="0" w:color="CECECE" w:frame="1"/>
          <w:lang w:eastAsia="en-GB"/>
          <w14:ligatures w14:val="none"/>
        </w:rPr>
        <w:t>An Exploration of Direct Instruction: Why Teaching Matters</w:t>
      </w:r>
      <w:r w:rsidRPr="00CA316A">
        <w:rPr>
          <w:rFonts w:ascii="Arial" w:eastAsia="Times New Roman" w:hAnsi="Arial" w:cs="Arial"/>
          <w:color w:val="040102"/>
          <w:kern w:val="0"/>
          <w:bdr w:val="single" w:sz="2" w:space="0" w:color="CECECE" w:frame="1"/>
          <w:lang w:eastAsia="en-GB"/>
          <w14:ligatures w14:val="none"/>
        </w:rPr>
        <w:t>, [online] pp.319–337. doi:10.1007/978-981-99-1927-7_25.</w:t>
      </w:r>
    </w:p>
    <w:p w14:paraId="2E72F12F"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Tabbers, H.K., Martens, R.L. and Van Merriënboer, J.J.G. (2004). Multimedia instructions and cognitive load theory: Effects of modality and cueing. </w:t>
      </w:r>
      <w:r w:rsidRPr="00CA316A">
        <w:rPr>
          <w:rFonts w:ascii="Arial" w:eastAsia="Times New Roman" w:hAnsi="Arial" w:cs="Arial"/>
          <w:i/>
          <w:iCs/>
          <w:color w:val="040102"/>
          <w:kern w:val="0"/>
          <w:bdr w:val="single" w:sz="2" w:space="0" w:color="CECECE" w:frame="1"/>
          <w:lang w:eastAsia="en-GB"/>
          <w14:ligatures w14:val="none"/>
        </w:rPr>
        <w:t>British Journal of Educational Psychology</w:t>
      </w:r>
      <w:r w:rsidRPr="00CA316A">
        <w:rPr>
          <w:rFonts w:ascii="Arial" w:eastAsia="Times New Roman" w:hAnsi="Arial" w:cs="Arial"/>
          <w:color w:val="040102"/>
          <w:kern w:val="0"/>
          <w:bdr w:val="single" w:sz="2" w:space="0" w:color="CECECE" w:frame="1"/>
          <w:lang w:eastAsia="en-GB"/>
          <w14:ligatures w14:val="none"/>
        </w:rPr>
        <w:t>, [online] 74(1), pp.71–81. doi:10.1348/000709904322848824.</w:t>
      </w:r>
    </w:p>
    <w:p w14:paraId="0A9B55BE" w14:textId="77777777" w:rsidR="00CA316A" w:rsidRPr="00CA316A" w:rsidRDefault="00CA316A" w:rsidP="00CA316A">
      <w:pPr>
        <w:shd w:val="clear" w:color="auto" w:fill="F2F2F2"/>
        <w:spacing w:after="0" w:line="360" w:lineRule="atLeast"/>
        <w:rPr>
          <w:rFonts w:ascii="Arial" w:eastAsia="Times New Roman" w:hAnsi="Arial" w:cs="Arial"/>
          <w:color w:val="040102"/>
          <w:kern w:val="0"/>
          <w:lang w:eastAsia="en-GB"/>
          <w14:ligatures w14:val="none"/>
        </w:rPr>
      </w:pPr>
      <w:r w:rsidRPr="00CA316A">
        <w:rPr>
          <w:rFonts w:ascii="Arial" w:eastAsia="Times New Roman" w:hAnsi="Arial" w:cs="Arial"/>
          <w:color w:val="040102"/>
          <w:kern w:val="0"/>
          <w:bdr w:val="single" w:sz="2" w:space="0" w:color="CECECE" w:frame="1"/>
          <w:lang w:eastAsia="en-GB"/>
          <w14:ligatures w14:val="none"/>
        </w:rPr>
        <w:t xml:space="preserve">Thomas, N. and </w:t>
      </w:r>
      <w:proofErr w:type="spellStart"/>
      <w:r w:rsidRPr="00CA316A">
        <w:rPr>
          <w:rFonts w:ascii="Arial" w:eastAsia="Times New Roman" w:hAnsi="Arial" w:cs="Arial"/>
          <w:color w:val="040102"/>
          <w:kern w:val="0"/>
          <w:bdr w:val="single" w:sz="2" w:space="0" w:color="CECECE" w:frame="1"/>
          <w:lang w:eastAsia="en-GB"/>
          <w14:ligatures w14:val="none"/>
        </w:rPr>
        <w:t>Karuppali</w:t>
      </w:r>
      <w:proofErr w:type="spellEnd"/>
      <w:r w:rsidRPr="00CA316A">
        <w:rPr>
          <w:rFonts w:ascii="Arial" w:eastAsia="Times New Roman" w:hAnsi="Arial" w:cs="Arial"/>
          <w:color w:val="040102"/>
          <w:kern w:val="0"/>
          <w:bdr w:val="single" w:sz="2" w:space="0" w:color="CECECE" w:frame="1"/>
          <w:lang w:eastAsia="en-GB"/>
          <w14:ligatures w14:val="none"/>
        </w:rPr>
        <w:t xml:space="preserve">, S. (2022). The efficacy of visual activity schedule intervention in reducing problem </w:t>
      </w:r>
      <w:proofErr w:type="spellStart"/>
      <w:r w:rsidRPr="00CA316A">
        <w:rPr>
          <w:rFonts w:ascii="Arial" w:eastAsia="Times New Roman" w:hAnsi="Arial" w:cs="Arial"/>
          <w:color w:val="040102"/>
          <w:kern w:val="0"/>
          <w:bdr w:val="single" w:sz="2" w:space="0" w:color="CECECE" w:frame="1"/>
          <w:lang w:eastAsia="en-GB"/>
          <w14:ligatures w14:val="none"/>
        </w:rPr>
        <w:t>behaviors</w:t>
      </w:r>
      <w:proofErr w:type="spellEnd"/>
      <w:r w:rsidRPr="00CA316A">
        <w:rPr>
          <w:rFonts w:ascii="Arial" w:eastAsia="Times New Roman" w:hAnsi="Arial" w:cs="Arial"/>
          <w:color w:val="040102"/>
          <w:kern w:val="0"/>
          <w:bdr w:val="single" w:sz="2" w:space="0" w:color="CECECE" w:frame="1"/>
          <w:lang w:eastAsia="en-GB"/>
          <w14:ligatures w14:val="none"/>
        </w:rPr>
        <w:t xml:space="preserve"> in children with attention-deficit/hyperactivity disorder between the age of 5 and 12 years: A systematic review. </w:t>
      </w:r>
      <w:r w:rsidRPr="00CA316A">
        <w:rPr>
          <w:rFonts w:ascii="Arial" w:eastAsia="Times New Roman" w:hAnsi="Arial" w:cs="Arial"/>
          <w:i/>
          <w:iCs/>
          <w:color w:val="040102"/>
          <w:kern w:val="0"/>
          <w:bdr w:val="single" w:sz="2" w:space="0" w:color="CECECE" w:frame="1"/>
          <w:lang w:eastAsia="en-GB"/>
          <w14:ligatures w14:val="none"/>
        </w:rPr>
        <w:t>Journal of the Korean Academy of Child and Adolescent Psychiatry</w:t>
      </w:r>
      <w:r w:rsidRPr="00CA316A">
        <w:rPr>
          <w:rFonts w:ascii="Arial" w:eastAsia="Times New Roman" w:hAnsi="Arial" w:cs="Arial"/>
          <w:color w:val="040102"/>
          <w:kern w:val="0"/>
          <w:bdr w:val="single" w:sz="2" w:space="0" w:color="CECECE" w:frame="1"/>
          <w:lang w:eastAsia="en-GB"/>
          <w14:ligatures w14:val="none"/>
        </w:rPr>
        <w:t>, [online] 33(1), pp.2–15. doi:10.5765/jkacap.210021.</w:t>
      </w:r>
    </w:p>
    <w:p w14:paraId="2692A2F0" w14:textId="77777777" w:rsidR="00CA316A" w:rsidRPr="00CA316A" w:rsidRDefault="00CA316A">
      <w:pPr>
        <w:rPr>
          <w:rFonts w:ascii="Arial" w:hAnsi="Arial" w:cs="Arial"/>
        </w:rPr>
      </w:pPr>
    </w:p>
    <w:sectPr w:rsidR="00CA316A" w:rsidRPr="00CA31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7A3"/>
    <w:rsid w:val="0005631A"/>
    <w:rsid w:val="004B2AA3"/>
    <w:rsid w:val="008957A3"/>
    <w:rsid w:val="00AA1FCB"/>
    <w:rsid w:val="00CA3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6F75F"/>
  <w15:chartTrackingRefBased/>
  <w15:docId w15:val="{8477069E-F92A-4B49-BA4C-4117B166A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7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57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57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7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7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7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7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7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7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7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57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57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7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7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7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7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7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7A3"/>
    <w:rPr>
      <w:rFonts w:eastAsiaTheme="majorEastAsia" w:cstheme="majorBidi"/>
      <w:color w:val="272727" w:themeColor="text1" w:themeTint="D8"/>
    </w:rPr>
  </w:style>
  <w:style w:type="paragraph" w:styleId="Title">
    <w:name w:val="Title"/>
    <w:basedOn w:val="Normal"/>
    <w:next w:val="Normal"/>
    <w:link w:val="TitleChar"/>
    <w:uiPriority w:val="10"/>
    <w:qFormat/>
    <w:rsid w:val="008957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7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7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7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7A3"/>
    <w:pPr>
      <w:spacing w:before="160"/>
      <w:jc w:val="center"/>
    </w:pPr>
    <w:rPr>
      <w:i/>
      <w:iCs/>
      <w:color w:val="404040" w:themeColor="text1" w:themeTint="BF"/>
    </w:rPr>
  </w:style>
  <w:style w:type="character" w:customStyle="1" w:styleId="QuoteChar">
    <w:name w:val="Quote Char"/>
    <w:basedOn w:val="DefaultParagraphFont"/>
    <w:link w:val="Quote"/>
    <w:uiPriority w:val="29"/>
    <w:rsid w:val="008957A3"/>
    <w:rPr>
      <w:i/>
      <w:iCs/>
      <w:color w:val="404040" w:themeColor="text1" w:themeTint="BF"/>
    </w:rPr>
  </w:style>
  <w:style w:type="paragraph" w:styleId="ListParagraph">
    <w:name w:val="List Paragraph"/>
    <w:basedOn w:val="Normal"/>
    <w:uiPriority w:val="34"/>
    <w:qFormat/>
    <w:rsid w:val="008957A3"/>
    <w:pPr>
      <w:ind w:left="720"/>
      <w:contextualSpacing/>
    </w:pPr>
  </w:style>
  <w:style w:type="character" w:styleId="IntenseEmphasis">
    <w:name w:val="Intense Emphasis"/>
    <w:basedOn w:val="DefaultParagraphFont"/>
    <w:uiPriority w:val="21"/>
    <w:qFormat/>
    <w:rsid w:val="008957A3"/>
    <w:rPr>
      <w:i/>
      <w:iCs/>
      <w:color w:val="0F4761" w:themeColor="accent1" w:themeShade="BF"/>
    </w:rPr>
  </w:style>
  <w:style w:type="paragraph" w:styleId="IntenseQuote">
    <w:name w:val="Intense Quote"/>
    <w:basedOn w:val="Normal"/>
    <w:next w:val="Normal"/>
    <w:link w:val="IntenseQuoteChar"/>
    <w:uiPriority w:val="30"/>
    <w:qFormat/>
    <w:rsid w:val="008957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7A3"/>
    <w:rPr>
      <w:i/>
      <w:iCs/>
      <w:color w:val="0F4761" w:themeColor="accent1" w:themeShade="BF"/>
    </w:rPr>
  </w:style>
  <w:style w:type="character" w:styleId="IntenseReference">
    <w:name w:val="Intense Reference"/>
    <w:basedOn w:val="DefaultParagraphFont"/>
    <w:uiPriority w:val="32"/>
    <w:qFormat/>
    <w:rsid w:val="008957A3"/>
    <w:rPr>
      <w:b/>
      <w:bCs/>
      <w:smallCaps/>
      <w:color w:val="0F4761" w:themeColor="accent1" w:themeShade="BF"/>
      <w:spacing w:val="5"/>
    </w:rPr>
  </w:style>
  <w:style w:type="paragraph" w:styleId="NormalWeb">
    <w:name w:val="Normal (Web)"/>
    <w:basedOn w:val="Normal"/>
    <w:uiPriority w:val="99"/>
    <w:semiHidden/>
    <w:unhideWhenUsed/>
    <w:rsid w:val="008957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435</TotalTime>
  <Pages>8</Pages>
  <Words>2084</Words>
  <Characters>13655</Characters>
  <Application>Microsoft Office Word</Application>
  <DocSecurity>0</DocSecurity>
  <Lines>220</Lines>
  <Paragraphs>43</Paragraphs>
  <ScaleCrop>false</ScaleCrop>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Agar</dc:creator>
  <cp:keywords/>
  <dc:description/>
  <cp:lastModifiedBy>Dylan Agar</cp:lastModifiedBy>
  <cp:revision>4</cp:revision>
  <dcterms:created xsi:type="dcterms:W3CDTF">2026-10-15T12:21:00Z</dcterms:created>
  <dcterms:modified xsi:type="dcterms:W3CDTF">2026-10-19T18:38:00Z</dcterms:modified>
</cp:coreProperties>
</file>