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59601"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Tort law is a branch of law that deals with civil wrongdoings. An individual who has suffered damage due to the breach of their rights may sue for damages. Negligence is without a doubt the most significant and dynamic area of tort law. Personal injury victims often file negligence claims after suffering a loss. However, there are other regimes that are also relevant to the claim in the context of personal injury actions (Deakin, Johnston and </w:t>
      </w:r>
      <w:proofErr w:type="spellStart"/>
      <w:r w:rsidRPr="0050421A">
        <w:rPr>
          <w:rFonts w:ascii="Arial" w:hAnsi="Arial" w:cs="Arial"/>
          <w:sz w:val="24"/>
          <w:szCs w:val="24"/>
        </w:rPr>
        <w:t>Markesinis</w:t>
      </w:r>
      <w:proofErr w:type="spellEnd"/>
      <w:r w:rsidRPr="0050421A">
        <w:rPr>
          <w:rFonts w:ascii="Arial" w:hAnsi="Arial" w:cs="Arial"/>
          <w:sz w:val="24"/>
          <w:szCs w:val="24"/>
        </w:rPr>
        <w:t>, 2003, p.74). During the late 19th and 20th centuries, judicial systems have experienced rapid expansion due to the pressures imposed by industrial and urban societies on traditional forms of legal redress when someone violates one's rights and interests (Brennan, 2022, p.1-22). The objective of this assignment is to critically analyse some circumstances that might cause courts to consider if an emergency service has a duty of care in the case of negligence claims.</w:t>
      </w:r>
    </w:p>
    <w:p w14:paraId="2AF86BB2"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Torts consist of three elements: duty of care, breach of duty, and causation. The duty of care entails a legal obligation to provide care when certain events or relationships occur. Although an individual may have acted carelessly in many situations, there will be no claim unless they had a duty of care to the person harmed. Furthermore, if a case shows clear breach and causation, but duty of care was absent at the time of the breach, the case will be rejected (</w:t>
      </w:r>
      <w:proofErr w:type="spellStart"/>
      <w:r w:rsidRPr="0050421A">
        <w:rPr>
          <w:rFonts w:ascii="Arial" w:hAnsi="Arial" w:cs="Arial"/>
          <w:sz w:val="24"/>
          <w:szCs w:val="24"/>
        </w:rPr>
        <w:t>Colyer</w:t>
      </w:r>
      <w:proofErr w:type="spellEnd"/>
      <w:r w:rsidRPr="0050421A">
        <w:rPr>
          <w:rFonts w:ascii="Arial" w:hAnsi="Arial" w:cs="Arial"/>
          <w:sz w:val="24"/>
          <w:szCs w:val="24"/>
        </w:rPr>
        <w:t xml:space="preserve">, 1966, p.30-44).  </w:t>
      </w:r>
    </w:p>
    <w:p w14:paraId="17486282"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Duty of care was generalised in the case of Donoghue v Stevenson [1932] AC 562. This case challenged the previous law limiting liability for careless conduct. Instead, it embraces an overarching duty of care. Lord Atkin held that two parties owed a general duty of care to one another under the 'neighbour principle’. Moreover, English law did not recognise any significant duty of care before Donoghue v Stevenson. In the absence of contract between the parties the plaintiff is unable to bring negligence against the defendant. As a result, individuals who suffer from clear instances of negligence suffer considerable injustices (Hutchinson, 1978, p. 515-533). In addition, the duty-of-care test is based on Caparo Industries v Dickman [1990] 2 AC 605. The Caparo test has three stages: foreseeability, proximity, and fairness. A duty of care will be established when all three stages are met. The defendant will be held liable for damages if the damages suffered was predictable and the claimant is close to the defendant (Cameron, 2019, p. 82-88).</w:t>
      </w:r>
    </w:p>
    <w:p w14:paraId="4EF7DCB5"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Furthermore, when duty of care has been established the claimant must show that his/her rights have been infringed by the defendant. To determine the defendant's fault, there are two stages. Firstly, the court will establish the level of care that the defendant owed. To establish this, the court typically consider the likelihood of harm, the cost of avoiding harm, and the benefits for society if the activity is not conducted. Secondly, the damages caused must be result of defendant's breach of duty (Weir, 2006a, p.57-69). Moreover, to establish the factual causation the courts use the ‘but-for’ test. The 'but-for' test asks if the claimant would have suffered the losses or damages without the defendant's tort. The causation test is satisfied if the answer is no. However, if it is yes, the defendant is not liable. Although causation in most cases is straightforward, courts have recently dealt with complex cases (Weir, 2006b, p.70-90). For example, in the case of Fairchild v </w:t>
      </w:r>
      <w:proofErr w:type="spellStart"/>
      <w:r w:rsidRPr="0050421A">
        <w:rPr>
          <w:rFonts w:ascii="Arial" w:hAnsi="Arial" w:cs="Arial"/>
          <w:sz w:val="24"/>
          <w:szCs w:val="24"/>
        </w:rPr>
        <w:t>Glenhaven</w:t>
      </w:r>
      <w:proofErr w:type="spellEnd"/>
      <w:r w:rsidRPr="0050421A">
        <w:rPr>
          <w:rFonts w:ascii="Arial" w:hAnsi="Arial" w:cs="Arial"/>
          <w:sz w:val="24"/>
          <w:szCs w:val="24"/>
        </w:rPr>
        <w:t xml:space="preserve"> Funeral Homes [2003] 1 AC 32 it was not possible for the claimants to determine which breach of duty had caused them to contract mesothelioma because there were multiple employers who had </w:t>
      </w:r>
      <w:r w:rsidRPr="0050421A">
        <w:rPr>
          <w:rFonts w:ascii="Arial" w:hAnsi="Arial" w:cs="Arial"/>
          <w:sz w:val="24"/>
          <w:szCs w:val="24"/>
        </w:rPr>
        <w:lastRenderedPageBreak/>
        <w:t>negligently exposed them to asbestos. As a result, the House of Lords relaxed causality rules.</w:t>
      </w:r>
    </w:p>
    <w:p w14:paraId="15DAF089"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Emergency services include firefighters, police, and ambulances. Emergency services are responsible for assisting the public in danger. In some cases, they may also be liable for omissions. Whether emergency services have a duty of care toward citizens depends on the situations, and the nature of the emergency and how they respond. Therefore, the Human Rights Act 1998 (HRA) may play a role in negligence action against the emergency services. On the other hand, emergency services are not liable for negligence under policy grounds (Clark, 2021).</w:t>
      </w:r>
    </w:p>
    <w:p w14:paraId="0B4A7703"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Police duty of care was first addressed in the case of Hill v Chief Constable of West Yorkshire [1988] 2 All ER 238 the court ruled that there did not appear to be any proximity between the police and the claimant. Therefore, no duty of care was owed. Moreover, in the case of </w:t>
      </w:r>
      <w:proofErr w:type="spellStart"/>
      <w:r w:rsidRPr="0050421A">
        <w:rPr>
          <w:rFonts w:ascii="Arial" w:hAnsi="Arial" w:cs="Arial"/>
          <w:sz w:val="24"/>
          <w:szCs w:val="24"/>
        </w:rPr>
        <w:t>Alcock</w:t>
      </w:r>
      <w:proofErr w:type="spellEnd"/>
      <w:r w:rsidRPr="0050421A">
        <w:rPr>
          <w:rFonts w:ascii="Arial" w:hAnsi="Arial" w:cs="Arial"/>
          <w:sz w:val="24"/>
          <w:szCs w:val="24"/>
        </w:rPr>
        <w:t xml:space="preserve"> v Chief Constable of South Yorkshire Police, 1991, 4 All ER 907 the court stated that lack of proximity limits the duty of care. However, the case of Rigby v Chief Constable of Northamptonshire, 1985, 2 All ER 985 demonstrates that the police may be held responsible for injuries caused by their negligence (Steel, 2021). Furthermore, according to the court in Swinney v Chief Constable of Northumbria (NO 2) [1997] QB 464 the police were responsible for the safety of informants due to handling confidential information. Therefore, the police owed duty of care to the informants. Similarly, in the case An Informer v A Chief Constable [2012], the police were not liable for pure economic loss to an informer but had a duty of care for their physical safety. The Court of Appeal ruled that police were obligated to protect an informer from risks to their physical safety and wellbeing resulting from their activities providing information about others, as the police had a confidential relationship with the informer (Malik, 1997, p.104-107).</w:t>
      </w:r>
    </w:p>
    <w:p w14:paraId="42C46D41"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Furthermore, in Knightly v Johns [1982] 1 WLR 349 the chain of causation was broken by a new intervening act, which led to a successful lawsuit against the police. On the other hand, the case of </w:t>
      </w:r>
      <w:proofErr w:type="spellStart"/>
      <w:r w:rsidRPr="0050421A">
        <w:rPr>
          <w:rFonts w:ascii="Arial" w:hAnsi="Arial" w:cs="Arial"/>
          <w:sz w:val="24"/>
          <w:szCs w:val="24"/>
        </w:rPr>
        <w:t>Alexandrou</w:t>
      </w:r>
      <w:proofErr w:type="spellEnd"/>
      <w:r w:rsidRPr="0050421A">
        <w:rPr>
          <w:rFonts w:ascii="Arial" w:hAnsi="Arial" w:cs="Arial"/>
          <w:sz w:val="24"/>
          <w:szCs w:val="24"/>
        </w:rPr>
        <w:t xml:space="preserve"> v Oxford [1993] 4 All ER 328 provides clear evidence that fail to respond to an emergency does not hold the police liable. Furthermore, in Brooks v Metropolitan Police Commissioner [2005] 2 All ER 489, the court ruled that because of a public policy matter, police officers generally don't owe a duty of care to victims and witnesses of criminal activity that they investigate. Moreover, in Robinson v Chief Constable of West Yorkshire Police [2014] EWCA </w:t>
      </w:r>
      <w:proofErr w:type="spellStart"/>
      <w:r w:rsidRPr="0050421A">
        <w:rPr>
          <w:rFonts w:ascii="Arial" w:hAnsi="Arial" w:cs="Arial"/>
          <w:sz w:val="24"/>
          <w:szCs w:val="24"/>
        </w:rPr>
        <w:t>Civ</w:t>
      </w:r>
      <w:proofErr w:type="spellEnd"/>
      <w:r w:rsidRPr="0050421A">
        <w:rPr>
          <w:rFonts w:ascii="Arial" w:hAnsi="Arial" w:cs="Arial"/>
          <w:sz w:val="24"/>
          <w:szCs w:val="24"/>
        </w:rPr>
        <w:t xml:space="preserve"> 15, the Court of Appeal stated the police had not acted negligently because a "duty of care" arises when three criteria are met: foreseeability of damage; proximity; and fair, just, and reasonable treatment. Furthermore, in case of Michael v Chief Constable of South Wales Police, 2015 [2015] 2 WLR 343, the court dismissed the negligence claim because this was a policy issue. Based on the cases cited here, duty of care between the caller and the police is not automatically established after a 999 call. However, when arriving at the scene the police are accepted not to act in manner that will deteriorate the matters (Steele, 2008, p. 239–241). </w:t>
      </w:r>
    </w:p>
    <w:p w14:paraId="04A0352D"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Fire services are another emergency service, but their liability is limited. A case defining their position is Capital &amp; Counties Plc v Hampshire CC [10]. A duty of care was owed in this case because the fire brigade turned off the sprinklers and increased </w:t>
      </w:r>
      <w:r w:rsidRPr="0050421A">
        <w:rPr>
          <w:rFonts w:ascii="Arial" w:hAnsi="Arial" w:cs="Arial"/>
          <w:sz w:val="24"/>
          <w:szCs w:val="24"/>
        </w:rPr>
        <w:lastRenderedPageBreak/>
        <w:t>damages. Also, this case established that fire service are not duty bound to answer the calls for assistance under common law. Furthermore, if they fail to show up or if they are late in a situation in which they carelessly interpret a message from a victim or get lost in the process or may be run over by a tree, they will not be liable. However, the fire service is not allowed to exacerbate the harm caused by the fire once they have responded to it. Moreover, in the case of Church of Jesus Christ of Latter Day Saints v. Yorkshire Fire and Civil Defence Authority the claim for breach of statutory duty was brought by the claimant against the fire department for failing to inspect hydrants. But the claim was dismissed since there was no duty of care owed by the brigade. Similarly, in John Munroe (Acrylics) Ltd v London Fire and Civil Defence Authority, the Court ruled on a preliminary issue that there was no duty of care (Hartshorne, Smith, and Everton, 2000, p. 502–522).</w:t>
      </w:r>
    </w:p>
    <w:p w14:paraId="1124BBAB"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Ambulances have more liability compared to other emergency services. In the case of Kent v Griffiths [2000] 2 WLR 1158 the court ruled that an actionable negligence claim can be brought against the ambulance services for irrational delay. Furthermore, ambulances have one trained doctor on board. This has become crucial aspect of emergency services and the doctors on board are responsible for ensuring that individual patients are treated as quickly as possible. A patient in an ambulance is entitled to reasonable care since it creates a doctor-patient relationship. Furthermore, the ambulance service is responsible for responding within a reasonable time if a call is for help. By accepting the call, proximity between the parties is established (Williams, 2007, p153-175).</w:t>
      </w:r>
    </w:p>
    <w:p w14:paraId="49404B10"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In October 2000, the Human Rights Act 1998 (HRA) became operative, introducing human rights concerns to tort law. The UK was one of the first to sign the European Convention on Human Rights 1950 (ECHR), but the rights contained in the Convention had not become part of national law until the Act. According to HRA 1998, the ECHR can be applied directly or indirectly. In English law, majority of the ECHR's rights can be enforced against public organisations. Public authorities are defined by section 6 (3) of the HRA 1998 as courts or tribunals or individuals whose functions are public. As defined in Section 6 (3) of the HRA 1998, the emergency services are a public authority (Crone et al, 2002, p.269-281).</w:t>
      </w:r>
    </w:p>
    <w:p w14:paraId="428C8AA4"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Moreover, the English judiciary faced enormous difficulties after the decision Osman v United Kingdom [1999] 1 FLR 193 (ECHR). A review of the Court of Appeal decision in Osman was conducted by the European Court of Human Rights (ECtHR). It was held by the ECtHR that special immunity granted to the police violated Article 6 of the ECHR. Furthermore, the ECtHR stated that the Court of Appeal failed to demonstrate that it had balanced out any competing public interest arguments in determining the scope and application of such immunity. As a result, victims of crime who suffer personal injury may pursue an action under section 24 of the HRA 1998. 6 and 7, against the police for failure to prevent the crime. According to the court in Van Colle v Chief Constable of Hertfordshire Police [2008] UKHL 50, following the directions of Article 2 of the ECHR and Osman v United Kingdom, the authority had a positive obligation to prevent the act of another from harming the individual whose life was at ‘real or immediate risk’ as a result. Therefore, it is evident that Human Rights Act has </w:t>
      </w:r>
      <w:r w:rsidRPr="0050421A">
        <w:rPr>
          <w:rFonts w:ascii="Arial" w:hAnsi="Arial" w:cs="Arial"/>
          <w:sz w:val="24"/>
          <w:szCs w:val="24"/>
        </w:rPr>
        <w:lastRenderedPageBreak/>
        <w:t xml:space="preserve">had and continues to have an impact on the English substantive tort law (Morgan, 2018, p. 244-248). </w:t>
      </w:r>
    </w:p>
    <w:p w14:paraId="24AF89A6"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Furthermore, an employer has a duty in law to ensure the safety of employees; this duty is primarily the same as a traditional duty of care to avoid negligence (Rodrigues, 2014, p.3). This duty includes providing competent staff, adequate materials, and a safe working environment, according to Lord Wright in the case of Wilson &amp; Clyde Coal Co v English (1937). The process could also include situations where employees do not receive warnings about potential dangers - such as in the case of Pape v Cumbria County Council [1992] 2 All ER 2111. The employer failed to inform the claimant that not wearing gloves while handling chemicals could cause such issues and was therefore the employer was held liable. Furthermore, in Clifford v Charles </w:t>
      </w:r>
      <w:proofErr w:type="spellStart"/>
      <w:r w:rsidRPr="0050421A">
        <w:rPr>
          <w:rFonts w:ascii="Arial" w:hAnsi="Arial" w:cs="Arial"/>
          <w:sz w:val="24"/>
          <w:szCs w:val="24"/>
        </w:rPr>
        <w:t>Challen</w:t>
      </w:r>
      <w:proofErr w:type="spellEnd"/>
      <w:r w:rsidRPr="0050421A">
        <w:rPr>
          <w:rFonts w:ascii="Arial" w:hAnsi="Arial" w:cs="Arial"/>
          <w:sz w:val="24"/>
          <w:szCs w:val="24"/>
        </w:rPr>
        <w:t xml:space="preserve"> &amp; Son (1951), the Court of Appeal have established that safe working system, sufficient working equipment at the workplace and expert supervision is need for the employees. </w:t>
      </w:r>
    </w:p>
    <w:p w14:paraId="7D40777F"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The Law Reform (Contributory Negligence) Act 1945 lets the courts divide damages between injured parties and defendants liable in tort in a just and equitable way. Prior to the Act, contributory negligence was a full defence to negligence claims. In certain cases, a dominant party could avoid paying compensation if the claimant was marginally responsible for the injury. Also, under the Act, courts are required to use the appropriate method when considering damages owed to parties (Arvind and Steele, 2012, p.159-185).</w:t>
      </w:r>
    </w:p>
    <w:p w14:paraId="2D354D4E" w14:textId="77777777" w:rsidR="00940B03" w:rsidRPr="0050421A" w:rsidRDefault="00940B03" w:rsidP="00940B03">
      <w:pPr>
        <w:jc w:val="both"/>
        <w:rPr>
          <w:rFonts w:ascii="Arial" w:hAnsi="Arial" w:cs="Arial"/>
          <w:sz w:val="24"/>
          <w:szCs w:val="24"/>
        </w:rPr>
      </w:pPr>
      <w:r w:rsidRPr="0050421A">
        <w:rPr>
          <w:rFonts w:ascii="Arial" w:hAnsi="Arial" w:cs="Arial"/>
          <w:sz w:val="24"/>
          <w:szCs w:val="24"/>
        </w:rPr>
        <w:t xml:space="preserve">To sum up, negligence caused by emergency services are particularly complex as they are public services. Thus, court investigate policy grounds when identifying a duty of care. To impose liability for a duty of care, the courts must also examine whether it is just, fair, and reasonable in all circumstances. Following a series of cases, it has been established that police, fire fighters do not owe a duty of care to individual members of the public except in exceptional circumstances. However, ambulance services have a duty of care towards individuals if they accept a call from 999. Through the cases, it has been established that accepting a call from 999 establishes a close relationship between an ambulance service and the caller. Nevertheless, the Human Rights Act 1998 (HRA) shows that victims might be able to use human rights litigation to overcome their claim against the immunity of emergency services. </w:t>
      </w:r>
    </w:p>
    <w:p w14:paraId="2A919761" w14:textId="2E8AB732" w:rsidR="00E43255" w:rsidRPr="0050421A" w:rsidRDefault="00E43255" w:rsidP="00940B03">
      <w:pPr>
        <w:jc w:val="both"/>
        <w:rPr>
          <w:rFonts w:ascii="Arial" w:hAnsi="Arial" w:cs="Arial"/>
          <w:sz w:val="24"/>
          <w:szCs w:val="24"/>
        </w:rPr>
      </w:pPr>
    </w:p>
    <w:p w14:paraId="1AA2B676" w14:textId="6F3E7BCF" w:rsidR="00FE3766" w:rsidRPr="0050421A" w:rsidRDefault="00FE3766" w:rsidP="00940B03">
      <w:pPr>
        <w:jc w:val="both"/>
        <w:rPr>
          <w:rFonts w:ascii="Arial" w:hAnsi="Arial" w:cs="Arial"/>
          <w:sz w:val="24"/>
          <w:szCs w:val="24"/>
        </w:rPr>
      </w:pPr>
    </w:p>
    <w:p w14:paraId="4B209977" w14:textId="3CAC439F" w:rsidR="00FE3766" w:rsidRPr="0050421A" w:rsidRDefault="00FE3766" w:rsidP="00940B03">
      <w:pPr>
        <w:jc w:val="both"/>
        <w:rPr>
          <w:rFonts w:ascii="Arial" w:hAnsi="Arial" w:cs="Arial"/>
          <w:sz w:val="24"/>
          <w:szCs w:val="24"/>
        </w:rPr>
      </w:pPr>
    </w:p>
    <w:p w14:paraId="37AAF8FD" w14:textId="351ECDAA" w:rsidR="00FE3766" w:rsidRPr="0050421A" w:rsidRDefault="00FE3766" w:rsidP="00940B03">
      <w:pPr>
        <w:jc w:val="both"/>
        <w:rPr>
          <w:rFonts w:ascii="Arial" w:hAnsi="Arial" w:cs="Arial"/>
          <w:sz w:val="24"/>
          <w:szCs w:val="24"/>
        </w:rPr>
      </w:pPr>
    </w:p>
    <w:p w14:paraId="79C4BEBB" w14:textId="0BD6132F" w:rsidR="00FE3766" w:rsidRPr="0050421A" w:rsidRDefault="00FE3766" w:rsidP="00940B03">
      <w:pPr>
        <w:jc w:val="both"/>
        <w:rPr>
          <w:rFonts w:ascii="Arial" w:hAnsi="Arial" w:cs="Arial"/>
          <w:sz w:val="24"/>
          <w:szCs w:val="24"/>
        </w:rPr>
      </w:pPr>
    </w:p>
    <w:p w14:paraId="2EAAA04E" w14:textId="62D4ACF2" w:rsidR="00FE3766" w:rsidRPr="0050421A" w:rsidRDefault="00FE3766" w:rsidP="00940B03">
      <w:pPr>
        <w:jc w:val="both"/>
        <w:rPr>
          <w:rFonts w:ascii="Arial" w:hAnsi="Arial" w:cs="Arial"/>
          <w:sz w:val="24"/>
          <w:szCs w:val="24"/>
        </w:rPr>
      </w:pPr>
    </w:p>
    <w:p w14:paraId="13FBAD3D" w14:textId="3931B129" w:rsidR="00FE3766" w:rsidRPr="0050421A" w:rsidRDefault="00FE3766" w:rsidP="00940B03">
      <w:pPr>
        <w:jc w:val="both"/>
        <w:rPr>
          <w:rFonts w:ascii="Arial" w:hAnsi="Arial" w:cs="Arial"/>
          <w:sz w:val="24"/>
          <w:szCs w:val="24"/>
        </w:rPr>
      </w:pPr>
    </w:p>
    <w:p w14:paraId="3AAA0441" w14:textId="74DEE5BB" w:rsidR="00FE3766" w:rsidRPr="0050421A" w:rsidRDefault="00FE3766" w:rsidP="00940B03">
      <w:pPr>
        <w:jc w:val="both"/>
        <w:rPr>
          <w:rFonts w:ascii="Arial" w:hAnsi="Arial" w:cs="Arial"/>
          <w:sz w:val="24"/>
          <w:szCs w:val="24"/>
        </w:rPr>
      </w:pPr>
    </w:p>
    <w:p w14:paraId="4BDA2165" w14:textId="77777777" w:rsidR="00FE3766" w:rsidRPr="0050421A" w:rsidRDefault="00FE3766" w:rsidP="00137BB7">
      <w:pPr>
        <w:rPr>
          <w:rFonts w:ascii="Arial" w:hAnsi="Arial" w:cs="Arial"/>
          <w:b/>
          <w:bCs/>
          <w:sz w:val="24"/>
          <w:szCs w:val="24"/>
        </w:rPr>
      </w:pPr>
      <w:r w:rsidRPr="0050421A">
        <w:rPr>
          <w:rFonts w:ascii="Arial" w:hAnsi="Arial" w:cs="Arial"/>
          <w:b/>
          <w:bCs/>
          <w:sz w:val="24"/>
          <w:szCs w:val="24"/>
        </w:rPr>
        <w:lastRenderedPageBreak/>
        <w:t xml:space="preserve">References </w:t>
      </w:r>
    </w:p>
    <w:p w14:paraId="0A400500" w14:textId="77777777" w:rsidR="00FE3766" w:rsidRPr="0050421A" w:rsidRDefault="00FE3766" w:rsidP="00137BB7">
      <w:pPr>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Arvind, TT.  and Steele, J. (2012) - </w:t>
      </w:r>
      <w:r w:rsidRPr="0050421A">
        <w:rPr>
          <w:rFonts w:ascii="Arial" w:hAnsi="Arial" w:cs="Arial"/>
          <w:i/>
          <w:iCs/>
          <w:color w:val="555555"/>
          <w:sz w:val="24"/>
          <w:szCs w:val="24"/>
          <w:shd w:val="clear" w:color="auto" w:fill="FFFFFF"/>
        </w:rPr>
        <w:t>Tort Law and the Legislature: Common Law, Statute and the Dynamics of Legal Change</w:t>
      </w:r>
      <w:r w:rsidRPr="0050421A">
        <w:rPr>
          <w:rFonts w:ascii="Arial" w:hAnsi="Arial" w:cs="Arial"/>
          <w:color w:val="555555"/>
          <w:sz w:val="24"/>
          <w:szCs w:val="24"/>
          <w:shd w:val="clear" w:color="auto" w:fill="FFFFFF"/>
        </w:rPr>
        <w:t>, London: Bloomsbury Publishing Plc</w:t>
      </w:r>
    </w:p>
    <w:p w14:paraId="550C744A" w14:textId="77777777" w:rsidR="00FE3766" w:rsidRPr="0050421A" w:rsidRDefault="00FE3766" w:rsidP="00137BB7">
      <w:pPr>
        <w:rPr>
          <w:rFonts w:ascii="Arial" w:hAnsi="Arial" w:cs="Arial"/>
          <w:sz w:val="24"/>
          <w:szCs w:val="24"/>
        </w:rPr>
      </w:pPr>
      <w:r w:rsidRPr="0050421A">
        <w:rPr>
          <w:rFonts w:ascii="Arial" w:hAnsi="Arial" w:cs="Arial"/>
          <w:sz w:val="24"/>
          <w:szCs w:val="24"/>
        </w:rPr>
        <w:t xml:space="preserve">Brennan, C. (2022) - </w:t>
      </w:r>
      <w:r w:rsidRPr="0050421A">
        <w:rPr>
          <w:rFonts w:ascii="Arial" w:hAnsi="Arial" w:cs="Arial"/>
          <w:i/>
          <w:iCs/>
          <w:sz w:val="24"/>
          <w:szCs w:val="24"/>
        </w:rPr>
        <w:t>Tort Law Directions</w:t>
      </w:r>
      <w:r w:rsidRPr="0050421A">
        <w:rPr>
          <w:rFonts w:ascii="Arial" w:hAnsi="Arial" w:cs="Arial"/>
          <w:sz w:val="24"/>
          <w:szCs w:val="24"/>
        </w:rPr>
        <w:t xml:space="preserve"> - 8</w:t>
      </w:r>
      <w:r w:rsidRPr="0050421A">
        <w:rPr>
          <w:rFonts w:ascii="Arial" w:hAnsi="Arial" w:cs="Arial"/>
          <w:sz w:val="24"/>
          <w:szCs w:val="24"/>
          <w:vertAlign w:val="superscript"/>
        </w:rPr>
        <w:t>th</w:t>
      </w:r>
      <w:r w:rsidRPr="0050421A">
        <w:rPr>
          <w:rFonts w:ascii="Arial" w:hAnsi="Arial" w:cs="Arial"/>
          <w:sz w:val="24"/>
          <w:szCs w:val="24"/>
        </w:rPr>
        <w:t xml:space="preserve"> Ed - Oxford: Oxford University Press</w:t>
      </w:r>
    </w:p>
    <w:p w14:paraId="59D629ED" w14:textId="77777777" w:rsidR="00FE3766" w:rsidRPr="0050421A" w:rsidRDefault="00FE3766" w:rsidP="00137BB7">
      <w:pPr>
        <w:rPr>
          <w:rFonts w:ascii="Arial" w:hAnsi="Arial" w:cs="Arial"/>
          <w:color w:val="1C2D3D"/>
          <w:sz w:val="24"/>
          <w:szCs w:val="24"/>
          <w:shd w:val="clear" w:color="auto" w:fill="FFFFFF"/>
        </w:rPr>
      </w:pPr>
      <w:r w:rsidRPr="0050421A">
        <w:rPr>
          <w:rFonts w:ascii="Arial" w:hAnsi="Arial" w:cs="Arial"/>
          <w:color w:val="1C2D3D"/>
          <w:sz w:val="24"/>
          <w:szCs w:val="24"/>
          <w:shd w:val="clear" w:color="auto" w:fill="FFFFFF"/>
        </w:rPr>
        <w:t xml:space="preserve">Cameron, G. (2019) - ‘Negligence and the Duty of Care; the Demise of the Caparo Test; and Police Immunity Revisited: Robinson Chief Constable of West Yorkshire’ - </w:t>
      </w:r>
      <w:r w:rsidRPr="0050421A">
        <w:rPr>
          <w:rFonts w:ascii="Arial" w:hAnsi="Arial" w:cs="Arial"/>
          <w:i/>
          <w:iCs/>
          <w:color w:val="1C2D3D"/>
          <w:sz w:val="24"/>
          <w:szCs w:val="24"/>
          <w:shd w:val="clear" w:color="auto" w:fill="FFFFFF"/>
        </w:rPr>
        <w:t>Edinburgh Law Review, 23(1),</w:t>
      </w:r>
      <w:r w:rsidRPr="0050421A">
        <w:rPr>
          <w:rFonts w:ascii="Arial" w:hAnsi="Arial" w:cs="Arial"/>
          <w:color w:val="1C2D3D"/>
          <w:sz w:val="24"/>
          <w:szCs w:val="24"/>
          <w:shd w:val="clear" w:color="auto" w:fill="FFFFFF"/>
        </w:rPr>
        <w:t> pp.82-88 – accessed on 30</w:t>
      </w:r>
      <w:r w:rsidRPr="0050421A">
        <w:rPr>
          <w:rFonts w:ascii="Arial" w:hAnsi="Arial" w:cs="Arial"/>
          <w:color w:val="1C2D3D"/>
          <w:sz w:val="24"/>
          <w:szCs w:val="24"/>
          <w:shd w:val="clear" w:color="auto" w:fill="FFFFFF"/>
          <w:vertAlign w:val="superscript"/>
        </w:rPr>
        <w:t>th</w:t>
      </w:r>
      <w:r w:rsidRPr="0050421A">
        <w:rPr>
          <w:rFonts w:ascii="Arial" w:hAnsi="Arial" w:cs="Arial"/>
          <w:color w:val="1C2D3D"/>
          <w:sz w:val="24"/>
          <w:szCs w:val="24"/>
          <w:shd w:val="clear" w:color="auto" w:fill="FFFFFF"/>
        </w:rPr>
        <w:t xml:space="preserve"> Oct 2022 - available at: </w:t>
      </w:r>
      <w:hyperlink r:id="rId4" w:history="1">
        <w:r w:rsidRPr="0050421A">
          <w:rPr>
            <w:rStyle w:val="Hyperlink"/>
            <w:rFonts w:ascii="Arial" w:hAnsi="Arial" w:cs="Arial"/>
            <w:sz w:val="24"/>
            <w:szCs w:val="24"/>
            <w:shd w:val="clear" w:color="auto" w:fill="FFFFFF"/>
          </w:rPr>
          <w:t>https://home.heinonline.org/content/law-journal-library/</w:t>
        </w:r>
      </w:hyperlink>
    </w:p>
    <w:p w14:paraId="08134A49" w14:textId="77777777" w:rsidR="00FE3766" w:rsidRPr="0050421A" w:rsidRDefault="00FE3766" w:rsidP="00137BB7">
      <w:pPr>
        <w:rPr>
          <w:rFonts w:ascii="Arial" w:hAnsi="Arial" w:cs="Arial"/>
          <w:i/>
          <w:iCs/>
          <w:sz w:val="24"/>
          <w:szCs w:val="24"/>
        </w:rPr>
      </w:pPr>
      <w:proofErr w:type="spellStart"/>
      <w:r w:rsidRPr="0050421A">
        <w:rPr>
          <w:rFonts w:ascii="Arial" w:hAnsi="Arial" w:cs="Arial"/>
          <w:sz w:val="24"/>
          <w:szCs w:val="24"/>
        </w:rPr>
        <w:t>Colyer</w:t>
      </w:r>
      <w:proofErr w:type="spellEnd"/>
      <w:r w:rsidRPr="0050421A">
        <w:rPr>
          <w:rFonts w:ascii="Arial" w:hAnsi="Arial" w:cs="Arial"/>
          <w:sz w:val="24"/>
          <w:szCs w:val="24"/>
        </w:rPr>
        <w:t>, J.S. (1966)</w:t>
      </w:r>
      <w:r w:rsidRPr="0050421A">
        <w:rPr>
          <w:rFonts w:ascii="Arial" w:hAnsi="Arial" w:cs="Arial"/>
          <w:i/>
          <w:iCs/>
          <w:sz w:val="24"/>
          <w:szCs w:val="24"/>
        </w:rPr>
        <w:t xml:space="preserve"> - A modern view of the law of torts – Oxford: </w:t>
      </w:r>
      <w:r w:rsidRPr="0050421A">
        <w:rPr>
          <w:rFonts w:ascii="Arial" w:hAnsi="Arial" w:cs="Arial"/>
          <w:sz w:val="24"/>
          <w:szCs w:val="24"/>
        </w:rPr>
        <w:t>Pergamon Press</w:t>
      </w:r>
      <w:r w:rsidRPr="0050421A">
        <w:rPr>
          <w:rFonts w:ascii="Arial" w:hAnsi="Arial" w:cs="Arial"/>
          <w:i/>
          <w:iCs/>
          <w:sz w:val="24"/>
          <w:szCs w:val="24"/>
        </w:rPr>
        <w:t xml:space="preserve"> </w:t>
      </w:r>
    </w:p>
    <w:p w14:paraId="6715762F"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Clark, D. (2021) - </w:t>
      </w:r>
      <w:r w:rsidRPr="0050421A">
        <w:rPr>
          <w:rFonts w:ascii="Arial" w:hAnsi="Arial" w:cs="Arial"/>
          <w:i/>
          <w:iCs/>
          <w:color w:val="555555"/>
          <w:sz w:val="24"/>
          <w:szCs w:val="24"/>
          <w:shd w:val="clear" w:color="auto" w:fill="FFFFFF"/>
        </w:rPr>
        <w:t xml:space="preserve">Emergency services in the United Kingdom - Statistics &amp; Facts – </w:t>
      </w:r>
      <w:r w:rsidRPr="0050421A">
        <w:rPr>
          <w:rFonts w:ascii="Arial" w:hAnsi="Arial" w:cs="Arial"/>
          <w:color w:val="555555"/>
          <w:sz w:val="24"/>
          <w:szCs w:val="24"/>
          <w:shd w:val="clear" w:color="auto" w:fill="FFFFFF"/>
        </w:rPr>
        <w:t>available at:</w:t>
      </w:r>
      <w:r w:rsidRPr="0050421A">
        <w:rPr>
          <w:rFonts w:ascii="Arial" w:hAnsi="Arial" w:cs="Arial"/>
          <w:i/>
          <w:iCs/>
          <w:color w:val="555555"/>
          <w:sz w:val="24"/>
          <w:szCs w:val="24"/>
          <w:shd w:val="clear" w:color="auto" w:fill="FFFFFF"/>
        </w:rPr>
        <w:t xml:space="preserve"> </w:t>
      </w:r>
    </w:p>
    <w:p w14:paraId="3D63D499" w14:textId="77777777" w:rsidR="00FE3766" w:rsidRPr="0050421A" w:rsidRDefault="00FE3766" w:rsidP="00137BB7">
      <w:pPr>
        <w:spacing w:after="0" w:line="240" w:lineRule="auto"/>
        <w:rPr>
          <w:rFonts w:ascii="Arial" w:hAnsi="Arial" w:cs="Arial"/>
          <w:color w:val="555555"/>
          <w:sz w:val="24"/>
          <w:szCs w:val="24"/>
          <w:shd w:val="clear" w:color="auto" w:fill="FFFFFF"/>
        </w:rPr>
      </w:pPr>
      <w:hyperlink r:id="rId5" w:anchor="dossierKeyfigures" w:history="1">
        <w:r w:rsidRPr="0050421A">
          <w:rPr>
            <w:rStyle w:val="Hyperlink"/>
            <w:rFonts w:ascii="Arial" w:hAnsi="Arial" w:cs="Arial"/>
            <w:sz w:val="24"/>
            <w:szCs w:val="24"/>
            <w:shd w:val="clear" w:color="auto" w:fill="FFFFFF"/>
          </w:rPr>
          <w:t>https://www.statista.com/topics/5102/emergency-services-in-the-uk/#dossierKeyfigures</w:t>
        </w:r>
      </w:hyperlink>
    </w:p>
    <w:p w14:paraId="39DFBE29"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(Accessed: 5</w:t>
      </w:r>
      <w:r w:rsidRPr="0050421A">
        <w:rPr>
          <w:rFonts w:ascii="Arial" w:hAnsi="Arial" w:cs="Arial"/>
          <w:color w:val="555555"/>
          <w:sz w:val="24"/>
          <w:szCs w:val="24"/>
          <w:shd w:val="clear" w:color="auto" w:fill="FFFFFF"/>
          <w:vertAlign w:val="superscript"/>
        </w:rPr>
        <w:t>th</w:t>
      </w:r>
      <w:r w:rsidRPr="0050421A">
        <w:rPr>
          <w:rFonts w:ascii="Arial" w:hAnsi="Arial" w:cs="Arial"/>
          <w:color w:val="555555"/>
          <w:sz w:val="24"/>
          <w:szCs w:val="24"/>
          <w:shd w:val="clear" w:color="auto" w:fill="FFFFFF"/>
        </w:rPr>
        <w:t xml:space="preserve"> Nov 2022) </w:t>
      </w:r>
    </w:p>
    <w:p w14:paraId="0109D198" w14:textId="77777777" w:rsidR="00F923B4" w:rsidRDefault="00F923B4" w:rsidP="00137BB7">
      <w:pPr>
        <w:rPr>
          <w:rFonts w:ascii="Arial" w:hAnsi="Arial" w:cs="Arial"/>
          <w:i/>
          <w:iCs/>
          <w:sz w:val="24"/>
          <w:szCs w:val="24"/>
        </w:rPr>
      </w:pPr>
    </w:p>
    <w:p w14:paraId="229ECA07" w14:textId="34C4E820" w:rsidR="00FE3766" w:rsidRPr="0050421A" w:rsidRDefault="00FE3766" w:rsidP="00137BB7">
      <w:pPr>
        <w:rPr>
          <w:rFonts w:ascii="Arial" w:hAnsi="Arial" w:cs="Arial"/>
          <w:color w:val="1C2D3D"/>
          <w:sz w:val="24"/>
          <w:szCs w:val="24"/>
          <w:shd w:val="clear" w:color="auto" w:fill="FFFFFF"/>
        </w:rPr>
      </w:pPr>
      <w:r w:rsidRPr="0050421A">
        <w:rPr>
          <w:rFonts w:ascii="Arial" w:hAnsi="Arial" w:cs="Arial"/>
          <w:color w:val="1C2D3D"/>
          <w:sz w:val="24"/>
          <w:szCs w:val="24"/>
          <w:shd w:val="clear" w:color="auto" w:fill="FFFFFF"/>
        </w:rPr>
        <w:t xml:space="preserve">Crone, T. et al (2002) - </w:t>
      </w:r>
      <w:r w:rsidRPr="0050421A">
        <w:rPr>
          <w:rFonts w:ascii="Arial" w:hAnsi="Arial" w:cs="Arial"/>
          <w:i/>
          <w:iCs/>
          <w:color w:val="1C2D3D"/>
          <w:sz w:val="24"/>
          <w:szCs w:val="24"/>
          <w:shd w:val="clear" w:color="auto" w:fill="FFFFFF"/>
        </w:rPr>
        <w:t>Law and the Media – 4</w:t>
      </w:r>
      <w:r w:rsidRPr="0050421A">
        <w:rPr>
          <w:rFonts w:ascii="Arial" w:hAnsi="Arial" w:cs="Arial"/>
          <w:i/>
          <w:iCs/>
          <w:color w:val="1C2D3D"/>
          <w:sz w:val="24"/>
          <w:szCs w:val="24"/>
          <w:shd w:val="clear" w:color="auto" w:fill="FFFFFF"/>
          <w:vertAlign w:val="superscript"/>
        </w:rPr>
        <w:t>th</w:t>
      </w:r>
      <w:r w:rsidRPr="0050421A">
        <w:rPr>
          <w:rFonts w:ascii="Arial" w:hAnsi="Arial" w:cs="Arial"/>
          <w:i/>
          <w:iCs/>
          <w:color w:val="1C2D3D"/>
          <w:sz w:val="24"/>
          <w:szCs w:val="24"/>
          <w:shd w:val="clear" w:color="auto" w:fill="FFFFFF"/>
        </w:rPr>
        <w:t xml:space="preserve"> Ed – </w:t>
      </w:r>
      <w:r w:rsidRPr="0050421A">
        <w:rPr>
          <w:rFonts w:ascii="Arial" w:hAnsi="Arial" w:cs="Arial"/>
          <w:color w:val="1C2D3D"/>
          <w:sz w:val="24"/>
          <w:szCs w:val="24"/>
          <w:shd w:val="clear" w:color="auto" w:fill="FFFFFF"/>
        </w:rPr>
        <w:t>Oxford: Focal Press</w:t>
      </w:r>
    </w:p>
    <w:p w14:paraId="40B920D2" w14:textId="77777777" w:rsidR="00FE3766" w:rsidRPr="0050421A" w:rsidRDefault="00FE3766" w:rsidP="00137BB7">
      <w:pPr>
        <w:rPr>
          <w:rFonts w:ascii="Arial" w:hAnsi="Arial" w:cs="Arial"/>
          <w:sz w:val="24"/>
          <w:szCs w:val="24"/>
        </w:rPr>
      </w:pPr>
      <w:r w:rsidRPr="0050421A">
        <w:rPr>
          <w:rFonts w:ascii="Arial" w:hAnsi="Arial" w:cs="Arial"/>
          <w:sz w:val="24"/>
          <w:szCs w:val="24"/>
        </w:rPr>
        <w:t xml:space="preserve">Deakin, S. and Johnston, A. and </w:t>
      </w:r>
      <w:proofErr w:type="spellStart"/>
      <w:r w:rsidRPr="0050421A">
        <w:rPr>
          <w:rFonts w:ascii="Arial" w:hAnsi="Arial" w:cs="Arial"/>
          <w:sz w:val="24"/>
          <w:szCs w:val="24"/>
        </w:rPr>
        <w:t>Markesinis</w:t>
      </w:r>
      <w:proofErr w:type="spellEnd"/>
      <w:r w:rsidRPr="0050421A">
        <w:rPr>
          <w:rFonts w:ascii="Arial" w:hAnsi="Arial" w:cs="Arial"/>
          <w:sz w:val="24"/>
          <w:szCs w:val="24"/>
        </w:rPr>
        <w:t xml:space="preserve">, B. (2003) - </w:t>
      </w:r>
      <w:proofErr w:type="spellStart"/>
      <w:r w:rsidRPr="0050421A">
        <w:rPr>
          <w:rFonts w:ascii="Arial" w:hAnsi="Arial" w:cs="Arial"/>
          <w:i/>
          <w:iCs/>
          <w:sz w:val="24"/>
          <w:szCs w:val="24"/>
        </w:rPr>
        <w:t>Markesinis</w:t>
      </w:r>
      <w:proofErr w:type="spellEnd"/>
      <w:r w:rsidRPr="0050421A">
        <w:rPr>
          <w:rFonts w:ascii="Arial" w:hAnsi="Arial" w:cs="Arial"/>
          <w:i/>
          <w:iCs/>
          <w:sz w:val="24"/>
          <w:szCs w:val="24"/>
        </w:rPr>
        <w:t xml:space="preserve"> and Deakin’s Tort Law</w:t>
      </w:r>
      <w:r w:rsidRPr="0050421A">
        <w:rPr>
          <w:rFonts w:ascii="Arial" w:hAnsi="Arial" w:cs="Arial"/>
          <w:sz w:val="24"/>
          <w:szCs w:val="24"/>
        </w:rPr>
        <w:t xml:space="preserve"> - 5</w:t>
      </w:r>
      <w:r w:rsidRPr="0050421A">
        <w:rPr>
          <w:rFonts w:ascii="Arial" w:hAnsi="Arial" w:cs="Arial"/>
          <w:sz w:val="24"/>
          <w:szCs w:val="24"/>
          <w:vertAlign w:val="superscript"/>
        </w:rPr>
        <w:t>th</w:t>
      </w:r>
      <w:r w:rsidRPr="0050421A">
        <w:rPr>
          <w:rFonts w:ascii="Arial" w:hAnsi="Arial" w:cs="Arial"/>
          <w:sz w:val="24"/>
          <w:szCs w:val="24"/>
        </w:rPr>
        <w:t xml:space="preserve"> Ed - Oxford University Press </w:t>
      </w:r>
    </w:p>
    <w:p w14:paraId="192CED8F" w14:textId="77777777" w:rsidR="00FE3766" w:rsidRPr="0050421A" w:rsidRDefault="00FE3766" w:rsidP="00137BB7">
      <w:pPr>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Human Rights Act 1998 (HRA) – available at: </w:t>
      </w:r>
      <w:hyperlink r:id="rId6" w:history="1">
        <w:r w:rsidRPr="0050421A">
          <w:rPr>
            <w:rStyle w:val="Hyperlink"/>
            <w:rFonts w:ascii="Arial" w:hAnsi="Arial" w:cs="Arial"/>
            <w:sz w:val="24"/>
            <w:szCs w:val="24"/>
            <w:shd w:val="clear" w:color="auto" w:fill="FFFFFF"/>
          </w:rPr>
          <w:t>https://www.legislation.gov.uk/ukpga/1998/42/contents</w:t>
        </w:r>
      </w:hyperlink>
    </w:p>
    <w:p w14:paraId="6BA2558C" w14:textId="77777777" w:rsidR="00FE3766" w:rsidRPr="0050421A" w:rsidRDefault="00FE3766" w:rsidP="00137BB7">
      <w:pPr>
        <w:rPr>
          <w:rFonts w:ascii="Arial" w:hAnsi="Arial" w:cs="Arial"/>
          <w:color w:val="1C2D3D"/>
          <w:sz w:val="24"/>
          <w:szCs w:val="24"/>
          <w:shd w:val="clear" w:color="auto" w:fill="FFFFFF"/>
        </w:rPr>
      </w:pPr>
      <w:r w:rsidRPr="0050421A">
        <w:rPr>
          <w:rFonts w:ascii="Arial" w:hAnsi="Arial" w:cs="Arial"/>
          <w:color w:val="1C2D3D"/>
          <w:sz w:val="24"/>
          <w:szCs w:val="24"/>
          <w:shd w:val="clear" w:color="auto" w:fill="FFFFFF"/>
        </w:rPr>
        <w:t xml:space="preserve">Hutchinson, D. (1978) – ‘Negligent statements: why the reluctance to impose liability’ - </w:t>
      </w:r>
      <w:r w:rsidRPr="0050421A">
        <w:rPr>
          <w:rFonts w:ascii="Arial" w:hAnsi="Arial" w:cs="Arial"/>
          <w:i/>
          <w:iCs/>
          <w:color w:val="1C2D3D"/>
          <w:sz w:val="24"/>
          <w:szCs w:val="24"/>
          <w:shd w:val="clear" w:color="auto" w:fill="FFFFFF"/>
        </w:rPr>
        <w:t xml:space="preserve">South African Law Journal -  95(4) - </w:t>
      </w:r>
      <w:r w:rsidRPr="0050421A">
        <w:rPr>
          <w:rFonts w:ascii="Arial" w:hAnsi="Arial" w:cs="Arial"/>
          <w:color w:val="1C2D3D"/>
          <w:sz w:val="24"/>
          <w:szCs w:val="24"/>
          <w:shd w:val="clear" w:color="auto" w:fill="FFFFFF"/>
        </w:rPr>
        <w:t>pp.515-533 – accessed on 5</w:t>
      </w:r>
      <w:r w:rsidRPr="0050421A">
        <w:rPr>
          <w:rFonts w:ascii="Arial" w:hAnsi="Arial" w:cs="Arial"/>
          <w:color w:val="1C2D3D"/>
          <w:sz w:val="24"/>
          <w:szCs w:val="24"/>
          <w:shd w:val="clear" w:color="auto" w:fill="FFFFFF"/>
          <w:vertAlign w:val="superscript"/>
        </w:rPr>
        <w:t>th</w:t>
      </w:r>
      <w:r w:rsidRPr="0050421A">
        <w:rPr>
          <w:rFonts w:ascii="Arial" w:hAnsi="Arial" w:cs="Arial"/>
          <w:color w:val="1C2D3D"/>
          <w:sz w:val="24"/>
          <w:szCs w:val="24"/>
          <w:shd w:val="clear" w:color="auto" w:fill="FFFFFF"/>
        </w:rPr>
        <w:t xml:space="preserve"> Nov 2022– </w:t>
      </w:r>
      <w:bookmarkStart w:id="0" w:name="_Hlk118993902"/>
      <w:r w:rsidRPr="0050421A">
        <w:rPr>
          <w:rFonts w:ascii="Arial" w:hAnsi="Arial" w:cs="Arial"/>
          <w:color w:val="1C2D3D"/>
          <w:sz w:val="24"/>
          <w:szCs w:val="24"/>
          <w:shd w:val="clear" w:color="auto" w:fill="FFFFFF"/>
        </w:rPr>
        <w:t xml:space="preserve">available at: </w:t>
      </w:r>
      <w:hyperlink r:id="rId7" w:history="1">
        <w:r w:rsidRPr="0050421A">
          <w:rPr>
            <w:rStyle w:val="Hyperlink"/>
            <w:rFonts w:ascii="Arial" w:hAnsi="Arial" w:cs="Arial"/>
            <w:sz w:val="24"/>
            <w:szCs w:val="24"/>
            <w:shd w:val="clear" w:color="auto" w:fill="FFFFFF"/>
          </w:rPr>
          <w:t>https://home.heinonline.org/content/law-journal-library/</w:t>
        </w:r>
      </w:hyperlink>
    </w:p>
    <w:bookmarkEnd w:id="0"/>
    <w:p w14:paraId="4DB8CA74" w14:textId="77777777" w:rsidR="00FE3766" w:rsidRPr="0050421A" w:rsidRDefault="00FE3766" w:rsidP="00137BB7">
      <w:pPr>
        <w:rPr>
          <w:rStyle w:val="Hyperlink"/>
          <w:rFonts w:ascii="Arial" w:hAnsi="Arial" w:cs="Arial"/>
          <w:spacing w:val="-5"/>
          <w:sz w:val="24"/>
          <w:szCs w:val="24"/>
        </w:rPr>
      </w:pPr>
      <w:r w:rsidRPr="0050421A">
        <w:rPr>
          <w:rFonts w:ascii="Arial" w:hAnsi="Arial" w:cs="Arial"/>
          <w:color w:val="000000"/>
          <w:spacing w:val="-5"/>
          <w:sz w:val="24"/>
          <w:szCs w:val="24"/>
        </w:rPr>
        <w:t xml:space="preserve">Hartshorne, J., Smith, N., &amp; Everton, R. (2000). ‘Caparo under Fire: A Study into the Effects upon the Fire Service of Liability in Negligence’ - </w:t>
      </w:r>
      <w:r w:rsidRPr="0050421A">
        <w:rPr>
          <w:rFonts w:ascii="Arial" w:hAnsi="Arial" w:cs="Arial"/>
          <w:i/>
          <w:iCs/>
          <w:color w:val="000000"/>
          <w:spacing w:val="-5"/>
          <w:sz w:val="24"/>
          <w:szCs w:val="24"/>
        </w:rPr>
        <w:t>The Modern Law Review</w:t>
      </w:r>
      <w:r w:rsidRPr="0050421A">
        <w:rPr>
          <w:rFonts w:ascii="Arial" w:hAnsi="Arial" w:cs="Arial"/>
          <w:color w:val="000000"/>
          <w:spacing w:val="-5"/>
          <w:sz w:val="24"/>
          <w:szCs w:val="24"/>
        </w:rPr>
        <w:t xml:space="preserve"> - </w:t>
      </w:r>
      <w:r w:rsidRPr="0050421A">
        <w:rPr>
          <w:rFonts w:ascii="Arial" w:hAnsi="Arial" w:cs="Arial"/>
          <w:i/>
          <w:iCs/>
          <w:color w:val="000000"/>
          <w:spacing w:val="-5"/>
          <w:sz w:val="24"/>
          <w:szCs w:val="24"/>
        </w:rPr>
        <w:t>63</w:t>
      </w:r>
      <w:r w:rsidRPr="0050421A">
        <w:rPr>
          <w:rFonts w:ascii="Arial" w:hAnsi="Arial" w:cs="Arial"/>
          <w:color w:val="000000"/>
          <w:spacing w:val="-5"/>
          <w:sz w:val="24"/>
          <w:szCs w:val="24"/>
        </w:rPr>
        <w:t>(4) – pp.502–522 – accessed on 21</w:t>
      </w:r>
      <w:r w:rsidRPr="0050421A">
        <w:rPr>
          <w:rFonts w:ascii="Arial" w:hAnsi="Arial" w:cs="Arial"/>
          <w:color w:val="000000"/>
          <w:spacing w:val="-5"/>
          <w:sz w:val="24"/>
          <w:szCs w:val="24"/>
          <w:vertAlign w:val="superscript"/>
        </w:rPr>
        <w:t>st</w:t>
      </w:r>
      <w:r w:rsidRPr="0050421A">
        <w:rPr>
          <w:rFonts w:ascii="Arial" w:hAnsi="Arial" w:cs="Arial"/>
          <w:color w:val="000000"/>
          <w:spacing w:val="-5"/>
          <w:sz w:val="24"/>
          <w:szCs w:val="24"/>
        </w:rPr>
        <w:t xml:space="preserve"> Oct 2022 – available at: </w:t>
      </w:r>
      <w:hyperlink r:id="rId8" w:history="1">
        <w:r w:rsidRPr="0050421A">
          <w:rPr>
            <w:rStyle w:val="Hyperlink"/>
            <w:rFonts w:ascii="Arial" w:hAnsi="Arial" w:cs="Arial"/>
            <w:spacing w:val="-5"/>
            <w:sz w:val="24"/>
            <w:szCs w:val="24"/>
          </w:rPr>
          <w:t>http://www.jstor.org/stable/1097431</w:t>
        </w:r>
      </w:hyperlink>
    </w:p>
    <w:p w14:paraId="1BBDF122" w14:textId="68DADFBD" w:rsidR="00FE3766" w:rsidRPr="00CE767F" w:rsidRDefault="00FE3766" w:rsidP="00137BB7">
      <w:pPr>
        <w:rPr>
          <w:rStyle w:val="Hyperlink"/>
          <w:rFonts w:ascii="Arial" w:hAnsi="Arial" w:cs="Arial"/>
          <w:sz w:val="24"/>
          <w:szCs w:val="24"/>
          <w:shd w:val="clear" w:color="auto" w:fill="FFFFFF"/>
        </w:rPr>
      </w:pPr>
      <w:r w:rsidRPr="0050421A">
        <w:rPr>
          <w:rFonts w:ascii="Arial" w:hAnsi="Arial" w:cs="Arial"/>
          <w:color w:val="555555"/>
          <w:sz w:val="24"/>
          <w:szCs w:val="24"/>
          <w:shd w:val="clear" w:color="auto" w:fill="FFFFFF"/>
        </w:rPr>
        <w:t xml:space="preserve">Law Reform (Contributory Negligence) Act 1945 – available at </w:t>
      </w:r>
      <w:hyperlink r:id="rId9" w:history="1">
        <w:r w:rsidRPr="0050421A">
          <w:rPr>
            <w:rStyle w:val="Hyperlink"/>
            <w:rFonts w:ascii="Arial" w:hAnsi="Arial" w:cs="Arial"/>
            <w:sz w:val="24"/>
            <w:szCs w:val="24"/>
            <w:shd w:val="clear" w:color="auto" w:fill="FFFFFF"/>
          </w:rPr>
          <w:t>https://www.legislation.gov.uk/ukpga/Geo6/8-9/28/contents</w:t>
        </w:r>
      </w:hyperlink>
    </w:p>
    <w:p w14:paraId="60D86843" w14:textId="77777777" w:rsidR="00FE3766" w:rsidRPr="0050421A" w:rsidRDefault="00FE3766" w:rsidP="00137BB7">
      <w:pPr>
        <w:rPr>
          <w:rFonts w:ascii="Arial" w:hAnsi="Arial" w:cs="Arial"/>
          <w:color w:val="1C2D3D"/>
          <w:sz w:val="24"/>
          <w:szCs w:val="24"/>
          <w:shd w:val="clear" w:color="auto" w:fill="FFFFFF"/>
        </w:rPr>
      </w:pPr>
      <w:r w:rsidRPr="0050421A">
        <w:rPr>
          <w:rFonts w:ascii="Arial" w:hAnsi="Arial" w:cs="Arial"/>
          <w:color w:val="1C2D3D"/>
          <w:sz w:val="24"/>
          <w:szCs w:val="24"/>
          <w:shd w:val="clear" w:color="auto" w:fill="FFFFFF"/>
        </w:rPr>
        <w:t>Malik, M. (1997) – ‘Negligence actions against the police: in the public interest?’ -</w:t>
      </w:r>
      <w:r w:rsidRPr="0050421A">
        <w:rPr>
          <w:rFonts w:ascii="Arial" w:hAnsi="Arial" w:cs="Arial"/>
          <w:i/>
          <w:iCs/>
          <w:color w:val="1C2D3D"/>
          <w:sz w:val="24"/>
          <w:szCs w:val="24"/>
          <w:shd w:val="clear" w:color="auto" w:fill="FFFFFF"/>
        </w:rPr>
        <w:t>King's College Law Journal – 7 – pp.</w:t>
      </w:r>
      <w:r w:rsidRPr="0050421A">
        <w:rPr>
          <w:rFonts w:ascii="Arial" w:hAnsi="Arial" w:cs="Arial"/>
          <w:color w:val="1C2D3D"/>
          <w:sz w:val="24"/>
          <w:szCs w:val="24"/>
          <w:shd w:val="clear" w:color="auto" w:fill="FFFFFF"/>
        </w:rPr>
        <w:t>104-107 – accessed on 10</w:t>
      </w:r>
      <w:r w:rsidRPr="0050421A">
        <w:rPr>
          <w:rFonts w:ascii="Arial" w:hAnsi="Arial" w:cs="Arial"/>
          <w:color w:val="1C2D3D"/>
          <w:sz w:val="24"/>
          <w:szCs w:val="24"/>
          <w:shd w:val="clear" w:color="auto" w:fill="FFFFFF"/>
          <w:vertAlign w:val="superscript"/>
        </w:rPr>
        <w:t>th</w:t>
      </w:r>
      <w:r w:rsidRPr="0050421A">
        <w:rPr>
          <w:rFonts w:ascii="Arial" w:hAnsi="Arial" w:cs="Arial"/>
          <w:color w:val="1C2D3D"/>
          <w:sz w:val="24"/>
          <w:szCs w:val="24"/>
          <w:shd w:val="clear" w:color="auto" w:fill="FFFFFF"/>
        </w:rPr>
        <w:t xml:space="preserve"> Nov 2022 – available at: </w:t>
      </w:r>
      <w:hyperlink r:id="rId10" w:history="1">
        <w:r w:rsidRPr="0050421A">
          <w:rPr>
            <w:rStyle w:val="Hyperlink"/>
            <w:rFonts w:ascii="Arial" w:hAnsi="Arial" w:cs="Arial"/>
            <w:sz w:val="24"/>
            <w:szCs w:val="24"/>
            <w:shd w:val="clear" w:color="auto" w:fill="FFFFFF"/>
          </w:rPr>
          <w:t>https://home.heinonline.org/content/law-journal-library/</w:t>
        </w:r>
      </w:hyperlink>
    </w:p>
    <w:p w14:paraId="6924B40B" w14:textId="77777777" w:rsidR="00FE3766" w:rsidRPr="0050421A" w:rsidRDefault="00FE3766" w:rsidP="00137BB7">
      <w:pPr>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Morgan, P. (2018) – ‘Parallel lines that never meet: Tort and the ECHR again’ – </w:t>
      </w:r>
      <w:r w:rsidRPr="0050421A">
        <w:rPr>
          <w:rFonts w:ascii="Arial" w:hAnsi="Arial" w:cs="Arial"/>
          <w:i/>
          <w:iCs/>
          <w:color w:val="555555"/>
          <w:sz w:val="24"/>
          <w:szCs w:val="24"/>
          <w:shd w:val="clear" w:color="auto" w:fill="FFFFFF"/>
        </w:rPr>
        <w:t xml:space="preserve">Cambridge law journal </w:t>
      </w:r>
      <w:r w:rsidRPr="0050421A">
        <w:rPr>
          <w:rFonts w:ascii="Arial" w:hAnsi="Arial" w:cs="Arial"/>
          <w:color w:val="555555"/>
          <w:sz w:val="24"/>
          <w:szCs w:val="24"/>
          <w:shd w:val="clear" w:color="auto" w:fill="FFFFFF"/>
        </w:rPr>
        <w:t>– 77(2) – pp.244-248 – accessed on 21</w:t>
      </w:r>
      <w:r w:rsidRPr="0050421A">
        <w:rPr>
          <w:rFonts w:ascii="Arial" w:hAnsi="Arial" w:cs="Arial"/>
          <w:color w:val="555555"/>
          <w:sz w:val="24"/>
          <w:szCs w:val="24"/>
          <w:shd w:val="clear" w:color="auto" w:fill="FFFFFF"/>
          <w:vertAlign w:val="superscript"/>
        </w:rPr>
        <w:t>st</w:t>
      </w:r>
      <w:r w:rsidRPr="0050421A">
        <w:rPr>
          <w:rFonts w:ascii="Arial" w:hAnsi="Arial" w:cs="Arial"/>
          <w:color w:val="555555"/>
          <w:sz w:val="24"/>
          <w:szCs w:val="24"/>
          <w:shd w:val="clear" w:color="auto" w:fill="FFFFFF"/>
        </w:rPr>
        <w:t xml:space="preserve"> Oct 2022 – available at: </w:t>
      </w:r>
      <w:hyperlink r:id="rId11" w:history="1">
        <w:r w:rsidRPr="0050421A">
          <w:rPr>
            <w:rStyle w:val="Hyperlink"/>
            <w:rFonts w:ascii="Arial" w:hAnsi="Arial" w:cs="Arial"/>
            <w:sz w:val="24"/>
            <w:szCs w:val="24"/>
            <w:shd w:val="clear" w:color="auto" w:fill="FFFFFF"/>
          </w:rPr>
          <w:t>https://uk.practicallaw.thomsonreuters.com/Document/ID4F993F05EC411DDAB7DC9767090C799/View/FullText.html?originationContext=document&amp;transitionType=DocumentItem&amp;ppcid=6ede6a633ff94a2697e92759611147ff&amp;contextData=(sc.DocLink)&amp;comp=wluk</w:t>
        </w:r>
      </w:hyperlink>
    </w:p>
    <w:p w14:paraId="401C04CE" w14:textId="77777777" w:rsidR="00FE3766" w:rsidRPr="0050421A" w:rsidRDefault="00FE3766" w:rsidP="00137BB7">
      <w:pPr>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lastRenderedPageBreak/>
        <w:t xml:space="preserve">Rodrigues, E. (2014) - ‘What is our duty of care’ - </w:t>
      </w:r>
      <w:r w:rsidRPr="0050421A">
        <w:rPr>
          <w:rFonts w:ascii="Arial" w:hAnsi="Arial" w:cs="Arial"/>
          <w:i/>
          <w:iCs/>
          <w:color w:val="555555"/>
          <w:sz w:val="24"/>
          <w:szCs w:val="24"/>
          <w:shd w:val="clear" w:color="auto" w:fill="FFFFFF"/>
        </w:rPr>
        <w:t>The Journal of the Health Visitors Association</w:t>
      </w:r>
      <w:r w:rsidRPr="0050421A">
        <w:rPr>
          <w:rFonts w:ascii="Arial" w:hAnsi="Arial" w:cs="Arial"/>
          <w:color w:val="555555"/>
          <w:sz w:val="24"/>
          <w:szCs w:val="24"/>
          <w:shd w:val="clear" w:color="auto" w:fill="FFFFFF"/>
        </w:rPr>
        <w:t xml:space="preserve"> - </w:t>
      </w:r>
      <w:r w:rsidRPr="0050421A">
        <w:rPr>
          <w:rFonts w:ascii="Arial" w:hAnsi="Arial" w:cs="Arial"/>
          <w:b/>
          <w:bCs/>
          <w:color w:val="555555"/>
          <w:sz w:val="24"/>
          <w:szCs w:val="24"/>
          <w:shd w:val="clear" w:color="auto" w:fill="FFFFFF"/>
        </w:rPr>
        <w:t>87</w:t>
      </w:r>
      <w:r w:rsidRPr="0050421A">
        <w:rPr>
          <w:rFonts w:ascii="Arial" w:hAnsi="Arial" w:cs="Arial"/>
          <w:color w:val="555555"/>
          <w:sz w:val="24"/>
          <w:szCs w:val="24"/>
          <w:shd w:val="clear" w:color="auto" w:fill="FFFFFF"/>
        </w:rPr>
        <w:t>(3) - pp. 3 – accessed on 9</w:t>
      </w:r>
      <w:r w:rsidRPr="0050421A">
        <w:rPr>
          <w:rFonts w:ascii="Arial" w:hAnsi="Arial" w:cs="Arial"/>
          <w:color w:val="555555"/>
          <w:sz w:val="24"/>
          <w:szCs w:val="24"/>
          <w:shd w:val="clear" w:color="auto" w:fill="FFFFFF"/>
          <w:vertAlign w:val="superscript"/>
        </w:rPr>
        <w:t>th</w:t>
      </w:r>
      <w:r w:rsidRPr="0050421A">
        <w:rPr>
          <w:rFonts w:ascii="Arial" w:hAnsi="Arial" w:cs="Arial"/>
          <w:color w:val="555555"/>
          <w:sz w:val="24"/>
          <w:szCs w:val="24"/>
          <w:shd w:val="clear" w:color="auto" w:fill="FFFFFF"/>
        </w:rPr>
        <w:t xml:space="preserve"> Nov – available at: </w:t>
      </w:r>
      <w:hyperlink r:id="rId12" w:history="1">
        <w:r w:rsidRPr="0050421A">
          <w:rPr>
            <w:rStyle w:val="Hyperlink"/>
            <w:rFonts w:ascii="Arial" w:hAnsi="Arial" w:cs="Arial"/>
            <w:sz w:val="24"/>
            <w:szCs w:val="24"/>
            <w:shd w:val="clear" w:color="auto" w:fill="FFFFFF"/>
          </w:rPr>
          <w:t>https://www.proquest.com/docview/1510581391/C5D4536CDCA94BA3PQ/3?accountid=130472</w:t>
        </w:r>
      </w:hyperlink>
    </w:p>
    <w:p w14:paraId="0DF12184"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Steel, A. (2021) – </w:t>
      </w:r>
      <w:r w:rsidRPr="0050421A">
        <w:rPr>
          <w:rFonts w:ascii="Arial" w:hAnsi="Arial" w:cs="Arial"/>
          <w:i/>
          <w:iCs/>
          <w:color w:val="555555"/>
          <w:sz w:val="24"/>
          <w:szCs w:val="24"/>
          <w:shd w:val="clear" w:color="auto" w:fill="FFFFFF"/>
        </w:rPr>
        <w:t>Emergency service news</w:t>
      </w:r>
      <w:r w:rsidRPr="0050421A">
        <w:rPr>
          <w:rFonts w:ascii="Arial" w:hAnsi="Arial" w:cs="Arial"/>
          <w:color w:val="555555"/>
          <w:sz w:val="24"/>
          <w:szCs w:val="24"/>
          <w:shd w:val="clear" w:color="auto" w:fill="FFFFFF"/>
        </w:rPr>
        <w:t xml:space="preserve"> – available at: </w:t>
      </w:r>
      <w:hyperlink r:id="rId13" w:history="1">
        <w:r w:rsidRPr="0050421A">
          <w:rPr>
            <w:rStyle w:val="Hyperlink"/>
            <w:rFonts w:ascii="Arial" w:hAnsi="Arial" w:cs="Arial"/>
            <w:sz w:val="24"/>
            <w:szCs w:val="24"/>
            <w:shd w:val="clear" w:color="auto" w:fill="FFFFFF"/>
          </w:rPr>
          <w:t>https://emergency-services.news/a-duty-of-care-what-obligations-are-imposed-on-emergency-services-by-the-court-system-in-the-uk/</w:t>
        </w:r>
      </w:hyperlink>
    </w:p>
    <w:p w14:paraId="769F6DC9"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(Accessed: 2</w:t>
      </w:r>
      <w:r w:rsidRPr="0050421A">
        <w:rPr>
          <w:rFonts w:ascii="Arial" w:hAnsi="Arial" w:cs="Arial"/>
          <w:color w:val="555555"/>
          <w:sz w:val="24"/>
          <w:szCs w:val="24"/>
          <w:shd w:val="clear" w:color="auto" w:fill="FFFFFF"/>
          <w:vertAlign w:val="superscript"/>
        </w:rPr>
        <w:t>nd</w:t>
      </w:r>
      <w:r w:rsidRPr="0050421A">
        <w:rPr>
          <w:rFonts w:ascii="Arial" w:hAnsi="Arial" w:cs="Arial"/>
          <w:color w:val="555555"/>
          <w:sz w:val="24"/>
          <w:szCs w:val="24"/>
          <w:shd w:val="clear" w:color="auto" w:fill="FFFFFF"/>
        </w:rPr>
        <w:t xml:space="preserve"> Oct 2022)</w:t>
      </w:r>
    </w:p>
    <w:p w14:paraId="5D43B7FF"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 </w:t>
      </w:r>
    </w:p>
    <w:p w14:paraId="09F694C5" w14:textId="77777777" w:rsidR="00FE3766" w:rsidRPr="0050421A" w:rsidRDefault="00FE3766" w:rsidP="00137BB7">
      <w:pPr>
        <w:rPr>
          <w:rFonts w:ascii="Arial" w:hAnsi="Arial" w:cs="Arial"/>
          <w:color w:val="1C2D3D"/>
          <w:sz w:val="24"/>
          <w:szCs w:val="24"/>
          <w:shd w:val="clear" w:color="auto" w:fill="FFFFFF"/>
        </w:rPr>
      </w:pPr>
      <w:r w:rsidRPr="0050421A">
        <w:rPr>
          <w:rFonts w:ascii="Arial" w:hAnsi="Arial" w:cs="Arial"/>
          <w:color w:val="1C2D3D"/>
          <w:sz w:val="24"/>
          <w:szCs w:val="24"/>
          <w:shd w:val="clear" w:color="auto" w:fill="FFFFFF"/>
        </w:rPr>
        <w:t xml:space="preserve">Steele, I. (2008) - “Negligence liability for falling to prevent crime – the Human Rights dimension’ - </w:t>
      </w:r>
      <w:r w:rsidRPr="0050421A">
        <w:rPr>
          <w:rFonts w:ascii="Arial" w:hAnsi="Arial" w:cs="Arial"/>
          <w:i/>
          <w:iCs/>
          <w:color w:val="1C2D3D"/>
          <w:sz w:val="24"/>
          <w:szCs w:val="24"/>
          <w:shd w:val="clear" w:color="auto" w:fill="FFFFFF"/>
        </w:rPr>
        <w:t>The Cambridge Law Journal</w:t>
      </w:r>
      <w:r w:rsidRPr="0050421A">
        <w:rPr>
          <w:rFonts w:ascii="Arial" w:hAnsi="Arial" w:cs="Arial"/>
          <w:color w:val="1C2D3D"/>
          <w:sz w:val="24"/>
          <w:szCs w:val="24"/>
          <w:shd w:val="clear" w:color="auto" w:fill="FFFFFF"/>
        </w:rPr>
        <w:t xml:space="preserve"> - 67(2), pp. 239–241 – accessed 10</w:t>
      </w:r>
      <w:r w:rsidRPr="0050421A">
        <w:rPr>
          <w:rFonts w:ascii="Arial" w:hAnsi="Arial" w:cs="Arial"/>
          <w:color w:val="1C2D3D"/>
          <w:sz w:val="24"/>
          <w:szCs w:val="24"/>
          <w:shd w:val="clear" w:color="auto" w:fill="FFFFFF"/>
          <w:vertAlign w:val="superscript"/>
        </w:rPr>
        <w:t>th</w:t>
      </w:r>
      <w:r w:rsidRPr="0050421A">
        <w:rPr>
          <w:rFonts w:ascii="Arial" w:hAnsi="Arial" w:cs="Arial"/>
          <w:color w:val="1C2D3D"/>
          <w:sz w:val="24"/>
          <w:szCs w:val="24"/>
          <w:shd w:val="clear" w:color="auto" w:fill="FFFFFF"/>
        </w:rPr>
        <w:t xml:space="preserve"> Nov 2022 - Doi: 10.1017/S0008197308000536.</w:t>
      </w:r>
    </w:p>
    <w:p w14:paraId="53B608F4" w14:textId="77777777" w:rsidR="00FE3766" w:rsidRPr="0050421A" w:rsidRDefault="00FE3766" w:rsidP="00137BB7">
      <w:pPr>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Weir, T. (2006a) - </w:t>
      </w:r>
      <w:r w:rsidRPr="0050421A">
        <w:rPr>
          <w:rFonts w:ascii="Arial" w:hAnsi="Arial" w:cs="Arial"/>
          <w:i/>
          <w:iCs/>
          <w:color w:val="555555"/>
          <w:sz w:val="24"/>
          <w:szCs w:val="24"/>
          <w:shd w:val="clear" w:color="auto" w:fill="FFFFFF"/>
        </w:rPr>
        <w:t>An Introduction to Tort Law</w:t>
      </w:r>
      <w:r w:rsidRPr="0050421A">
        <w:rPr>
          <w:rFonts w:ascii="Arial" w:hAnsi="Arial" w:cs="Arial"/>
          <w:color w:val="555555"/>
          <w:sz w:val="24"/>
          <w:szCs w:val="24"/>
          <w:shd w:val="clear" w:color="auto" w:fill="FFFFFF"/>
        </w:rPr>
        <w:t xml:space="preserve"> - 2</w:t>
      </w:r>
      <w:r w:rsidRPr="0050421A">
        <w:rPr>
          <w:rFonts w:ascii="Arial" w:hAnsi="Arial" w:cs="Arial"/>
          <w:color w:val="555555"/>
          <w:sz w:val="24"/>
          <w:szCs w:val="24"/>
          <w:shd w:val="clear" w:color="auto" w:fill="FFFFFF"/>
          <w:vertAlign w:val="superscript"/>
        </w:rPr>
        <w:t>nd</w:t>
      </w:r>
      <w:r w:rsidRPr="0050421A">
        <w:rPr>
          <w:rFonts w:ascii="Arial" w:hAnsi="Arial" w:cs="Arial"/>
          <w:color w:val="555555"/>
          <w:sz w:val="24"/>
          <w:szCs w:val="24"/>
          <w:shd w:val="clear" w:color="auto" w:fill="FFFFFF"/>
        </w:rPr>
        <w:t xml:space="preserve"> Ed - Oxford: Oxford University Press</w:t>
      </w:r>
    </w:p>
    <w:p w14:paraId="09826C1C" w14:textId="77777777" w:rsidR="00FE3766" w:rsidRPr="0050421A" w:rsidRDefault="00FE3766" w:rsidP="00137BB7">
      <w:pPr>
        <w:spacing w:after="0" w:line="240" w:lineRule="auto"/>
        <w:rPr>
          <w:rFonts w:ascii="Arial" w:hAnsi="Arial" w:cs="Arial"/>
          <w:color w:val="555555"/>
          <w:sz w:val="24"/>
          <w:szCs w:val="24"/>
          <w:shd w:val="clear" w:color="auto" w:fill="FFFFFF"/>
        </w:rPr>
      </w:pPr>
      <w:r w:rsidRPr="0050421A">
        <w:rPr>
          <w:rFonts w:ascii="Arial" w:hAnsi="Arial" w:cs="Arial"/>
          <w:color w:val="555555"/>
          <w:sz w:val="24"/>
          <w:szCs w:val="24"/>
          <w:shd w:val="clear" w:color="auto" w:fill="FFFFFF"/>
        </w:rPr>
        <w:t xml:space="preserve">Weir, T. (2006b) - </w:t>
      </w:r>
      <w:r w:rsidRPr="0050421A">
        <w:rPr>
          <w:rFonts w:ascii="Arial" w:hAnsi="Arial" w:cs="Arial"/>
          <w:i/>
          <w:iCs/>
          <w:color w:val="555555"/>
          <w:sz w:val="24"/>
          <w:szCs w:val="24"/>
          <w:shd w:val="clear" w:color="auto" w:fill="FFFFFF"/>
        </w:rPr>
        <w:t>An Introduction to Tort Law</w:t>
      </w:r>
      <w:r w:rsidRPr="0050421A">
        <w:rPr>
          <w:rFonts w:ascii="Arial" w:hAnsi="Arial" w:cs="Arial"/>
          <w:color w:val="555555"/>
          <w:sz w:val="24"/>
          <w:szCs w:val="24"/>
          <w:shd w:val="clear" w:color="auto" w:fill="FFFFFF"/>
        </w:rPr>
        <w:t xml:space="preserve"> - 2</w:t>
      </w:r>
      <w:r w:rsidRPr="0050421A">
        <w:rPr>
          <w:rFonts w:ascii="Arial" w:hAnsi="Arial" w:cs="Arial"/>
          <w:color w:val="555555"/>
          <w:sz w:val="24"/>
          <w:szCs w:val="24"/>
          <w:shd w:val="clear" w:color="auto" w:fill="FFFFFF"/>
          <w:vertAlign w:val="superscript"/>
        </w:rPr>
        <w:t>nd</w:t>
      </w:r>
      <w:r w:rsidRPr="0050421A">
        <w:rPr>
          <w:rFonts w:ascii="Arial" w:hAnsi="Arial" w:cs="Arial"/>
          <w:color w:val="555555"/>
          <w:sz w:val="24"/>
          <w:szCs w:val="24"/>
          <w:shd w:val="clear" w:color="auto" w:fill="FFFFFF"/>
        </w:rPr>
        <w:t xml:space="preserve"> Ed - Oxford: Oxford University Press</w:t>
      </w:r>
    </w:p>
    <w:p w14:paraId="46E2950E" w14:textId="630F5AD7" w:rsidR="00FE3766" w:rsidRDefault="00FE3766" w:rsidP="00137BB7">
      <w:pPr>
        <w:spacing w:after="0" w:line="240" w:lineRule="auto"/>
        <w:rPr>
          <w:rFonts w:ascii="Arial" w:hAnsi="Arial" w:cs="Arial"/>
          <w:color w:val="1C2D3D"/>
          <w:sz w:val="24"/>
          <w:szCs w:val="24"/>
          <w:shd w:val="clear" w:color="auto" w:fill="FFFFFF"/>
        </w:rPr>
      </w:pPr>
      <w:r w:rsidRPr="0050421A">
        <w:rPr>
          <w:rFonts w:ascii="Arial" w:hAnsi="Arial" w:cs="Arial"/>
          <w:color w:val="555555"/>
          <w:sz w:val="24"/>
          <w:szCs w:val="24"/>
          <w:shd w:val="clear" w:color="auto" w:fill="FFFFFF"/>
        </w:rPr>
        <w:t xml:space="preserve">Williams, K. (2007) – ‘Litigation Against English NHS ambulance services and the rule in Kent v Griffiths’ – </w:t>
      </w:r>
      <w:r w:rsidRPr="0050421A">
        <w:rPr>
          <w:rFonts w:ascii="Arial" w:hAnsi="Arial" w:cs="Arial"/>
          <w:i/>
          <w:iCs/>
          <w:color w:val="555555"/>
          <w:sz w:val="24"/>
          <w:szCs w:val="24"/>
          <w:shd w:val="clear" w:color="auto" w:fill="FFFFFF"/>
        </w:rPr>
        <w:t>Medical Law Review</w:t>
      </w:r>
      <w:r w:rsidRPr="0050421A">
        <w:rPr>
          <w:rFonts w:ascii="Arial" w:hAnsi="Arial" w:cs="Arial"/>
          <w:color w:val="555555"/>
          <w:sz w:val="24"/>
          <w:szCs w:val="24"/>
          <w:shd w:val="clear" w:color="auto" w:fill="FFFFFF"/>
        </w:rPr>
        <w:t xml:space="preserve"> – 15(2) – pp.153-175 – accessed on 21</w:t>
      </w:r>
      <w:r w:rsidRPr="0050421A">
        <w:rPr>
          <w:rFonts w:ascii="Arial" w:hAnsi="Arial" w:cs="Arial"/>
          <w:color w:val="555555"/>
          <w:sz w:val="24"/>
          <w:szCs w:val="24"/>
          <w:shd w:val="clear" w:color="auto" w:fill="FFFFFF"/>
          <w:vertAlign w:val="superscript"/>
        </w:rPr>
        <w:t>st</w:t>
      </w:r>
      <w:r w:rsidRPr="0050421A">
        <w:rPr>
          <w:rFonts w:ascii="Arial" w:hAnsi="Arial" w:cs="Arial"/>
          <w:color w:val="555555"/>
          <w:sz w:val="24"/>
          <w:szCs w:val="24"/>
          <w:shd w:val="clear" w:color="auto" w:fill="FFFFFF"/>
        </w:rPr>
        <w:t xml:space="preserve"> Oct 2022</w:t>
      </w:r>
      <w:r w:rsidR="00947656">
        <w:rPr>
          <w:rFonts w:ascii="Arial" w:hAnsi="Arial" w:cs="Arial"/>
          <w:color w:val="555555"/>
          <w:sz w:val="24"/>
          <w:szCs w:val="24"/>
          <w:shd w:val="clear" w:color="auto" w:fill="FFFFFF"/>
        </w:rPr>
        <w:t xml:space="preserve"> </w:t>
      </w:r>
      <w:r w:rsidRPr="0050421A">
        <w:rPr>
          <w:rFonts w:ascii="Arial" w:hAnsi="Arial" w:cs="Arial"/>
          <w:color w:val="555555"/>
          <w:sz w:val="24"/>
          <w:szCs w:val="24"/>
          <w:shd w:val="clear" w:color="auto" w:fill="FFFFFF"/>
        </w:rPr>
        <w:t xml:space="preserve">– available at: </w:t>
      </w:r>
      <w:hyperlink r:id="rId14" w:history="1">
        <w:r w:rsidRPr="0050421A">
          <w:rPr>
            <w:rStyle w:val="Hyperlink"/>
            <w:rFonts w:ascii="Arial" w:hAnsi="Arial" w:cs="Arial"/>
            <w:sz w:val="24"/>
            <w:szCs w:val="24"/>
            <w:shd w:val="clear" w:color="auto" w:fill="FFFFFF"/>
          </w:rPr>
          <w:t>https://academic.oup.com/medlaw/article/15/2/153/937210?login=true</w:t>
        </w:r>
      </w:hyperlink>
    </w:p>
    <w:p w14:paraId="423F15A3" w14:textId="092DDB2B" w:rsidR="00577711" w:rsidRDefault="00577711" w:rsidP="00137BB7">
      <w:pPr>
        <w:rPr>
          <w:rFonts w:ascii="Arial" w:hAnsi="Arial" w:cs="Arial"/>
          <w:color w:val="1C2D3D"/>
          <w:sz w:val="24"/>
          <w:szCs w:val="24"/>
          <w:shd w:val="clear" w:color="auto" w:fill="FFFFFF"/>
        </w:rPr>
      </w:pPr>
    </w:p>
    <w:p w14:paraId="7D7D156C" w14:textId="3B237FF8" w:rsidR="00FE3766" w:rsidRPr="0050421A" w:rsidRDefault="00FE3766" w:rsidP="00137BB7">
      <w:pPr>
        <w:pStyle w:val="mb-25"/>
        <w:rPr>
          <w:rFonts w:ascii="Arial" w:hAnsi="Arial" w:cs="Arial"/>
        </w:rPr>
      </w:pPr>
      <w:proofErr w:type="spellStart"/>
      <w:r w:rsidRPr="0050421A">
        <w:rPr>
          <w:rFonts w:ascii="Arial" w:hAnsi="Arial" w:cs="Arial"/>
        </w:rPr>
        <w:t>Alcock</w:t>
      </w:r>
      <w:proofErr w:type="spellEnd"/>
      <w:r w:rsidRPr="0050421A">
        <w:rPr>
          <w:rFonts w:ascii="Arial" w:hAnsi="Arial" w:cs="Arial"/>
        </w:rPr>
        <w:t xml:space="preserve"> v Chief Constable of South Yorkshire Police, 1991, 4 All ER 907</w:t>
      </w:r>
    </w:p>
    <w:p w14:paraId="42ABBA2F" w14:textId="77777777" w:rsidR="00FE3766" w:rsidRPr="0050421A" w:rsidRDefault="00FE3766" w:rsidP="00137BB7">
      <w:pPr>
        <w:rPr>
          <w:rFonts w:ascii="Arial" w:hAnsi="Arial" w:cs="Arial"/>
          <w:sz w:val="24"/>
          <w:szCs w:val="24"/>
          <w:lang w:val="de-DE"/>
        </w:rPr>
      </w:pPr>
      <w:proofErr w:type="spellStart"/>
      <w:r w:rsidRPr="0050421A">
        <w:rPr>
          <w:rFonts w:ascii="Arial" w:hAnsi="Arial" w:cs="Arial"/>
          <w:sz w:val="24"/>
          <w:szCs w:val="24"/>
          <w:lang w:val="de-DE"/>
        </w:rPr>
        <w:t>Alexandrou</w:t>
      </w:r>
      <w:proofErr w:type="spellEnd"/>
      <w:r w:rsidRPr="0050421A">
        <w:rPr>
          <w:rFonts w:ascii="Arial" w:hAnsi="Arial" w:cs="Arial"/>
          <w:sz w:val="24"/>
          <w:szCs w:val="24"/>
          <w:lang w:val="de-DE"/>
        </w:rPr>
        <w:t xml:space="preserve"> v Oxford [1993] 4 All ER 328</w:t>
      </w:r>
    </w:p>
    <w:p w14:paraId="511270EB" w14:textId="77777777" w:rsidR="00FE3766" w:rsidRPr="0050421A" w:rsidRDefault="00FE3766" w:rsidP="00137BB7">
      <w:pPr>
        <w:rPr>
          <w:rFonts w:ascii="Arial" w:hAnsi="Arial" w:cs="Arial"/>
          <w:sz w:val="24"/>
          <w:szCs w:val="24"/>
        </w:rPr>
      </w:pPr>
      <w:r w:rsidRPr="0050421A">
        <w:rPr>
          <w:rFonts w:ascii="Arial" w:hAnsi="Arial" w:cs="Arial"/>
          <w:sz w:val="24"/>
          <w:szCs w:val="24"/>
        </w:rPr>
        <w:t>An Informer v A Chief Constable [2012]</w:t>
      </w:r>
    </w:p>
    <w:p w14:paraId="4B82CB06" w14:textId="77777777" w:rsidR="00FE3766" w:rsidRPr="0050421A" w:rsidRDefault="00FE3766" w:rsidP="00137BB7">
      <w:pPr>
        <w:rPr>
          <w:rFonts w:ascii="Arial" w:hAnsi="Arial" w:cs="Arial"/>
          <w:sz w:val="24"/>
          <w:szCs w:val="24"/>
        </w:rPr>
      </w:pPr>
      <w:r w:rsidRPr="0050421A">
        <w:rPr>
          <w:rFonts w:ascii="Arial" w:hAnsi="Arial" w:cs="Arial"/>
          <w:sz w:val="24"/>
          <w:szCs w:val="24"/>
        </w:rPr>
        <w:t>Brooks v Metropolitan Police Commissioner [2005] 2 All ER 489,</w:t>
      </w:r>
    </w:p>
    <w:p w14:paraId="73B39558" w14:textId="77777777" w:rsidR="00FE3766" w:rsidRPr="0050421A" w:rsidRDefault="00FE3766" w:rsidP="00137BB7">
      <w:pPr>
        <w:pStyle w:val="mb-25"/>
        <w:rPr>
          <w:rFonts w:ascii="Arial" w:hAnsi="Arial" w:cs="Arial"/>
        </w:rPr>
      </w:pPr>
      <w:r w:rsidRPr="0050421A">
        <w:rPr>
          <w:rFonts w:ascii="Arial" w:hAnsi="Arial" w:cs="Arial"/>
        </w:rPr>
        <w:t>Caparo Industries v Dickman [1990] 2 AC 605</w:t>
      </w:r>
    </w:p>
    <w:p w14:paraId="4B754DF3" w14:textId="77777777" w:rsidR="00FE3766" w:rsidRPr="0050421A" w:rsidRDefault="00FE3766" w:rsidP="00137BB7">
      <w:pPr>
        <w:rPr>
          <w:rFonts w:ascii="Arial" w:hAnsi="Arial" w:cs="Arial"/>
          <w:sz w:val="24"/>
          <w:szCs w:val="24"/>
        </w:rPr>
      </w:pPr>
      <w:r w:rsidRPr="0050421A">
        <w:rPr>
          <w:rFonts w:ascii="Arial" w:hAnsi="Arial" w:cs="Arial"/>
          <w:sz w:val="24"/>
          <w:szCs w:val="24"/>
        </w:rPr>
        <w:t>Capital &amp; Counties Plc v Hampshire CC [10]</w:t>
      </w:r>
    </w:p>
    <w:p w14:paraId="6E3C3C37" w14:textId="77777777" w:rsidR="00FE3766" w:rsidRPr="0050421A" w:rsidRDefault="00FE3766" w:rsidP="00137BB7">
      <w:pPr>
        <w:rPr>
          <w:rFonts w:ascii="Arial" w:hAnsi="Arial" w:cs="Arial"/>
          <w:sz w:val="24"/>
          <w:szCs w:val="24"/>
        </w:rPr>
      </w:pPr>
      <w:r w:rsidRPr="0050421A">
        <w:rPr>
          <w:rFonts w:ascii="Arial" w:hAnsi="Arial" w:cs="Arial"/>
          <w:sz w:val="24"/>
          <w:szCs w:val="24"/>
        </w:rPr>
        <w:t>Church of Jesus Christ of Latter Day Saints v. Yorkshire Fire and Civil Defence Authority</w:t>
      </w:r>
    </w:p>
    <w:p w14:paraId="17DEFB20" w14:textId="77777777" w:rsidR="00FE3766" w:rsidRPr="0050421A" w:rsidRDefault="00FE3766" w:rsidP="00137BB7">
      <w:pPr>
        <w:rPr>
          <w:rFonts w:ascii="Arial" w:hAnsi="Arial" w:cs="Arial"/>
          <w:sz w:val="24"/>
          <w:szCs w:val="24"/>
          <w:lang w:val="fr-FR"/>
        </w:rPr>
      </w:pPr>
      <w:r w:rsidRPr="0050421A">
        <w:rPr>
          <w:rFonts w:ascii="Arial" w:hAnsi="Arial" w:cs="Arial"/>
          <w:sz w:val="24"/>
          <w:szCs w:val="24"/>
          <w:lang w:val="fr-FR"/>
        </w:rPr>
        <w:t xml:space="preserve">Clifford v Charles </w:t>
      </w:r>
      <w:proofErr w:type="spellStart"/>
      <w:r w:rsidRPr="0050421A">
        <w:rPr>
          <w:rFonts w:ascii="Arial" w:hAnsi="Arial" w:cs="Arial"/>
          <w:sz w:val="24"/>
          <w:szCs w:val="24"/>
          <w:lang w:val="fr-FR"/>
        </w:rPr>
        <w:t>Challen</w:t>
      </w:r>
      <w:proofErr w:type="spellEnd"/>
      <w:r w:rsidRPr="0050421A">
        <w:rPr>
          <w:rFonts w:ascii="Arial" w:hAnsi="Arial" w:cs="Arial"/>
          <w:sz w:val="24"/>
          <w:szCs w:val="24"/>
          <w:lang w:val="fr-FR"/>
        </w:rPr>
        <w:t xml:space="preserve"> &amp; Son (1951)</w:t>
      </w:r>
    </w:p>
    <w:p w14:paraId="6054B8E4" w14:textId="77777777" w:rsidR="00FE3766" w:rsidRPr="0050421A" w:rsidRDefault="00FE3766" w:rsidP="00137BB7">
      <w:pPr>
        <w:rPr>
          <w:rFonts w:ascii="Arial" w:hAnsi="Arial" w:cs="Arial"/>
          <w:sz w:val="24"/>
          <w:szCs w:val="24"/>
        </w:rPr>
      </w:pPr>
      <w:r w:rsidRPr="0050421A">
        <w:rPr>
          <w:rFonts w:ascii="Arial" w:hAnsi="Arial" w:cs="Arial"/>
          <w:sz w:val="24"/>
          <w:szCs w:val="24"/>
        </w:rPr>
        <w:t>Donoghue v Stevenson [1932] AC 562</w:t>
      </w:r>
    </w:p>
    <w:p w14:paraId="2D45DA7F" w14:textId="77777777" w:rsidR="00FE3766" w:rsidRPr="0050421A" w:rsidRDefault="00FE3766" w:rsidP="00137BB7">
      <w:pPr>
        <w:pStyle w:val="mb-25"/>
        <w:rPr>
          <w:rFonts w:ascii="Arial" w:hAnsi="Arial" w:cs="Arial"/>
        </w:rPr>
      </w:pPr>
      <w:r w:rsidRPr="0050421A">
        <w:rPr>
          <w:rFonts w:ascii="Arial" w:hAnsi="Arial" w:cs="Arial"/>
        </w:rPr>
        <w:t xml:space="preserve">Fairchild v </w:t>
      </w:r>
      <w:proofErr w:type="spellStart"/>
      <w:r w:rsidRPr="0050421A">
        <w:rPr>
          <w:rFonts w:ascii="Arial" w:hAnsi="Arial" w:cs="Arial"/>
        </w:rPr>
        <w:t>Glenhaven</w:t>
      </w:r>
      <w:proofErr w:type="spellEnd"/>
      <w:r w:rsidRPr="0050421A">
        <w:rPr>
          <w:rFonts w:ascii="Arial" w:hAnsi="Arial" w:cs="Arial"/>
        </w:rPr>
        <w:t xml:space="preserve"> Funeral Homes [2003] 1 AC 32</w:t>
      </w:r>
    </w:p>
    <w:p w14:paraId="6BDC018B" w14:textId="77777777" w:rsidR="00FE3766" w:rsidRPr="0050421A" w:rsidRDefault="00FE3766" w:rsidP="00137BB7">
      <w:pPr>
        <w:rPr>
          <w:rFonts w:ascii="Arial" w:hAnsi="Arial" w:cs="Arial"/>
          <w:sz w:val="24"/>
          <w:szCs w:val="24"/>
        </w:rPr>
      </w:pPr>
      <w:r w:rsidRPr="0050421A">
        <w:rPr>
          <w:rFonts w:ascii="Arial" w:hAnsi="Arial" w:cs="Arial"/>
          <w:sz w:val="24"/>
          <w:szCs w:val="24"/>
        </w:rPr>
        <w:t>Hill v Chief Constable of West Yorkshire [1988] 2 All ER 238</w:t>
      </w:r>
    </w:p>
    <w:p w14:paraId="72340F4E" w14:textId="77777777" w:rsidR="00FE3766" w:rsidRPr="0050421A" w:rsidRDefault="00FE3766" w:rsidP="00137BB7">
      <w:pPr>
        <w:rPr>
          <w:rFonts w:ascii="Arial" w:hAnsi="Arial" w:cs="Arial"/>
          <w:sz w:val="24"/>
          <w:szCs w:val="24"/>
        </w:rPr>
      </w:pPr>
      <w:r w:rsidRPr="0050421A">
        <w:rPr>
          <w:rFonts w:ascii="Arial" w:hAnsi="Arial" w:cs="Arial"/>
          <w:sz w:val="24"/>
          <w:szCs w:val="24"/>
        </w:rPr>
        <w:t>John Munroe (Acrylics) Ltd v London Fire and Civil Defence Authority</w:t>
      </w:r>
    </w:p>
    <w:p w14:paraId="523C0D0F" w14:textId="77777777" w:rsidR="00FE3766" w:rsidRPr="0050421A" w:rsidRDefault="00FE3766" w:rsidP="00137BB7">
      <w:pPr>
        <w:pStyle w:val="mb-25"/>
        <w:rPr>
          <w:rFonts w:ascii="Arial" w:hAnsi="Arial" w:cs="Arial"/>
        </w:rPr>
      </w:pPr>
      <w:r w:rsidRPr="0050421A">
        <w:rPr>
          <w:rFonts w:ascii="Arial" w:hAnsi="Arial" w:cs="Arial"/>
        </w:rPr>
        <w:t>Kent v Griffiths [2000] 2 WLR 1158</w:t>
      </w:r>
    </w:p>
    <w:p w14:paraId="64CDDDAD" w14:textId="77777777" w:rsidR="00FE3766" w:rsidRPr="0050421A" w:rsidRDefault="00FE3766" w:rsidP="00137BB7">
      <w:pPr>
        <w:rPr>
          <w:rFonts w:ascii="Arial" w:hAnsi="Arial" w:cs="Arial"/>
          <w:sz w:val="24"/>
          <w:szCs w:val="24"/>
        </w:rPr>
      </w:pPr>
      <w:r w:rsidRPr="0050421A">
        <w:rPr>
          <w:rFonts w:ascii="Arial" w:hAnsi="Arial" w:cs="Arial"/>
          <w:sz w:val="24"/>
          <w:szCs w:val="24"/>
        </w:rPr>
        <w:lastRenderedPageBreak/>
        <w:t>Knightly v Johns [1982] 1 WLR 349</w:t>
      </w:r>
    </w:p>
    <w:p w14:paraId="48BE1EE6" w14:textId="77777777" w:rsidR="00FE3766" w:rsidRPr="0050421A" w:rsidRDefault="00FE3766" w:rsidP="00137BB7">
      <w:pPr>
        <w:rPr>
          <w:rFonts w:ascii="Arial" w:hAnsi="Arial" w:cs="Arial"/>
          <w:sz w:val="24"/>
          <w:szCs w:val="24"/>
        </w:rPr>
      </w:pPr>
      <w:r w:rsidRPr="0050421A">
        <w:rPr>
          <w:rFonts w:ascii="Arial" w:hAnsi="Arial" w:cs="Arial"/>
          <w:sz w:val="24"/>
          <w:szCs w:val="24"/>
        </w:rPr>
        <w:t>Michael v Chief Constable of South Wales Police, 2015 [2015] 2 WLR 343</w:t>
      </w:r>
    </w:p>
    <w:p w14:paraId="40B42A5B" w14:textId="77777777" w:rsidR="00FE3766" w:rsidRPr="0050421A" w:rsidRDefault="00FE3766" w:rsidP="00137BB7">
      <w:pPr>
        <w:rPr>
          <w:rFonts w:ascii="Arial" w:hAnsi="Arial" w:cs="Arial"/>
          <w:sz w:val="24"/>
          <w:szCs w:val="24"/>
        </w:rPr>
      </w:pPr>
      <w:r w:rsidRPr="0050421A">
        <w:rPr>
          <w:rFonts w:ascii="Arial" w:hAnsi="Arial" w:cs="Arial"/>
          <w:sz w:val="24"/>
          <w:szCs w:val="24"/>
        </w:rPr>
        <w:t>Osman v United Kingdom [1999] 1 FLR 193 (ECHR)</w:t>
      </w:r>
    </w:p>
    <w:p w14:paraId="5AC9C5DD" w14:textId="77777777" w:rsidR="00FE3766" w:rsidRPr="0050421A" w:rsidRDefault="00FE3766" w:rsidP="00137BB7">
      <w:pPr>
        <w:rPr>
          <w:rFonts w:ascii="Arial" w:hAnsi="Arial" w:cs="Arial"/>
          <w:sz w:val="24"/>
          <w:szCs w:val="24"/>
        </w:rPr>
      </w:pPr>
      <w:r w:rsidRPr="0050421A">
        <w:rPr>
          <w:rFonts w:ascii="Arial" w:hAnsi="Arial" w:cs="Arial"/>
          <w:sz w:val="24"/>
          <w:szCs w:val="24"/>
        </w:rPr>
        <w:t>Pape v Cumbria County Council [1992] 2 All ER 2111</w:t>
      </w:r>
    </w:p>
    <w:p w14:paraId="09B8A334" w14:textId="77777777" w:rsidR="00FE3766" w:rsidRPr="0050421A" w:rsidRDefault="00FE3766" w:rsidP="00137BB7">
      <w:pPr>
        <w:rPr>
          <w:rFonts w:ascii="Arial" w:hAnsi="Arial" w:cs="Arial"/>
          <w:sz w:val="24"/>
          <w:szCs w:val="24"/>
        </w:rPr>
      </w:pPr>
      <w:r w:rsidRPr="0050421A">
        <w:rPr>
          <w:rFonts w:ascii="Arial" w:hAnsi="Arial" w:cs="Arial"/>
          <w:sz w:val="24"/>
          <w:szCs w:val="24"/>
        </w:rPr>
        <w:t>Rigby v Chief Constable of Northamptonshire, 1985, 2 All ER 985</w:t>
      </w:r>
    </w:p>
    <w:p w14:paraId="0B59B54C" w14:textId="77777777" w:rsidR="00FE3766" w:rsidRPr="0050421A" w:rsidRDefault="00FE3766" w:rsidP="00137BB7">
      <w:pPr>
        <w:rPr>
          <w:rFonts w:ascii="Arial" w:hAnsi="Arial" w:cs="Arial"/>
          <w:sz w:val="24"/>
          <w:szCs w:val="24"/>
        </w:rPr>
      </w:pPr>
      <w:r w:rsidRPr="0050421A">
        <w:rPr>
          <w:rFonts w:ascii="Arial" w:hAnsi="Arial" w:cs="Arial"/>
          <w:sz w:val="24"/>
          <w:szCs w:val="24"/>
        </w:rPr>
        <w:t xml:space="preserve">Robinson v Chief Constable of West Yorkshire Police [2014] EWCA </w:t>
      </w:r>
      <w:proofErr w:type="spellStart"/>
      <w:r w:rsidRPr="0050421A">
        <w:rPr>
          <w:rFonts w:ascii="Arial" w:hAnsi="Arial" w:cs="Arial"/>
          <w:sz w:val="24"/>
          <w:szCs w:val="24"/>
        </w:rPr>
        <w:t>Civ</w:t>
      </w:r>
      <w:proofErr w:type="spellEnd"/>
      <w:r w:rsidRPr="0050421A">
        <w:rPr>
          <w:rFonts w:ascii="Arial" w:hAnsi="Arial" w:cs="Arial"/>
          <w:sz w:val="24"/>
          <w:szCs w:val="24"/>
        </w:rPr>
        <w:t xml:space="preserve"> 15</w:t>
      </w:r>
    </w:p>
    <w:p w14:paraId="0B8CC8F4" w14:textId="77777777" w:rsidR="00FE3766" w:rsidRPr="0050421A" w:rsidRDefault="00FE3766" w:rsidP="00137BB7">
      <w:pPr>
        <w:rPr>
          <w:rFonts w:ascii="Arial" w:hAnsi="Arial" w:cs="Arial"/>
          <w:sz w:val="24"/>
          <w:szCs w:val="24"/>
        </w:rPr>
      </w:pPr>
      <w:r w:rsidRPr="0050421A">
        <w:rPr>
          <w:rFonts w:ascii="Arial" w:hAnsi="Arial" w:cs="Arial"/>
          <w:sz w:val="24"/>
          <w:szCs w:val="24"/>
        </w:rPr>
        <w:t>Swinney v Chief Constable of Northumbria (NO 2) [1997] QB 464</w:t>
      </w:r>
    </w:p>
    <w:p w14:paraId="3305EFCA" w14:textId="77777777" w:rsidR="00FE3766" w:rsidRPr="0050421A" w:rsidRDefault="00FE3766" w:rsidP="00137BB7">
      <w:pPr>
        <w:rPr>
          <w:rFonts w:ascii="Arial" w:hAnsi="Arial" w:cs="Arial"/>
          <w:sz w:val="24"/>
          <w:szCs w:val="24"/>
        </w:rPr>
      </w:pPr>
      <w:r w:rsidRPr="0050421A">
        <w:rPr>
          <w:rFonts w:ascii="Arial" w:hAnsi="Arial" w:cs="Arial"/>
          <w:sz w:val="24"/>
          <w:szCs w:val="24"/>
        </w:rPr>
        <w:t>Van Colle v Chief Constable of Hertfordshire Police [2008] UKHL 50</w:t>
      </w:r>
    </w:p>
    <w:p w14:paraId="05CCE63D" w14:textId="77777777" w:rsidR="00FE3766" w:rsidRPr="0050421A" w:rsidRDefault="00FE3766" w:rsidP="00137BB7">
      <w:pPr>
        <w:rPr>
          <w:rFonts w:ascii="Arial" w:hAnsi="Arial" w:cs="Arial"/>
          <w:sz w:val="24"/>
          <w:szCs w:val="24"/>
        </w:rPr>
      </w:pPr>
      <w:r w:rsidRPr="0050421A">
        <w:rPr>
          <w:rStyle w:val="issue-underline"/>
          <w:rFonts w:ascii="Arial" w:hAnsi="Arial" w:cs="Arial"/>
          <w:sz w:val="24"/>
          <w:szCs w:val="24"/>
        </w:rPr>
        <w:t>Wilson</w:t>
      </w:r>
      <w:r w:rsidRPr="0050421A">
        <w:rPr>
          <w:rFonts w:ascii="Arial" w:hAnsi="Arial" w:cs="Arial"/>
          <w:sz w:val="24"/>
          <w:szCs w:val="24"/>
        </w:rPr>
        <w:t xml:space="preserve"> &amp; Clyde Coal Co v English (1937)</w:t>
      </w:r>
    </w:p>
    <w:p w14:paraId="26203D22" w14:textId="77777777" w:rsidR="00FE3766" w:rsidRPr="00940B03" w:rsidRDefault="00FE3766" w:rsidP="00137BB7">
      <w:pPr>
        <w:rPr>
          <w:rFonts w:ascii="Arial" w:hAnsi="Arial" w:cs="Arial"/>
          <w:sz w:val="24"/>
          <w:szCs w:val="24"/>
        </w:rPr>
      </w:pPr>
    </w:p>
    <w:sectPr w:rsidR="00FE3766" w:rsidRPr="00940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B03"/>
    <w:rsid w:val="00137BB7"/>
    <w:rsid w:val="00146A5D"/>
    <w:rsid w:val="0050421A"/>
    <w:rsid w:val="00577711"/>
    <w:rsid w:val="00940B03"/>
    <w:rsid w:val="00947656"/>
    <w:rsid w:val="00CE767F"/>
    <w:rsid w:val="00E43255"/>
    <w:rsid w:val="00F923B4"/>
    <w:rsid w:val="00FE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9725"/>
  <w15:chartTrackingRefBased/>
  <w15:docId w15:val="{5F2C893A-40D3-4231-A8EA-6DF89E255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3766"/>
    <w:rPr>
      <w:color w:val="0563C1" w:themeColor="hyperlink"/>
      <w:u w:val="single"/>
    </w:rPr>
  </w:style>
  <w:style w:type="paragraph" w:customStyle="1" w:styleId="mb-25">
    <w:name w:val="mb-2.5"/>
    <w:basedOn w:val="Normal"/>
    <w:rsid w:val="00FE37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FE3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97431" TargetMode="External"/><Relationship Id="rId13" Type="http://schemas.openxmlformats.org/officeDocument/2006/relationships/hyperlink" Target="https://emergency-services.news/a-duty-of-care-what-obligations-are-imposed-on-emergency-services-by-the-court-system-in-the-uk/" TargetMode="External"/><Relationship Id="rId3" Type="http://schemas.openxmlformats.org/officeDocument/2006/relationships/webSettings" Target="webSettings.xml"/><Relationship Id="rId7" Type="http://schemas.openxmlformats.org/officeDocument/2006/relationships/hyperlink" Target="https://home.heinonline.org/content/law-journal-library/" TargetMode="External"/><Relationship Id="rId12" Type="http://schemas.openxmlformats.org/officeDocument/2006/relationships/hyperlink" Target="https://www.proquest.com/docview/1510581391/C5D4536CDCA94BA3PQ/3?accountid=130472"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gislation.gov.uk/ukpga/1998/42/contents" TargetMode="External"/><Relationship Id="rId11" Type="http://schemas.openxmlformats.org/officeDocument/2006/relationships/hyperlink" Target="https://uk.practicallaw.thomsonreuters.com/Document/ID4F993F05EC411DDAB7DC9767090C799/View/FullText.html?originationContext=document&amp;transitionType=DocumentItem&amp;ppcid=6ede6a633ff94a2697e92759611147ff&amp;contextData=(sc.DocLink)&amp;comp=wluk" TargetMode="External"/><Relationship Id="rId5" Type="http://schemas.openxmlformats.org/officeDocument/2006/relationships/hyperlink" Target="https://www.statista.com/topics/5102/emergency-services-in-the-uk/" TargetMode="External"/><Relationship Id="rId15" Type="http://schemas.openxmlformats.org/officeDocument/2006/relationships/fontTable" Target="fontTable.xml"/><Relationship Id="rId10" Type="http://schemas.openxmlformats.org/officeDocument/2006/relationships/hyperlink" Target="https://home.heinonline.org/content/law-journal-library/" TargetMode="External"/><Relationship Id="rId4" Type="http://schemas.openxmlformats.org/officeDocument/2006/relationships/hyperlink" Target="https://home.heinonline.org/content/law-journal-library/" TargetMode="External"/><Relationship Id="rId9" Type="http://schemas.openxmlformats.org/officeDocument/2006/relationships/hyperlink" Target="https://www.legislation.gov.uk/ukpga/Geo6/8-9/28/contents" TargetMode="External"/><Relationship Id="rId14" Type="http://schemas.openxmlformats.org/officeDocument/2006/relationships/hyperlink" Target="https://academic.oup.com/medlaw/article/15/2/153/937210?login=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2839</Words>
  <Characters>16184</Characters>
  <Application>Microsoft Office Word</Application>
  <DocSecurity>0</DocSecurity>
  <Lines>134</Lines>
  <Paragraphs>37</Paragraphs>
  <ScaleCrop>false</ScaleCrop>
  <Company/>
  <LinksUpToDate>false</LinksUpToDate>
  <CharactersWithSpaces>18986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14</cp:revision>
  <dcterms:created xsi:type="dcterms:W3CDTF">2022-11-11T14:26:00Z</dcterms:created>
  <dcterms:modified xsi:type="dcterms:W3CDTF">2022-11-11T15:10:00Z</dcterms:modified>
</cp:coreProperties>
</file>