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8D47B2" w14:textId="77777777" w:rsidR="00BC7E06" w:rsidRPr="00AC0F13" w:rsidRDefault="00BC7E06" w:rsidP="00AC0F13">
      <w:pPr>
        <w:widowControl w:val="0"/>
        <w:tabs>
          <w:tab w:val="left" w:pos="940"/>
          <w:tab w:val="left" w:pos="941"/>
        </w:tabs>
        <w:spacing w:after="0" w:line="360" w:lineRule="auto"/>
        <w:jc w:val="center"/>
        <w:rPr>
          <w:rFonts w:ascii="Arial" w:hAnsi="Arial" w:cs="Arial"/>
          <w:b/>
          <w:bCs/>
          <w:color w:val="000000" w:themeColor="text1"/>
          <w:sz w:val="24"/>
          <w:szCs w:val="24"/>
        </w:rPr>
      </w:pPr>
    </w:p>
    <w:p w14:paraId="3B6807B6" w14:textId="7BECF1E6" w:rsidR="00BC7E06" w:rsidRPr="00AC0F13" w:rsidRDefault="00BC7E06" w:rsidP="00AC0F13">
      <w:pPr>
        <w:widowControl w:val="0"/>
        <w:tabs>
          <w:tab w:val="left" w:pos="940"/>
          <w:tab w:val="left" w:pos="941"/>
        </w:tabs>
        <w:spacing w:after="0" w:line="360" w:lineRule="auto"/>
        <w:jc w:val="center"/>
        <w:rPr>
          <w:rFonts w:ascii="Arial" w:hAnsi="Arial" w:cs="Arial"/>
          <w:b/>
          <w:bCs/>
          <w:color w:val="000000" w:themeColor="text1"/>
          <w:sz w:val="24"/>
          <w:szCs w:val="24"/>
        </w:rPr>
      </w:pPr>
      <w:r w:rsidRPr="00AC0F13">
        <w:rPr>
          <w:rFonts w:ascii="Arial" w:hAnsi="Arial" w:cs="Arial"/>
          <w:noProof/>
          <w:color w:val="000000" w:themeColor="text1"/>
          <w:sz w:val="24"/>
          <w:szCs w:val="24"/>
        </w:rPr>
        <w:drawing>
          <wp:anchor distT="0" distB="0" distL="114300" distR="114300" simplePos="0" relativeHeight="251659264" behindDoc="0" locked="0" layoutInCell="1" allowOverlap="1" wp14:anchorId="4C090B20" wp14:editId="11FCAD29">
            <wp:simplePos x="0" y="0"/>
            <wp:positionH relativeFrom="column">
              <wp:posOffset>0</wp:posOffset>
            </wp:positionH>
            <wp:positionV relativeFrom="paragraph">
              <wp:posOffset>242570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5B37582" w14:textId="77777777" w:rsidR="00BC7E06" w:rsidRPr="00AC0F13" w:rsidRDefault="00BC7E06" w:rsidP="00AC0F13">
      <w:pPr>
        <w:widowControl w:val="0"/>
        <w:tabs>
          <w:tab w:val="left" w:pos="940"/>
          <w:tab w:val="left" w:pos="941"/>
        </w:tabs>
        <w:spacing w:after="0" w:line="360" w:lineRule="auto"/>
        <w:jc w:val="center"/>
        <w:rPr>
          <w:rFonts w:ascii="Arial" w:hAnsi="Arial" w:cs="Arial"/>
          <w:b/>
          <w:bCs/>
          <w:color w:val="000000" w:themeColor="text1"/>
          <w:sz w:val="24"/>
          <w:szCs w:val="24"/>
        </w:rPr>
      </w:pPr>
    </w:p>
    <w:p w14:paraId="12B752BE" w14:textId="77777777" w:rsidR="00BC7E06" w:rsidRPr="00AC0F13" w:rsidRDefault="00BC7E06" w:rsidP="00AC0F13">
      <w:pPr>
        <w:widowControl w:val="0"/>
        <w:tabs>
          <w:tab w:val="left" w:pos="940"/>
          <w:tab w:val="left" w:pos="941"/>
        </w:tabs>
        <w:spacing w:after="0" w:line="360" w:lineRule="auto"/>
        <w:jc w:val="center"/>
        <w:rPr>
          <w:rFonts w:ascii="Arial" w:hAnsi="Arial" w:cs="Arial"/>
          <w:b/>
          <w:bCs/>
          <w:color w:val="000000" w:themeColor="text1"/>
          <w:sz w:val="24"/>
          <w:szCs w:val="24"/>
        </w:rPr>
      </w:pPr>
    </w:p>
    <w:p w14:paraId="4D193E0B" w14:textId="77777777" w:rsidR="00BC7E06" w:rsidRPr="00AC0F13" w:rsidRDefault="00BC7E06" w:rsidP="00AC0F13">
      <w:pPr>
        <w:widowControl w:val="0"/>
        <w:tabs>
          <w:tab w:val="left" w:pos="940"/>
          <w:tab w:val="left" w:pos="941"/>
        </w:tabs>
        <w:spacing w:after="0" w:line="360" w:lineRule="auto"/>
        <w:jc w:val="center"/>
        <w:rPr>
          <w:rFonts w:ascii="Arial" w:hAnsi="Arial" w:cs="Arial"/>
          <w:b/>
          <w:bCs/>
          <w:color w:val="000000" w:themeColor="text1"/>
          <w:sz w:val="24"/>
          <w:szCs w:val="24"/>
        </w:rPr>
      </w:pPr>
    </w:p>
    <w:p w14:paraId="03335C4F" w14:textId="77777777" w:rsidR="00BC7E06" w:rsidRPr="00AC0F13" w:rsidRDefault="00BC7E06" w:rsidP="00AC0F13">
      <w:pPr>
        <w:widowControl w:val="0"/>
        <w:tabs>
          <w:tab w:val="left" w:pos="940"/>
          <w:tab w:val="left" w:pos="941"/>
        </w:tabs>
        <w:spacing w:after="0" w:line="360" w:lineRule="auto"/>
        <w:jc w:val="center"/>
        <w:rPr>
          <w:rFonts w:ascii="Arial" w:hAnsi="Arial" w:cs="Arial"/>
          <w:b/>
          <w:bCs/>
          <w:color w:val="000000" w:themeColor="text1"/>
          <w:sz w:val="24"/>
          <w:szCs w:val="24"/>
        </w:rPr>
      </w:pPr>
    </w:p>
    <w:p w14:paraId="129587A6" w14:textId="77777777" w:rsidR="00BC7E06" w:rsidRPr="00AC0F13" w:rsidRDefault="00BC7E06" w:rsidP="00AC0F13">
      <w:pPr>
        <w:widowControl w:val="0"/>
        <w:tabs>
          <w:tab w:val="left" w:pos="940"/>
          <w:tab w:val="left" w:pos="941"/>
        </w:tabs>
        <w:spacing w:after="0" w:line="360" w:lineRule="auto"/>
        <w:jc w:val="center"/>
        <w:rPr>
          <w:rFonts w:ascii="Arial" w:hAnsi="Arial" w:cs="Arial"/>
          <w:b/>
          <w:bCs/>
          <w:color w:val="000000" w:themeColor="text1"/>
          <w:sz w:val="24"/>
          <w:szCs w:val="24"/>
        </w:rPr>
      </w:pPr>
    </w:p>
    <w:p w14:paraId="42C058CA" w14:textId="77777777" w:rsidR="00BC7E06" w:rsidRPr="00AC0F13" w:rsidRDefault="00BC7E06" w:rsidP="00AC0F13">
      <w:pPr>
        <w:widowControl w:val="0"/>
        <w:tabs>
          <w:tab w:val="left" w:pos="940"/>
          <w:tab w:val="left" w:pos="941"/>
        </w:tabs>
        <w:spacing w:after="0" w:line="360" w:lineRule="auto"/>
        <w:jc w:val="center"/>
        <w:rPr>
          <w:rFonts w:ascii="Arial" w:hAnsi="Arial" w:cs="Arial"/>
          <w:b/>
          <w:bCs/>
          <w:color w:val="000000" w:themeColor="text1"/>
          <w:sz w:val="24"/>
          <w:szCs w:val="24"/>
        </w:rPr>
      </w:pPr>
    </w:p>
    <w:p w14:paraId="74DA9A68" w14:textId="77777777" w:rsidR="00BC7E06" w:rsidRPr="00AC0F13" w:rsidRDefault="00BC7E06" w:rsidP="00AC0F13">
      <w:pPr>
        <w:widowControl w:val="0"/>
        <w:tabs>
          <w:tab w:val="left" w:pos="940"/>
          <w:tab w:val="left" w:pos="941"/>
        </w:tabs>
        <w:spacing w:after="0" w:line="360" w:lineRule="auto"/>
        <w:jc w:val="center"/>
        <w:rPr>
          <w:rFonts w:ascii="Arial" w:hAnsi="Arial" w:cs="Arial"/>
          <w:b/>
          <w:bCs/>
          <w:color w:val="000000" w:themeColor="text1"/>
          <w:sz w:val="24"/>
          <w:szCs w:val="24"/>
        </w:rPr>
      </w:pPr>
    </w:p>
    <w:p w14:paraId="43B87F86" w14:textId="4E071E83" w:rsidR="00BC7E06" w:rsidRPr="00AC0F13" w:rsidRDefault="00F44159" w:rsidP="00AC0F13">
      <w:pPr>
        <w:widowControl w:val="0"/>
        <w:tabs>
          <w:tab w:val="left" w:pos="940"/>
          <w:tab w:val="left" w:pos="941"/>
        </w:tabs>
        <w:spacing w:after="0" w:line="360" w:lineRule="auto"/>
        <w:jc w:val="center"/>
        <w:rPr>
          <w:rFonts w:ascii="Arial" w:hAnsi="Arial" w:cs="Arial"/>
          <w:b/>
          <w:bCs/>
          <w:color w:val="000000" w:themeColor="text1"/>
          <w:sz w:val="24"/>
          <w:szCs w:val="24"/>
        </w:rPr>
      </w:pPr>
      <w:r w:rsidRPr="00AC0F13">
        <w:rPr>
          <w:rFonts w:ascii="Arial" w:hAnsi="Arial" w:cs="Arial"/>
          <w:b/>
          <w:bCs/>
          <w:color w:val="000000" w:themeColor="text1"/>
          <w:sz w:val="24"/>
          <w:szCs w:val="24"/>
        </w:rPr>
        <w:t xml:space="preserve">PROGRAMME NAME: </w:t>
      </w:r>
      <w:r>
        <w:rPr>
          <w:rFonts w:ascii="Arial" w:hAnsi="Arial" w:cs="Arial"/>
          <w:b/>
          <w:bCs/>
          <w:color w:val="000000" w:themeColor="text1"/>
          <w:sz w:val="24"/>
          <w:szCs w:val="24"/>
        </w:rPr>
        <w:t>MBA INTERNATIONAL BUSINESS</w:t>
      </w:r>
    </w:p>
    <w:p w14:paraId="529A7C7B" w14:textId="66D858C1" w:rsidR="00F44159" w:rsidRDefault="00F44159" w:rsidP="00AC0F13">
      <w:pPr>
        <w:widowControl w:val="0"/>
        <w:tabs>
          <w:tab w:val="left" w:pos="940"/>
          <w:tab w:val="left" w:pos="941"/>
        </w:tabs>
        <w:spacing w:after="0" w:line="360" w:lineRule="auto"/>
        <w:jc w:val="center"/>
        <w:rPr>
          <w:rFonts w:ascii="Arial" w:hAnsi="Arial" w:cs="Arial"/>
          <w:b/>
          <w:bCs/>
          <w:color w:val="000000" w:themeColor="text1"/>
          <w:sz w:val="24"/>
          <w:szCs w:val="24"/>
        </w:rPr>
      </w:pPr>
      <w:r w:rsidRPr="00AC0F13">
        <w:rPr>
          <w:rFonts w:ascii="Arial" w:hAnsi="Arial" w:cs="Arial"/>
          <w:b/>
          <w:bCs/>
          <w:color w:val="000000" w:themeColor="text1"/>
          <w:sz w:val="24"/>
          <w:szCs w:val="24"/>
        </w:rPr>
        <w:t xml:space="preserve">MODULE NAME: MARKETING MANAGEMENT </w:t>
      </w:r>
    </w:p>
    <w:p w14:paraId="1801174B" w14:textId="55538F16" w:rsidR="00BC7E06" w:rsidRPr="00AC0F13" w:rsidRDefault="00F44159" w:rsidP="00AC0F13">
      <w:pPr>
        <w:widowControl w:val="0"/>
        <w:tabs>
          <w:tab w:val="left" w:pos="940"/>
          <w:tab w:val="left" w:pos="941"/>
        </w:tabs>
        <w:spacing w:after="0" w:line="360" w:lineRule="auto"/>
        <w:jc w:val="center"/>
        <w:rPr>
          <w:rFonts w:ascii="Arial" w:hAnsi="Arial" w:cs="Arial"/>
          <w:b/>
          <w:bCs/>
          <w:color w:val="000000" w:themeColor="text1"/>
          <w:sz w:val="24"/>
          <w:szCs w:val="24"/>
        </w:rPr>
      </w:pPr>
      <w:r>
        <w:rPr>
          <w:rFonts w:ascii="Arial" w:hAnsi="Arial" w:cs="Arial"/>
          <w:b/>
          <w:bCs/>
          <w:color w:val="000000" w:themeColor="text1"/>
          <w:sz w:val="24"/>
          <w:szCs w:val="24"/>
        </w:rPr>
        <w:t xml:space="preserve">MODULE CODE: </w:t>
      </w:r>
      <w:r w:rsidRPr="00AC0F13">
        <w:rPr>
          <w:rFonts w:ascii="Arial" w:hAnsi="Arial" w:cs="Arial"/>
          <w:b/>
          <w:bCs/>
          <w:color w:val="000000" w:themeColor="text1"/>
          <w:sz w:val="24"/>
          <w:szCs w:val="24"/>
        </w:rPr>
        <w:t>LCMB7024</w:t>
      </w:r>
    </w:p>
    <w:p w14:paraId="3CEBF770" w14:textId="39AA4787" w:rsidR="00BC7E06" w:rsidRPr="00AC0F13" w:rsidRDefault="00F44159" w:rsidP="00AC0F13">
      <w:pPr>
        <w:widowControl w:val="0"/>
        <w:tabs>
          <w:tab w:val="left" w:pos="940"/>
          <w:tab w:val="left" w:pos="941"/>
        </w:tabs>
        <w:spacing w:after="0" w:line="360" w:lineRule="auto"/>
        <w:jc w:val="center"/>
        <w:rPr>
          <w:rFonts w:ascii="Arial" w:hAnsi="Arial" w:cs="Arial"/>
          <w:b/>
          <w:bCs/>
          <w:color w:val="000000" w:themeColor="text1"/>
          <w:sz w:val="24"/>
          <w:szCs w:val="24"/>
        </w:rPr>
      </w:pPr>
      <w:r w:rsidRPr="00AC0F13">
        <w:rPr>
          <w:rFonts w:ascii="Arial" w:hAnsi="Arial" w:cs="Arial"/>
          <w:b/>
          <w:bCs/>
          <w:color w:val="000000" w:themeColor="text1"/>
          <w:sz w:val="24"/>
          <w:szCs w:val="24"/>
        </w:rPr>
        <w:t>TITLE OF SUBMISSION: ASSESSMENT COMPONENT 1: MARKETING ENVIRONMENT ANALYSIS</w:t>
      </w:r>
    </w:p>
    <w:p w14:paraId="5275D12D" w14:textId="225379C5" w:rsidR="00BC7E06" w:rsidRPr="00AC0F13" w:rsidRDefault="00F44159" w:rsidP="00AC0F13">
      <w:pPr>
        <w:widowControl w:val="0"/>
        <w:tabs>
          <w:tab w:val="left" w:pos="940"/>
          <w:tab w:val="left" w:pos="941"/>
        </w:tabs>
        <w:spacing w:after="0" w:line="360" w:lineRule="auto"/>
        <w:jc w:val="center"/>
        <w:rPr>
          <w:rFonts w:ascii="Arial" w:hAnsi="Arial" w:cs="Arial"/>
          <w:b/>
          <w:bCs/>
          <w:color w:val="000000" w:themeColor="text1"/>
          <w:sz w:val="24"/>
          <w:szCs w:val="24"/>
        </w:rPr>
      </w:pPr>
      <w:r w:rsidRPr="00AC0F13">
        <w:rPr>
          <w:rFonts w:ascii="Arial" w:hAnsi="Arial" w:cs="Arial"/>
          <w:b/>
          <w:bCs/>
          <w:color w:val="000000" w:themeColor="text1"/>
          <w:sz w:val="24"/>
          <w:szCs w:val="24"/>
        </w:rPr>
        <w:t>LECTURER'S NAME:</w:t>
      </w:r>
      <w:r>
        <w:rPr>
          <w:rFonts w:ascii="Arial" w:hAnsi="Arial" w:cs="Arial"/>
          <w:b/>
          <w:bCs/>
          <w:color w:val="000000" w:themeColor="text1"/>
          <w:sz w:val="24"/>
          <w:szCs w:val="24"/>
        </w:rPr>
        <w:t xml:space="preserve"> TAONGA KAONGA SOBERE SNITHERS</w:t>
      </w:r>
    </w:p>
    <w:p w14:paraId="73986012" w14:textId="5CA51AC8" w:rsidR="00F44159" w:rsidRDefault="00F44159" w:rsidP="00F44159">
      <w:pPr>
        <w:widowControl w:val="0"/>
        <w:spacing w:after="0" w:line="360" w:lineRule="auto"/>
        <w:jc w:val="center"/>
        <w:rPr>
          <w:rFonts w:ascii="Arial" w:hAnsi="Arial" w:cs="Arial"/>
          <w:b/>
          <w:bCs/>
          <w:color w:val="000000" w:themeColor="text1"/>
          <w:sz w:val="24"/>
          <w:szCs w:val="24"/>
        </w:rPr>
      </w:pPr>
      <w:r w:rsidRPr="00AC0F13">
        <w:rPr>
          <w:rFonts w:ascii="Arial" w:hAnsi="Arial" w:cs="Arial"/>
          <w:b/>
          <w:bCs/>
          <w:color w:val="000000" w:themeColor="text1"/>
          <w:sz w:val="24"/>
          <w:szCs w:val="24"/>
        </w:rPr>
        <w:t xml:space="preserve">STUDENT’S NAME </w:t>
      </w:r>
      <w:r>
        <w:rPr>
          <w:rFonts w:ascii="Arial" w:hAnsi="Arial" w:cs="Arial"/>
          <w:b/>
          <w:bCs/>
          <w:color w:val="000000" w:themeColor="text1"/>
          <w:sz w:val="24"/>
          <w:szCs w:val="24"/>
        </w:rPr>
        <w:t>: PAYAL SARMAN MAHIYARIYA</w:t>
      </w:r>
    </w:p>
    <w:p w14:paraId="0CE69753" w14:textId="732605D2" w:rsidR="00BC7E06" w:rsidRPr="00AC0F13" w:rsidRDefault="00F44159" w:rsidP="00AC0F13">
      <w:pPr>
        <w:widowControl w:val="0"/>
        <w:tabs>
          <w:tab w:val="left" w:pos="940"/>
          <w:tab w:val="left" w:pos="941"/>
        </w:tabs>
        <w:spacing w:after="0" w:line="360" w:lineRule="auto"/>
        <w:jc w:val="center"/>
        <w:rPr>
          <w:rFonts w:ascii="Arial" w:hAnsi="Arial" w:cs="Arial"/>
          <w:b/>
          <w:bCs/>
          <w:color w:val="000000" w:themeColor="text1"/>
          <w:sz w:val="24"/>
          <w:szCs w:val="24"/>
        </w:rPr>
      </w:pPr>
      <w:r>
        <w:rPr>
          <w:rFonts w:ascii="Arial" w:hAnsi="Arial" w:cs="Arial"/>
          <w:b/>
          <w:bCs/>
          <w:color w:val="000000" w:themeColor="text1"/>
          <w:sz w:val="24"/>
          <w:szCs w:val="24"/>
        </w:rPr>
        <w:t>STUDENT</w:t>
      </w:r>
      <w:r w:rsidRPr="00AC0F13">
        <w:rPr>
          <w:rFonts w:ascii="Arial" w:hAnsi="Arial" w:cs="Arial"/>
          <w:b/>
          <w:bCs/>
          <w:color w:val="000000" w:themeColor="text1"/>
          <w:sz w:val="24"/>
          <w:szCs w:val="24"/>
        </w:rPr>
        <w:t xml:space="preserve"> ID:</w:t>
      </w:r>
      <w:r w:rsidRPr="00F44159">
        <w:rPr>
          <w:rFonts w:ascii="Arial" w:hAnsi="Arial" w:cs="Arial"/>
          <w:b/>
          <w:bCs/>
          <w:color w:val="000000" w:themeColor="text1"/>
          <w:sz w:val="24"/>
          <w:szCs w:val="24"/>
        </w:rPr>
        <w:t xml:space="preserve"> </w:t>
      </w:r>
      <w:r>
        <w:rPr>
          <w:rFonts w:ascii="Arial" w:hAnsi="Arial" w:cs="Arial"/>
          <w:b/>
          <w:bCs/>
          <w:color w:val="000000" w:themeColor="text1"/>
          <w:sz w:val="24"/>
          <w:szCs w:val="24"/>
        </w:rPr>
        <w:t>2611143</w:t>
      </w:r>
      <w:bookmarkStart w:id="0" w:name="_GoBack"/>
      <w:bookmarkEnd w:id="0"/>
    </w:p>
    <w:p w14:paraId="0547F4D1" w14:textId="4A854E61" w:rsidR="00BC7E06" w:rsidRPr="00AC0F13" w:rsidRDefault="00F44159" w:rsidP="00AC0F13">
      <w:pPr>
        <w:widowControl w:val="0"/>
        <w:tabs>
          <w:tab w:val="left" w:pos="940"/>
          <w:tab w:val="left" w:pos="941"/>
        </w:tabs>
        <w:spacing w:after="0" w:line="360" w:lineRule="auto"/>
        <w:jc w:val="center"/>
        <w:rPr>
          <w:rFonts w:ascii="Arial" w:hAnsi="Arial" w:cs="Arial"/>
          <w:b/>
          <w:bCs/>
          <w:color w:val="000000" w:themeColor="text1"/>
          <w:sz w:val="24"/>
          <w:szCs w:val="24"/>
        </w:rPr>
      </w:pPr>
      <w:r w:rsidRPr="00AC0F13">
        <w:rPr>
          <w:rFonts w:ascii="Arial" w:hAnsi="Arial" w:cs="Arial"/>
          <w:b/>
          <w:bCs/>
          <w:color w:val="000000" w:themeColor="text1"/>
          <w:sz w:val="24"/>
          <w:szCs w:val="24"/>
        </w:rPr>
        <w:t>FINAL WORD COUNT: 2535</w:t>
      </w:r>
    </w:p>
    <w:p w14:paraId="65E2E660" w14:textId="77777777" w:rsidR="00BC7E06" w:rsidRPr="00AC0F13" w:rsidRDefault="00BC7E06" w:rsidP="00AC0F13">
      <w:pPr>
        <w:spacing w:line="360" w:lineRule="auto"/>
        <w:jc w:val="both"/>
        <w:rPr>
          <w:rFonts w:ascii="Arial" w:hAnsi="Arial" w:cs="Arial"/>
          <w:b/>
          <w:bCs/>
          <w:color w:val="000000" w:themeColor="text1"/>
          <w:sz w:val="24"/>
          <w:szCs w:val="24"/>
        </w:rPr>
      </w:pPr>
    </w:p>
    <w:p w14:paraId="5C123B86" w14:textId="77777777" w:rsidR="00BC7E06" w:rsidRPr="00AC0F13" w:rsidRDefault="00BC7E06" w:rsidP="00AC0F13">
      <w:pPr>
        <w:spacing w:line="360" w:lineRule="auto"/>
        <w:jc w:val="both"/>
        <w:rPr>
          <w:rFonts w:ascii="Arial" w:hAnsi="Arial" w:cs="Arial"/>
          <w:b/>
          <w:bCs/>
          <w:color w:val="000000" w:themeColor="text1"/>
          <w:sz w:val="24"/>
          <w:szCs w:val="24"/>
        </w:rPr>
      </w:pPr>
      <w:r w:rsidRPr="00AC0F13">
        <w:rPr>
          <w:rFonts w:ascii="Arial" w:hAnsi="Arial" w:cs="Arial"/>
          <w:b/>
          <w:bCs/>
          <w:color w:val="000000" w:themeColor="text1"/>
          <w:sz w:val="24"/>
          <w:szCs w:val="24"/>
        </w:rPr>
        <w:br/>
      </w:r>
    </w:p>
    <w:p w14:paraId="2169A50A" w14:textId="77777777" w:rsidR="00BC7E06" w:rsidRPr="00AC0F13" w:rsidRDefault="00BC7E06" w:rsidP="00AC0F13">
      <w:pPr>
        <w:spacing w:after="200" w:line="360" w:lineRule="auto"/>
        <w:jc w:val="both"/>
        <w:rPr>
          <w:rFonts w:ascii="Arial" w:hAnsi="Arial" w:cs="Arial"/>
          <w:b/>
          <w:bCs/>
          <w:color w:val="000000" w:themeColor="text1"/>
          <w:sz w:val="24"/>
          <w:szCs w:val="24"/>
        </w:rPr>
      </w:pPr>
      <w:r w:rsidRPr="00AC0F13">
        <w:rPr>
          <w:rFonts w:ascii="Arial" w:hAnsi="Arial" w:cs="Arial"/>
          <w:b/>
          <w:bCs/>
          <w:color w:val="000000" w:themeColor="text1"/>
          <w:sz w:val="24"/>
          <w:szCs w:val="24"/>
        </w:rPr>
        <w:br w:type="page"/>
      </w:r>
    </w:p>
    <w:p w14:paraId="24E649C6" w14:textId="42827259" w:rsidR="00E34F36" w:rsidRPr="00AC0F13" w:rsidRDefault="00E34F36" w:rsidP="00AC0F13">
      <w:pPr>
        <w:spacing w:line="360" w:lineRule="auto"/>
        <w:jc w:val="both"/>
        <w:rPr>
          <w:rFonts w:ascii="Arial" w:hAnsi="Arial" w:cs="Arial"/>
          <w:b/>
          <w:bCs/>
          <w:color w:val="000000" w:themeColor="text1"/>
          <w:sz w:val="24"/>
          <w:szCs w:val="24"/>
        </w:rPr>
      </w:pPr>
      <w:r w:rsidRPr="00AC0F13">
        <w:rPr>
          <w:rFonts w:ascii="Arial" w:hAnsi="Arial" w:cs="Arial"/>
          <w:b/>
          <w:bCs/>
          <w:color w:val="000000" w:themeColor="text1"/>
          <w:sz w:val="24"/>
          <w:szCs w:val="24"/>
        </w:rPr>
        <w:lastRenderedPageBreak/>
        <w:t xml:space="preserve">Table of Contents </w:t>
      </w:r>
    </w:p>
    <w:p w14:paraId="3434B4EC" w14:textId="00B3F9E4" w:rsidR="00204A2F" w:rsidRPr="00AC0F13" w:rsidRDefault="00BC7E06" w:rsidP="00AC0F13">
      <w:pPr>
        <w:pStyle w:val="TOC1"/>
        <w:tabs>
          <w:tab w:val="right" w:leader="dot" w:pos="9782"/>
        </w:tabs>
        <w:spacing w:line="360" w:lineRule="auto"/>
        <w:jc w:val="both"/>
        <w:rPr>
          <w:rFonts w:ascii="Arial" w:hAnsi="Arial" w:cs="Arial"/>
          <w:noProof/>
          <w:color w:val="000000" w:themeColor="text1"/>
          <w:kern w:val="2"/>
          <w:sz w:val="24"/>
          <w:szCs w:val="24"/>
          <w:lang w:val="en-IN" w:eastAsia="en-GB"/>
          <w14:ligatures w14:val="standardContextual"/>
        </w:rPr>
      </w:pPr>
      <w:r w:rsidRPr="00AC0F13">
        <w:rPr>
          <w:rFonts w:ascii="Arial" w:hAnsi="Arial" w:cs="Arial"/>
          <w:b/>
          <w:bCs/>
          <w:color w:val="000000" w:themeColor="text1"/>
          <w:sz w:val="24"/>
          <w:szCs w:val="24"/>
        </w:rPr>
        <w:fldChar w:fldCharType="begin"/>
      </w:r>
      <w:r w:rsidRPr="00AC0F13">
        <w:rPr>
          <w:rFonts w:ascii="Arial" w:hAnsi="Arial" w:cs="Arial"/>
          <w:b/>
          <w:bCs/>
          <w:color w:val="000000" w:themeColor="text1"/>
          <w:sz w:val="24"/>
          <w:szCs w:val="24"/>
        </w:rPr>
        <w:instrText xml:space="preserve"> TOC \o "1-2" \h \z \u </w:instrText>
      </w:r>
      <w:r w:rsidRPr="00AC0F13">
        <w:rPr>
          <w:rFonts w:ascii="Arial" w:hAnsi="Arial" w:cs="Arial"/>
          <w:b/>
          <w:bCs/>
          <w:color w:val="000000" w:themeColor="text1"/>
          <w:sz w:val="24"/>
          <w:szCs w:val="24"/>
        </w:rPr>
        <w:fldChar w:fldCharType="separate"/>
      </w:r>
      <w:hyperlink w:anchor="_Toc242798833" w:history="1">
        <w:r w:rsidR="00204A2F" w:rsidRPr="00AC0F13">
          <w:rPr>
            <w:rStyle w:val="Hyperlink"/>
            <w:rFonts w:ascii="Arial" w:hAnsi="Arial" w:cs="Arial"/>
            <w:noProof/>
            <w:color w:val="000000" w:themeColor="text1"/>
            <w:sz w:val="24"/>
            <w:szCs w:val="24"/>
          </w:rPr>
          <w:t>Introduction</w:t>
        </w:r>
        <w:r w:rsidR="00204A2F" w:rsidRPr="00AC0F13">
          <w:rPr>
            <w:rFonts w:ascii="Arial" w:hAnsi="Arial" w:cs="Arial"/>
            <w:noProof/>
            <w:webHidden/>
            <w:color w:val="000000" w:themeColor="text1"/>
            <w:sz w:val="24"/>
            <w:szCs w:val="24"/>
          </w:rPr>
          <w:tab/>
        </w:r>
        <w:r w:rsidR="00204A2F" w:rsidRPr="00AC0F13">
          <w:rPr>
            <w:rFonts w:ascii="Arial" w:hAnsi="Arial" w:cs="Arial"/>
            <w:noProof/>
            <w:webHidden/>
            <w:color w:val="000000" w:themeColor="text1"/>
            <w:sz w:val="24"/>
            <w:szCs w:val="24"/>
          </w:rPr>
          <w:fldChar w:fldCharType="begin"/>
        </w:r>
        <w:r w:rsidR="00204A2F" w:rsidRPr="00AC0F13">
          <w:rPr>
            <w:rFonts w:ascii="Arial" w:hAnsi="Arial" w:cs="Arial"/>
            <w:noProof/>
            <w:webHidden/>
            <w:color w:val="000000" w:themeColor="text1"/>
            <w:sz w:val="24"/>
            <w:szCs w:val="24"/>
          </w:rPr>
          <w:instrText xml:space="preserve"> PAGEREF _Toc242798833 \h </w:instrText>
        </w:r>
        <w:r w:rsidR="00204A2F" w:rsidRPr="00AC0F13">
          <w:rPr>
            <w:rFonts w:ascii="Arial" w:hAnsi="Arial" w:cs="Arial"/>
            <w:noProof/>
            <w:webHidden/>
            <w:color w:val="000000" w:themeColor="text1"/>
            <w:sz w:val="24"/>
            <w:szCs w:val="24"/>
          </w:rPr>
        </w:r>
        <w:r w:rsidR="00204A2F" w:rsidRPr="00AC0F13">
          <w:rPr>
            <w:rFonts w:ascii="Arial" w:hAnsi="Arial" w:cs="Arial"/>
            <w:noProof/>
            <w:webHidden/>
            <w:color w:val="000000" w:themeColor="text1"/>
            <w:sz w:val="24"/>
            <w:szCs w:val="24"/>
          </w:rPr>
          <w:fldChar w:fldCharType="separate"/>
        </w:r>
        <w:r w:rsidR="00204A2F" w:rsidRPr="00AC0F13">
          <w:rPr>
            <w:rFonts w:ascii="Arial" w:hAnsi="Arial" w:cs="Arial"/>
            <w:noProof/>
            <w:webHidden/>
            <w:color w:val="000000" w:themeColor="text1"/>
            <w:sz w:val="24"/>
            <w:szCs w:val="24"/>
          </w:rPr>
          <w:t>3</w:t>
        </w:r>
        <w:r w:rsidR="00204A2F" w:rsidRPr="00AC0F13">
          <w:rPr>
            <w:rFonts w:ascii="Arial" w:hAnsi="Arial" w:cs="Arial"/>
            <w:noProof/>
            <w:webHidden/>
            <w:color w:val="000000" w:themeColor="text1"/>
            <w:sz w:val="24"/>
            <w:szCs w:val="24"/>
          </w:rPr>
          <w:fldChar w:fldCharType="end"/>
        </w:r>
      </w:hyperlink>
    </w:p>
    <w:p w14:paraId="650D9594" w14:textId="21E37846" w:rsidR="00204A2F" w:rsidRPr="00AC0F13" w:rsidRDefault="0040476A" w:rsidP="00AC0F13">
      <w:pPr>
        <w:pStyle w:val="TOC1"/>
        <w:tabs>
          <w:tab w:val="right" w:leader="dot" w:pos="9782"/>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798834" w:history="1">
        <w:r w:rsidR="00204A2F" w:rsidRPr="00AC0F13">
          <w:rPr>
            <w:rStyle w:val="Hyperlink"/>
            <w:rFonts w:ascii="Arial" w:hAnsi="Arial" w:cs="Arial"/>
            <w:noProof/>
            <w:color w:val="000000" w:themeColor="text1"/>
            <w:sz w:val="24"/>
            <w:szCs w:val="24"/>
          </w:rPr>
          <w:t>Task 1: Marketing Environment Analysis</w:t>
        </w:r>
        <w:r w:rsidR="00204A2F" w:rsidRPr="00AC0F13">
          <w:rPr>
            <w:rFonts w:ascii="Arial" w:hAnsi="Arial" w:cs="Arial"/>
            <w:noProof/>
            <w:webHidden/>
            <w:color w:val="000000" w:themeColor="text1"/>
            <w:sz w:val="24"/>
            <w:szCs w:val="24"/>
          </w:rPr>
          <w:tab/>
        </w:r>
        <w:r w:rsidR="00204A2F" w:rsidRPr="00AC0F13">
          <w:rPr>
            <w:rFonts w:ascii="Arial" w:hAnsi="Arial" w:cs="Arial"/>
            <w:noProof/>
            <w:webHidden/>
            <w:color w:val="000000" w:themeColor="text1"/>
            <w:sz w:val="24"/>
            <w:szCs w:val="24"/>
          </w:rPr>
          <w:fldChar w:fldCharType="begin"/>
        </w:r>
        <w:r w:rsidR="00204A2F" w:rsidRPr="00AC0F13">
          <w:rPr>
            <w:rFonts w:ascii="Arial" w:hAnsi="Arial" w:cs="Arial"/>
            <w:noProof/>
            <w:webHidden/>
            <w:color w:val="000000" w:themeColor="text1"/>
            <w:sz w:val="24"/>
            <w:szCs w:val="24"/>
          </w:rPr>
          <w:instrText xml:space="preserve"> PAGEREF _Toc242798834 \h </w:instrText>
        </w:r>
        <w:r w:rsidR="00204A2F" w:rsidRPr="00AC0F13">
          <w:rPr>
            <w:rFonts w:ascii="Arial" w:hAnsi="Arial" w:cs="Arial"/>
            <w:noProof/>
            <w:webHidden/>
            <w:color w:val="000000" w:themeColor="text1"/>
            <w:sz w:val="24"/>
            <w:szCs w:val="24"/>
          </w:rPr>
        </w:r>
        <w:r w:rsidR="00204A2F" w:rsidRPr="00AC0F13">
          <w:rPr>
            <w:rFonts w:ascii="Arial" w:hAnsi="Arial" w:cs="Arial"/>
            <w:noProof/>
            <w:webHidden/>
            <w:color w:val="000000" w:themeColor="text1"/>
            <w:sz w:val="24"/>
            <w:szCs w:val="24"/>
          </w:rPr>
          <w:fldChar w:fldCharType="separate"/>
        </w:r>
        <w:r w:rsidR="00204A2F" w:rsidRPr="00AC0F13">
          <w:rPr>
            <w:rFonts w:ascii="Arial" w:hAnsi="Arial" w:cs="Arial"/>
            <w:noProof/>
            <w:webHidden/>
            <w:color w:val="000000" w:themeColor="text1"/>
            <w:sz w:val="24"/>
            <w:szCs w:val="24"/>
          </w:rPr>
          <w:t>3</w:t>
        </w:r>
        <w:r w:rsidR="00204A2F" w:rsidRPr="00AC0F13">
          <w:rPr>
            <w:rFonts w:ascii="Arial" w:hAnsi="Arial" w:cs="Arial"/>
            <w:noProof/>
            <w:webHidden/>
            <w:color w:val="000000" w:themeColor="text1"/>
            <w:sz w:val="24"/>
            <w:szCs w:val="24"/>
          </w:rPr>
          <w:fldChar w:fldCharType="end"/>
        </w:r>
      </w:hyperlink>
    </w:p>
    <w:p w14:paraId="5530326B" w14:textId="76B81058" w:rsidR="00204A2F" w:rsidRPr="00AC0F13" w:rsidRDefault="0040476A" w:rsidP="00AC0F13">
      <w:pPr>
        <w:pStyle w:val="TOC2"/>
        <w:tabs>
          <w:tab w:val="right" w:leader="dot" w:pos="9782"/>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798835" w:history="1">
        <w:r w:rsidR="00204A2F" w:rsidRPr="00AC0F13">
          <w:rPr>
            <w:rStyle w:val="Hyperlink"/>
            <w:rFonts w:ascii="Arial" w:hAnsi="Arial" w:cs="Arial"/>
            <w:noProof/>
            <w:color w:val="000000" w:themeColor="text1"/>
            <w:sz w:val="24"/>
            <w:szCs w:val="24"/>
          </w:rPr>
          <w:t>1.1 BHP’s Strategic Position</w:t>
        </w:r>
        <w:r w:rsidR="00204A2F" w:rsidRPr="00AC0F13">
          <w:rPr>
            <w:rFonts w:ascii="Arial" w:hAnsi="Arial" w:cs="Arial"/>
            <w:noProof/>
            <w:webHidden/>
            <w:color w:val="000000" w:themeColor="text1"/>
            <w:sz w:val="24"/>
            <w:szCs w:val="24"/>
          </w:rPr>
          <w:tab/>
        </w:r>
        <w:r w:rsidR="00204A2F" w:rsidRPr="00AC0F13">
          <w:rPr>
            <w:rFonts w:ascii="Arial" w:hAnsi="Arial" w:cs="Arial"/>
            <w:noProof/>
            <w:webHidden/>
            <w:color w:val="000000" w:themeColor="text1"/>
            <w:sz w:val="24"/>
            <w:szCs w:val="24"/>
          </w:rPr>
          <w:fldChar w:fldCharType="begin"/>
        </w:r>
        <w:r w:rsidR="00204A2F" w:rsidRPr="00AC0F13">
          <w:rPr>
            <w:rFonts w:ascii="Arial" w:hAnsi="Arial" w:cs="Arial"/>
            <w:noProof/>
            <w:webHidden/>
            <w:color w:val="000000" w:themeColor="text1"/>
            <w:sz w:val="24"/>
            <w:szCs w:val="24"/>
          </w:rPr>
          <w:instrText xml:space="preserve"> PAGEREF _Toc242798835 \h </w:instrText>
        </w:r>
        <w:r w:rsidR="00204A2F" w:rsidRPr="00AC0F13">
          <w:rPr>
            <w:rFonts w:ascii="Arial" w:hAnsi="Arial" w:cs="Arial"/>
            <w:noProof/>
            <w:webHidden/>
            <w:color w:val="000000" w:themeColor="text1"/>
            <w:sz w:val="24"/>
            <w:szCs w:val="24"/>
          </w:rPr>
        </w:r>
        <w:r w:rsidR="00204A2F" w:rsidRPr="00AC0F13">
          <w:rPr>
            <w:rFonts w:ascii="Arial" w:hAnsi="Arial" w:cs="Arial"/>
            <w:noProof/>
            <w:webHidden/>
            <w:color w:val="000000" w:themeColor="text1"/>
            <w:sz w:val="24"/>
            <w:szCs w:val="24"/>
          </w:rPr>
          <w:fldChar w:fldCharType="separate"/>
        </w:r>
        <w:r w:rsidR="00204A2F" w:rsidRPr="00AC0F13">
          <w:rPr>
            <w:rFonts w:ascii="Arial" w:hAnsi="Arial" w:cs="Arial"/>
            <w:noProof/>
            <w:webHidden/>
            <w:color w:val="000000" w:themeColor="text1"/>
            <w:sz w:val="24"/>
            <w:szCs w:val="24"/>
          </w:rPr>
          <w:t>3</w:t>
        </w:r>
        <w:r w:rsidR="00204A2F" w:rsidRPr="00AC0F13">
          <w:rPr>
            <w:rFonts w:ascii="Arial" w:hAnsi="Arial" w:cs="Arial"/>
            <w:noProof/>
            <w:webHidden/>
            <w:color w:val="000000" w:themeColor="text1"/>
            <w:sz w:val="24"/>
            <w:szCs w:val="24"/>
          </w:rPr>
          <w:fldChar w:fldCharType="end"/>
        </w:r>
      </w:hyperlink>
    </w:p>
    <w:p w14:paraId="350B230A" w14:textId="5E079C57" w:rsidR="00204A2F" w:rsidRPr="00AC0F13" w:rsidRDefault="0040476A" w:rsidP="00AC0F13">
      <w:pPr>
        <w:pStyle w:val="TOC2"/>
        <w:tabs>
          <w:tab w:val="right" w:leader="dot" w:pos="9782"/>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798836" w:history="1">
        <w:r w:rsidR="00204A2F" w:rsidRPr="00AC0F13">
          <w:rPr>
            <w:rStyle w:val="Hyperlink"/>
            <w:rFonts w:ascii="Arial" w:hAnsi="Arial" w:cs="Arial"/>
            <w:noProof/>
            <w:color w:val="000000" w:themeColor="text1"/>
            <w:sz w:val="24"/>
            <w:szCs w:val="24"/>
          </w:rPr>
          <w:t>1.2 External Actor 1: Natural and Environmental Environment</w:t>
        </w:r>
        <w:r w:rsidR="00204A2F" w:rsidRPr="00AC0F13">
          <w:rPr>
            <w:rFonts w:ascii="Arial" w:hAnsi="Arial" w:cs="Arial"/>
            <w:noProof/>
            <w:webHidden/>
            <w:color w:val="000000" w:themeColor="text1"/>
            <w:sz w:val="24"/>
            <w:szCs w:val="24"/>
          </w:rPr>
          <w:tab/>
        </w:r>
        <w:r w:rsidR="00204A2F" w:rsidRPr="00AC0F13">
          <w:rPr>
            <w:rFonts w:ascii="Arial" w:hAnsi="Arial" w:cs="Arial"/>
            <w:noProof/>
            <w:webHidden/>
            <w:color w:val="000000" w:themeColor="text1"/>
            <w:sz w:val="24"/>
            <w:szCs w:val="24"/>
          </w:rPr>
          <w:fldChar w:fldCharType="begin"/>
        </w:r>
        <w:r w:rsidR="00204A2F" w:rsidRPr="00AC0F13">
          <w:rPr>
            <w:rFonts w:ascii="Arial" w:hAnsi="Arial" w:cs="Arial"/>
            <w:noProof/>
            <w:webHidden/>
            <w:color w:val="000000" w:themeColor="text1"/>
            <w:sz w:val="24"/>
            <w:szCs w:val="24"/>
          </w:rPr>
          <w:instrText xml:space="preserve"> PAGEREF _Toc242798836 \h </w:instrText>
        </w:r>
        <w:r w:rsidR="00204A2F" w:rsidRPr="00AC0F13">
          <w:rPr>
            <w:rFonts w:ascii="Arial" w:hAnsi="Arial" w:cs="Arial"/>
            <w:noProof/>
            <w:webHidden/>
            <w:color w:val="000000" w:themeColor="text1"/>
            <w:sz w:val="24"/>
            <w:szCs w:val="24"/>
          </w:rPr>
        </w:r>
        <w:r w:rsidR="00204A2F" w:rsidRPr="00AC0F13">
          <w:rPr>
            <w:rFonts w:ascii="Arial" w:hAnsi="Arial" w:cs="Arial"/>
            <w:noProof/>
            <w:webHidden/>
            <w:color w:val="000000" w:themeColor="text1"/>
            <w:sz w:val="24"/>
            <w:szCs w:val="24"/>
          </w:rPr>
          <w:fldChar w:fldCharType="separate"/>
        </w:r>
        <w:r w:rsidR="00204A2F" w:rsidRPr="00AC0F13">
          <w:rPr>
            <w:rFonts w:ascii="Arial" w:hAnsi="Arial" w:cs="Arial"/>
            <w:noProof/>
            <w:webHidden/>
            <w:color w:val="000000" w:themeColor="text1"/>
            <w:sz w:val="24"/>
            <w:szCs w:val="24"/>
          </w:rPr>
          <w:t>4</w:t>
        </w:r>
        <w:r w:rsidR="00204A2F" w:rsidRPr="00AC0F13">
          <w:rPr>
            <w:rFonts w:ascii="Arial" w:hAnsi="Arial" w:cs="Arial"/>
            <w:noProof/>
            <w:webHidden/>
            <w:color w:val="000000" w:themeColor="text1"/>
            <w:sz w:val="24"/>
            <w:szCs w:val="24"/>
          </w:rPr>
          <w:fldChar w:fldCharType="end"/>
        </w:r>
      </w:hyperlink>
    </w:p>
    <w:p w14:paraId="074C0D41" w14:textId="259E4913" w:rsidR="00204A2F" w:rsidRPr="00AC0F13" w:rsidRDefault="0040476A" w:rsidP="00AC0F13">
      <w:pPr>
        <w:pStyle w:val="TOC2"/>
        <w:tabs>
          <w:tab w:val="right" w:leader="dot" w:pos="9782"/>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798837" w:history="1">
        <w:r w:rsidR="00204A2F" w:rsidRPr="00AC0F13">
          <w:rPr>
            <w:rStyle w:val="Hyperlink"/>
            <w:rFonts w:ascii="Arial" w:hAnsi="Arial" w:cs="Arial"/>
            <w:noProof/>
            <w:color w:val="000000" w:themeColor="text1"/>
            <w:sz w:val="24"/>
            <w:szCs w:val="24"/>
          </w:rPr>
          <w:t>1.3 External Actor 2: Political and Regulatory Environment</w:t>
        </w:r>
        <w:r w:rsidR="00204A2F" w:rsidRPr="00AC0F13">
          <w:rPr>
            <w:rFonts w:ascii="Arial" w:hAnsi="Arial" w:cs="Arial"/>
            <w:noProof/>
            <w:webHidden/>
            <w:color w:val="000000" w:themeColor="text1"/>
            <w:sz w:val="24"/>
            <w:szCs w:val="24"/>
          </w:rPr>
          <w:tab/>
        </w:r>
        <w:r w:rsidR="00204A2F" w:rsidRPr="00AC0F13">
          <w:rPr>
            <w:rFonts w:ascii="Arial" w:hAnsi="Arial" w:cs="Arial"/>
            <w:noProof/>
            <w:webHidden/>
            <w:color w:val="000000" w:themeColor="text1"/>
            <w:sz w:val="24"/>
            <w:szCs w:val="24"/>
          </w:rPr>
          <w:fldChar w:fldCharType="begin"/>
        </w:r>
        <w:r w:rsidR="00204A2F" w:rsidRPr="00AC0F13">
          <w:rPr>
            <w:rFonts w:ascii="Arial" w:hAnsi="Arial" w:cs="Arial"/>
            <w:noProof/>
            <w:webHidden/>
            <w:color w:val="000000" w:themeColor="text1"/>
            <w:sz w:val="24"/>
            <w:szCs w:val="24"/>
          </w:rPr>
          <w:instrText xml:space="preserve"> PAGEREF _Toc242798837 \h </w:instrText>
        </w:r>
        <w:r w:rsidR="00204A2F" w:rsidRPr="00AC0F13">
          <w:rPr>
            <w:rFonts w:ascii="Arial" w:hAnsi="Arial" w:cs="Arial"/>
            <w:noProof/>
            <w:webHidden/>
            <w:color w:val="000000" w:themeColor="text1"/>
            <w:sz w:val="24"/>
            <w:szCs w:val="24"/>
          </w:rPr>
        </w:r>
        <w:r w:rsidR="00204A2F" w:rsidRPr="00AC0F13">
          <w:rPr>
            <w:rFonts w:ascii="Arial" w:hAnsi="Arial" w:cs="Arial"/>
            <w:noProof/>
            <w:webHidden/>
            <w:color w:val="000000" w:themeColor="text1"/>
            <w:sz w:val="24"/>
            <w:szCs w:val="24"/>
          </w:rPr>
          <w:fldChar w:fldCharType="separate"/>
        </w:r>
        <w:r w:rsidR="00204A2F" w:rsidRPr="00AC0F13">
          <w:rPr>
            <w:rFonts w:ascii="Arial" w:hAnsi="Arial" w:cs="Arial"/>
            <w:noProof/>
            <w:webHidden/>
            <w:color w:val="000000" w:themeColor="text1"/>
            <w:sz w:val="24"/>
            <w:szCs w:val="24"/>
          </w:rPr>
          <w:t>5</w:t>
        </w:r>
        <w:r w:rsidR="00204A2F" w:rsidRPr="00AC0F13">
          <w:rPr>
            <w:rFonts w:ascii="Arial" w:hAnsi="Arial" w:cs="Arial"/>
            <w:noProof/>
            <w:webHidden/>
            <w:color w:val="000000" w:themeColor="text1"/>
            <w:sz w:val="24"/>
            <w:szCs w:val="24"/>
          </w:rPr>
          <w:fldChar w:fldCharType="end"/>
        </w:r>
      </w:hyperlink>
    </w:p>
    <w:p w14:paraId="0BA52932" w14:textId="1C4AD5AD" w:rsidR="00204A2F" w:rsidRPr="00AC0F13" w:rsidRDefault="0040476A" w:rsidP="00AC0F13">
      <w:pPr>
        <w:pStyle w:val="TOC2"/>
        <w:tabs>
          <w:tab w:val="right" w:leader="dot" w:pos="9782"/>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798838" w:history="1">
        <w:r w:rsidR="00204A2F" w:rsidRPr="00AC0F13">
          <w:rPr>
            <w:rStyle w:val="Hyperlink"/>
            <w:rFonts w:ascii="Arial" w:hAnsi="Arial" w:cs="Arial"/>
            <w:noProof/>
            <w:color w:val="000000" w:themeColor="text1"/>
            <w:sz w:val="24"/>
            <w:szCs w:val="24"/>
          </w:rPr>
          <w:t>1.4 External Factor 3: Technological Environment</w:t>
        </w:r>
        <w:r w:rsidR="00204A2F" w:rsidRPr="00AC0F13">
          <w:rPr>
            <w:rFonts w:ascii="Arial" w:hAnsi="Arial" w:cs="Arial"/>
            <w:noProof/>
            <w:webHidden/>
            <w:color w:val="000000" w:themeColor="text1"/>
            <w:sz w:val="24"/>
            <w:szCs w:val="24"/>
          </w:rPr>
          <w:tab/>
        </w:r>
        <w:r w:rsidR="00204A2F" w:rsidRPr="00AC0F13">
          <w:rPr>
            <w:rFonts w:ascii="Arial" w:hAnsi="Arial" w:cs="Arial"/>
            <w:noProof/>
            <w:webHidden/>
            <w:color w:val="000000" w:themeColor="text1"/>
            <w:sz w:val="24"/>
            <w:szCs w:val="24"/>
          </w:rPr>
          <w:fldChar w:fldCharType="begin"/>
        </w:r>
        <w:r w:rsidR="00204A2F" w:rsidRPr="00AC0F13">
          <w:rPr>
            <w:rFonts w:ascii="Arial" w:hAnsi="Arial" w:cs="Arial"/>
            <w:noProof/>
            <w:webHidden/>
            <w:color w:val="000000" w:themeColor="text1"/>
            <w:sz w:val="24"/>
            <w:szCs w:val="24"/>
          </w:rPr>
          <w:instrText xml:space="preserve"> PAGEREF _Toc242798838 \h </w:instrText>
        </w:r>
        <w:r w:rsidR="00204A2F" w:rsidRPr="00AC0F13">
          <w:rPr>
            <w:rFonts w:ascii="Arial" w:hAnsi="Arial" w:cs="Arial"/>
            <w:noProof/>
            <w:webHidden/>
            <w:color w:val="000000" w:themeColor="text1"/>
            <w:sz w:val="24"/>
            <w:szCs w:val="24"/>
          </w:rPr>
        </w:r>
        <w:r w:rsidR="00204A2F" w:rsidRPr="00AC0F13">
          <w:rPr>
            <w:rFonts w:ascii="Arial" w:hAnsi="Arial" w:cs="Arial"/>
            <w:noProof/>
            <w:webHidden/>
            <w:color w:val="000000" w:themeColor="text1"/>
            <w:sz w:val="24"/>
            <w:szCs w:val="24"/>
          </w:rPr>
          <w:fldChar w:fldCharType="separate"/>
        </w:r>
        <w:r w:rsidR="00204A2F" w:rsidRPr="00AC0F13">
          <w:rPr>
            <w:rFonts w:ascii="Arial" w:hAnsi="Arial" w:cs="Arial"/>
            <w:noProof/>
            <w:webHidden/>
            <w:color w:val="000000" w:themeColor="text1"/>
            <w:sz w:val="24"/>
            <w:szCs w:val="24"/>
          </w:rPr>
          <w:t>5</w:t>
        </w:r>
        <w:r w:rsidR="00204A2F" w:rsidRPr="00AC0F13">
          <w:rPr>
            <w:rFonts w:ascii="Arial" w:hAnsi="Arial" w:cs="Arial"/>
            <w:noProof/>
            <w:webHidden/>
            <w:color w:val="000000" w:themeColor="text1"/>
            <w:sz w:val="24"/>
            <w:szCs w:val="24"/>
          </w:rPr>
          <w:fldChar w:fldCharType="end"/>
        </w:r>
      </w:hyperlink>
    </w:p>
    <w:p w14:paraId="5A2A0794" w14:textId="19BA8716" w:rsidR="00204A2F" w:rsidRPr="00AC0F13" w:rsidRDefault="0040476A" w:rsidP="00AC0F13">
      <w:pPr>
        <w:pStyle w:val="TOC2"/>
        <w:tabs>
          <w:tab w:val="right" w:leader="dot" w:pos="9782"/>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798839" w:history="1">
        <w:r w:rsidR="00204A2F" w:rsidRPr="00AC0F13">
          <w:rPr>
            <w:rStyle w:val="Hyperlink"/>
            <w:rFonts w:ascii="Arial" w:hAnsi="Arial" w:cs="Arial"/>
            <w:noProof/>
            <w:color w:val="000000" w:themeColor="text1"/>
            <w:sz w:val="24"/>
            <w:szCs w:val="24"/>
          </w:rPr>
          <w:t>1.5 Integrated Environmental Assessment</w:t>
        </w:r>
        <w:r w:rsidR="00204A2F" w:rsidRPr="00AC0F13">
          <w:rPr>
            <w:rFonts w:ascii="Arial" w:hAnsi="Arial" w:cs="Arial"/>
            <w:noProof/>
            <w:webHidden/>
            <w:color w:val="000000" w:themeColor="text1"/>
            <w:sz w:val="24"/>
            <w:szCs w:val="24"/>
          </w:rPr>
          <w:tab/>
        </w:r>
        <w:r w:rsidR="00204A2F" w:rsidRPr="00AC0F13">
          <w:rPr>
            <w:rFonts w:ascii="Arial" w:hAnsi="Arial" w:cs="Arial"/>
            <w:noProof/>
            <w:webHidden/>
            <w:color w:val="000000" w:themeColor="text1"/>
            <w:sz w:val="24"/>
            <w:szCs w:val="24"/>
          </w:rPr>
          <w:fldChar w:fldCharType="begin"/>
        </w:r>
        <w:r w:rsidR="00204A2F" w:rsidRPr="00AC0F13">
          <w:rPr>
            <w:rFonts w:ascii="Arial" w:hAnsi="Arial" w:cs="Arial"/>
            <w:noProof/>
            <w:webHidden/>
            <w:color w:val="000000" w:themeColor="text1"/>
            <w:sz w:val="24"/>
            <w:szCs w:val="24"/>
          </w:rPr>
          <w:instrText xml:space="preserve"> PAGEREF _Toc242798839 \h </w:instrText>
        </w:r>
        <w:r w:rsidR="00204A2F" w:rsidRPr="00AC0F13">
          <w:rPr>
            <w:rFonts w:ascii="Arial" w:hAnsi="Arial" w:cs="Arial"/>
            <w:noProof/>
            <w:webHidden/>
            <w:color w:val="000000" w:themeColor="text1"/>
            <w:sz w:val="24"/>
            <w:szCs w:val="24"/>
          </w:rPr>
        </w:r>
        <w:r w:rsidR="00204A2F" w:rsidRPr="00AC0F13">
          <w:rPr>
            <w:rFonts w:ascii="Arial" w:hAnsi="Arial" w:cs="Arial"/>
            <w:noProof/>
            <w:webHidden/>
            <w:color w:val="000000" w:themeColor="text1"/>
            <w:sz w:val="24"/>
            <w:szCs w:val="24"/>
          </w:rPr>
          <w:fldChar w:fldCharType="separate"/>
        </w:r>
        <w:r w:rsidR="00204A2F" w:rsidRPr="00AC0F13">
          <w:rPr>
            <w:rFonts w:ascii="Arial" w:hAnsi="Arial" w:cs="Arial"/>
            <w:noProof/>
            <w:webHidden/>
            <w:color w:val="000000" w:themeColor="text1"/>
            <w:sz w:val="24"/>
            <w:szCs w:val="24"/>
          </w:rPr>
          <w:t>6</w:t>
        </w:r>
        <w:r w:rsidR="00204A2F" w:rsidRPr="00AC0F13">
          <w:rPr>
            <w:rFonts w:ascii="Arial" w:hAnsi="Arial" w:cs="Arial"/>
            <w:noProof/>
            <w:webHidden/>
            <w:color w:val="000000" w:themeColor="text1"/>
            <w:sz w:val="24"/>
            <w:szCs w:val="24"/>
          </w:rPr>
          <w:fldChar w:fldCharType="end"/>
        </w:r>
      </w:hyperlink>
    </w:p>
    <w:p w14:paraId="19719D3F" w14:textId="75E1017B" w:rsidR="00204A2F" w:rsidRPr="00AC0F13" w:rsidRDefault="0040476A" w:rsidP="00AC0F13">
      <w:pPr>
        <w:pStyle w:val="TOC1"/>
        <w:tabs>
          <w:tab w:val="right" w:leader="dot" w:pos="9782"/>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798840" w:history="1">
        <w:r w:rsidR="00204A2F" w:rsidRPr="00AC0F13">
          <w:rPr>
            <w:rStyle w:val="Hyperlink"/>
            <w:rFonts w:ascii="Arial" w:hAnsi="Arial" w:cs="Arial"/>
            <w:noProof/>
            <w:color w:val="000000" w:themeColor="text1"/>
            <w:sz w:val="24"/>
            <w:szCs w:val="24"/>
          </w:rPr>
          <w:t>Task 2: Strategic Growth and Competitive Positioning</w:t>
        </w:r>
        <w:r w:rsidR="00204A2F" w:rsidRPr="00AC0F13">
          <w:rPr>
            <w:rFonts w:ascii="Arial" w:hAnsi="Arial" w:cs="Arial"/>
            <w:noProof/>
            <w:webHidden/>
            <w:color w:val="000000" w:themeColor="text1"/>
            <w:sz w:val="24"/>
            <w:szCs w:val="24"/>
          </w:rPr>
          <w:tab/>
        </w:r>
        <w:r w:rsidR="00204A2F" w:rsidRPr="00AC0F13">
          <w:rPr>
            <w:rFonts w:ascii="Arial" w:hAnsi="Arial" w:cs="Arial"/>
            <w:noProof/>
            <w:webHidden/>
            <w:color w:val="000000" w:themeColor="text1"/>
            <w:sz w:val="24"/>
            <w:szCs w:val="24"/>
          </w:rPr>
          <w:fldChar w:fldCharType="begin"/>
        </w:r>
        <w:r w:rsidR="00204A2F" w:rsidRPr="00AC0F13">
          <w:rPr>
            <w:rFonts w:ascii="Arial" w:hAnsi="Arial" w:cs="Arial"/>
            <w:noProof/>
            <w:webHidden/>
            <w:color w:val="000000" w:themeColor="text1"/>
            <w:sz w:val="24"/>
            <w:szCs w:val="24"/>
          </w:rPr>
          <w:instrText xml:space="preserve"> PAGEREF _Toc242798840 \h </w:instrText>
        </w:r>
        <w:r w:rsidR="00204A2F" w:rsidRPr="00AC0F13">
          <w:rPr>
            <w:rFonts w:ascii="Arial" w:hAnsi="Arial" w:cs="Arial"/>
            <w:noProof/>
            <w:webHidden/>
            <w:color w:val="000000" w:themeColor="text1"/>
            <w:sz w:val="24"/>
            <w:szCs w:val="24"/>
          </w:rPr>
        </w:r>
        <w:r w:rsidR="00204A2F" w:rsidRPr="00AC0F13">
          <w:rPr>
            <w:rFonts w:ascii="Arial" w:hAnsi="Arial" w:cs="Arial"/>
            <w:noProof/>
            <w:webHidden/>
            <w:color w:val="000000" w:themeColor="text1"/>
            <w:sz w:val="24"/>
            <w:szCs w:val="24"/>
          </w:rPr>
          <w:fldChar w:fldCharType="separate"/>
        </w:r>
        <w:r w:rsidR="00204A2F" w:rsidRPr="00AC0F13">
          <w:rPr>
            <w:rFonts w:ascii="Arial" w:hAnsi="Arial" w:cs="Arial"/>
            <w:noProof/>
            <w:webHidden/>
            <w:color w:val="000000" w:themeColor="text1"/>
            <w:sz w:val="24"/>
            <w:szCs w:val="24"/>
          </w:rPr>
          <w:t>7</w:t>
        </w:r>
        <w:r w:rsidR="00204A2F" w:rsidRPr="00AC0F13">
          <w:rPr>
            <w:rFonts w:ascii="Arial" w:hAnsi="Arial" w:cs="Arial"/>
            <w:noProof/>
            <w:webHidden/>
            <w:color w:val="000000" w:themeColor="text1"/>
            <w:sz w:val="24"/>
            <w:szCs w:val="24"/>
          </w:rPr>
          <w:fldChar w:fldCharType="end"/>
        </w:r>
      </w:hyperlink>
    </w:p>
    <w:p w14:paraId="36AA439E" w14:textId="0A1B17CD" w:rsidR="00204A2F" w:rsidRPr="00AC0F13" w:rsidRDefault="0040476A" w:rsidP="00AC0F13">
      <w:pPr>
        <w:pStyle w:val="TOC2"/>
        <w:tabs>
          <w:tab w:val="right" w:leader="dot" w:pos="9782"/>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798841" w:history="1">
        <w:r w:rsidR="00204A2F" w:rsidRPr="00AC0F13">
          <w:rPr>
            <w:rStyle w:val="Hyperlink"/>
            <w:rFonts w:ascii="Arial" w:hAnsi="Arial" w:cs="Arial"/>
            <w:noProof/>
            <w:color w:val="000000" w:themeColor="text1"/>
            <w:sz w:val="24"/>
            <w:szCs w:val="24"/>
          </w:rPr>
          <w:t>2.1 Ansoff Matrix</w:t>
        </w:r>
        <w:r w:rsidR="00204A2F" w:rsidRPr="00AC0F13">
          <w:rPr>
            <w:rFonts w:ascii="Arial" w:hAnsi="Arial" w:cs="Arial"/>
            <w:noProof/>
            <w:webHidden/>
            <w:color w:val="000000" w:themeColor="text1"/>
            <w:sz w:val="24"/>
            <w:szCs w:val="24"/>
          </w:rPr>
          <w:tab/>
        </w:r>
        <w:r w:rsidR="00204A2F" w:rsidRPr="00AC0F13">
          <w:rPr>
            <w:rFonts w:ascii="Arial" w:hAnsi="Arial" w:cs="Arial"/>
            <w:noProof/>
            <w:webHidden/>
            <w:color w:val="000000" w:themeColor="text1"/>
            <w:sz w:val="24"/>
            <w:szCs w:val="24"/>
          </w:rPr>
          <w:fldChar w:fldCharType="begin"/>
        </w:r>
        <w:r w:rsidR="00204A2F" w:rsidRPr="00AC0F13">
          <w:rPr>
            <w:rFonts w:ascii="Arial" w:hAnsi="Arial" w:cs="Arial"/>
            <w:noProof/>
            <w:webHidden/>
            <w:color w:val="000000" w:themeColor="text1"/>
            <w:sz w:val="24"/>
            <w:szCs w:val="24"/>
          </w:rPr>
          <w:instrText xml:space="preserve"> PAGEREF _Toc242798841 \h </w:instrText>
        </w:r>
        <w:r w:rsidR="00204A2F" w:rsidRPr="00AC0F13">
          <w:rPr>
            <w:rFonts w:ascii="Arial" w:hAnsi="Arial" w:cs="Arial"/>
            <w:noProof/>
            <w:webHidden/>
            <w:color w:val="000000" w:themeColor="text1"/>
            <w:sz w:val="24"/>
            <w:szCs w:val="24"/>
          </w:rPr>
        </w:r>
        <w:r w:rsidR="00204A2F" w:rsidRPr="00AC0F13">
          <w:rPr>
            <w:rFonts w:ascii="Arial" w:hAnsi="Arial" w:cs="Arial"/>
            <w:noProof/>
            <w:webHidden/>
            <w:color w:val="000000" w:themeColor="text1"/>
            <w:sz w:val="24"/>
            <w:szCs w:val="24"/>
          </w:rPr>
          <w:fldChar w:fldCharType="separate"/>
        </w:r>
        <w:r w:rsidR="00204A2F" w:rsidRPr="00AC0F13">
          <w:rPr>
            <w:rFonts w:ascii="Arial" w:hAnsi="Arial" w:cs="Arial"/>
            <w:noProof/>
            <w:webHidden/>
            <w:color w:val="000000" w:themeColor="text1"/>
            <w:sz w:val="24"/>
            <w:szCs w:val="24"/>
          </w:rPr>
          <w:t>7</w:t>
        </w:r>
        <w:r w:rsidR="00204A2F" w:rsidRPr="00AC0F13">
          <w:rPr>
            <w:rFonts w:ascii="Arial" w:hAnsi="Arial" w:cs="Arial"/>
            <w:noProof/>
            <w:webHidden/>
            <w:color w:val="000000" w:themeColor="text1"/>
            <w:sz w:val="24"/>
            <w:szCs w:val="24"/>
          </w:rPr>
          <w:fldChar w:fldCharType="end"/>
        </w:r>
      </w:hyperlink>
    </w:p>
    <w:p w14:paraId="3CF0D40C" w14:textId="05EDB4DF" w:rsidR="00204A2F" w:rsidRPr="00AC0F13" w:rsidRDefault="0040476A" w:rsidP="00AC0F13">
      <w:pPr>
        <w:pStyle w:val="TOC2"/>
        <w:tabs>
          <w:tab w:val="right" w:leader="dot" w:pos="9782"/>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798842" w:history="1">
        <w:r w:rsidR="00204A2F" w:rsidRPr="00AC0F13">
          <w:rPr>
            <w:rStyle w:val="Hyperlink"/>
            <w:rFonts w:ascii="Arial" w:hAnsi="Arial" w:cs="Arial"/>
            <w:noProof/>
            <w:color w:val="000000" w:themeColor="text1"/>
            <w:sz w:val="24"/>
            <w:szCs w:val="24"/>
          </w:rPr>
          <w:t>2.2 Recommended Strategy: Product Development</w:t>
        </w:r>
        <w:r w:rsidR="00204A2F" w:rsidRPr="00AC0F13">
          <w:rPr>
            <w:rFonts w:ascii="Arial" w:hAnsi="Arial" w:cs="Arial"/>
            <w:noProof/>
            <w:webHidden/>
            <w:color w:val="000000" w:themeColor="text1"/>
            <w:sz w:val="24"/>
            <w:szCs w:val="24"/>
          </w:rPr>
          <w:tab/>
        </w:r>
        <w:r w:rsidR="00204A2F" w:rsidRPr="00AC0F13">
          <w:rPr>
            <w:rFonts w:ascii="Arial" w:hAnsi="Arial" w:cs="Arial"/>
            <w:noProof/>
            <w:webHidden/>
            <w:color w:val="000000" w:themeColor="text1"/>
            <w:sz w:val="24"/>
            <w:szCs w:val="24"/>
          </w:rPr>
          <w:fldChar w:fldCharType="begin"/>
        </w:r>
        <w:r w:rsidR="00204A2F" w:rsidRPr="00AC0F13">
          <w:rPr>
            <w:rFonts w:ascii="Arial" w:hAnsi="Arial" w:cs="Arial"/>
            <w:noProof/>
            <w:webHidden/>
            <w:color w:val="000000" w:themeColor="text1"/>
            <w:sz w:val="24"/>
            <w:szCs w:val="24"/>
          </w:rPr>
          <w:instrText xml:space="preserve"> PAGEREF _Toc242798842 \h </w:instrText>
        </w:r>
        <w:r w:rsidR="00204A2F" w:rsidRPr="00AC0F13">
          <w:rPr>
            <w:rFonts w:ascii="Arial" w:hAnsi="Arial" w:cs="Arial"/>
            <w:noProof/>
            <w:webHidden/>
            <w:color w:val="000000" w:themeColor="text1"/>
            <w:sz w:val="24"/>
            <w:szCs w:val="24"/>
          </w:rPr>
        </w:r>
        <w:r w:rsidR="00204A2F" w:rsidRPr="00AC0F13">
          <w:rPr>
            <w:rFonts w:ascii="Arial" w:hAnsi="Arial" w:cs="Arial"/>
            <w:noProof/>
            <w:webHidden/>
            <w:color w:val="000000" w:themeColor="text1"/>
            <w:sz w:val="24"/>
            <w:szCs w:val="24"/>
          </w:rPr>
          <w:fldChar w:fldCharType="separate"/>
        </w:r>
        <w:r w:rsidR="00204A2F" w:rsidRPr="00AC0F13">
          <w:rPr>
            <w:rFonts w:ascii="Arial" w:hAnsi="Arial" w:cs="Arial"/>
            <w:noProof/>
            <w:webHidden/>
            <w:color w:val="000000" w:themeColor="text1"/>
            <w:sz w:val="24"/>
            <w:szCs w:val="24"/>
          </w:rPr>
          <w:t>8</w:t>
        </w:r>
        <w:r w:rsidR="00204A2F" w:rsidRPr="00AC0F13">
          <w:rPr>
            <w:rFonts w:ascii="Arial" w:hAnsi="Arial" w:cs="Arial"/>
            <w:noProof/>
            <w:webHidden/>
            <w:color w:val="000000" w:themeColor="text1"/>
            <w:sz w:val="24"/>
            <w:szCs w:val="24"/>
          </w:rPr>
          <w:fldChar w:fldCharType="end"/>
        </w:r>
      </w:hyperlink>
    </w:p>
    <w:p w14:paraId="7E03AD6B" w14:textId="479B0766" w:rsidR="00204A2F" w:rsidRPr="00AC0F13" w:rsidRDefault="0040476A" w:rsidP="00AC0F13">
      <w:pPr>
        <w:pStyle w:val="TOC2"/>
        <w:tabs>
          <w:tab w:val="right" w:leader="dot" w:pos="9782"/>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798843" w:history="1">
        <w:r w:rsidR="00204A2F" w:rsidRPr="00AC0F13">
          <w:rPr>
            <w:rStyle w:val="Hyperlink"/>
            <w:rFonts w:ascii="Arial" w:hAnsi="Arial" w:cs="Arial"/>
            <w:noProof/>
            <w:color w:val="000000" w:themeColor="text1"/>
            <w:sz w:val="24"/>
            <w:szCs w:val="24"/>
          </w:rPr>
          <w:t>2.3 Market Development</w:t>
        </w:r>
        <w:r w:rsidR="00204A2F" w:rsidRPr="00AC0F13">
          <w:rPr>
            <w:rFonts w:ascii="Arial" w:hAnsi="Arial" w:cs="Arial"/>
            <w:noProof/>
            <w:webHidden/>
            <w:color w:val="000000" w:themeColor="text1"/>
            <w:sz w:val="24"/>
            <w:szCs w:val="24"/>
          </w:rPr>
          <w:tab/>
        </w:r>
        <w:r w:rsidR="00204A2F" w:rsidRPr="00AC0F13">
          <w:rPr>
            <w:rFonts w:ascii="Arial" w:hAnsi="Arial" w:cs="Arial"/>
            <w:noProof/>
            <w:webHidden/>
            <w:color w:val="000000" w:themeColor="text1"/>
            <w:sz w:val="24"/>
            <w:szCs w:val="24"/>
          </w:rPr>
          <w:fldChar w:fldCharType="begin"/>
        </w:r>
        <w:r w:rsidR="00204A2F" w:rsidRPr="00AC0F13">
          <w:rPr>
            <w:rFonts w:ascii="Arial" w:hAnsi="Arial" w:cs="Arial"/>
            <w:noProof/>
            <w:webHidden/>
            <w:color w:val="000000" w:themeColor="text1"/>
            <w:sz w:val="24"/>
            <w:szCs w:val="24"/>
          </w:rPr>
          <w:instrText xml:space="preserve"> PAGEREF _Toc242798843 \h </w:instrText>
        </w:r>
        <w:r w:rsidR="00204A2F" w:rsidRPr="00AC0F13">
          <w:rPr>
            <w:rFonts w:ascii="Arial" w:hAnsi="Arial" w:cs="Arial"/>
            <w:noProof/>
            <w:webHidden/>
            <w:color w:val="000000" w:themeColor="text1"/>
            <w:sz w:val="24"/>
            <w:szCs w:val="24"/>
          </w:rPr>
        </w:r>
        <w:r w:rsidR="00204A2F" w:rsidRPr="00AC0F13">
          <w:rPr>
            <w:rFonts w:ascii="Arial" w:hAnsi="Arial" w:cs="Arial"/>
            <w:noProof/>
            <w:webHidden/>
            <w:color w:val="000000" w:themeColor="text1"/>
            <w:sz w:val="24"/>
            <w:szCs w:val="24"/>
          </w:rPr>
          <w:fldChar w:fldCharType="separate"/>
        </w:r>
        <w:r w:rsidR="00204A2F" w:rsidRPr="00AC0F13">
          <w:rPr>
            <w:rFonts w:ascii="Arial" w:hAnsi="Arial" w:cs="Arial"/>
            <w:noProof/>
            <w:webHidden/>
            <w:color w:val="000000" w:themeColor="text1"/>
            <w:sz w:val="24"/>
            <w:szCs w:val="24"/>
          </w:rPr>
          <w:t>8</w:t>
        </w:r>
        <w:r w:rsidR="00204A2F" w:rsidRPr="00AC0F13">
          <w:rPr>
            <w:rFonts w:ascii="Arial" w:hAnsi="Arial" w:cs="Arial"/>
            <w:noProof/>
            <w:webHidden/>
            <w:color w:val="000000" w:themeColor="text1"/>
            <w:sz w:val="24"/>
            <w:szCs w:val="24"/>
          </w:rPr>
          <w:fldChar w:fldCharType="end"/>
        </w:r>
      </w:hyperlink>
    </w:p>
    <w:p w14:paraId="6E20D2A3" w14:textId="057131B9" w:rsidR="00204A2F" w:rsidRPr="00AC0F13" w:rsidRDefault="0040476A" w:rsidP="00AC0F13">
      <w:pPr>
        <w:pStyle w:val="TOC2"/>
        <w:tabs>
          <w:tab w:val="right" w:leader="dot" w:pos="9782"/>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798844" w:history="1">
        <w:r w:rsidR="00204A2F" w:rsidRPr="00AC0F13">
          <w:rPr>
            <w:rStyle w:val="Hyperlink"/>
            <w:rFonts w:ascii="Arial" w:hAnsi="Arial" w:cs="Arial"/>
            <w:noProof/>
            <w:color w:val="000000" w:themeColor="text1"/>
            <w:sz w:val="24"/>
            <w:szCs w:val="24"/>
          </w:rPr>
          <w:t>2.4 Competitive Advantage: Porter’s Generic Strategies</w:t>
        </w:r>
        <w:r w:rsidR="00204A2F" w:rsidRPr="00AC0F13">
          <w:rPr>
            <w:rFonts w:ascii="Arial" w:hAnsi="Arial" w:cs="Arial"/>
            <w:noProof/>
            <w:webHidden/>
            <w:color w:val="000000" w:themeColor="text1"/>
            <w:sz w:val="24"/>
            <w:szCs w:val="24"/>
          </w:rPr>
          <w:tab/>
        </w:r>
        <w:r w:rsidR="00204A2F" w:rsidRPr="00AC0F13">
          <w:rPr>
            <w:rFonts w:ascii="Arial" w:hAnsi="Arial" w:cs="Arial"/>
            <w:noProof/>
            <w:webHidden/>
            <w:color w:val="000000" w:themeColor="text1"/>
            <w:sz w:val="24"/>
            <w:szCs w:val="24"/>
          </w:rPr>
          <w:fldChar w:fldCharType="begin"/>
        </w:r>
        <w:r w:rsidR="00204A2F" w:rsidRPr="00AC0F13">
          <w:rPr>
            <w:rFonts w:ascii="Arial" w:hAnsi="Arial" w:cs="Arial"/>
            <w:noProof/>
            <w:webHidden/>
            <w:color w:val="000000" w:themeColor="text1"/>
            <w:sz w:val="24"/>
            <w:szCs w:val="24"/>
          </w:rPr>
          <w:instrText xml:space="preserve"> PAGEREF _Toc242798844 \h </w:instrText>
        </w:r>
        <w:r w:rsidR="00204A2F" w:rsidRPr="00AC0F13">
          <w:rPr>
            <w:rFonts w:ascii="Arial" w:hAnsi="Arial" w:cs="Arial"/>
            <w:noProof/>
            <w:webHidden/>
            <w:color w:val="000000" w:themeColor="text1"/>
            <w:sz w:val="24"/>
            <w:szCs w:val="24"/>
          </w:rPr>
        </w:r>
        <w:r w:rsidR="00204A2F" w:rsidRPr="00AC0F13">
          <w:rPr>
            <w:rFonts w:ascii="Arial" w:hAnsi="Arial" w:cs="Arial"/>
            <w:noProof/>
            <w:webHidden/>
            <w:color w:val="000000" w:themeColor="text1"/>
            <w:sz w:val="24"/>
            <w:szCs w:val="24"/>
          </w:rPr>
          <w:fldChar w:fldCharType="separate"/>
        </w:r>
        <w:r w:rsidR="00204A2F" w:rsidRPr="00AC0F13">
          <w:rPr>
            <w:rFonts w:ascii="Arial" w:hAnsi="Arial" w:cs="Arial"/>
            <w:noProof/>
            <w:webHidden/>
            <w:color w:val="000000" w:themeColor="text1"/>
            <w:sz w:val="24"/>
            <w:szCs w:val="24"/>
          </w:rPr>
          <w:t>9</w:t>
        </w:r>
        <w:r w:rsidR="00204A2F" w:rsidRPr="00AC0F13">
          <w:rPr>
            <w:rFonts w:ascii="Arial" w:hAnsi="Arial" w:cs="Arial"/>
            <w:noProof/>
            <w:webHidden/>
            <w:color w:val="000000" w:themeColor="text1"/>
            <w:sz w:val="24"/>
            <w:szCs w:val="24"/>
          </w:rPr>
          <w:fldChar w:fldCharType="end"/>
        </w:r>
      </w:hyperlink>
    </w:p>
    <w:p w14:paraId="7C3D9F49" w14:textId="5FBC96CE" w:rsidR="00204A2F" w:rsidRPr="00AC0F13" w:rsidRDefault="0040476A" w:rsidP="00AC0F13">
      <w:pPr>
        <w:pStyle w:val="TOC1"/>
        <w:tabs>
          <w:tab w:val="right" w:leader="dot" w:pos="9782"/>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798845" w:history="1">
        <w:r w:rsidR="00204A2F" w:rsidRPr="00AC0F13">
          <w:rPr>
            <w:rStyle w:val="Hyperlink"/>
            <w:rFonts w:ascii="Arial" w:hAnsi="Arial" w:cs="Arial"/>
            <w:noProof/>
            <w:color w:val="000000" w:themeColor="text1"/>
            <w:sz w:val="24"/>
            <w:szCs w:val="24"/>
          </w:rPr>
          <w:t>Task 3: Managerial and Professional Reflection</w:t>
        </w:r>
        <w:r w:rsidR="00204A2F" w:rsidRPr="00AC0F13">
          <w:rPr>
            <w:rFonts w:ascii="Arial" w:hAnsi="Arial" w:cs="Arial"/>
            <w:noProof/>
            <w:webHidden/>
            <w:color w:val="000000" w:themeColor="text1"/>
            <w:sz w:val="24"/>
            <w:szCs w:val="24"/>
          </w:rPr>
          <w:tab/>
        </w:r>
        <w:r w:rsidR="00204A2F" w:rsidRPr="00AC0F13">
          <w:rPr>
            <w:rFonts w:ascii="Arial" w:hAnsi="Arial" w:cs="Arial"/>
            <w:noProof/>
            <w:webHidden/>
            <w:color w:val="000000" w:themeColor="text1"/>
            <w:sz w:val="24"/>
            <w:szCs w:val="24"/>
          </w:rPr>
          <w:fldChar w:fldCharType="begin"/>
        </w:r>
        <w:r w:rsidR="00204A2F" w:rsidRPr="00AC0F13">
          <w:rPr>
            <w:rFonts w:ascii="Arial" w:hAnsi="Arial" w:cs="Arial"/>
            <w:noProof/>
            <w:webHidden/>
            <w:color w:val="000000" w:themeColor="text1"/>
            <w:sz w:val="24"/>
            <w:szCs w:val="24"/>
          </w:rPr>
          <w:instrText xml:space="preserve"> PAGEREF _Toc242798845 \h </w:instrText>
        </w:r>
        <w:r w:rsidR="00204A2F" w:rsidRPr="00AC0F13">
          <w:rPr>
            <w:rFonts w:ascii="Arial" w:hAnsi="Arial" w:cs="Arial"/>
            <w:noProof/>
            <w:webHidden/>
            <w:color w:val="000000" w:themeColor="text1"/>
            <w:sz w:val="24"/>
            <w:szCs w:val="24"/>
          </w:rPr>
        </w:r>
        <w:r w:rsidR="00204A2F" w:rsidRPr="00AC0F13">
          <w:rPr>
            <w:rFonts w:ascii="Arial" w:hAnsi="Arial" w:cs="Arial"/>
            <w:noProof/>
            <w:webHidden/>
            <w:color w:val="000000" w:themeColor="text1"/>
            <w:sz w:val="24"/>
            <w:szCs w:val="24"/>
          </w:rPr>
          <w:fldChar w:fldCharType="separate"/>
        </w:r>
        <w:r w:rsidR="00204A2F" w:rsidRPr="00AC0F13">
          <w:rPr>
            <w:rFonts w:ascii="Arial" w:hAnsi="Arial" w:cs="Arial"/>
            <w:noProof/>
            <w:webHidden/>
            <w:color w:val="000000" w:themeColor="text1"/>
            <w:sz w:val="24"/>
            <w:szCs w:val="24"/>
          </w:rPr>
          <w:t>9</w:t>
        </w:r>
        <w:r w:rsidR="00204A2F" w:rsidRPr="00AC0F13">
          <w:rPr>
            <w:rFonts w:ascii="Arial" w:hAnsi="Arial" w:cs="Arial"/>
            <w:noProof/>
            <w:webHidden/>
            <w:color w:val="000000" w:themeColor="text1"/>
            <w:sz w:val="24"/>
            <w:szCs w:val="24"/>
          </w:rPr>
          <w:fldChar w:fldCharType="end"/>
        </w:r>
      </w:hyperlink>
    </w:p>
    <w:p w14:paraId="6314BF42" w14:textId="47FFF2D2" w:rsidR="00204A2F" w:rsidRPr="00AC0F13" w:rsidRDefault="0040476A" w:rsidP="00AC0F13">
      <w:pPr>
        <w:pStyle w:val="TOC2"/>
        <w:tabs>
          <w:tab w:val="right" w:leader="dot" w:pos="9782"/>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798846" w:history="1">
        <w:r w:rsidR="00204A2F" w:rsidRPr="00AC0F13">
          <w:rPr>
            <w:rStyle w:val="Hyperlink"/>
            <w:rFonts w:ascii="Arial" w:hAnsi="Arial" w:cs="Arial"/>
            <w:noProof/>
            <w:color w:val="000000" w:themeColor="text1"/>
            <w:sz w:val="24"/>
            <w:szCs w:val="24"/>
          </w:rPr>
          <w:t>3.1 Rationale for Selecting BHP</w:t>
        </w:r>
        <w:r w:rsidR="00204A2F" w:rsidRPr="00AC0F13">
          <w:rPr>
            <w:rFonts w:ascii="Arial" w:hAnsi="Arial" w:cs="Arial"/>
            <w:noProof/>
            <w:webHidden/>
            <w:color w:val="000000" w:themeColor="text1"/>
            <w:sz w:val="24"/>
            <w:szCs w:val="24"/>
          </w:rPr>
          <w:tab/>
        </w:r>
        <w:r w:rsidR="00204A2F" w:rsidRPr="00AC0F13">
          <w:rPr>
            <w:rFonts w:ascii="Arial" w:hAnsi="Arial" w:cs="Arial"/>
            <w:noProof/>
            <w:webHidden/>
            <w:color w:val="000000" w:themeColor="text1"/>
            <w:sz w:val="24"/>
            <w:szCs w:val="24"/>
          </w:rPr>
          <w:fldChar w:fldCharType="begin"/>
        </w:r>
        <w:r w:rsidR="00204A2F" w:rsidRPr="00AC0F13">
          <w:rPr>
            <w:rFonts w:ascii="Arial" w:hAnsi="Arial" w:cs="Arial"/>
            <w:noProof/>
            <w:webHidden/>
            <w:color w:val="000000" w:themeColor="text1"/>
            <w:sz w:val="24"/>
            <w:szCs w:val="24"/>
          </w:rPr>
          <w:instrText xml:space="preserve"> PAGEREF _Toc242798846 \h </w:instrText>
        </w:r>
        <w:r w:rsidR="00204A2F" w:rsidRPr="00AC0F13">
          <w:rPr>
            <w:rFonts w:ascii="Arial" w:hAnsi="Arial" w:cs="Arial"/>
            <w:noProof/>
            <w:webHidden/>
            <w:color w:val="000000" w:themeColor="text1"/>
            <w:sz w:val="24"/>
            <w:szCs w:val="24"/>
          </w:rPr>
        </w:r>
        <w:r w:rsidR="00204A2F" w:rsidRPr="00AC0F13">
          <w:rPr>
            <w:rFonts w:ascii="Arial" w:hAnsi="Arial" w:cs="Arial"/>
            <w:noProof/>
            <w:webHidden/>
            <w:color w:val="000000" w:themeColor="text1"/>
            <w:sz w:val="24"/>
            <w:szCs w:val="24"/>
          </w:rPr>
          <w:fldChar w:fldCharType="separate"/>
        </w:r>
        <w:r w:rsidR="00204A2F" w:rsidRPr="00AC0F13">
          <w:rPr>
            <w:rFonts w:ascii="Arial" w:hAnsi="Arial" w:cs="Arial"/>
            <w:noProof/>
            <w:webHidden/>
            <w:color w:val="000000" w:themeColor="text1"/>
            <w:sz w:val="24"/>
            <w:szCs w:val="24"/>
          </w:rPr>
          <w:t>9</w:t>
        </w:r>
        <w:r w:rsidR="00204A2F" w:rsidRPr="00AC0F13">
          <w:rPr>
            <w:rFonts w:ascii="Arial" w:hAnsi="Arial" w:cs="Arial"/>
            <w:noProof/>
            <w:webHidden/>
            <w:color w:val="000000" w:themeColor="text1"/>
            <w:sz w:val="24"/>
            <w:szCs w:val="24"/>
          </w:rPr>
          <w:fldChar w:fldCharType="end"/>
        </w:r>
      </w:hyperlink>
    </w:p>
    <w:p w14:paraId="2DFA3E0A" w14:textId="1991F430" w:rsidR="00204A2F" w:rsidRPr="00AC0F13" w:rsidRDefault="0040476A" w:rsidP="00AC0F13">
      <w:pPr>
        <w:pStyle w:val="TOC2"/>
        <w:tabs>
          <w:tab w:val="right" w:leader="dot" w:pos="9782"/>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798847" w:history="1">
        <w:r w:rsidR="00204A2F" w:rsidRPr="00AC0F13">
          <w:rPr>
            <w:rStyle w:val="Hyperlink"/>
            <w:rFonts w:ascii="Arial" w:hAnsi="Arial" w:cs="Arial"/>
            <w:noProof/>
            <w:color w:val="000000" w:themeColor="text1"/>
            <w:sz w:val="24"/>
            <w:szCs w:val="24"/>
          </w:rPr>
          <w:t>3.2 Rationale for Selecting the Three Environmental Actors</w:t>
        </w:r>
        <w:r w:rsidR="00204A2F" w:rsidRPr="00AC0F13">
          <w:rPr>
            <w:rFonts w:ascii="Arial" w:hAnsi="Arial" w:cs="Arial"/>
            <w:noProof/>
            <w:webHidden/>
            <w:color w:val="000000" w:themeColor="text1"/>
            <w:sz w:val="24"/>
            <w:szCs w:val="24"/>
          </w:rPr>
          <w:tab/>
        </w:r>
        <w:r w:rsidR="00204A2F" w:rsidRPr="00AC0F13">
          <w:rPr>
            <w:rFonts w:ascii="Arial" w:hAnsi="Arial" w:cs="Arial"/>
            <w:noProof/>
            <w:webHidden/>
            <w:color w:val="000000" w:themeColor="text1"/>
            <w:sz w:val="24"/>
            <w:szCs w:val="24"/>
          </w:rPr>
          <w:fldChar w:fldCharType="begin"/>
        </w:r>
        <w:r w:rsidR="00204A2F" w:rsidRPr="00AC0F13">
          <w:rPr>
            <w:rFonts w:ascii="Arial" w:hAnsi="Arial" w:cs="Arial"/>
            <w:noProof/>
            <w:webHidden/>
            <w:color w:val="000000" w:themeColor="text1"/>
            <w:sz w:val="24"/>
            <w:szCs w:val="24"/>
          </w:rPr>
          <w:instrText xml:space="preserve"> PAGEREF _Toc242798847 \h </w:instrText>
        </w:r>
        <w:r w:rsidR="00204A2F" w:rsidRPr="00AC0F13">
          <w:rPr>
            <w:rFonts w:ascii="Arial" w:hAnsi="Arial" w:cs="Arial"/>
            <w:noProof/>
            <w:webHidden/>
            <w:color w:val="000000" w:themeColor="text1"/>
            <w:sz w:val="24"/>
            <w:szCs w:val="24"/>
          </w:rPr>
        </w:r>
        <w:r w:rsidR="00204A2F" w:rsidRPr="00AC0F13">
          <w:rPr>
            <w:rFonts w:ascii="Arial" w:hAnsi="Arial" w:cs="Arial"/>
            <w:noProof/>
            <w:webHidden/>
            <w:color w:val="000000" w:themeColor="text1"/>
            <w:sz w:val="24"/>
            <w:szCs w:val="24"/>
          </w:rPr>
          <w:fldChar w:fldCharType="separate"/>
        </w:r>
        <w:r w:rsidR="00204A2F" w:rsidRPr="00AC0F13">
          <w:rPr>
            <w:rFonts w:ascii="Arial" w:hAnsi="Arial" w:cs="Arial"/>
            <w:noProof/>
            <w:webHidden/>
            <w:color w:val="000000" w:themeColor="text1"/>
            <w:sz w:val="24"/>
            <w:szCs w:val="24"/>
          </w:rPr>
          <w:t>9</w:t>
        </w:r>
        <w:r w:rsidR="00204A2F" w:rsidRPr="00AC0F13">
          <w:rPr>
            <w:rFonts w:ascii="Arial" w:hAnsi="Arial" w:cs="Arial"/>
            <w:noProof/>
            <w:webHidden/>
            <w:color w:val="000000" w:themeColor="text1"/>
            <w:sz w:val="24"/>
            <w:szCs w:val="24"/>
          </w:rPr>
          <w:fldChar w:fldCharType="end"/>
        </w:r>
      </w:hyperlink>
    </w:p>
    <w:p w14:paraId="742AD128" w14:textId="4A4B3926" w:rsidR="00204A2F" w:rsidRPr="00AC0F13" w:rsidRDefault="0040476A" w:rsidP="00AC0F13">
      <w:pPr>
        <w:pStyle w:val="TOC2"/>
        <w:tabs>
          <w:tab w:val="right" w:leader="dot" w:pos="9782"/>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798848" w:history="1">
        <w:r w:rsidR="00204A2F" w:rsidRPr="00AC0F13">
          <w:rPr>
            <w:rStyle w:val="Hyperlink"/>
            <w:rFonts w:ascii="Arial" w:hAnsi="Arial" w:cs="Arial"/>
            <w:noProof/>
            <w:color w:val="000000" w:themeColor="text1"/>
            <w:sz w:val="24"/>
            <w:szCs w:val="24"/>
          </w:rPr>
          <w:t>3.3 Reflection on the Strategic Recommendation</w:t>
        </w:r>
        <w:r w:rsidR="00204A2F" w:rsidRPr="00AC0F13">
          <w:rPr>
            <w:rFonts w:ascii="Arial" w:hAnsi="Arial" w:cs="Arial"/>
            <w:noProof/>
            <w:webHidden/>
            <w:color w:val="000000" w:themeColor="text1"/>
            <w:sz w:val="24"/>
            <w:szCs w:val="24"/>
          </w:rPr>
          <w:tab/>
        </w:r>
        <w:r w:rsidR="00204A2F" w:rsidRPr="00AC0F13">
          <w:rPr>
            <w:rFonts w:ascii="Arial" w:hAnsi="Arial" w:cs="Arial"/>
            <w:noProof/>
            <w:webHidden/>
            <w:color w:val="000000" w:themeColor="text1"/>
            <w:sz w:val="24"/>
            <w:szCs w:val="24"/>
          </w:rPr>
          <w:fldChar w:fldCharType="begin"/>
        </w:r>
        <w:r w:rsidR="00204A2F" w:rsidRPr="00AC0F13">
          <w:rPr>
            <w:rFonts w:ascii="Arial" w:hAnsi="Arial" w:cs="Arial"/>
            <w:noProof/>
            <w:webHidden/>
            <w:color w:val="000000" w:themeColor="text1"/>
            <w:sz w:val="24"/>
            <w:szCs w:val="24"/>
          </w:rPr>
          <w:instrText xml:space="preserve"> PAGEREF _Toc242798848 \h </w:instrText>
        </w:r>
        <w:r w:rsidR="00204A2F" w:rsidRPr="00AC0F13">
          <w:rPr>
            <w:rFonts w:ascii="Arial" w:hAnsi="Arial" w:cs="Arial"/>
            <w:noProof/>
            <w:webHidden/>
            <w:color w:val="000000" w:themeColor="text1"/>
            <w:sz w:val="24"/>
            <w:szCs w:val="24"/>
          </w:rPr>
        </w:r>
        <w:r w:rsidR="00204A2F" w:rsidRPr="00AC0F13">
          <w:rPr>
            <w:rFonts w:ascii="Arial" w:hAnsi="Arial" w:cs="Arial"/>
            <w:noProof/>
            <w:webHidden/>
            <w:color w:val="000000" w:themeColor="text1"/>
            <w:sz w:val="24"/>
            <w:szCs w:val="24"/>
          </w:rPr>
          <w:fldChar w:fldCharType="separate"/>
        </w:r>
        <w:r w:rsidR="00204A2F" w:rsidRPr="00AC0F13">
          <w:rPr>
            <w:rFonts w:ascii="Arial" w:hAnsi="Arial" w:cs="Arial"/>
            <w:noProof/>
            <w:webHidden/>
            <w:color w:val="000000" w:themeColor="text1"/>
            <w:sz w:val="24"/>
            <w:szCs w:val="24"/>
          </w:rPr>
          <w:t>10</w:t>
        </w:r>
        <w:r w:rsidR="00204A2F" w:rsidRPr="00AC0F13">
          <w:rPr>
            <w:rFonts w:ascii="Arial" w:hAnsi="Arial" w:cs="Arial"/>
            <w:noProof/>
            <w:webHidden/>
            <w:color w:val="000000" w:themeColor="text1"/>
            <w:sz w:val="24"/>
            <w:szCs w:val="24"/>
          </w:rPr>
          <w:fldChar w:fldCharType="end"/>
        </w:r>
      </w:hyperlink>
    </w:p>
    <w:p w14:paraId="29A6EF55" w14:textId="15C5B5D5" w:rsidR="00204A2F" w:rsidRPr="00AC0F13" w:rsidRDefault="0040476A" w:rsidP="00AC0F13">
      <w:pPr>
        <w:pStyle w:val="TOC2"/>
        <w:tabs>
          <w:tab w:val="right" w:leader="dot" w:pos="9782"/>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798849" w:history="1">
        <w:r w:rsidR="00204A2F" w:rsidRPr="00AC0F13">
          <w:rPr>
            <w:rStyle w:val="Hyperlink"/>
            <w:rFonts w:ascii="Arial" w:hAnsi="Arial" w:cs="Arial"/>
            <w:noProof/>
            <w:color w:val="000000" w:themeColor="text1"/>
            <w:sz w:val="24"/>
            <w:szCs w:val="24"/>
          </w:rPr>
          <w:t>3.4 Limitations</w:t>
        </w:r>
        <w:r w:rsidR="00204A2F" w:rsidRPr="00AC0F13">
          <w:rPr>
            <w:rFonts w:ascii="Arial" w:hAnsi="Arial" w:cs="Arial"/>
            <w:noProof/>
            <w:webHidden/>
            <w:color w:val="000000" w:themeColor="text1"/>
            <w:sz w:val="24"/>
            <w:szCs w:val="24"/>
          </w:rPr>
          <w:tab/>
        </w:r>
        <w:r w:rsidR="00204A2F" w:rsidRPr="00AC0F13">
          <w:rPr>
            <w:rFonts w:ascii="Arial" w:hAnsi="Arial" w:cs="Arial"/>
            <w:noProof/>
            <w:webHidden/>
            <w:color w:val="000000" w:themeColor="text1"/>
            <w:sz w:val="24"/>
            <w:szCs w:val="24"/>
          </w:rPr>
          <w:fldChar w:fldCharType="begin"/>
        </w:r>
        <w:r w:rsidR="00204A2F" w:rsidRPr="00AC0F13">
          <w:rPr>
            <w:rFonts w:ascii="Arial" w:hAnsi="Arial" w:cs="Arial"/>
            <w:noProof/>
            <w:webHidden/>
            <w:color w:val="000000" w:themeColor="text1"/>
            <w:sz w:val="24"/>
            <w:szCs w:val="24"/>
          </w:rPr>
          <w:instrText xml:space="preserve"> PAGEREF _Toc242798849 \h </w:instrText>
        </w:r>
        <w:r w:rsidR="00204A2F" w:rsidRPr="00AC0F13">
          <w:rPr>
            <w:rFonts w:ascii="Arial" w:hAnsi="Arial" w:cs="Arial"/>
            <w:noProof/>
            <w:webHidden/>
            <w:color w:val="000000" w:themeColor="text1"/>
            <w:sz w:val="24"/>
            <w:szCs w:val="24"/>
          </w:rPr>
        </w:r>
        <w:r w:rsidR="00204A2F" w:rsidRPr="00AC0F13">
          <w:rPr>
            <w:rFonts w:ascii="Arial" w:hAnsi="Arial" w:cs="Arial"/>
            <w:noProof/>
            <w:webHidden/>
            <w:color w:val="000000" w:themeColor="text1"/>
            <w:sz w:val="24"/>
            <w:szCs w:val="24"/>
          </w:rPr>
          <w:fldChar w:fldCharType="separate"/>
        </w:r>
        <w:r w:rsidR="00204A2F" w:rsidRPr="00AC0F13">
          <w:rPr>
            <w:rFonts w:ascii="Arial" w:hAnsi="Arial" w:cs="Arial"/>
            <w:noProof/>
            <w:webHidden/>
            <w:color w:val="000000" w:themeColor="text1"/>
            <w:sz w:val="24"/>
            <w:szCs w:val="24"/>
          </w:rPr>
          <w:t>10</w:t>
        </w:r>
        <w:r w:rsidR="00204A2F" w:rsidRPr="00AC0F13">
          <w:rPr>
            <w:rFonts w:ascii="Arial" w:hAnsi="Arial" w:cs="Arial"/>
            <w:noProof/>
            <w:webHidden/>
            <w:color w:val="000000" w:themeColor="text1"/>
            <w:sz w:val="24"/>
            <w:szCs w:val="24"/>
          </w:rPr>
          <w:fldChar w:fldCharType="end"/>
        </w:r>
      </w:hyperlink>
    </w:p>
    <w:p w14:paraId="043856D7" w14:textId="366DA6CE" w:rsidR="00204A2F" w:rsidRPr="00AC0F13" w:rsidRDefault="0040476A" w:rsidP="00AC0F13">
      <w:pPr>
        <w:pStyle w:val="TOC1"/>
        <w:tabs>
          <w:tab w:val="right" w:leader="dot" w:pos="9782"/>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798850" w:history="1">
        <w:r w:rsidR="00204A2F" w:rsidRPr="00AC0F13">
          <w:rPr>
            <w:rStyle w:val="Hyperlink"/>
            <w:rFonts w:ascii="Arial" w:hAnsi="Arial" w:cs="Arial"/>
            <w:noProof/>
            <w:color w:val="000000" w:themeColor="text1"/>
            <w:sz w:val="24"/>
            <w:szCs w:val="24"/>
          </w:rPr>
          <w:t>Conclusion</w:t>
        </w:r>
        <w:r w:rsidR="00204A2F" w:rsidRPr="00AC0F13">
          <w:rPr>
            <w:rFonts w:ascii="Arial" w:hAnsi="Arial" w:cs="Arial"/>
            <w:noProof/>
            <w:webHidden/>
            <w:color w:val="000000" w:themeColor="text1"/>
            <w:sz w:val="24"/>
            <w:szCs w:val="24"/>
          </w:rPr>
          <w:tab/>
        </w:r>
        <w:r w:rsidR="00204A2F" w:rsidRPr="00AC0F13">
          <w:rPr>
            <w:rFonts w:ascii="Arial" w:hAnsi="Arial" w:cs="Arial"/>
            <w:noProof/>
            <w:webHidden/>
            <w:color w:val="000000" w:themeColor="text1"/>
            <w:sz w:val="24"/>
            <w:szCs w:val="24"/>
          </w:rPr>
          <w:fldChar w:fldCharType="begin"/>
        </w:r>
        <w:r w:rsidR="00204A2F" w:rsidRPr="00AC0F13">
          <w:rPr>
            <w:rFonts w:ascii="Arial" w:hAnsi="Arial" w:cs="Arial"/>
            <w:noProof/>
            <w:webHidden/>
            <w:color w:val="000000" w:themeColor="text1"/>
            <w:sz w:val="24"/>
            <w:szCs w:val="24"/>
          </w:rPr>
          <w:instrText xml:space="preserve"> PAGEREF _Toc242798850 \h </w:instrText>
        </w:r>
        <w:r w:rsidR="00204A2F" w:rsidRPr="00AC0F13">
          <w:rPr>
            <w:rFonts w:ascii="Arial" w:hAnsi="Arial" w:cs="Arial"/>
            <w:noProof/>
            <w:webHidden/>
            <w:color w:val="000000" w:themeColor="text1"/>
            <w:sz w:val="24"/>
            <w:szCs w:val="24"/>
          </w:rPr>
        </w:r>
        <w:r w:rsidR="00204A2F" w:rsidRPr="00AC0F13">
          <w:rPr>
            <w:rFonts w:ascii="Arial" w:hAnsi="Arial" w:cs="Arial"/>
            <w:noProof/>
            <w:webHidden/>
            <w:color w:val="000000" w:themeColor="text1"/>
            <w:sz w:val="24"/>
            <w:szCs w:val="24"/>
          </w:rPr>
          <w:fldChar w:fldCharType="separate"/>
        </w:r>
        <w:r w:rsidR="00204A2F" w:rsidRPr="00AC0F13">
          <w:rPr>
            <w:rFonts w:ascii="Arial" w:hAnsi="Arial" w:cs="Arial"/>
            <w:noProof/>
            <w:webHidden/>
            <w:color w:val="000000" w:themeColor="text1"/>
            <w:sz w:val="24"/>
            <w:szCs w:val="24"/>
          </w:rPr>
          <w:t>10</w:t>
        </w:r>
        <w:r w:rsidR="00204A2F" w:rsidRPr="00AC0F13">
          <w:rPr>
            <w:rFonts w:ascii="Arial" w:hAnsi="Arial" w:cs="Arial"/>
            <w:noProof/>
            <w:webHidden/>
            <w:color w:val="000000" w:themeColor="text1"/>
            <w:sz w:val="24"/>
            <w:szCs w:val="24"/>
          </w:rPr>
          <w:fldChar w:fldCharType="end"/>
        </w:r>
      </w:hyperlink>
    </w:p>
    <w:p w14:paraId="00682A1C" w14:textId="00545427" w:rsidR="00204A2F" w:rsidRPr="00AC0F13" w:rsidRDefault="0040476A" w:rsidP="00AC0F13">
      <w:pPr>
        <w:pStyle w:val="TOC1"/>
        <w:tabs>
          <w:tab w:val="right" w:leader="dot" w:pos="9782"/>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798851" w:history="1">
        <w:r w:rsidR="00204A2F" w:rsidRPr="00AC0F13">
          <w:rPr>
            <w:rStyle w:val="Hyperlink"/>
            <w:rFonts w:ascii="Arial" w:hAnsi="Arial" w:cs="Arial"/>
            <w:noProof/>
            <w:color w:val="000000" w:themeColor="text1"/>
            <w:sz w:val="24"/>
            <w:szCs w:val="24"/>
          </w:rPr>
          <w:t>References</w:t>
        </w:r>
        <w:r w:rsidR="00204A2F" w:rsidRPr="00AC0F13">
          <w:rPr>
            <w:rFonts w:ascii="Arial" w:hAnsi="Arial" w:cs="Arial"/>
            <w:noProof/>
            <w:webHidden/>
            <w:color w:val="000000" w:themeColor="text1"/>
            <w:sz w:val="24"/>
            <w:szCs w:val="24"/>
          </w:rPr>
          <w:tab/>
        </w:r>
        <w:r w:rsidR="00204A2F" w:rsidRPr="00AC0F13">
          <w:rPr>
            <w:rFonts w:ascii="Arial" w:hAnsi="Arial" w:cs="Arial"/>
            <w:noProof/>
            <w:webHidden/>
            <w:color w:val="000000" w:themeColor="text1"/>
            <w:sz w:val="24"/>
            <w:szCs w:val="24"/>
          </w:rPr>
          <w:fldChar w:fldCharType="begin"/>
        </w:r>
        <w:r w:rsidR="00204A2F" w:rsidRPr="00AC0F13">
          <w:rPr>
            <w:rFonts w:ascii="Arial" w:hAnsi="Arial" w:cs="Arial"/>
            <w:noProof/>
            <w:webHidden/>
            <w:color w:val="000000" w:themeColor="text1"/>
            <w:sz w:val="24"/>
            <w:szCs w:val="24"/>
          </w:rPr>
          <w:instrText xml:space="preserve"> PAGEREF _Toc242798851 \h </w:instrText>
        </w:r>
        <w:r w:rsidR="00204A2F" w:rsidRPr="00AC0F13">
          <w:rPr>
            <w:rFonts w:ascii="Arial" w:hAnsi="Arial" w:cs="Arial"/>
            <w:noProof/>
            <w:webHidden/>
            <w:color w:val="000000" w:themeColor="text1"/>
            <w:sz w:val="24"/>
            <w:szCs w:val="24"/>
          </w:rPr>
        </w:r>
        <w:r w:rsidR="00204A2F" w:rsidRPr="00AC0F13">
          <w:rPr>
            <w:rFonts w:ascii="Arial" w:hAnsi="Arial" w:cs="Arial"/>
            <w:noProof/>
            <w:webHidden/>
            <w:color w:val="000000" w:themeColor="text1"/>
            <w:sz w:val="24"/>
            <w:szCs w:val="24"/>
          </w:rPr>
          <w:fldChar w:fldCharType="separate"/>
        </w:r>
        <w:r w:rsidR="00204A2F" w:rsidRPr="00AC0F13">
          <w:rPr>
            <w:rFonts w:ascii="Arial" w:hAnsi="Arial" w:cs="Arial"/>
            <w:noProof/>
            <w:webHidden/>
            <w:color w:val="000000" w:themeColor="text1"/>
            <w:sz w:val="24"/>
            <w:szCs w:val="24"/>
          </w:rPr>
          <w:t>12</w:t>
        </w:r>
        <w:r w:rsidR="00204A2F" w:rsidRPr="00AC0F13">
          <w:rPr>
            <w:rFonts w:ascii="Arial" w:hAnsi="Arial" w:cs="Arial"/>
            <w:noProof/>
            <w:webHidden/>
            <w:color w:val="000000" w:themeColor="text1"/>
            <w:sz w:val="24"/>
            <w:szCs w:val="24"/>
          </w:rPr>
          <w:fldChar w:fldCharType="end"/>
        </w:r>
      </w:hyperlink>
    </w:p>
    <w:p w14:paraId="21BFE783" w14:textId="372429E5" w:rsidR="00BC7E06" w:rsidRPr="00AC0F13" w:rsidRDefault="00BC7E06" w:rsidP="00AC0F13">
      <w:pPr>
        <w:spacing w:line="360" w:lineRule="auto"/>
        <w:jc w:val="both"/>
        <w:rPr>
          <w:rFonts w:ascii="Arial" w:hAnsi="Arial" w:cs="Arial"/>
          <w:b/>
          <w:bCs/>
          <w:color w:val="000000" w:themeColor="text1"/>
          <w:sz w:val="24"/>
          <w:szCs w:val="24"/>
        </w:rPr>
      </w:pPr>
      <w:r w:rsidRPr="00AC0F13">
        <w:rPr>
          <w:rFonts w:ascii="Arial" w:hAnsi="Arial" w:cs="Arial"/>
          <w:b/>
          <w:bCs/>
          <w:color w:val="000000" w:themeColor="text1"/>
          <w:sz w:val="24"/>
          <w:szCs w:val="24"/>
        </w:rPr>
        <w:fldChar w:fldCharType="end"/>
      </w:r>
    </w:p>
    <w:p w14:paraId="398E2197" w14:textId="77777777" w:rsidR="00E34F36" w:rsidRPr="00AC0F13" w:rsidRDefault="00E34F36" w:rsidP="00AC0F13">
      <w:pPr>
        <w:spacing w:after="200" w:line="360" w:lineRule="auto"/>
        <w:jc w:val="both"/>
        <w:rPr>
          <w:rFonts w:ascii="Arial" w:eastAsiaTheme="majorEastAsia" w:hAnsi="Arial" w:cs="Arial"/>
          <w:b/>
          <w:bCs/>
          <w:color w:val="000000" w:themeColor="text1"/>
          <w:sz w:val="24"/>
          <w:szCs w:val="24"/>
        </w:rPr>
      </w:pPr>
      <w:r w:rsidRPr="00AC0F13">
        <w:rPr>
          <w:rFonts w:ascii="Arial" w:hAnsi="Arial" w:cs="Arial"/>
          <w:color w:val="000000" w:themeColor="text1"/>
          <w:sz w:val="24"/>
          <w:szCs w:val="24"/>
        </w:rPr>
        <w:br w:type="page"/>
      </w:r>
    </w:p>
    <w:p w14:paraId="7CE4DAAA" w14:textId="31A8F364" w:rsidR="005769AC" w:rsidRPr="00AC0F13" w:rsidRDefault="0040476A" w:rsidP="00AC0F13">
      <w:pPr>
        <w:pStyle w:val="Heading1"/>
        <w:spacing w:line="360" w:lineRule="auto"/>
        <w:jc w:val="both"/>
        <w:rPr>
          <w:rFonts w:ascii="Arial" w:hAnsi="Arial" w:cs="Arial"/>
          <w:color w:val="000000" w:themeColor="text1"/>
          <w:sz w:val="24"/>
          <w:szCs w:val="24"/>
        </w:rPr>
      </w:pPr>
      <w:bookmarkStart w:id="1" w:name="_Toc242798833"/>
      <w:r w:rsidRPr="00AC0F13">
        <w:rPr>
          <w:rFonts w:ascii="Arial" w:hAnsi="Arial" w:cs="Arial"/>
          <w:color w:val="000000" w:themeColor="text1"/>
          <w:sz w:val="24"/>
          <w:szCs w:val="24"/>
        </w:rPr>
        <w:lastRenderedPageBreak/>
        <w:t>Introduction</w:t>
      </w:r>
      <w:bookmarkEnd w:id="1"/>
    </w:p>
    <w:p w14:paraId="618A9D3C" w14:textId="360744EB" w:rsidR="00E34F36" w:rsidRPr="00AC0F13" w:rsidRDefault="00E6197B"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The metals and mining industry is a key player in the global transition into energy, but it is under increasing pressure to limit its negative environmental impact. This study analyzes BHP Group, formerly known as Broken Hill Proprietary Company Limited, and its marketing environment considering issues related to sustainable growth and reduced carbon emissions in mineral production. Three external environments affecting BHP's production decisions and competitiveness include: natural, political, and technological. The natural environment includes physical factors, such as climate, geology, geography, minerals, topography, and weather. The political environment includes the political structure of countries where BHP operates, and the laws and regulations that affect BHP's operations</w:t>
      </w:r>
      <w:r w:rsidR="00AC0F13" w:rsidRPr="00AC0F13">
        <w:rPr>
          <w:rFonts w:ascii="Arial" w:hAnsi="Arial" w:cs="Arial"/>
          <w:color w:val="000000" w:themeColor="text1"/>
          <w:sz w:val="24"/>
          <w:szCs w:val="24"/>
        </w:rPr>
        <w:t xml:space="preserve"> (</w:t>
      </w:r>
      <w:r w:rsidR="00AC0F13" w:rsidRPr="00AC0F13">
        <w:rPr>
          <w:rFonts w:ascii="Arial" w:hAnsi="Arial" w:cs="Arial"/>
          <w:color w:val="000000" w:themeColor="text1"/>
          <w:sz w:val="24"/>
          <w:szCs w:val="24"/>
          <w:shd w:val="clear" w:color="auto" w:fill="FFFFFF"/>
        </w:rPr>
        <w:t>Ravichandran et al., 2023)</w:t>
      </w:r>
      <w:r w:rsidRPr="00AC0F13">
        <w:rPr>
          <w:rFonts w:ascii="Arial" w:hAnsi="Arial" w:cs="Arial"/>
          <w:color w:val="000000" w:themeColor="text1"/>
          <w:sz w:val="24"/>
          <w:szCs w:val="24"/>
        </w:rPr>
        <w:t>.</w:t>
      </w:r>
    </w:p>
    <w:p w14:paraId="1DBEE044" w14:textId="4703ABA2" w:rsidR="00E34F36" w:rsidRPr="00AC0F13" w:rsidRDefault="00E34F36" w:rsidP="00AC0F13">
      <w:pPr>
        <w:pStyle w:val="Heading1"/>
        <w:spacing w:line="360" w:lineRule="auto"/>
        <w:jc w:val="both"/>
        <w:rPr>
          <w:rFonts w:ascii="Arial" w:hAnsi="Arial" w:cs="Arial"/>
          <w:color w:val="000000" w:themeColor="text1"/>
          <w:sz w:val="24"/>
          <w:szCs w:val="24"/>
        </w:rPr>
      </w:pPr>
      <w:bookmarkStart w:id="2" w:name="_Toc242798834"/>
      <w:r w:rsidRPr="00AC0F13">
        <w:rPr>
          <w:rFonts w:ascii="Arial" w:hAnsi="Arial" w:cs="Arial"/>
          <w:color w:val="000000" w:themeColor="text1"/>
          <w:sz w:val="24"/>
          <w:szCs w:val="24"/>
        </w:rPr>
        <w:t>Task 1: Marketing Environment Analysis</w:t>
      </w:r>
      <w:bookmarkEnd w:id="2"/>
      <w:r w:rsidRPr="00AC0F13">
        <w:rPr>
          <w:rFonts w:ascii="Arial" w:hAnsi="Arial" w:cs="Arial"/>
          <w:color w:val="000000" w:themeColor="text1"/>
          <w:sz w:val="24"/>
          <w:szCs w:val="24"/>
        </w:rPr>
        <w:t xml:space="preserve"> </w:t>
      </w:r>
    </w:p>
    <w:p w14:paraId="3EAE3F89" w14:textId="77777777" w:rsidR="00E34F36" w:rsidRPr="00AC0F13" w:rsidRDefault="00E34F36" w:rsidP="00AC0F13">
      <w:pPr>
        <w:pStyle w:val="Heading2"/>
        <w:spacing w:line="360" w:lineRule="auto"/>
        <w:jc w:val="both"/>
        <w:rPr>
          <w:rFonts w:ascii="Arial" w:hAnsi="Arial" w:cs="Arial"/>
          <w:color w:val="000000" w:themeColor="text1"/>
          <w:szCs w:val="24"/>
        </w:rPr>
      </w:pPr>
      <w:bookmarkStart w:id="3" w:name="_Toc242798835"/>
      <w:r w:rsidRPr="00AC0F13">
        <w:rPr>
          <w:rFonts w:ascii="Arial" w:hAnsi="Arial" w:cs="Arial"/>
          <w:color w:val="000000" w:themeColor="text1"/>
          <w:szCs w:val="24"/>
        </w:rPr>
        <w:t>1.1 BHP’s Strategic Position</w:t>
      </w:r>
      <w:bookmarkEnd w:id="3"/>
    </w:p>
    <w:p w14:paraId="3DC83267" w14:textId="0C9C46EB" w:rsidR="00E34F36" w:rsidRPr="00AC0F13" w:rsidRDefault="00E34F36"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BHP has always enjoyed a diversified range of massive mining investments.</w:t>
      </w:r>
      <w:r w:rsidR="00213D5E" w:rsidRPr="00AC0F13">
        <w:rPr>
          <w:rFonts w:ascii="Arial" w:hAnsi="Arial" w:cs="Arial"/>
          <w:color w:val="000000" w:themeColor="text1"/>
          <w:sz w:val="24"/>
          <w:szCs w:val="24"/>
        </w:rPr>
        <w:t xml:space="preserve"> On the other hand, economics underlying the transition towards an entirely new energy system on a global scale is changing the attractiveness of </w:t>
      </w:r>
      <w:r w:rsidR="00204A2F" w:rsidRPr="00AC0F13">
        <w:rPr>
          <w:rFonts w:ascii="Arial" w:hAnsi="Arial" w:cs="Arial"/>
          <w:color w:val="000000" w:themeColor="text1"/>
          <w:sz w:val="24"/>
          <w:szCs w:val="24"/>
        </w:rPr>
        <w:t>commodities</w:t>
      </w:r>
      <w:r w:rsidR="00213D5E" w:rsidRPr="00AC0F13">
        <w:rPr>
          <w:rFonts w:ascii="Arial" w:hAnsi="Arial" w:cs="Arial"/>
          <w:color w:val="000000" w:themeColor="text1"/>
          <w:sz w:val="24"/>
          <w:szCs w:val="24"/>
        </w:rPr>
        <w:t xml:space="preserve">. For instance, copper becomes </w:t>
      </w:r>
      <w:r w:rsidR="00204A2F" w:rsidRPr="00AC0F13">
        <w:rPr>
          <w:rFonts w:ascii="Arial" w:hAnsi="Arial" w:cs="Arial"/>
          <w:color w:val="000000" w:themeColor="text1"/>
          <w:sz w:val="24"/>
          <w:szCs w:val="24"/>
        </w:rPr>
        <w:t>increasingly</w:t>
      </w:r>
      <w:r w:rsidR="00213D5E" w:rsidRPr="00AC0F13">
        <w:rPr>
          <w:rFonts w:ascii="Arial" w:hAnsi="Arial" w:cs="Arial"/>
          <w:color w:val="000000" w:themeColor="text1"/>
          <w:sz w:val="24"/>
          <w:szCs w:val="24"/>
        </w:rPr>
        <w:t xml:space="preserve"> strategic, as it is used for electricity grids, renewable energy, electric vehicles, and energy storage. The IEA expects that there will be a significant increase in demand for copper in the future; however, the total capacity of the announced mining projects implies that the supply of copper might be under-supplied by about 30% in IEA’s Stated Policies Scenario (2035) (IEA, 2025)</w:t>
      </w:r>
      <w:r w:rsidRPr="00AC0F13">
        <w:rPr>
          <w:rFonts w:ascii="Arial" w:hAnsi="Arial" w:cs="Arial"/>
          <w:color w:val="000000" w:themeColor="text1"/>
          <w:sz w:val="24"/>
          <w:szCs w:val="24"/>
        </w:rPr>
        <w:t xml:space="preserve">. This is an important opportunity for BHP (BHP, 2026). In FY2026, the company manufactured approximately 2 Mt of </w:t>
      </w:r>
      <w:r w:rsidR="00204A2F" w:rsidRPr="00AC0F13">
        <w:rPr>
          <w:rFonts w:ascii="Arial" w:hAnsi="Arial" w:cs="Arial"/>
          <w:color w:val="000000" w:themeColor="text1"/>
          <w:sz w:val="24"/>
          <w:szCs w:val="24"/>
        </w:rPr>
        <w:t>copper,</w:t>
      </w:r>
      <w:r w:rsidRPr="00AC0F13">
        <w:rPr>
          <w:rFonts w:ascii="Arial" w:hAnsi="Arial" w:cs="Arial"/>
          <w:color w:val="000000" w:themeColor="text1"/>
          <w:sz w:val="24"/>
          <w:szCs w:val="24"/>
        </w:rPr>
        <w:t xml:space="preserve"> </w:t>
      </w:r>
      <w:r w:rsidR="00204A2F" w:rsidRPr="00AC0F13">
        <w:rPr>
          <w:rFonts w:ascii="Arial" w:hAnsi="Arial" w:cs="Arial"/>
          <w:color w:val="000000" w:themeColor="text1"/>
          <w:sz w:val="24"/>
          <w:szCs w:val="24"/>
        </w:rPr>
        <w:tab/>
      </w:r>
      <w:r w:rsidRPr="00AC0F13">
        <w:rPr>
          <w:rFonts w:ascii="Arial" w:hAnsi="Arial" w:cs="Arial"/>
          <w:color w:val="000000" w:themeColor="text1"/>
          <w:sz w:val="24"/>
          <w:szCs w:val="24"/>
        </w:rPr>
        <w:t xml:space="preserve">and it is expecting its existing copper growth potential to further contribute around 40% to the attributable copper production by FY2035 (BBHP, 2026a). </w:t>
      </w:r>
    </w:p>
    <w:p w14:paraId="409ACD07" w14:textId="77777777" w:rsidR="005769AC" w:rsidRPr="00AC0F13" w:rsidRDefault="0040476A" w:rsidP="00AC0F13">
      <w:pPr>
        <w:spacing w:line="360" w:lineRule="auto"/>
        <w:jc w:val="both"/>
        <w:rPr>
          <w:rFonts w:ascii="Arial" w:hAnsi="Arial" w:cs="Arial"/>
          <w:color w:val="000000" w:themeColor="text1"/>
          <w:sz w:val="24"/>
          <w:szCs w:val="24"/>
        </w:rPr>
      </w:pPr>
      <w:r w:rsidRPr="00AC0F13">
        <w:rPr>
          <w:rFonts w:ascii="Arial" w:hAnsi="Arial" w:cs="Arial"/>
          <w:b/>
          <w:color w:val="000000" w:themeColor="text1"/>
          <w:sz w:val="24"/>
          <w:szCs w:val="24"/>
        </w:rPr>
        <w:t>Table 1: Selected BHP strategic and environmental indicators</w:t>
      </w:r>
    </w:p>
    <w:tbl>
      <w:tblPr>
        <w:tblStyle w:val="TableGrid"/>
        <w:tblW w:w="0" w:type="auto"/>
        <w:jc w:val="center"/>
        <w:tblLook w:val="04A0" w:firstRow="1" w:lastRow="0" w:firstColumn="1" w:lastColumn="0" w:noHBand="0" w:noVBand="1"/>
      </w:tblPr>
      <w:tblGrid>
        <w:gridCol w:w="3264"/>
        <w:gridCol w:w="3264"/>
        <w:gridCol w:w="3264"/>
      </w:tblGrid>
      <w:tr w:rsidR="00AC0F13" w:rsidRPr="00AC0F13" w14:paraId="20F474C2" w14:textId="77777777">
        <w:trPr>
          <w:jc w:val="center"/>
        </w:trPr>
        <w:tc>
          <w:tcPr>
            <w:tcW w:w="3264" w:type="dxa"/>
            <w:vAlign w:val="center"/>
          </w:tcPr>
          <w:p w14:paraId="0DB863E2"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b/>
                <w:color w:val="000000" w:themeColor="text1"/>
                <w:sz w:val="24"/>
                <w:szCs w:val="24"/>
              </w:rPr>
              <w:t>Indicator</w:t>
            </w:r>
          </w:p>
        </w:tc>
        <w:tc>
          <w:tcPr>
            <w:tcW w:w="3264" w:type="dxa"/>
            <w:vAlign w:val="center"/>
          </w:tcPr>
          <w:p w14:paraId="75DC7C83"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b/>
                <w:color w:val="000000" w:themeColor="text1"/>
                <w:sz w:val="24"/>
                <w:szCs w:val="24"/>
              </w:rPr>
              <w:t>Latest reported position</w:t>
            </w:r>
          </w:p>
        </w:tc>
        <w:tc>
          <w:tcPr>
            <w:tcW w:w="3264" w:type="dxa"/>
            <w:vAlign w:val="center"/>
          </w:tcPr>
          <w:p w14:paraId="26A19C43"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b/>
                <w:color w:val="000000" w:themeColor="text1"/>
                <w:sz w:val="24"/>
                <w:szCs w:val="24"/>
              </w:rPr>
              <w:t>Strategic significance</w:t>
            </w:r>
          </w:p>
        </w:tc>
      </w:tr>
      <w:tr w:rsidR="00AC0F13" w:rsidRPr="00AC0F13" w14:paraId="60CC9D33" w14:textId="77777777">
        <w:trPr>
          <w:jc w:val="center"/>
        </w:trPr>
        <w:tc>
          <w:tcPr>
            <w:tcW w:w="3264" w:type="dxa"/>
            <w:vAlign w:val="center"/>
          </w:tcPr>
          <w:p w14:paraId="5D2FF5B7"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FY2026 underlying EBITDA</w:t>
            </w:r>
          </w:p>
        </w:tc>
        <w:tc>
          <w:tcPr>
            <w:tcW w:w="3264" w:type="dxa"/>
            <w:vAlign w:val="center"/>
          </w:tcPr>
          <w:p w14:paraId="13F25303"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 xml:space="preserve">Approximately </w:t>
            </w:r>
            <w:r w:rsidRPr="00AC0F13">
              <w:rPr>
                <w:rFonts w:ascii="Arial" w:hAnsi="Arial" w:cs="Arial"/>
                <w:color w:val="000000" w:themeColor="text1"/>
                <w:sz w:val="24"/>
                <w:szCs w:val="24"/>
              </w:rPr>
              <w:t>US$33bn</w:t>
            </w:r>
          </w:p>
        </w:tc>
        <w:tc>
          <w:tcPr>
            <w:tcW w:w="3264" w:type="dxa"/>
            <w:vAlign w:val="center"/>
          </w:tcPr>
          <w:p w14:paraId="52675249"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Provides financial capacity for transition and growth</w:t>
            </w:r>
          </w:p>
        </w:tc>
      </w:tr>
      <w:tr w:rsidR="00AC0F13" w:rsidRPr="00AC0F13" w14:paraId="5EADB759" w14:textId="77777777">
        <w:trPr>
          <w:jc w:val="center"/>
        </w:trPr>
        <w:tc>
          <w:tcPr>
            <w:tcW w:w="3264" w:type="dxa"/>
            <w:vAlign w:val="center"/>
          </w:tcPr>
          <w:p w14:paraId="24B78FD6"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Copper production</w:t>
            </w:r>
          </w:p>
        </w:tc>
        <w:tc>
          <w:tcPr>
            <w:tcW w:w="3264" w:type="dxa"/>
            <w:vAlign w:val="center"/>
          </w:tcPr>
          <w:p w14:paraId="3115C435"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Approximately 2 Mt</w:t>
            </w:r>
          </w:p>
        </w:tc>
        <w:tc>
          <w:tcPr>
            <w:tcW w:w="3264" w:type="dxa"/>
            <w:vAlign w:val="center"/>
          </w:tcPr>
          <w:p w14:paraId="2B14F953"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Positions BHP strongly in energy-transition minerals</w:t>
            </w:r>
          </w:p>
        </w:tc>
      </w:tr>
      <w:tr w:rsidR="00AC0F13" w:rsidRPr="00AC0F13" w14:paraId="5EAF9E6D" w14:textId="77777777">
        <w:trPr>
          <w:jc w:val="center"/>
        </w:trPr>
        <w:tc>
          <w:tcPr>
            <w:tcW w:w="3264" w:type="dxa"/>
            <w:vAlign w:val="center"/>
          </w:tcPr>
          <w:p w14:paraId="495FB523"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lastRenderedPageBreak/>
              <w:t>Copper contribution to EBITDA</w:t>
            </w:r>
          </w:p>
        </w:tc>
        <w:tc>
          <w:tcPr>
            <w:tcW w:w="3264" w:type="dxa"/>
            <w:vAlign w:val="center"/>
          </w:tcPr>
          <w:p w14:paraId="77B4D774"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&gt;50%</w:t>
            </w:r>
          </w:p>
        </w:tc>
        <w:tc>
          <w:tcPr>
            <w:tcW w:w="3264" w:type="dxa"/>
            <w:vAlign w:val="center"/>
          </w:tcPr>
          <w:p w14:paraId="6FBA71E0"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Demonstrates changing portfolio economics</w:t>
            </w:r>
          </w:p>
        </w:tc>
      </w:tr>
      <w:tr w:rsidR="00AC0F13" w:rsidRPr="00AC0F13" w14:paraId="090CF2FF" w14:textId="77777777">
        <w:trPr>
          <w:jc w:val="center"/>
        </w:trPr>
        <w:tc>
          <w:tcPr>
            <w:tcW w:w="3264" w:type="dxa"/>
            <w:vAlign w:val="center"/>
          </w:tcPr>
          <w:p w14:paraId="125DA5C6"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Operational GHG reductio</w:t>
            </w:r>
            <w:r w:rsidRPr="00AC0F13">
              <w:rPr>
                <w:rFonts w:ascii="Arial" w:hAnsi="Arial" w:cs="Arial"/>
                <w:color w:val="000000" w:themeColor="text1"/>
                <w:sz w:val="24"/>
                <w:szCs w:val="24"/>
              </w:rPr>
              <w:t>n</w:t>
            </w:r>
          </w:p>
        </w:tc>
        <w:tc>
          <w:tcPr>
            <w:tcW w:w="3264" w:type="dxa"/>
            <w:vAlign w:val="center"/>
          </w:tcPr>
          <w:p w14:paraId="2DAD5F2B"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33% versus FY2020 baseline</w:t>
            </w:r>
          </w:p>
        </w:tc>
        <w:tc>
          <w:tcPr>
            <w:tcW w:w="3264" w:type="dxa"/>
            <w:vAlign w:val="center"/>
          </w:tcPr>
          <w:p w14:paraId="6F28BDF9"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Evidence of progress towards decarbonisation</w:t>
            </w:r>
          </w:p>
        </w:tc>
      </w:tr>
      <w:tr w:rsidR="00AC0F13" w:rsidRPr="00AC0F13" w14:paraId="501440D4" w14:textId="77777777">
        <w:trPr>
          <w:jc w:val="center"/>
        </w:trPr>
        <w:tc>
          <w:tcPr>
            <w:tcW w:w="3264" w:type="dxa"/>
            <w:vAlign w:val="center"/>
          </w:tcPr>
          <w:p w14:paraId="50D2C593"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FY2026 economic contribution</w:t>
            </w:r>
          </w:p>
        </w:tc>
        <w:tc>
          <w:tcPr>
            <w:tcW w:w="3264" w:type="dxa"/>
            <w:vAlign w:val="center"/>
          </w:tcPr>
          <w:p w14:paraId="40F2874C"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US$50.8bn</w:t>
            </w:r>
          </w:p>
        </w:tc>
        <w:tc>
          <w:tcPr>
            <w:tcW w:w="3264" w:type="dxa"/>
            <w:vAlign w:val="center"/>
          </w:tcPr>
          <w:p w14:paraId="333D41DB"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Demonstrates wider economic importance</w:t>
            </w:r>
          </w:p>
        </w:tc>
      </w:tr>
      <w:tr w:rsidR="00AC0F13" w:rsidRPr="00AC0F13" w14:paraId="5C4F7BB4" w14:textId="77777777">
        <w:trPr>
          <w:jc w:val="center"/>
        </w:trPr>
        <w:tc>
          <w:tcPr>
            <w:tcW w:w="3264" w:type="dxa"/>
            <w:vAlign w:val="center"/>
          </w:tcPr>
          <w:p w14:paraId="3407EFCA"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FY2026 government payments</w:t>
            </w:r>
          </w:p>
        </w:tc>
        <w:tc>
          <w:tcPr>
            <w:tcW w:w="3264" w:type="dxa"/>
            <w:vAlign w:val="center"/>
          </w:tcPr>
          <w:p w14:paraId="2F86EC01"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US$12.4bn</w:t>
            </w:r>
          </w:p>
        </w:tc>
        <w:tc>
          <w:tcPr>
            <w:tcW w:w="3264" w:type="dxa"/>
            <w:vAlign w:val="center"/>
          </w:tcPr>
          <w:p w14:paraId="6618B11C"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Increases political and regulatory significance</w:t>
            </w:r>
          </w:p>
        </w:tc>
      </w:tr>
      <w:tr w:rsidR="00AC0F13" w:rsidRPr="00AC0F13" w14:paraId="50B1B2FE" w14:textId="77777777">
        <w:trPr>
          <w:jc w:val="center"/>
        </w:trPr>
        <w:tc>
          <w:tcPr>
            <w:tcW w:w="3264" w:type="dxa"/>
            <w:vAlign w:val="center"/>
          </w:tcPr>
          <w:p w14:paraId="70497DE2"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 xml:space="preserve">Medium-term </w:t>
            </w:r>
            <w:r w:rsidRPr="00AC0F13">
              <w:rPr>
                <w:rFonts w:ascii="Arial" w:hAnsi="Arial" w:cs="Arial"/>
                <w:color w:val="000000" w:themeColor="text1"/>
                <w:sz w:val="24"/>
                <w:szCs w:val="24"/>
              </w:rPr>
              <w:t>annual capex</w:t>
            </w:r>
          </w:p>
        </w:tc>
        <w:tc>
          <w:tcPr>
            <w:tcW w:w="3264" w:type="dxa"/>
            <w:vAlign w:val="center"/>
          </w:tcPr>
          <w:p w14:paraId="4E6F2A9B"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Approximately US$11bn</w:t>
            </w:r>
          </w:p>
        </w:tc>
        <w:tc>
          <w:tcPr>
            <w:tcW w:w="3264" w:type="dxa"/>
            <w:vAlign w:val="center"/>
          </w:tcPr>
          <w:p w14:paraId="19C25E8B"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Provides capacity for copper and technology investment</w:t>
            </w:r>
          </w:p>
        </w:tc>
      </w:tr>
      <w:tr w:rsidR="00AC0F13" w:rsidRPr="00AC0F13" w14:paraId="4E1AE3B5" w14:textId="77777777">
        <w:trPr>
          <w:jc w:val="center"/>
        </w:trPr>
        <w:tc>
          <w:tcPr>
            <w:tcW w:w="3264" w:type="dxa"/>
            <w:vAlign w:val="center"/>
          </w:tcPr>
          <w:p w14:paraId="4C2C9277"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Copper growth aspiration</w:t>
            </w:r>
          </w:p>
        </w:tc>
        <w:tc>
          <w:tcPr>
            <w:tcW w:w="3264" w:type="dxa"/>
            <w:vAlign w:val="center"/>
          </w:tcPr>
          <w:p w14:paraId="64FBB10D"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Around 40% by FY2035</w:t>
            </w:r>
          </w:p>
        </w:tc>
        <w:tc>
          <w:tcPr>
            <w:tcW w:w="3264" w:type="dxa"/>
            <w:vAlign w:val="center"/>
          </w:tcPr>
          <w:p w14:paraId="26C4270D"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Creates long-term market-development opportunity</w:t>
            </w:r>
          </w:p>
        </w:tc>
      </w:tr>
    </w:tbl>
    <w:p w14:paraId="789E6341" w14:textId="77777777" w:rsidR="005769AC" w:rsidRPr="00AC0F13" w:rsidRDefault="0040476A" w:rsidP="00AC0F13">
      <w:pPr>
        <w:spacing w:line="360" w:lineRule="auto"/>
        <w:jc w:val="both"/>
        <w:rPr>
          <w:rFonts w:ascii="Arial" w:hAnsi="Arial" w:cs="Arial"/>
          <w:color w:val="000000" w:themeColor="text1"/>
          <w:sz w:val="24"/>
          <w:szCs w:val="24"/>
        </w:rPr>
      </w:pPr>
      <w:r w:rsidRPr="00AC0F13">
        <w:rPr>
          <w:rFonts w:ascii="Arial" w:hAnsi="Arial" w:cs="Arial"/>
          <w:i/>
          <w:color w:val="000000" w:themeColor="text1"/>
          <w:sz w:val="24"/>
          <w:szCs w:val="24"/>
        </w:rPr>
        <w:t>Source: compiled from BHP (2026a; 2026b; 2026c).</w:t>
      </w:r>
    </w:p>
    <w:p w14:paraId="6F529FE8" w14:textId="77777777" w:rsidR="005769AC" w:rsidRPr="00AC0F13" w:rsidRDefault="0040476A" w:rsidP="00AC0F13">
      <w:pPr>
        <w:pStyle w:val="Heading2"/>
        <w:spacing w:line="360" w:lineRule="auto"/>
        <w:jc w:val="both"/>
        <w:rPr>
          <w:rFonts w:ascii="Arial" w:hAnsi="Arial" w:cs="Arial"/>
          <w:color w:val="000000" w:themeColor="text1"/>
          <w:szCs w:val="24"/>
        </w:rPr>
      </w:pPr>
      <w:bookmarkStart w:id="4" w:name="_Toc242798836"/>
      <w:r w:rsidRPr="00AC0F13">
        <w:rPr>
          <w:rFonts w:ascii="Arial" w:hAnsi="Arial" w:cs="Arial"/>
          <w:color w:val="000000" w:themeColor="text1"/>
          <w:szCs w:val="24"/>
        </w:rPr>
        <w:t xml:space="preserve">1.2 External Actor </w:t>
      </w:r>
      <w:r w:rsidRPr="00AC0F13">
        <w:rPr>
          <w:rFonts w:ascii="Arial" w:hAnsi="Arial" w:cs="Arial"/>
          <w:color w:val="000000" w:themeColor="text1"/>
          <w:szCs w:val="24"/>
        </w:rPr>
        <w:t>1: Natural and Environmental Environment</w:t>
      </w:r>
      <w:bookmarkEnd w:id="4"/>
    </w:p>
    <w:p w14:paraId="64F2EE99" w14:textId="6DEAD28B" w:rsidR="00E34F36" w:rsidRPr="00AC0F13" w:rsidRDefault="00E34F36"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The most significant external factor impacting BHP's marketing strategy is the natural environment. According to Kotler et al (2024), environmental conditions and resource constraints are basic elements of the marketing environment as business rely on the natural resources and influence them. The tie is especially close for mining companies: the very product being mined comes out of the natural world, and the mining process can have substantial environmental side effects. BHP has two types of climate risks: physical and transition. More metals are needed to decarbonise the world but the production of metals produces emissions</w:t>
      </w:r>
      <w:r w:rsidR="00214009" w:rsidRPr="00AC0F13">
        <w:rPr>
          <w:rFonts w:ascii="Arial" w:hAnsi="Arial" w:cs="Arial"/>
          <w:color w:val="000000" w:themeColor="text1"/>
          <w:sz w:val="24"/>
          <w:szCs w:val="24"/>
        </w:rPr>
        <w:t xml:space="preserve"> </w:t>
      </w:r>
      <w:r w:rsidRPr="00AC0F13">
        <w:rPr>
          <w:rFonts w:ascii="Arial" w:hAnsi="Arial" w:cs="Arial"/>
          <w:color w:val="000000" w:themeColor="text1"/>
          <w:sz w:val="24"/>
          <w:szCs w:val="24"/>
        </w:rPr>
        <w:t>(BHP, 2026b).</w:t>
      </w:r>
    </w:p>
    <w:p w14:paraId="3C9E3BCD" w14:textId="5F610EDB" w:rsidR="005769AC" w:rsidRPr="00AC0F13" w:rsidRDefault="00E34F36"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 xml:space="preserve">This opportunity is well demonstrated with copper. The IEA estimated the copper demand from clean technologies to be about 7.7 Mt in 2024, with growth to about 10.9 Mt by 2030 in its Stated Policies Scenario. The demand for copper is expected to be about 31.3 Mt by 2030 (BHP, 2026c).  </w:t>
      </w:r>
      <w:r w:rsidR="00213D5E" w:rsidRPr="00AC0F13">
        <w:rPr>
          <w:rFonts w:ascii="Arial" w:hAnsi="Arial" w:cs="Arial"/>
          <w:color w:val="000000" w:themeColor="text1"/>
          <w:sz w:val="24"/>
          <w:szCs w:val="24"/>
        </w:rPr>
        <w:t xml:space="preserve">But environmental expectations have reached a point where increased production might be not enough. So far BHP has been able to decrease its Scope 1 and 2 operational emissions by 33% relative to its adjusted FY2020 baseline. But the path of decarbonisation chosen by BHP is not an easy one. Some of the technologies for displacing diesel fuels developed slower than expected, causing changes in the timing of BHP's expenditures on decarbonisation. In its FY2025 report, BHP mentioned that it will be </w:t>
      </w:r>
      <w:r w:rsidR="00213D5E" w:rsidRPr="00AC0F13">
        <w:rPr>
          <w:rFonts w:ascii="Arial" w:hAnsi="Arial" w:cs="Arial"/>
          <w:color w:val="000000" w:themeColor="text1"/>
          <w:sz w:val="24"/>
          <w:szCs w:val="24"/>
        </w:rPr>
        <w:lastRenderedPageBreak/>
        <w:t xml:space="preserve">spending around US$0.5bn on decarbonisation initiatives until FY2030, and will spend more in the 2030s, when these technologies will develop further (BHP, 2026d). </w:t>
      </w:r>
    </w:p>
    <w:p w14:paraId="1D68ECEF" w14:textId="77777777" w:rsidR="005769AC" w:rsidRPr="00AC0F13" w:rsidRDefault="0040476A" w:rsidP="00AC0F13">
      <w:pPr>
        <w:spacing w:line="360" w:lineRule="auto"/>
        <w:jc w:val="both"/>
        <w:rPr>
          <w:rFonts w:ascii="Arial" w:hAnsi="Arial" w:cs="Arial"/>
          <w:color w:val="000000" w:themeColor="text1"/>
          <w:sz w:val="24"/>
          <w:szCs w:val="24"/>
        </w:rPr>
      </w:pPr>
      <w:r w:rsidRPr="00AC0F13">
        <w:rPr>
          <w:rFonts w:ascii="Arial" w:hAnsi="Arial" w:cs="Arial"/>
          <w:b/>
          <w:color w:val="000000" w:themeColor="text1"/>
          <w:sz w:val="24"/>
          <w:szCs w:val="24"/>
        </w:rPr>
        <w:t>Table 2: Copper’s relevance to the energy transition</w:t>
      </w:r>
    </w:p>
    <w:tbl>
      <w:tblPr>
        <w:tblStyle w:val="TableGrid"/>
        <w:tblW w:w="0" w:type="auto"/>
        <w:jc w:val="center"/>
        <w:tblLook w:val="04A0" w:firstRow="1" w:lastRow="0" w:firstColumn="1" w:lastColumn="0" w:noHBand="0" w:noVBand="1"/>
      </w:tblPr>
      <w:tblGrid>
        <w:gridCol w:w="3264"/>
        <w:gridCol w:w="3264"/>
        <w:gridCol w:w="3264"/>
      </w:tblGrid>
      <w:tr w:rsidR="00AC0F13" w:rsidRPr="00AC0F13" w14:paraId="29B0BCA5" w14:textId="77777777">
        <w:trPr>
          <w:jc w:val="center"/>
        </w:trPr>
        <w:tc>
          <w:tcPr>
            <w:tcW w:w="3264" w:type="dxa"/>
            <w:vAlign w:val="center"/>
          </w:tcPr>
          <w:p w14:paraId="5D564EE9"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b/>
                <w:color w:val="000000" w:themeColor="text1"/>
                <w:sz w:val="24"/>
                <w:szCs w:val="24"/>
              </w:rPr>
              <w:t>Indicator</w:t>
            </w:r>
          </w:p>
        </w:tc>
        <w:tc>
          <w:tcPr>
            <w:tcW w:w="3264" w:type="dxa"/>
            <w:vAlign w:val="center"/>
          </w:tcPr>
          <w:p w14:paraId="531E226D"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b/>
                <w:color w:val="000000" w:themeColor="text1"/>
                <w:sz w:val="24"/>
                <w:szCs w:val="24"/>
              </w:rPr>
              <w:t>2024</w:t>
            </w:r>
          </w:p>
        </w:tc>
        <w:tc>
          <w:tcPr>
            <w:tcW w:w="3264" w:type="dxa"/>
            <w:vAlign w:val="center"/>
          </w:tcPr>
          <w:p w14:paraId="461B8B03"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b/>
                <w:color w:val="000000" w:themeColor="text1"/>
                <w:sz w:val="24"/>
                <w:szCs w:val="24"/>
              </w:rPr>
              <w:t xml:space="preserve">2030 </w:t>
            </w:r>
            <w:r w:rsidRPr="00AC0F13">
              <w:rPr>
                <w:rFonts w:ascii="Arial" w:hAnsi="Arial" w:cs="Arial"/>
                <w:b/>
                <w:color w:val="000000" w:themeColor="text1"/>
                <w:sz w:val="24"/>
                <w:szCs w:val="24"/>
              </w:rPr>
              <w:t>STEPS</w:t>
            </w:r>
          </w:p>
        </w:tc>
      </w:tr>
      <w:tr w:rsidR="00AC0F13" w:rsidRPr="00AC0F13" w14:paraId="484ECE99" w14:textId="77777777">
        <w:trPr>
          <w:jc w:val="center"/>
        </w:trPr>
        <w:tc>
          <w:tcPr>
            <w:tcW w:w="3264" w:type="dxa"/>
            <w:vAlign w:val="center"/>
          </w:tcPr>
          <w:p w14:paraId="7C41D583"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Total copper demand</w:t>
            </w:r>
          </w:p>
        </w:tc>
        <w:tc>
          <w:tcPr>
            <w:tcW w:w="3264" w:type="dxa"/>
            <w:vAlign w:val="center"/>
          </w:tcPr>
          <w:p w14:paraId="04A8FF0D"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26.7 Mt</w:t>
            </w:r>
          </w:p>
        </w:tc>
        <w:tc>
          <w:tcPr>
            <w:tcW w:w="3264" w:type="dxa"/>
            <w:vAlign w:val="center"/>
          </w:tcPr>
          <w:p w14:paraId="624D3DF5"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31.3 Mt</w:t>
            </w:r>
          </w:p>
        </w:tc>
      </w:tr>
      <w:tr w:rsidR="00AC0F13" w:rsidRPr="00AC0F13" w14:paraId="6868F953" w14:textId="77777777">
        <w:trPr>
          <w:jc w:val="center"/>
        </w:trPr>
        <w:tc>
          <w:tcPr>
            <w:tcW w:w="3264" w:type="dxa"/>
            <w:vAlign w:val="center"/>
          </w:tcPr>
          <w:p w14:paraId="1258A152"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Clean-technology copper demand</w:t>
            </w:r>
          </w:p>
        </w:tc>
        <w:tc>
          <w:tcPr>
            <w:tcW w:w="3264" w:type="dxa"/>
            <w:vAlign w:val="center"/>
          </w:tcPr>
          <w:p w14:paraId="6D31832E"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7.7 Mt</w:t>
            </w:r>
          </w:p>
        </w:tc>
        <w:tc>
          <w:tcPr>
            <w:tcW w:w="3264" w:type="dxa"/>
            <w:vAlign w:val="center"/>
          </w:tcPr>
          <w:p w14:paraId="1F8264FD"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10.9 Mt</w:t>
            </w:r>
          </w:p>
        </w:tc>
      </w:tr>
      <w:tr w:rsidR="00AC0F13" w:rsidRPr="00AC0F13" w14:paraId="7B9962A2" w14:textId="77777777">
        <w:trPr>
          <w:jc w:val="center"/>
        </w:trPr>
        <w:tc>
          <w:tcPr>
            <w:tcW w:w="3264" w:type="dxa"/>
            <w:vAlign w:val="center"/>
          </w:tcPr>
          <w:p w14:paraId="1E31E6EE"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Primary supply requirement</w:t>
            </w:r>
          </w:p>
        </w:tc>
        <w:tc>
          <w:tcPr>
            <w:tcW w:w="3264" w:type="dxa"/>
            <w:vAlign w:val="center"/>
          </w:tcPr>
          <w:p w14:paraId="7B750303"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22.5 Mt</w:t>
            </w:r>
          </w:p>
        </w:tc>
        <w:tc>
          <w:tcPr>
            <w:tcW w:w="3264" w:type="dxa"/>
            <w:vAlign w:val="center"/>
          </w:tcPr>
          <w:p w14:paraId="53018007"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25.9 Mt</w:t>
            </w:r>
          </w:p>
        </w:tc>
      </w:tr>
      <w:tr w:rsidR="00AC0F13" w:rsidRPr="00AC0F13" w14:paraId="22984242" w14:textId="77777777">
        <w:trPr>
          <w:jc w:val="center"/>
        </w:trPr>
        <w:tc>
          <w:tcPr>
            <w:tcW w:w="3264" w:type="dxa"/>
            <w:vAlign w:val="center"/>
          </w:tcPr>
          <w:p w14:paraId="4669D5BD"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Top three mining countries’ share</w:t>
            </w:r>
          </w:p>
        </w:tc>
        <w:tc>
          <w:tcPr>
            <w:tcW w:w="3264" w:type="dxa"/>
            <w:vAlign w:val="center"/>
          </w:tcPr>
          <w:p w14:paraId="65399B49"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48%</w:t>
            </w:r>
          </w:p>
        </w:tc>
        <w:tc>
          <w:tcPr>
            <w:tcW w:w="3264" w:type="dxa"/>
            <w:vAlign w:val="center"/>
          </w:tcPr>
          <w:p w14:paraId="6E072160"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50%</w:t>
            </w:r>
          </w:p>
        </w:tc>
      </w:tr>
    </w:tbl>
    <w:p w14:paraId="4632A47C" w14:textId="77777777" w:rsidR="005769AC" w:rsidRPr="00AC0F13" w:rsidRDefault="0040476A" w:rsidP="00AC0F13">
      <w:pPr>
        <w:spacing w:line="360" w:lineRule="auto"/>
        <w:jc w:val="both"/>
        <w:rPr>
          <w:rFonts w:ascii="Arial" w:hAnsi="Arial" w:cs="Arial"/>
          <w:color w:val="000000" w:themeColor="text1"/>
          <w:sz w:val="24"/>
          <w:szCs w:val="24"/>
        </w:rPr>
      </w:pPr>
      <w:r w:rsidRPr="00AC0F13">
        <w:rPr>
          <w:rFonts w:ascii="Arial" w:hAnsi="Arial" w:cs="Arial"/>
          <w:i/>
          <w:color w:val="000000" w:themeColor="text1"/>
          <w:sz w:val="24"/>
          <w:szCs w:val="24"/>
        </w:rPr>
        <w:t>Source: IEA (2025a).</w:t>
      </w:r>
    </w:p>
    <w:p w14:paraId="1FDCFFF7" w14:textId="77777777" w:rsidR="005769AC" w:rsidRPr="00AC0F13" w:rsidRDefault="0040476A" w:rsidP="00AC0F13">
      <w:pPr>
        <w:pStyle w:val="Heading2"/>
        <w:spacing w:line="360" w:lineRule="auto"/>
        <w:jc w:val="both"/>
        <w:rPr>
          <w:rFonts w:ascii="Arial" w:hAnsi="Arial" w:cs="Arial"/>
          <w:color w:val="000000" w:themeColor="text1"/>
          <w:szCs w:val="24"/>
        </w:rPr>
      </w:pPr>
      <w:bookmarkStart w:id="5" w:name="_Toc242798837"/>
      <w:r w:rsidRPr="00AC0F13">
        <w:rPr>
          <w:rFonts w:ascii="Arial" w:hAnsi="Arial" w:cs="Arial"/>
          <w:color w:val="000000" w:themeColor="text1"/>
          <w:szCs w:val="24"/>
        </w:rPr>
        <w:t xml:space="preserve">1.3 External Actor 2: Political and Regulatory </w:t>
      </w:r>
      <w:r w:rsidRPr="00AC0F13">
        <w:rPr>
          <w:rFonts w:ascii="Arial" w:hAnsi="Arial" w:cs="Arial"/>
          <w:color w:val="000000" w:themeColor="text1"/>
          <w:szCs w:val="24"/>
        </w:rPr>
        <w:t>Environment</w:t>
      </w:r>
      <w:bookmarkEnd w:id="5"/>
    </w:p>
    <w:p w14:paraId="5182D339" w14:textId="77777777" w:rsidR="00AC0F13" w:rsidRPr="00AC0F13" w:rsidRDefault="00E34F36"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 xml:space="preserve">The second </w:t>
      </w:r>
      <w:r w:rsidR="00204A2F" w:rsidRPr="00AC0F13">
        <w:rPr>
          <w:rFonts w:ascii="Arial" w:hAnsi="Arial" w:cs="Arial"/>
          <w:color w:val="000000" w:themeColor="text1"/>
          <w:sz w:val="24"/>
          <w:szCs w:val="24"/>
        </w:rPr>
        <w:t>major</w:t>
      </w:r>
      <w:r w:rsidRPr="00AC0F13">
        <w:rPr>
          <w:rFonts w:ascii="Arial" w:hAnsi="Arial" w:cs="Arial"/>
          <w:color w:val="000000" w:themeColor="text1"/>
          <w:sz w:val="24"/>
          <w:szCs w:val="24"/>
        </w:rPr>
        <w:t xml:space="preserve"> external factor is government and regulatory institutions.</w:t>
      </w:r>
      <w:r w:rsidR="00213D5E" w:rsidRPr="00AC0F13">
        <w:rPr>
          <w:rFonts w:ascii="Arial" w:hAnsi="Arial" w:cs="Arial"/>
          <w:color w:val="000000" w:themeColor="text1"/>
          <w:sz w:val="24"/>
          <w:szCs w:val="24"/>
        </w:rPr>
        <w:t xml:space="preserve"> The use of pricing carbon, limiting emissions, mandating disclosure requirements, and employing trade policy is increasingly being employed by governments to influence corporations' actions. The first important news is the European Union's Carbon Border Adjustment Mechanism (CBAM) (European Commission, 2026). </w:t>
      </w:r>
    </w:p>
    <w:p w14:paraId="35FC911F" w14:textId="0063781F" w:rsidR="00213D5E" w:rsidRPr="00AC0F13" w:rsidRDefault="00213D5E"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 xml:space="preserve">The final CBAM regulation will come into effect on 1 January 2026 for industries like iron and steel, aluminum, cement, fertilizers, electricity, and hydrogen. It links the price of carbon to the embodied emissions of imported products. BHP is not a steel firm, but CBAM is simply a manifestation of the dynamic industry environment for carbon-intensive raw materials. </w:t>
      </w:r>
      <w:r w:rsidR="00E34F36" w:rsidRPr="00AC0F13">
        <w:rPr>
          <w:rFonts w:ascii="Arial" w:hAnsi="Arial" w:cs="Arial"/>
          <w:color w:val="000000" w:themeColor="text1"/>
          <w:sz w:val="24"/>
          <w:szCs w:val="24"/>
        </w:rPr>
        <w:t>The regulatory landscape has three key implications for BHP (IEA, 2025). The first one is that carbon intensity can start to be a market attribute increasingly. In the past iron ore was classified primarily by quality, grade, reliability and price. Procurement decisions will increasingly be influenced by increasing embedded carbon.</w:t>
      </w:r>
      <w:r w:rsidRPr="00AC0F13">
        <w:rPr>
          <w:rFonts w:ascii="Arial" w:hAnsi="Arial" w:cs="Arial"/>
          <w:color w:val="000000" w:themeColor="text1"/>
          <w:sz w:val="24"/>
          <w:szCs w:val="24"/>
        </w:rPr>
        <w:t xml:space="preserve"> Thirdly, there is a need for good information on emissions. </w:t>
      </w:r>
      <w:r w:rsidR="00214009" w:rsidRPr="00AC0F13">
        <w:rPr>
          <w:rFonts w:ascii="Arial" w:hAnsi="Arial" w:cs="Arial"/>
          <w:color w:val="000000" w:themeColor="text1"/>
          <w:sz w:val="24"/>
          <w:szCs w:val="24"/>
        </w:rPr>
        <w:t>To</w:t>
      </w:r>
      <w:r w:rsidRPr="00AC0F13">
        <w:rPr>
          <w:rFonts w:ascii="Arial" w:hAnsi="Arial" w:cs="Arial"/>
          <w:color w:val="000000" w:themeColor="text1"/>
          <w:sz w:val="24"/>
          <w:szCs w:val="24"/>
        </w:rPr>
        <w:t xml:space="preserve"> show that they are complying with the new requirements in carbon emissions, customers will have to have good data on their scope 1 and certain scope 3 emissions</w:t>
      </w:r>
      <w:r w:rsidR="00AC0F13" w:rsidRPr="00AC0F13">
        <w:rPr>
          <w:rFonts w:ascii="Arial" w:hAnsi="Arial" w:cs="Arial"/>
          <w:color w:val="000000" w:themeColor="text1"/>
          <w:sz w:val="24"/>
          <w:szCs w:val="24"/>
        </w:rPr>
        <w:t xml:space="preserve"> (BHP, 2026b).</w:t>
      </w:r>
    </w:p>
    <w:p w14:paraId="653945FD" w14:textId="77777777" w:rsidR="00E6197B" w:rsidRPr="00AC0F13" w:rsidRDefault="00213D5E"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 xml:space="preserve">Firms like BHP, thus, should be able to maintain close relations with the governments, but at the same time should not depend too much on one type of the government. They have substantial exposure to government decisions and regulations, </w:t>
      </w:r>
      <w:r w:rsidR="00214009" w:rsidRPr="00AC0F13">
        <w:rPr>
          <w:rFonts w:ascii="Arial" w:hAnsi="Arial" w:cs="Arial"/>
          <w:color w:val="000000" w:themeColor="text1"/>
          <w:sz w:val="24"/>
          <w:szCs w:val="24"/>
        </w:rPr>
        <w:t>considering</w:t>
      </w:r>
      <w:r w:rsidRPr="00AC0F13">
        <w:rPr>
          <w:rFonts w:ascii="Arial" w:hAnsi="Arial" w:cs="Arial"/>
          <w:color w:val="000000" w:themeColor="text1"/>
          <w:sz w:val="24"/>
          <w:szCs w:val="24"/>
        </w:rPr>
        <w:t xml:space="preserve"> the US$12.4 </w:t>
      </w:r>
      <w:r w:rsidRPr="00AC0F13">
        <w:rPr>
          <w:rFonts w:ascii="Arial" w:hAnsi="Arial" w:cs="Arial"/>
          <w:color w:val="000000" w:themeColor="text1"/>
          <w:sz w:val="24"/>
          <w:szCs w:val="24"/>
        </w:rPr>
        <w:lastRenderedPageBreak/>
        <w:t xml:space="preserve">billion worth of government payments it is expected to make in FY2026 and its operations in different jurisdictions such as Australia and Chile (BHP, 2026). </w:t>
      </w:r>
    </w:p>
    <w:p w14:paraId="5AF7727C" w14:textId="26FE2E2C" w:rsidR="00E6197B" w:rsidRPr="00AC0F13" w:rsidRDefault="00E6197B" w:rsidP="00AC0F13">
      <w:pPr>
        <w:pStyle w:val="Heading2"/>
        <w:spacing w:line="360" w:lineRule="auto"/>
        <w:rPr>
          <w:rFonts w:ascii="Arial" w:hAnsi="Arial" w:cs="Arial"/>
          <w:color w:val="000000" w:themeColor="text1"/>
          <w:szCs w:val="24"/>
        </w:rPr>
      </w:pPr>
      <w:bookmarkStart w:id="6" w:name="_Toc242798838"/>
      <w:r w:rsidRPr="00AC0F13">
        <w:rPr>
          <w:rFonts w:ascii="Arial" w:hAnsi="Arial" w:cs="Arial"/>
          <w:color w:val="000000" w:themeColor="text1"/>
          <w:szCs w:val="24"/>
        </w:rPr>
        <w:t>1.4 External Factor 3: Technological Environment</w:t>
      </w:r>
      <w:bookmarkEnd w:id="6"/>
    </w:p>
    <w:p w14:paraId="5E04D5C2" w14:textId="3BF807B7" w:rsidR="00E34F36" w:rsidRPr="00AC0F13" w:rsidRDefault="00E6197B"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 xml:space="preserve">Technological environment is another external factor influencing BHP’s marketing strategy, as developments in the mining industry and in processing and emissions monitoring can affect production costs, the quality of products and their environmental performance. As part of the PESTLE analysis, the technological factors include automation, digital monitoring, artificial intelligence and innovations in reducing carbon footprint of the production process. Technological advancements can help BHP increase its operational efficiency and collect better data regarding the environmental performance of the mineral products (IEA, 2026). This data servse as an advantage for the company, considering the interest of the clients and the government to monitor emissions and responsible production. However, technological developments also bring about challenges that need to be overcome. The delays of BHP with regards to diesel displacement technologies indicate that there is uncertainty regarding the implementation of operational changes. As a result, BHP needs to evaluate the readiness of technologies, costs and environmental advantages before introducing any innovations </w:t>
      </w:r>
      <w:r w:rsidR="00BC7E06" w:rsidRPr="00AC0F13">
        <w:rPr>
          <w:rFonts w:ascii="Arial" w:hAnsi="Arial" w:cs="Arial"/>
          <w:color w:val="000000" w:themeColor="text1"/>
          <w:sz w:val="24"/>
          <w:szCs w:val="24"/>
        </w:rPr>
        <w:t>(BHP, 2026).</w:t>
      </w:r>
      <w:r w:rsidR="00213D5E" w:rsidRPr="00AC0F13">
        <w:rPr>
          <w:rFonts w:ascii="Arial" w:hAnsi="Arial" w:cs="Arial"/>
          <w:color w:val="000000" w:themeColor="text1"/>
          <w:sz w:val="24"/>
          <w:szCs w:val="24"/>
        </w:rPr>
        <w:t xml:space="preserve"> </w:t>
      </w:r>
    </w:p>
    <w:p w14:paraId="7A894B37" w14:textId="77777777" w:rsidR="00E34F36" w:rsidRPr="00AC0F13" w:rsidRDefault="00E34F36" w:rsidP="00AC0F13">
      <w:pPr>
        <w:pStyle w:val="Heading2"/>
        <w:spacing w:line="360" w:lineRule="auto"/>
        <w:jc w:val="both"/>
        <w:rPr>
          <w:rFonts w:ascii="Arial" w:hAnsi="Arial" w:cs="Arial"/>
          <w:color w:val="000000" w:themeColor="text1"/>
          <w:szCs w:val="24"/>
        </w:rPr>
      </w:pPr>
      <w:bookmarkStart w:id="7" w:name="_Toc242798839"/>
      <w:r w:rsidRPr="00AC0F13">
        <w:rPr>
          <w:rFonts w:ascii="Arial" w:hAnsi="Arial" w:cs="Arial"/>
          <w:color w:val="000000" w:themeColor="text1"/>
          <w:szCs w:val="24"/>
        </w:rPr>
        <w:t>1.5 Integrated Environmental Assessment</w:t>
      </w:r>
      <w:bookmarkEnd w:id="7"/>
    </w:p>
    <w:p w14:paraId="1E727989" w14:textId="5EB0FDF2" w:rsidR="00E34F36" w:rsidRPr="00AC0F13" w:rsidRDefault="00E6197B"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These three environments intersect with each other and together affect the marketing strategy that BHP chooses to adopt. The environment increases pressure on the organization to cut down emissions and manage natural resources sustainably, while the political environment provides certain conditions for the reporting of carbon footprints. The advancement in technology allows BHP to be more efficient in operation, monitor emissions and produce minerals in low carbon ways. Therefore, BHP should take into account the environmental performance of the organization, regulatory compliance and technological feasibility while positioning its products in the marketplace</w:t>
      </w:r>
      <w:r w:rsidR="00AC0F13" w:rsidRPr="00AC0F13">
        <w:rPr>
          <w:rFonts w:ascii="Arial" w:hAnsi="Arial" w:cs="Arial"/>
          <w:color w:val="000000" w:themeColor="text1"/>
          <w:sz w:val="24"/>
          <w:szCs w:val="24"/>
        </w:rPr>
        <w:t xml:space="preserve"> (BHP, 2026d).</w:t>
      </w:r>
    </w:p>
    <w:p w14:paraId="4BEF2C79" w14:textId="77777777" w:rsidR="005769AC" w:rsidRPr="00AC0F13" w:rsidRDefault="0040476A" w:rsidP="00AC0F13">
      <w:pPr>
        <w:spacing w:line="360" w:lineRule="auto"/>
        <w:jc w:val="both"/>
        <w:rPr>
          <w:rFonts w:ascii="Arial" w:hAnsi="Arial" w:cs="Arial"/>
          <w:color w:val="000000" w:themeColor="text1"/>
          <w:sz w:val="24"/>
          <w:szCs w:val="24"/>
        </w:rPr>
      </w:pPr>
      <w:r w:rsidRPr="00AC0F13">
        <w:rPr>
          <w:rFonts w:ascii="Arial" w:hAnsi="Arial" w:cs="Arial"/>
          <w:b/>
          <w:color w:val="000000" w:themeColor="text1"/>
          <w:sz w:val="24"/>
          <w:szCs w:val="24"/>
        </w:rPr>
        <w:t>Table 3: Opportunities and challenges created by the external environment</w:t>
      </w:r>
    </w:p>
    <w:tbl>
      <w:tblPr>
        <w:tblStyle w:val="TableGrid"/>
        <w:tblW w:w="0" w:type="auto"/>
        <w:tblLook w:val="04A0" w:firstRow="1" w:lastRow="0" w:firstColumn="1" w:lastColumn="0" w:noHBand="0" w:noVBand="1"/>
      </w:tblPr>
      <w:tblGrid>
        <w:gridCol w:w="2564"/>
        <w:gridCol w:w="2435"/>
        <w:gridCol w:w="2222"/>
        <w:gridCol w:w="2787"/>
      </w:tblGrid>
      <w:tr w:rsidR="00AC0F13" w:rsidRPr="00AC0F13" w14:paraId="00589ED7" w14:textId="77777777" w:rsidTr="00E6197B">
        <w:tc>
          <w:tcPr>
            <w:tcW w:w="0" w:type="auto"/>
            <w:hideMark/>
          </w:tcPr>
          <w:p w14:paraId="6F2FF5A8" w14:textId="77777777" w:rsidR="00E6197B" w:rsidRPr="00AC0F13" w:rsidRDefault="00E6197B" w:rsidP="00AC0F13">
            <w:pPr>
              <w:spacing w:before="100" w:beforeAutospacing="1" w:after="100" w:afterAutospacing="1" w:line="360" w:lineRule="auto"/>
              <w:jc w:val="center"/>
              <w:rPr>
                <w:rFonts w:ascii="Arial" w:eastAsia="Times New Roman" w:hAnsi="Arial" w:cs="Arial"/>
                <w:b/>
                <w:bCs/>
                <w:color w:val="000000" w:themeColor="text1"/>
                <w:sz w:val="24"/>
                <w:szCs w:val="24"/>
                <w:lang w:val="en-IN" w:eastAsia="en-GB"/>
              </w:rPr>
            </w:pPr>
            <w:r w:rsidRPr="00AC0F13">
              <w:rPr>
                <w:rFonts w:ascii="Arial" w:eastAsia="Times New Roman" w:hAnsi="Arial" w:cs="Arial"/>
                <w:b/>
                <w:bCs/>
                <w:color w:val="000000" w:themeColor="text1"/>
                <w:sz w:val="24"/>
                <w:szCs w:val="24"/>
                <w:lang w:val="en-IN" w:eastAsia="en-GB"/>
              </w:rPr>
              <w:t>External factor</w:t>
            </w:r>
          </w:p>
        </w:tc>
        <w:tc>
          <w:tcPr>
            <w:tcW w:w="0" w:type="auto"/>
            <w:hideMark/>
          </w:tcPr>
          <w:p w14:paraId="1DF01D4D" w14:textId="77777777" w:rsidR="00E6197B" w:rsidRPr="00AC0F13" w:rsidRDefault="00E6197B" w:rsidP="00AC0F13">
            <w:pPr>
              <w:spacing w:before="100" w:beforeAutospacing="1" w:after="100" w:afterAutospacing="1" w:line="360" w:lineRule="auto"/>
              <w:jc w:val="center"/>
              <w:rPr>
                <w:rFonts w:ascii="Arial" w:eastAsia="Times New Roman" w:hAnsi="Arial" w:cs="Arial"/>
                <w:b/>
                <w:bCs/>
                <w:color w:val="000000" w:themeColor="text1"/>
                <w:sz w:val="24"/>
                <w:szCs w:val="24"/>
                <w:lang w:val="en-IN" w:eastAsia="en-GB"/>
              </w:rPr>
            </w:pPr>
            <w:r w:rsidRPr="00AC0F13">
              <w:rPr>
                <w:rFonts w:ascii="Arial" w:eastAsia="Times New Roman" w:hAnsi="Arial" w:cs="Arial"/>
                <w:b/>
                <w:bCs/>
                <w:color w:val="000000" w:themeColor="text1"/>
                <w:sz w:val="24"/>
                <w:szCs w:val="24"/>
                <w:lang w:val="en-IN" w:eastAsia="en-GB"/>
              </w:rPr>
              <w:t>Key opportunity</w:t>
            </w:r>
          </w:p>
        </w:tc>
        <w:tc>
          <w:tcPr>
            <w:tcW w:w="0" w:type="auto"/>
            <w:hideMark/>
          </w:tcPr>
          <w:p w14:paraId="1FA0E2C6" w14:textId="77777777" w:rsidR="00E6197B" w:rsidRPr="00AC0F13" w:rsidRDefault="00E6197B" w:rsidP="00AC0F13">
            <w:pPr>
              <w:spacing w:before="100" w:beforeAutospacing="1" w:after="100" w:afterAutospacing="1" w:line="360" w:lineRule="auto"/>
              <w:jc w:val="center"/>
              <w:rPr>
                <w:rFonts w:ascii="Arial" w:eastAsia="Times New Roman" w:hAnsi="Arial" w:cs="Arial"/>
                <w:b/>
                <w:bCs/>
                <w:color w:val="000000" w:themeColor="text1"/>
                <w:sz w:val="24"/>
                <w:szCs w:val="24"/>
                <w:lang w:val="en-IN" w:eastAsia="en-GB"/>
              </w:rPr>
            </w:pPr>
            <w:r w:rsidRPr="00AC0F13">
              <w:rPr>
                <w:rFonts w:ascii="Arial" w:eastAsia="Times New Roman" w:hAnsi="Arial" w:cs="Arial"/>
                <w:b/>
                <w:bCs/>
                <w:color w:val="000000" w:themeColor="text1"/>
                <w:sz w:val="24"/>
                <w:szCs w:val="24"/>
                <w:lang w:val="en-IN" w:eastAsia="en-GB"/>
              </w:rPr>
              <w:t>Main challenge</w:t>
            </w:r>
          </w:p>
        </w:tc>
        <w:tc>
          <w:tcPr>
            <w:tcW w:w="0" w:type="auto"/>
            <w:hideMark/>
          </w:tcPr>
          <w:p w14:paraId="7A288A90" w14:textId="77777777" w:rsidR="00E6197B" w:rsidRPr="00AC0F13" w:rsidRDefault="00E6197B" w:rsidP="00AC0F13">
            <w:pPr>
              <w:spacing w:before="100" w:beforeAutospacing="1" w:after="100" w:afterAutospacing="1" w:line="360" w:lineRule="auto"/>
              <w:jc w:val="center"/>
              <w:rPr>
                <w:rFonts w:ascii="Arial" w:eastAsia="Times New Roman" w:hAnsi="Arial" w:cs="Arial"/>
                <w:b/>
                <w:bCs/>
                <w:color w:val="000000" w:themeColor="text1"/>
                <w:sz w:val="24"/>
                <w:szCs w:val="24"/>
                <w:lang w:val="en-IN" w:eastAsia="en-GB"/>
              </w:rPr>
            </w:pPr>
            <w:r w:rsidRPr="00AC0F13">
              <w:rPr>
                <w:rFonts w:ascii="Arial" w:eastAsia="Times New Roman" w:hAnsi="Arial" w:cs="Arial"/>
                <w:b/>
                <w:bCs/>
                <w:color w:val="000000" w:themeColor="text1"/>
                <w:sz w:val="24"/>
                <w:szCs w:val="24"/>
                <w:lang w:val="en-IN" w:eastAsia="en-GB"/>
              </w:rPr>
              <w:t>Marketing implication</w:t>
            </w:r>
          </w:p>
        </w:tc>
      </w:tr>
      <w:tr w:rsidR="00AC0F13" w:rsidRPr="00AC0F13" w14:paraId="44738926" w14:textId="77777777" w:rsidTr="00E6197B">
        <w:tc>
          <w:tcPr>
            <w:tcW w:w="0" w:type="auto"/>
            <w:hideMark/>
          </w:tcPr>
          <w:p w14:paraId="62D26091" w14:textId="77777777" w:rsidR="00E6197B" w:rsidRPr="00AC0F13" w:rsidRDefault="00E6197B" w:rsidP="00AC0F13">
            <w:pPr>
              <w:spacing w:before="100" w:beforeAutospacing="1" w:after="100" w:afterAutospacing="1" w:line="360" w:lineRule="auto"/>
              <w:rPr>
                <w:rFonts w:ascii="Arial" w:eastAsia="Times New Roman" w:hAnsi="Arial" w:cs="Arial"/>
                <w:color w:val="000000" w:themeColor="text1"/>
                <w:sz w:val="24"/>
                <w:szCs w:val="24"/>
                <w:lang w:val="en-IN" w:eastAsia="en-GB"/>
              </w:rPr>
            </w:pPr>
            <w:r w:rsidRPr="00AC0F13">
              <w:rPr>
                <w:rFonts w:ascii="Arial" w:eastAsia="Times New Roman" w:hAnsi="Arial" w:cs="Arial"/>
                <w:color w:val="000000" w:themeColor="text1"/>
                <w:sz w:val="24"/>
                <w:szCs w:val="24"/>
                <w:lang w:val="en-IN" w:eastAsia="en-GB"/>
              </w:rPr>
              <w:t>Natural/environmental</w:t>
            </w:r>
          </w:p>
        </w:tc>
        <w:tc>
          <w:tcPr>
            <w:tcW w:w="0" w:type="auto"/>
            <w:hideMark/>
          </w:tcPr>
          <w:p w14:paraId="3BCF78F0" w14:textId="77777777" w:rsidR="00E6197B" w:rsidRPr="00AC0F13" w:rsidRDefault="00E6197B" w:rsidP="00AC0F13">
            <w:pPr>
              <w:spacing w:before="100" w:beforeAutospacing="1" w:after="100" w:afterAutospacing="1" w:line="360" w:lineRule="auto"/>
              <w:rPr>
                <w:rFonts w:ascii="Arial" w:eastAsia="Times New Roman" w:hAnsi="Arial" w:cs="Arial"/>
                <w:color w:val="000000" w:themeColor="text1"/>
                <w:sz w:val="24"/>
                <w:szCs w:val="24"/>
                <w:lang w:val="en-IN" w:eastAsia="en-GB"/>
              </w:rPr>
            </w:pPr>
            <w:r w:rsidRPr="00AC0F13">
              <w:rPr>
                <w:rFonts w:ascii="Arial" w:eastAsia="Times New Roman" w:hAnsi="Arial" w:cs="Arial"/>
                <w:color w:val="000000" w:themeColor="text1"/>
                <w:sz w:val="24"/>
                <w:szCs w:val="24"/>
                <w:lang w:val="en-IN" w:eastAsia="en-GB"/>
              </w:rPr>
              <w:t xml:space="preserve">Growing demand for responsibly produced transition </w:t>
            </w:r>
            <w:r w:rsidRPr="00AC0F13">
              <w:rPr>
                <w:rFonts w:ascii="Arial" w:eastAsia="Times New Roman" w:hAnsi="Arial" w:cs="Arial"/>
                <w:color w:val="000000" w:themeColor="text1"/>
                <w:sz w:val="24"/>
                <w:szCs w:val="24"/>
                <w:lang w:val="en-IN" w:eastAsia="en-GB"/>
              </w:rPr>
              <w:lastRenderedPageBreak/>
              <w:t>minerals</w:t>
            </w:r>
          </w:p>
        </w:tc>
        <w:tc>
          <w:tcPr>
            <w:tcW w:w="0" w:type="auto"/>
            <w:hideMark/>
          </w:tcPr>
          <w:p w14:paraId="215F6462" w14:textId="77777777" w:rsidR="00E6197B" w:rsidRPr="00AC0F13" w:rsidRDefault="00E6197B" w:rsidP="00AC0F13">
            <w:pPr>
              <w:spacing w:before="100" w:beforeAutospacing="1" w:after="100" w:afterAutospacing="1" w:line="360" w:lineRule="auto"/>
              <w:rPr>
                <w:rFonts w:ascii="Arial" w:eastAsia="Times New Roman" w:hAnsi="Arial" w:cs="Arial"/>
                <w:color w:val="000000" w:themeColor="text1"/>
                <w:sz w:val="24"/>
                <w:szCs w:val="24"/>
                <w:lang w:val="en-IN" w:eastAsia="en-GB"/>
              </w:rPr>
            </w:pPr>
            <w:r w:rsidRPr="00AC0F13">
              <w:rPr>
                <w:rFonts w:ascii="Arial" w:eastAsia="Times New Roman" w:hAnsi="Arial" w:cs="Arial"/>
                <w:color w:val="000000" w:themeColor="text1"/>
                <w:sz w:val="24"/>
                <w:szCs w:val="24"/>
                <w:lang w:val="en-IN" w:eastAsia="en-GB"/>
              </w:rPr>
              <w:lastRenderedPageBreak/>
              <w:t>Climate impacts, water stress and emissions</w:t>
            </w:r>
          </w:p>
        </w:tc>
        <w:tc>
          <w:tcPr>
            <w:tcW w:w="0" w:type="auto"/>
            <w:hideMark/>
          </w:tcPr>
          <w:p w14:paraId="639ACB3B" w14:textId="77777777" w:rsidR="00E6197B" w:rsidRPr="00AC0F13" w:rsidRDefault="00E6197B" w:rsidP="00AC0F13">
            <w:pPr>
              <w:spacing w:before="100" w:beforeAutospacing="1" w:after="100" w:afterAutospacing="1" w:line="360" w:lineRule="auto"/>
              <w:rPr>
                <w:rFonts w:ascii="Arial" w:eastAsia="Times New Roman" w:hAnsi="Arial" w:cs="Arial"/>
                <w:color w:val="000000" w:themeColor="text1"/>
                <w:sz w:val="24"/>
                <w:szCs w:val="24"/>
                <w:lang w:val="en-IN" w:eastAsia="en-GB"/>
              </w:rPr>
            </w:pPr>
            <w:r w:rsidRPr="00AC0F13">
              <w:rPr>
                <w:rFonts w:ascii="Arial" w:eastAsia="Times New Roman" w:hAnsi="Arial" w:cs="Arial"/>
                <w:color w:val="000000" w:themeColor="text1"/>
                <w:sz w:val="24"/>
                <w:szCs w:val="24"/>
                <w:lang w:val="en-IN" w:eastAsia="en-GB"/>
              </w:rPr>
              <w:t>Position BHP as a responsible supplier of transition minerals</w:t>
            </w:r>
          </w:p>
        </w:tc>
      </w:tr>
      <w:tr w:rsidR="00AC0F13" w:rsidRPr="00AC0F13" w14:paraId="7CE112D2" w14:textId="77777777" w:rsidTr="00E6197B">
        <w:tc>
          <w:tcPr>
            <w:tcW w:w="0" w:type="auto"/>
            <w:hideMark/>
          </w:tcPr>
          <w:p w14:paraId="1F61542B" w14:textId="77777777" w:rsidR="00E6197B" w:rsidRPr="00AC0F13" w:rsidRDefault="00E6197B" w:rsidP="00AC0F13">
            <w:pPr>
              <w:spacing w:before="100" w:beforeAutospacing="1" w:after="100" w:afterAutospacing="1" w:line="360" w:lineRule="auto"/>
              <w:rPr>
                <w:rFonts w:ascii="Arial" w:eastAsia="Times New Roman" w:hAnsi="Arial" w:cs="Arial"/>
                <w:color w:val="000000" w:themeColor="text1"/>
                <w:sz w:val="24"/>
                <w:szCs w:val="24"/>
                <w:lang w:val="en-IN" w:eastAsia="en-GB"/>
              </w:rPr>
            </w:pPr>
            <w:r w:rsidRPr="00AC0F13">
              <w:rPr>
                <w:rFonts w:ascii="Arial" w:eastAsia="Times New Roman" w:hAnsi="Arial" w:cs="Arial"/>
                <w:color w:val="000000" w:themeColor="text1"/>
                <w:sz w:val="24"/>
                <w:szCs w:val="24"/>
                <w:lang w:val="en-IN" w:eastAsia="en-GB"/>
              </w:rPr>
              <w:lastRenderedPageBreak/>
              <w:t>Political/regulatory</w:t>
            </w:r>
          </w:p>
        </w:tc>
        <w:tc>
          <w:tcPr>
            <w:tcW w:w="0" w:type="auto"/>
            <w:hideMark/>
          </w:tcPr>
          <w:p w14:paraId="73E6B588" w14:textId="77777777" w:rsidR="00E6197B" w:rsidRPr="00AC0F13" w:rsidRDefault="00E6197B" w:rsidP="00AC0F13">
            <w:pPr>
              <w:spacing w:before="100" w:beforeAutospacing="1" w:after="100" w:afterAutospacing="1" w:line="360" w:lineRule="auto"/>
              <w:rPr>
                <w:rFonts w:ascii="Arial" w:eastAsia="Times New Roman" w:hAnsi="Arial" w:cs="Arial"/>
                <w:color w:val="000000" w:themeColor="text1"/>
                <w:sz w:val="24"/>
                <w:szCs w:val="24"/>
                <w:lang w:val="en-IN" w:eastAsia="en-GB"/>
              </w:rPr>
            </w:pPr>
            <w:r w:rsidRPr="00AC0F13">
              <w:rPr>
                <w:rFonts w:ascii="Arial" w:eastAsia="Times New Roman" w:hAnsi="Arial" w:cs="Arial"/>
                <w:color w:val="000000" w:themeColor="text1"/>
                <w:sz w:val="24"/>
                <w:szCs w:val="24"/>
                <w:lang w:val="en-IN" w:eastAsia="en-GB"/>
              </w:rPr>
              <w:t>Critical-mineral policies and carbon-related regulation</w:t>
            </w:r>
          </w:p>
        </w:tc>
        <w:tc>
          <w:tcPr>
            <w:tcW w:w="0" w:type="auto"/>
            <w:hideMark/>
          </w:tcPr>
          <w:p w14:paraId="74CF2048" w14:textId="77777777" w:rsidR="00E6197B" w:rsidRPr="00AC0F13" w:rsidRDefault="00E6197B" w:rsidP="00AC0F13">
            <w:pPr>
              <w:spacing w:before="100" w:beforeAutospacing="1" w:after="100" w:afterAutospacing="1" w:line="360" w:lineRule="auto"/>
              <w:rPr>
                <w:rFonts w:ascii="Arial" w:eastAsia="Times New Roman" w:hAnsi="Arial" w:cs="Arial"/>
                <w:color w:val="000000" w:themeColor="text1"/>
                <w:sz w:val="24"/>
                <w:szCs w:val="24"/>
                <w:lang w:val="en-IN" w:eastAsia="en-GB"/>
              </w:rPr>
            </w:pPr>
            <w:r w:rsidRPr="00AC0F13">
              <w:rPr>
                <w:rFonts w:ascii="Arial" w:eastAsia="Times New Roman" w:hAnsi="Arial" w:cs="Arial"/>
                <w:color w:val="000000" w:themeColor="text1"/>
                <w:sz w:val="24"/>
                <w:szCs w:val="24"/>
                <w:lang w:val="en-IN" w:eastAsia="en-GB"/>
              </w:rPr>
              <w:t>Compliance costs and policy uncertainty</w:t>
            </w:r>
          </w:p>
        </w:tc>
        <w:tc>
          <w:tcPr>
            <w:tcW w:w="0" w:type="auto"/>
            <w:hideMark/>
          </w:tcPr>
          <w:p w14:paraId="4916705A" w14:textId="77777777" w:rsidR="00E6197B" w:rsidRPr="00AC0F13" w:rsidRDefault="00E6197B" w:rsidP="00AC0F13">
            <w:pPr>
              <w:spacing w:before="100" w:beforeAutospacing="1" w:after="100" w:afterAutospacing="1" w:line="360" w:lineRule="auto"/>
              <w:rPr>
                <w:rFonts w:ascii="Arial" w:eastAsia="Times New Roman" w:hAnsi="Arial" w:cs="Arial"/>
                <w:color w:val="000000" w:themeColor="text1"/>
                <w:sz w:val="24"/>
                <w:szCs w:val="24"/>
                <w:lang w:val="en-IN" w:eastAsia="en-GB"/>
              </w:rPr>
            </w:pPr>
            <w:r w:rsidRPr="00AC0F13">
              <w:rPr>
                <w:rFonts w:ascii="Arial" w:eastAsia="Times New Roman" w:hAnsi="Arial" w:cs="Arial"/>
                <w:color w:val="000000" w:themeColor="text1"/>
                <w:sz w:val="24"/>
                <w:szCs w:val="24"/>
                <w:lang w:val="en-IN" w:eastAsia="en-GB"/>
              </w:rPr>
              <w:t>Strengthen emissions accounting, disclosure and regulatory engagement</w:t>
            </w:r>
          </w:p>
        </w:tc>
      </w:tr>
      <w:tr w:rsidR="00AC0F13" w:rsidRPr="00AC0F13" w14:paraId="561C7A91" w14:textId="77777777" w:rsidTr="00E6197B">
        <w:tc>
          <w:tcPr>
            <w:tcW w:w="0" w:type="auto"/>
            <w:hideMark/>
          </w:tcPr>
          <w:p w14:paraId="619BF23B" w14:textId="77777777" w:rsidR="00E6197B" w:rsidRPr="00AC0F13" w:rsidRDefault="00E6197B" w:rsidP="00AC0F13">
            <w:pPr>
              <w:spacing w:before="100" w:beforeAutospacing="1" w:after="100" w:afterAutospacing="1" w:line="360" w:lineRule="auto"/>
              <w:rPr>
                <w:rFonts w:ascii="Arial" w:eastAsia="Times New Roman" w:hAnsi="Arial" w:cs="Arial"/>
                <w:color w:val="000000" w:themeColor="text1"/>
                <w:sz w:val="24"/>
                <w:szCs w:val="24"/>
                <w:lang w:val="en-IN" w:eastAsia="en-GB"/>
              </w:rPr>
            </w:pPr>
            <w:r w:rsidRPr="00AC0F13">
              <w:rPr>
                <w:rFonts w:ascii="Arial" w:eastAsia="Times New Roman" w:hAnsi="Arial" w:cs="Arial"/>
                <w:color w:val="000000" w:themeColor="text1"/>
                <w:sz w:val="24"/>
                <w:szCs w:val="24"/>
                <w:lang w:val="en-IN" w:eastAsia="en-GB"/>
              </w:rPr>
              <w:t>Technological</w:t>
            </w:r>
          </w:p>
        </w:tc>
        <w:tc>
          <w:tcPr>
            <w:tcW w:w="0" w:type="auto"/>
            <w:hideMark/>
          </w:tcPr>
          <w:p w14:paraId="36A8A983" w14:textId="77777777" w:rsidR="00E6197B" w:rsidRPr="00AC0F13" w:rsidRDefault="00E6197B" w:rsidP="00AC0F13">
            <w:pPr>
              <w:spacing w:before="100" w:beforeAutospacing="1" w:after="100" w:afterAutospacing="1" w:line="360" w:lineRule="auto"/>
              <w:rPr>
                <w:rFonts w:ascii="Arial" w:eastAsia="Times New Roman" w:hAnsi="Arial" w:cs="Arial"/>
                <w:color w:val="000000" w:themeColor="text1"/>
                <w:sz w:val="24"/>
                <w:szCs w:val="24"/>
                <w:lang w:val="en-IN" w:eastAsia="en-GB"/>
              </w:rPr>
            </w:pPr>
            <w:r w:rsidRPr="00AC0F13">
              <w:rPr>
                <w:rFonts w:ascii="Arial" w:eastAsia="Times New Roman" w:hAnsi="Arial" w:cs="Arial"/>
                <w:color w:val="000000" w:themeColor="text1"/>
                <w:sz w:val="24"/>
                <w:szCs w:val="24"/>
                <w:lang w:val="en-IN" w:eastAsia="en-GB"/>
              </w:rPr>
              <w:t>Automation, digital monitoring and lower-carbon production methods</w:t>
            </w:r>
          </w:p>
        </w:tc>
        <w:tc>
          <w:tcPr>
            <w:tcW w:w="0" w:type="auto"/>
            <w:hideMark/>
          </w:tcPr>
          <w:p w14:paraId="7F7BC587" w14:textId="77777777" w:rsidR="00E6197B" w:rsidRPr="00AC0F13" w:rsidRDefault="00E6197B" w:rsidP="00AC0F13">
            <w:pPr>
              <w:spacing w:before="100" w:beforeAutospacing="1" w:after="100" w:afterAutospacing="1" w:line="360" w:lineRule="auto"/>
              <w:rPr>
                <w:rFonts w:ascii="Arial" w:eastAsia="Times New Roman" w:hAnsi="Arial" w:cs="Arial"/>
                <w:color w:val="000000" w:themeColor="text1"/>
                <w:sz w:val="24"/>
                <w:szCs w:val="24"/>
                <w:lang w:val="en-IN" w:eastAsia="en-GB"/>
              </w:rPr>
            </w:pPr>
            <w:r w:rsidRPr="00AC0F13">
              <w:rPr>
                <w:rFonts w:ascii="Arial" w:eastAsia="Times New Roman" w:hAnsi="Arial" w:cs="Arial"/>
                <w:color w:val="000000" w:themeColor="text1"/>
                <w:sz w:val="24"/>
                <w:szCs w:val="24"/>
                <w:lang w:val="en-IN" w:eastAsia="en-GB"/>
              </w:rPr>
              <w:t>High investment costs and uncertain technology readiness</w:t>
            </w:r>
          </w:p>
        </w:tc>
        <w:tc>
          <w:tcPr>
            <w:tcW w:w="0" w:type="auto"/>
            <w:hideMark/>
          </w:tcPr>
          <w:p w14:paraId="4A55BC0F" w14:textId="77777777" w:rsidR="00E6197B" w:rsidRPr="00AC0F13" w:rsidRDefault="00E6197B" w:rsidP="00AC0F13">
            <w:pPr>
              <w:spacing w:before="100" w:beforeAutospacing="1" w:after="100" w:afterAutospacing="1" w:line="360" w:lineRule="auto"/>
              <w:rPr>
                <w:rFonts w:ascii="Arial" w:eastAsia="Times New Roman" w:hAnsi="Arial" w:cs="Arial"/>
                <w:color w:val="000000" w:themeColor="text1"/>
                <w:sz w:val="24"/>
                <w:szCs w:val="24"/>
                <w:lang w:val="en-IN" w:eastAsia="en-GB"/>
              </w:rPr>
            </w:pPr>
            <w:r w:rsidRPr="00AC0F13">
              <w:rPr>
                <w:rFonts w:ascii="Arial" w:eastAsia="Times New Roman" w:hAnsi="Arial" w:cs="Arial"/>
                <w:color w:val="000000" w:themeColor="text1"/>
                <w:sz w:val="24"/>
                <w:szCs w:val="24"/>
                <w:lang w:val="en-IN" w:eastAsia="en-GB"/>
              </w:rPr>
              <w:t>Improve operational efficiency and support credible environmental product claims</w:t>
            </w:r>
          </w:p>
        </w:tc>
      </w:tr>
    </w:tbl>
    <w:p w14:paraId="35D8A028" w14:textId="77777777" w:rsidR="005769AC" w:rsidRPr="00AC0F13" w:rsidRDefault="0040476A" w:rsidP="00AC0F13">
      <w:pPr>
        <w:pStyle w:val="Heading1"/>
        <w:spacing w:line="360" w:lineRule="auto"/>
        <w:jc w:val="both"/>
        <w:rPr>
          <w:rFonts w:ascii="Arial" w:hAnsi="Arial" w:cs="Arial"/>
          <w:color w:val="000000" w:themeColor="text1"/>
          <w:sz w:val="24"/>
          <w:szCs w:val="24"/>
        </w:rPr>
      </w:pPr>
      <w:bookmarkStart w:id="8" w:name="_Toc242798840"/>
      <w:r w:rsidRPr="00AC0F13">
        <w:rPr>
          <w:rFonts w:ascii="Arial" w:hAnsi="Arial" w:cs="Arial"/>
          <w:color w:val="000000" w:themeColor="text1"/>
          <w:sz w:val="24"/>
          <w:szCs w:val="24"/>
        </w:rPr>
        <w:t>Task 2: Strategic Growth and Competitive Positioning</w:t>
      </w:r>
      <w:bookmarkEnd w:id="8"/>
    </w:p>
    <w:p w14:paraId="5284E616" w14:textId="77777777" w:rsidR="005769AC" w:rsidRPr="00AC0F13" w:rsidRDefault="0040476A" w:rsidP="00AC0F13">
      <w:pPr>
        <w:pStyle w:val="Heading2"/>
        <w:spacing w:line="360" w:lineRule="auto"/>
        <w:jc w:val="both"/>
        <w:rPr>
          <w:rFonts w:ascii="Arial" w:hAnsi="Arial" w:cs="Arial"/>
          <w:color w:val="000000" w:themeColor="text1"/>
          <w:szCs w:val="24"/>
        </w:rPr>
      </w:pPr>
      <w:bookmarkStart w:id="9" w:name="_Toc242798841"/>
      <w:r w:rsidRPr="00AC0F13">
        <w:rPr>
          <w:rFonts w:ascii="Arial" w:hAnsi="Arial" w:cs="Arial"/>
          <w:color w:val="000000" w:themeColor="text1"/>
          <w:szCs w:val="24"/>
        </w:rPr>
        <w:t>2.1 Ansoff Matrix</w:t>
      </w:r>
      <w:bookmarkEnd w:id="9"/>
    </w:p>
    <w:p w14:paraId="5A60DBFB" w14:textId="29132E98" w:rsidR="005769AC" w:rsidRPr="00AC0F13" w:rsidRDefault="00E34F36"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The Ansoff Matrix offers four possible growth options – market penetration, market development, product development and diversification.</w:t>
      </w:r>
      <w:r w:rsidR="00213D5E" w:rsidRPr="00AC0F13">
        <w:rPr>
          <w:rFonts w:ascii="Arial" w:hAnsi="Arial" w:cs="Arial"/>
          <w:color w:val="000000" w:themeColor="text1"/>
          <w:sz w:val="24"/>
          <w:szCs w:val="24"/>
        </w:rPr>
        <w:t xml:space="preserve"> There is the best strategy which is product and market development </w:t>
      </w:r>
      <w:r w:rsidR="00214009" w:rsidRPr="00AC0F13">
        <w:rPr>
          <w:rFonts w:ascii="Arial" w:hAnsi="Arial" w:cs="Arial"/>
          <w:color w:val="000000" w:themeColor="text1"/>
          <w:sz w:val="24"/>
          <w:szCs w:val="24"/>
        </w:rPr>
        <w:t>to</w:t>
      </w:r>
      <w:r w:rsidR="00213D5E" w:rsidRPr="00AC0F13">
        <w:rPr>
          <w:rFonts w:ascii="Arial" w:hAnsi="Arial" w:cs="Arial"/>
          <w:color w:val="000000" w:themeColor="text1"/>
          <w:sz w:val="24"/>
          <w:szCs w:val="24"/>
        </w:rPr>
        <w:t xml:space="preserve"> us ethe selective market penetration for BHP</w:t>
      </w:r>
      <w:r w:rsidRPr="00AC0F13">
        <w:rPr>
          <w:rFonts w:ascii="Arial" w:hAnsi="Arial" w:cs="Arial"/>
          <w:color w:val="000000" w:themeColor="text1"/>
          <w:sz w:val="24"/>
          <w:szCs w:val="24"/>
        </w:rPr>
        <w:t>. Market penetration should be achieved by gaining market share with current copper and iron-ore customers by means of reliability, digital services and transparency of emissions.  Thus, product development has more strategic potential. The development of products should be based on verified lower</w:t>
      </w:r>
      <w:r w:rsidR="00BC7E06" w:rsidRPr="00AC0F13">
        <w:rPr>
          <w:rFonts w:ascii="Arial" w:hAnsi="Arial" w:cs="Arial"/>
          <w:color w:val="000000" w:themeColor="text1"/>
          <w:sz w:val="24"/>
          <w:szCs w:val="24"/>
        </w:rPr>
        <w:t xml:space="preserve"> c</w:t>
      </w:r>
      <w:r w:rsidRPr="00AC0F13">
        <w:rPr>
          <w:rFonts w:ascii="Arial" w:hAnsi="Arial" w:cs="Arial"/>
          <w:color w:val="000000" w:themeColor="text1"/>
          <w:sz w:val="24"/>
          <w:szCs w:val="24"/>
        </w:rPr>
        <w:t>arbon copper and iron-ore products and backed by the environmental data on the product level. Market developments should be directed at the value chains of clean energy, EVs, electricity grid and low carbon steel in new countries and customers</w:t>
      </w:r>
      <w:r w:rsidR="00BC7E06" w:rsidRPr="00AC0F13">
        <w:rPr>
          <w:rFonts w:ascii="Arial" w:hAnsi="Arial" w:cs="Arial"/>
          <w:color w:val="000000" w:themeColor="text1"/>
          <w:sz w:val="24"/>
          <w:szCs w:val="24"/>
        </w:rPr>
        <w:t xml:space="preserve"> (World Bank Group, 2024)</w:t>
      </w:r>
      <w:r w:rsidRPr="00AC0F13">
        <w:rPr>
          <w:rFonts w:ascii="Arial" w:hAnsi="Arial" w:cs="Arial"/>
          <w:color w:val="000000" w:themeColor="text1"/>
          <w:sz w:val="24"/>
          <w:szCs w:val="24"/>
        </w:rPr>
        <w:t>. Selectively, over time, diversification into recycling, processing, and circular mineral solutions via technology be considered, but not at the expense of BHP's best capabilities</w:t>
      </w:r>
      <w:r w:rsidR="00AC0F13" w:rsidRPr="00AC0F13">
        <w:rPr>
          <w:rFonts w:ascii="Arial" w:hAnsi="Arial" w:cs="Arial"/>
          <w:color w:val="000000" w:themeColor="text1"/>
          <w:sz w:val="24"/>
          <w:szCs w:val="24"/>
        </w:rPr>
        <w:t xml:space="preserve"> (BHP, 2026c).</w:t>
      </w:r>
    </w:p>
    <w:p w14:paraId="50E40739" w14:textId="77777777" w:rsidR="005769AC" w:rsidRPr="00AC0F13" w:rsidRDefault="0040476A" w:rsidP="00AC0F13">
      <w:pPr>
        <w:spacing w:line="360" w:lineRule="auto"/>
        <w:jc w:val="both"/>
        <w:rPr>
          <w:rFonts w:ascii="Arial" w:hAnsi="Arial" w:cs="Arial"/>
          <w:color w:val="000000" w:themeColor="text1"/>
          <w:sz w:val="24"/>
          <w:szCs w:val="24"/>
        </w:rPr>
      </w:pPr>
      <w:r w:rsidRPr="00AC0F13">
        <w:rPr>
          <w:rFonts w:ascii="Arial" w:hAnsi="Arial" w:cs="Arial"/>
          <w:b/>
          <w:color w:val="000000" w:themeColor="text1"/>
          <w:sz w:val="24"/>
          <w:szCs w:val="24"/>
        </w:rPr>
        <w:t>Table 4: Ansoff Matrix for BHP’s lower-c</w:t>
      </w:r>
      <w:r w:rsidRPr="00AC0F13">
        <w:rPr>
          <w:rFonts w:ascii="Arial" w:hAnsi="Arial" w:cs="Arial"/>
          <w:b/>
          <w:color w:val="000000" w:themeColor="text1"/>
          <w:sz w:val="24"/>
          <w:szCs w:val="24"/>
        </w:rPr>
        <w:t>arbon transition</w:t>
      </w:r>
    </w:p>
    <w:tbl>
      <w:tblPr>
        <w:tblStyle w:val="TableGrid"/>
        <w:tblW w:w="0" w:type="auto"/>
        <w:jc w:val="center"/>
        <w:tblLook w:val="04A0" w:firstRow="1" w:lastRow="0" w:firstColumn="1" w:lastColumn="0" w:noHBand="0" w:noVBand="1"/>
      </w:tblPr>
      <w:tblGrid>
        <w:gridCol w:w="3264"/>
        <w:gridCol w:w="3264"/>
        <w:gridCol w:w="3264"/>
      </w:tblGrid>
      <w:tr w:rsidR="00AC0F13" w:rsidRPr="00AC0F13" w14:paraId="26B71981" w14:textId="77777777">
        <w:trPr>
          <w:jc w:val="center"/>
        </w:trPr>
        <w:tc>
          <w:tcPr>
            <w:tcW w:w="3264" w:type="dxa"/>
            <w:vAlign w:val="center"/>
          </w:tcPr>
          <w:p w14:paraId="56F5E3C8"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b/>
                <w:color w:val="000000" w:themeColor="text1"/>
                <w:sz w:val="24"/>
                <w:szCs w:val="24"/>
              </w:rPr>
              <w:t>Ansoff strategy</w:t>
            </w:r>
          </w:p>
        </w:tc>
        <w:tc>
          <w:tcPr>
            <w:tcW w:w="3264" w:type="dxa"/>
            <w:vAlign w:val="center"/>
          </w:tcPr>
          <w:p w14:paraId="323053D6"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b/>
                <w:color w:val="000000" w:themeColor="text1"/>
                <w:sz w:val="24"/>
                <w:szCs w:val="24"/>
              </w:rPr>
              <w:t>BHP application</w:t>
            </w:r>
          </w:p>
        </w:tc>
        <w:tc>
          <w:tcPr>
            <w:tcW w:w="3264" w:type="dxa"/>
            <w:vAlign w:val="center"/>
          </w:tcPr>
          <w:p w14:paraId="030D0CF7"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b/>
                <w:color w:val="000000" w:themeColor="text1"/>
                <w:sz w:val="24"/>
                <w:szCs w:val="24"/>
              </w:rPr>
              <w:t>Assessment</w:t>
            </w:r>
          </w:p>
        </w:tc>
      </w:tr>
      <w:tr w:rsidR="00AC0F13" w:rsidRPr="00AC0F13" w14:paraId="48DCF779" w14:textId="77777777">
        <w:trPr>
          <w:jc w:val="center"/>
        </w:trPr>
        <w:tc>
          <w:tcPr>
            <w:tcW w:w="3264" w:type="dxa"/>
            <w:vAlign w:val="center"/>
          </w:tcPr>
          <w:p w14:paraId="595A1F10"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Market penetration</w:t>
            </w:r>
          </w:p>
        </w:tc>
        <w:tc>
          <w:tcPr>
            <w:tcW w:w="3264" w:type="dxa"/>
            <w:vAlign w:val="center"/>
          </w:tcPr>
          <w:p w14:paraId="7166984E"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 xml:space="preserve">Increase share with existing copper and iron-ore customers through reliability, digital services </w:t>
            </w:r>
            <w:r w:rsidRPr="00AC0F13">
              <w:rPr>
                <w:rFonts w:ascii="Arial" w:hAnsi="Arial" w:cs="Arial"/>
                <w:color w:val="000000" w:themeColor="text1"/>
                <w:sz w:val="24"/>
                <w:szCs w:val="24"/>
              </w:rPr>
              <w:lastRenderedPageBreak/>
              <w:t>and emissions transparency</w:t>
            </w:r>
          </w:p>
        </w:tc>
        <w:tc>
          <w:tcPr>
            <w:tcW w:w="3264" w:type="dxa"/>
            <w:vAlign w:val="center"/>
          </w:tcPr>
          <w:p w14:paraId="07EDCCF8"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lastRenderedPageBreak/>
              <w:t>Medium opportunity</w:t>
            </w:r>
          </w:p>
        </w:tc>
      </w:tr>
      <w:tr w:rsidR="00AC0F13" w:rsidRPr="00AC0F13" w14:paraId="76CE3E8F" w14:textId="77777777">
        <w:trPr>
          <w:jc w:val="center"/>
        </w:trPr>
        <w:tc>
          <w:tcPr>
            <w:tcW w:w="3264" w:type="dxa"/>
            <w:vAlign w:val="center"/>
          </w:tcPr>
          <w:p w14:paraId="600EAB55"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lastRenderedPageBreak/>
              <w:t>Product development</w:t>
            </w:r>
          </w:p>
        </w:tc>
        <w:tc>
          <w:tcPr>
            <w:tcW w:w="3264" w:type="dxa"/>
            <w:vAlign w:val="center"/>
          </w:tcPr>
          <w:p w14:paraId="2DCFB592"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 xml:space="preserve">Develop </w:t>
            </w:r>
            <w:r w:rsidRPr="00AC0F13">
              <w:rPr>
                <w:rFonts w:ascii="Arial" w:hAnsi="Arial" w:cs="Arial"/>
                <w:color w:val="000000" w:themeColor="text1"/>
                <w:sz w:val="24"/>
                <w:szCs w:val="24"/>
              </w:rPr>
              <w:t>verified lower-carbon copper and iron-ore products and associated environmental data</w:t>
            </w:r>
          </w:p>
        </w:tc>
        <w:tc>
          <w:tcPr>
            <w:tcW w:w="3264" w:type="dxa"/>
            <w:vAlign w:val="center"/>
          </w:tcPr>
          <w:p w14:paraId="147565C7"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Highest priority</w:t>
            </w:r>
          </w:p>
        </w:tc>
      </w:tr>
      <w:tr w:rsidR="00AC0F13" w:rsidRPr="00AC0F13" w14:paraId="7B2FC6E7" w14:textId="77777777">
        <w:trPr>
          <w:jc w:val="center"/>
        </w:trPr>
        <w:tc>
          <w:tcPr>
            <w:tcW w:w="3264" w:type="dxa"/>
            <w:vAlign w:val="center"/>
          </w:tcPr>
          <w:p w14:paraId="6142E7C9"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Market development</w:t>
            </w:r>
          </w:p>
        </w:tc>
        <w:tc>
          <w:tcPr>
            <w:tcW w:w="3264" w:type="dxa"/>
            <w:vAlign w:val="center"/>
          </w:tcPr>
          <w:p w14:paraId="5EC3032D"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Target clean-energy, EV, grid and low-carbon steel value chains in new geographical/customer segments</w:t>
            </w:r>
          </w:p>
        </w:tc>
        <w:tc>
          <w:tcPr>
            <w:tcW w:w="3264" w:type="dxa"/>
            <w:vAlign w:val="center"/>
          </w:tcPr>
          <w:p w14:paraId="7A5DCA88"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High priority</w:t>
            </w:r>
          </w:p>
        </w:tc>
      </w:tr>
      <w:tr w:rsidR="00AC0F13" w:rsidRPr="00AC0F13" w14:paraId="60C16341" w14:textId="77777777">
        <w:trPr>
          <w:jc w:val="center"/>
        </w:trPr>
        <w:tc>
          <w:tcPr>
            <w:tcW w:w="3264" w:type="dxa"/>
            <w:vAlign w:val="center"/>
          </w:tcPr>
          <w:p w14:paraId="72EE83BA"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Diversification</w:t>
            </w:r>
          </w:p>
        </w:tc>
        <w:tc>
          <w:tcPr>
            <w:tcW w:w="3264" w:type="dxa"/>
            <w:vAlign w:val="center"/>
          </w:tcPr>
          <w:p w14:paraId="4340617E"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Move into recycling, processing and technology-enabled circular mineral solutions</w:t>
            </w:r>
          </w:p>
        </w:tc>
        <w:tc>
          <w:tcPr>
            <w:tcW w:w="3264" w:type="dxa"/>
            <w:vAlign w:val="center"/>
          </w:tcPr>
          <w:p w14:paraId="17E90068" w14:textId="77777777" w:rsidR="005769AC" w:rsidRPr="00AC0F13" w:rsidRDefault="0040476A" w:rsidP="00AC0F13">
            <w:pPr>
              <w:spacing w:after="0"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Selective long-term opportunity</w:t>
            </w:r>
          </w:p>
        </w:tc>
      </w:tr>
    </w:tbl>
    <w:p w14:paraId="6C5C53C0" w14:textId="77777777" w:rsidR="005769AC" w:rsidRPr="00AC0F13" w:rsidRDefault="0040476A" w:rsidP="00AC0F13">
      <w:pPr>
        <w:pStyle w:val="Heading2"/>
        <w:spacing w:line="360" w:lineRule="auto"/>
        <w:jc w:val="both"/>
        <w:rPr>
          <w:rFonts w:ascii="Arial" w:hAnsi="Arial" w:cs="Arial"/>
          <w:color w:val="000000" w:themeColor="text1"/>
          <w:szCs w:val="24"/>
        </w:rPr>
      </w:pPr>
      <w:bookmarkStart w:id="10" w:name="_Toc242798842"/>
      <w:r w:rsidRPr="00AC0F13">
        <w:rPr>
          <w:rFonts w:ascii="Arial" w:hAnsi="Arial" w:cs="Arial"/>
          <w:color w:val="000000" w:themeColor="text1"/>
          <w:szCs w:val="24"/>
        </w:rPr>
        <w:t>2.2 Recommended Strategy: Product Development</w:t>
      </w:r>
      <w:bookmarkEnd w:id="10"/>
    </w:p>
    <w:p w14:paraId="33D7D32E" w14:textId="3F02F018" w:rsidR="00E34F36" w:rsidRPr="00AC0F13" w:rsidRDefault="00E34F36"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Product development is the main recommendation.</w:t>
      </w:r>
      <w:r w:rsidR="00213D5E" w:rsidRPr="00AC0F13">
        <w:rPr>
          <w:rFonts w:ascii="Arial" w:hAnsi="Arial" w:cs="Arial"/>
          <w:color w:val="000000" w:themeColor="text1"/>
          <w:sz w:val="24"/>
          <w:szCs w:val="24"/>
        </w:rPr>
        <w:t xml:space="preserve"> The firm needs to develop a portfolio of different, lower carbon mineral products rather than treat sustainability only as a PR exercise. In terms of copper, this could involve supplying customers with independently verified information on emissions intensity, renewables used, water performance, and responsible sourcing. BHP will possibly be able to offer differentiated propositions for iron ore based on the needs of DRI and lower carbon steelmaking. It is consistent with the company’s investment strategy. Copper has been the biggest contributor to EBITDA for BHP and has accounted for more than 50% of the firm’s FY2026 results. The company believes that over 50% of its </w:t>
      </w:r>
      <w:r w:rsidR="00204A2F" w:rsidRPr="00AC0F13">
        <w:rPr>
          <w:rFonts w:ascii="Arial" w:hAnsi="Arial" w:cs="Arial"/>
          <w:color w:val="000000" w:themeColor="text1"/>
          <w:sz w:val="24"/>
          <w:szCs w:val="24"/>
        </w:rPr>
        <w:t>medium-term</w:t>
      </w:r>
      <w:r w:rsidR="00213D5E" w:rsidRPr="00AC0F13">
        <w:rPr>
          <w:rFonts w:ascii="Arial" w:hAnsi="Arial" w:cs="Arial"/>
          <w:color w:val="000000" w:themeColor="text1"/>
          <w:sz w:val="24"/>
          <w:szCs w:val="24"/>
        </w:rPr>
        <w:t xml:space="preserve"> annual capital expenditure will go to copper projects (IEA, 2025). Competitive advantage will be based on “scale, low cost, quality, environmental performance and technical collaboration”. Green or environmentally friendly labeling must apply to a product as a whole and not just raw materials (BHP, 2026e). Rather the company should specify environmental attributes of a product and independent verification of those where it is commercially feasible</w:t>
      </w:r>
      <w:r w:rsidR="00AC0F13" w:rsidRPr="00AC0F13">
        <w:rPr>
          <w:rFonts w:ascii="Arial" w:hAnsi="Arial" w:cs="Arial"/>
          <w:color w:val="000000" w:themeColor="text1"/>
          <w:sz w:val="24"/>
          <w:szCs w:val="24"/>
        </w:rPr>
        <w:t xml:space="preserve"> (Lopez et al., 2023).</w:t>
      </w:r>
    </w:p>
    <w:p w14:paraId="79CD57D6" w14:textId="77777777" w:rsidR="00E34F36" w:rsidRPr="00AC0F13" w:rsidRDefault="00E34F36" w:rsidP="00AC0F13">
      <w:pPr>
        <w:pStyle w:val="Heading2"/>
        <w:spacing w:line="360" w:lineRule="auto"/>
        <w:jc w:val="both"/>
        <w:rPr>
          <w:rFonts w:ascii="Arial" w:hAnsi="Arial" w:cs="Arial"/>
          <w:color w:val="000000" w:themeColor="text1"/>
          <w:szCs w:val="24"/>
        </w:rPr>
      </w:pPr>
      <w:bookmarkStart w:id="11" w:name="_Toc242798843"/>
      <w:r w:rsidRPr="00AC0F13">
        <w:rPr>
          <w:rFonts w:ascii="Arial" w:hAnsi="Arial" w:cs="Arial"/>
          <w:color w:val="000000" w:themeColor="text1"/>
          <w:szCs w:val="24"/>
        </w:rPr>
        <w:lastRenderedPageBreak/>
        <w:t>2.3 Market Development</w:t>
      </w:r>
      <w:bookmarkEnd w:id="11"/>
    </w:p>
    <w:p w14:paraId="2232EA1F" w14:textId="7012FA20" w:rsidR="00E34F36" w:rsidRPr="00AC0F13" w:rsidRDefault="00E34F36"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Market development is the second recommendation.</w:t>
      </w:r>
      <w:r w:rsidR="00213D5E" w:rsidRPr="00AC0F13">
        <w:rPr>
          <w:rFonts w:ascii="Arial" w:hAnsi="Arial" w:cs="Arial"/>
          <w:color w:val="000000" w:themeColor="text1"/>
          <w:sz w:val="24"/>
          <w:szCs w:val="24"/>
        </w:rPr>
        <w:t xml:space="preserve"> BHP's emphasis on customer segments that benefit from electrification would only get stronger in the future through renewable-energy developers, electricity-grid supply chains, EV manufacturers and low-carbon infrastructure. According to analysis from the IEA, energy technologies are behind the growing demand for critical minerals, and there might be a medium-term squeeze in energy supplies for copper. BHP needs to make sure that it negotiates long term commercial contracts with those customers who are interested in acquiring minerals responsibly (Ravichandran et al., 2023). Even though revenue generation is currently restricted to commodity markets only, it can increase its stake in contracts which have elements of sustainability, traceability and security of supply. In the case of iron ore, market development must be aimed at the development of low carbon production by steelmaker</w:t>
      </w:r>
      <w:r w:rsidRPr="00AC0F13">
        <w:rPr>
          <w:rFonts w:ascii="Arial" w:hAnsi="Arial" w:cs="Arial"/>
          <w:color w:val="000000" w:themeColor="text1"/>
          <w:sz w:val="24"/>
          <w:szCs w:val="24"/>
        </w:rPr>
        <w:t>. The China Baowu partnership is a good example of such partnerships going beyond the traditional supplier-buyer dynamics to joint technology development</w:t>
      </w:r>
      <w:r w:rsidR="00AC0F13" w:rsidRPr="00AC0F13">
        <w:rPr>
          <w:rFonts w:ascii="Arial" w:hAnsi="Arial" w:cs="Arial"/>
          <w:color w:val="000000" w:themeColor="text1"/>
          <w:sz w:val="24"/>
          <w:szCs w:val="24"/>
        </w:rPr>
        <w:t xml:space="preserve"> (IEA, 2026).</w:t>
      </w:r>
    </w:p>
    <w:p w14:paraId="3A0A7BE5" w14:textId="4E0CC09E" w:rsidR="00204A2F" w:rsidRPr="00AC0F13" w:rsidRDefault="00E34F36" w:rsidP="00AC0F13">
      <w:pPr>
        <w:pStyle w:val="Heading2"/>
        <w:spacing w:line="360" w:lineRule="auto"/>
        <w:rPr>
          <w:rFonts w:ascii="Arial" w:hAnsi="Arial" w:cs="Arial"/>
          <w:color w:val="000000" w:themeColor="text1"/>
          <w:szCs w:val="24"/>
        </w:rPr>
      </w:pPr>
      <w:bookmarkStart w:id="12" w:name="_Toc242798844"/>
      <w:r w:rsidRPr="00AC0F13">
        <w:rPr>
          <w:rFonts w:ascii="Arial" w:hAnsi="Arial" w:cs="Arial"/>
          <w:color w:val="000000" w:themeColor="text1"/>
          <w:szCs w:val="24"/>
        </w:rPr>
        <w:t>2.4 Competitive Advantage</w:t>
      </w:r>
      <w:r w:rsidR="00204A2F" w:rsidRPr="00AC0F13">
        <w:rPr>
          <w:rFonts w:ascii="Arial" w:hAnsi="Arial" w:cs="Arial"/>
          <w:color w:val="000000" w:themeColor="text1"/>
          <w:szCs w:val="24"/>
        </w:rPr>
        <w:t>: Porter’s Generic Strategies</w:t>
      </w:r>
      <w:bookmarkEnd w:id="12"/>
    </w:p>
    <w:p w14:paraId="35D1AAF4" w14:textId="56F14933" w:rsidR="00E34F36" w:rsidRPr="00AC0F13" w:rsidRDefault="00204A2F"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According to the framework of Porter’s Generic Strategies, cost leadership, differentiation, and focus are three strategies that can be used to obtain competitive advantages. Cost leadership means obtaining the cost advantage in comparison to other firms, whereas differentiation involves providing unique value for customers to see. Focus strategy is aimed at focusing on some market segment or group of customers (Porter, 1985). Concerning BHP, cost-efficiency combined with differentiation is more relevant than just applying one of the competitive advantages. The company can use its major scale of operations and manufacturing process for cost efficiency, but its investments in lower-carbon production, digital monitoring, and reliable environmental information can help with differentiation (Lopez et al., 2023). However, for differentiation, it is necessary to prove that BHP provides certain environmental benefits. Therefore, BHP should apply differentiation based on cost efficiency. The company can build a competitive advantage by keeping a reliable production process, controlling its operating costs, and providing information about environmental issues (BHP, 2025; Porter, 1985).</w:t>
      </w:r>
      <w:r w:rsidR="00BC7E06" w:rsidRPr="00AC0F13">
        <w:rPr>
          <w:rFonts w:ascii="Arial" w:hAnsi="Arial" w:cs="Arial"/>
          <w:color w:val="000000" w:themeColor="text1"/>
          <w:sz w:val="24"/>
          <w:szCs w:val="24"/>
        </w:rPr>
        <w:t xml:space="preserve"> </w:t>
      </w:r>
    </w:p>
    <w:p w14:paraId="22F91821" w14:textId="77777777" w:rsidR="00E34F36" w:rsidRPr="00AC0F13" w:rsidRDefault="00E34F36" w:rsidP="00AC0F13">
      <w:pPr>
        <w:pStyle w:val="Heading1"/>
        <w:spacing w:line="360" w:lineRule="auto"/>
        <w:jc w:val="both"/>
        <w:rPr>
          <w:rFonts w:ascii="Arial" w:hAnsi="Arial" w:cs="Arial"/>
          <w:color w:val="000000" w:themeColor="text1"/>
          <w:sz w:val="24"/>
          <w:szCs w:val="24"/>
        </w:rPr>
      </w:pPr>
      <w:bookmarkStart w:id="13" w:name="_Toc242798845"/>
      <w:r w:rsidRPr="00AC0F13">
        <w:rPr>
          <w:rFonts w:ascii="Arial" w:hAnsi="Arial" w:cs="Arial"/>
          <w:color w:val="000000" w:themeColor="text1"/>
          <w:sz w:val="24"/>
          <w:szCs w:val="24"/>
        </w:rPr>
        <w:lastRenderedPageBreak/>
        <w:t>Task 3: Managerial and Professional Reflection</w:t>
      </w:r>
      <w:bookmarkEnd w:id="13"/>
      <w:r w:rsidRPr="00AC0F13">
        <w:rPr>
          <w:rFonts w:ascii="Arial" w:hAnsi="Arial" w:cs="Arial"/>
          <w:color w:val="000000" w:themeColor="text1"/>
          <w:sz w:val="24"/>
          <w:szCs w:val="24"/>
        </w:rPr>
        <w:t xml:space="preserve"> </w:t>
      </w:r>
    </w:p>
    <w:p w14:paraId="30742473" w14:textId="6FD6EAC2" w:rsidR="00E34F36" w:rsidRPr="00AC0F13" w:rsidRDefault="00E34F36" w:rsidP="00AC0F13">
      <w:pPr>
        <w:pStyle w:val="Heading2"/>
        <w:spacing w:line="360" w:lineRule="auto"/>
        <w:jc w:val="both"/>
        <w:rPr>
          <w:rFonts w:ascii="Arial" w:hAnsi="Arial" w:cs="Arial"/>
          <w:color w:val="000000" w:themeColor="text1"/>
          <w:szCs w:val="24"/>
        </w:rPr>
      </w:pPr>
      <w:bookmarkStart w:id="14" w:name="_Toc242798846"/>
      <w:r w:rsidRPr="00AC0F13">
        <w:rPr>
          <w:rFonts w:ascii="Arial" w:hAnsi="Arial" w:cs="Arial"/>
          <w:color w:val="000000" w:themeColor="text1"/>
          <w:szCs w:val="24"/>
        </w:rPr>
        <w:t>3.1 Rationale for Selecting BHP</w:t>
      </w:r>
      <w:bookmarkEnd w:id="14"/>
    </w:p>
    <w:p w14:paraId="0DDE1326" w14:textId="37A789CA" w:rsidR="00E34F36" w:rsidRPr="00AC0F13" w:rsidRDefault="00E34F36"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BHP is chosen as it is a good example of a mining company that is confronted by both an environmental pressure and a structural growth.</w:t>
      </w:r>
      <w:r w:rsidR="00213D5E" w:rsidRPr="00AC0F13">
        <w:rPr>
          <w:rFonts w:ascii="Arial" w:hAnsi="Arial" w:cs="Arial"/>
          <w:color w:val="000000" w:themeColor="text1"/>
          <w:sz w:val="24"/>
          <w:szCs w:val="24"/>
        </w:rPr>
        <w:t xml:space="preserve"> The firm has been highly exposed to iron ore and steel production, areas where the reduction of carbon footprint has proven difficult, as well as a copper division that has become more and more influenced by the process of electrification. Such choices have been made even in light of the information for FY2026. In FY2026, the percentage of copper within BHP's underlying EBITDA has exceeded 50% and the production of copper has remained stable at around 2 Mt for the second year running. As for BHP, it stated that adjusted FY2020 baseline emissions decreased by 33%</w:t>
      </w:r>
      <w:r w:rsidR="00AC0F13" w:rsidRPr="00AC0F13">
        <w:rPr>
          <w:rFonts w:ascii="Arial" w:hAnsi="Arial" w:cs="Arial"/>
          <w:color w:val="000000" w:themeColor="text1"/>
          <w:sz w:val="24"/>
          <w:szCs w:val="24"/>
        </w:rPr>
        <w:t xml:space="preserve"> (BHP, 2026e).</w:t>
      </w:r>
    </w:p>
    <w:p w14:paraId="2DD1C62A" w14:textId="77777777" w:rsidR="00E34F36" w:rsidRPr="00AC0F13" w:rsidRDefault="00E34F36" w:rsidP="00AC0F13">
      <w:pPr>
        <w:pStyle w:val="Heading2"/>
        <w:spacing w:line="360" w:lineRule="auto"/>
        <w:jc w:val="both"/>
        <w:rPr>
          <w:rFonts w:ascii="Arial" w:hAnsi="Arial" w:cs="Arial"/>
          <w:color w:val="000000" w:themeColor="text1"/>
          <w:szCs w:val="24"/>
        </w:rPr>
      </w:pPr>
      <w:bookmarkStart w:id="15" w:name="_Toc242798847"/>
      <w:r w:rsidRPr="00AC0F13">
        <w:rPr>
          <w:rFonts w:ascii="Arial" w:hAnsi="Arial" w:cs="Arial"/>
          <w:color w:val="000000" w:themeColor="text1"/>
          <w:szCs w:val="24"/>
        </w:rPr>
        <w:t>3.2 Rationale for Selecting the Three Environmental Actors</w:t>
      </w:r>
      <w:bookmarkEnd w:id="15"/>
      <w:r w:rsidRPr="00AC0F13">
        <w:rPr>
          <w:rFonts w:ascii="Arial" w:hAnsi="Arial" w:cs="Arial"/>
          <w:color w:val="000000" w:themeColor="text1"/>
          <w:szCs w:val="24"/>
        </w:rPr>
        <w:t xml:space="preserve"> </w:t>
      </w:r>
    </w:p>
    <w:p w14:paraId="6299A060" w14:textId="77F4526A" w:rsidR="00E34F36" w:rsidRPr="00AC0F13" w:rsidRDefault="00E34F36"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The natural environment was prioritised as environmental conditions are a fundamental element to mining, and impact BHP's licence to operate, operating costs, reputation and future product demand. Political and regulatory forces were chosen since they are becoming increasingly the main drivers for decarbonisation via policy frameworks like emissions regulation, carbon pricing and critical-mineral strategies. CBAM shows that the environmental performance increasingly influences international trade. Customers and stakeholders were chosen because they are not capable of transition without BHP</w:t>
      </w:r>
      <w:r w:rsidR="00BC7E06" w:rsidRPr="00AC0F13">
        <w:rPr>
          <w:rFonts w:ascii="Arial" w:hAnsi="Arial" w:cs="Arial"/>
          <w:color w:val="000000" w:themeColor="text1"/>
          <w:sz w:val="24"/>
          <w:szCs w:val="24"/>
        </w:rPr>
        <w:t xml:space="preserve"> (BHP, 2026)</w:t>
      </w:r>
      <w:r w:rsidRPr="00AC0F13">
        <w:rPr>
          <w:rFonts w:ascii="Arial" w:hAnsi="Arial" w:cs="Arial"/>
          <w:color w:val="000000" w:themeColor="text1"/>
          <w:sz w:val="24"/>
          <w:szCs w:val="24"/>
        </w:rPr>
        <w:t>. Specifically, the emissions of steelmaking have mostly downstream effects, which makes customer cooperation a key success factor. The China Baowu partnership is proof that BHP is already on the path towards this joined-up approach</w:t>
      </w:r>
      <w:r w:rsidR="00AC0F13" w:rsidRPr="00AC0F13">
        <w:rPr>
          <w:rFonts w:ascii="Arial" w:hAnsi="Arial" w:cs="Arial"/>
          <w:color w:val="000000" w:themeColor="text1"/>
          <w:sz w:val="24"/>
          <w:szCs w:val="24"/>
        </w:rPr>
        <w:t xml:space="preserve"> (</w:t>
      </w:r>
      <w:r w:rsidR="00AC0F13" w:rsidRPr="00AC0F13">
        <w:rPr>
          <w:rFonts w:ascii="Arial" w:hAnsi="Arial" w:cs="Arial"/>
          <w:color w:val="000000" w:themeColor="text1"/>
          <w:sz w:val="24"/>
          <w:szCs w:val="24"/>
          <w:shd w:val="clear" w:color="auto" w:fill="FFFFFF"/>
        </w:rPr>
        <w:t>Ravichandran et al., 2023).</w:t>
      </w:r>
    </w:p>
    <w:p w14:paraId="3AAA6256" w14:textId="77777777" w:rsidR="00E34F36" w:rsidRPr="00AC0F13" w:rsidRDefault="00E34F36" w:rsidP="00AC0F13">
      <w:pPr>
        <w:pStyle w:val="Heading2"/>
        <w:spacing w:line="360" w:lineRule="auto"/>
        <w:jc w:val="both"/>
        <w:rPr>
          <w:rFonts w:ascii="Arial" w:hAnsi="Arial" w:cs="Arial"/>
          <w:color w:val="000000" w:themeColor="text1"/>
          <w:szCs w:val="24"/>
        </w:rPr>
      </w:pPr>
      <w:bookmarkStart w:id="16" w:name="_Toc242798848"/>
      <w:r w:rsidRPr="00AC0F13">
        <w:rPr>
          <w:rFonts w:ascii="Arial" w:hAnsi="Arial" w:cs="Arial"/>
          <w:color w:val="000000" w:themeColor="text1"/>
          <w:szCs w:val="24"/>
        </w:rPr>
        <w:t>3.3 Reflection on the Strategic Recommendation</w:t>
      </w:r>
      <w:bookmarkEnd w:id="16"/>
    </w:p>
    <w:p w14:paraId="3A34795C" w14:textId="50613DB6" w:rsidR="00E34F36" w:rsidRPr="00AC0F13" w:rsidRDefault="00204A2F"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 xml:space="preserve">It was decided to consider the natural environment because mineral mining is linked to natural resources and has an impact on emissions, water availability, and environmental sustainability. Political and regulatory aspects were considered since governmental policies, carbon regulations and disclosures have an impact on operational decisions and the marketing position of BHP. The technological environment was chosen because automation, digitalization, and reduced carbon emission production technologies may have an impact on operating effectiveness and environmental performance. This way, the chosen </w:t>
      </w:r>
      <w:r w:rsidRPr="00AC0F13">
        <w:rPr>
          <w:rFonts w:ascii="Arial" w:hAnsi="Arial" w:cs="Arial"/>
          <w:color w:val="000000" w:themeColor="text1"/>
          <w:sz w:val="24"/>
          <w:szCs w:val="24"/>
        </w:rPr>
        <w:lastRenderedPageBreak/>
        <w:t>aspects are relevant for PESTLE analysis and are directly linked to the marketing environment of BHP. Their consideration allows identifying the opportunities and threats that are related to responsible mineral mining. Nevertheless, the advantages of technological development will be dependent on commercial viability, costs, and accuracy of environmental performance</w:t>
      </w:r>
      <w:r w:rsidR="00AC0F13" w:rsidRPr="00AC0F13">
        <w:rPr>
          <w:rFonts w:ascii="Arial" w:hAnsi="Arial" w:cs="Arial"/>
          <w:color w:val="000000" w:themeColor="text1"/>
          <w:sz w:val="24"/>
          <w:szCs w:val="24"/>
        </w:rPr>
        <w:t xml:space="preserve"> (BHP, 2026d).</w:t>
      </w:r>
      <w:r w:rsidR="00E34F36" w:rsidRPr="00AC0F13">
        <w:rPr>
          <w:rFonts w:ascii="Arial" w:hAnsi="Arial" w:cs="Arial"/>
          <w:color w:val="000000" w:themeColor="text1"/>
          <w:sz w:val="24"/>
          <w:szCs w:val="24"/>
        </w:rPr>
        <w:t xml:space="preserve"> </w:t>
      </w:r>
    </w:p>
    <w:p w14:paraId="0A208263" w14:textId="4838215B" w:rsidR="00E34F36" w:rsidRPr="00AC0F13" w:rsidRDefault="00E34F36" w:rsidP="00AC0F13">
      <w:pPr>
        <w:pStyle w:val="Heading2"/>
        <w:spacing w:line="360" w:lineRule="auto"/>
        <w:jc w:val="both"/>
        <w:rPr>
          <w:rFonts w:ascii="Arial" w:hAnsi="Arial" w:cs="Arial"/>
          <w:color w:val="000000" w:themeColor="text1"/>
          <w:szCs w:val="24"/>
        </w:rPr>
      </w:pPr>
      <w:bookmarkStart w:id="17" w:name="_Toc242798849"/>
      <w:r w:rsidRPr="00AC0F13">
        <w:rPr>
          <w:rFonts w:ascii="Arial" w:hAnsi="Arial" w:cs="Arial"/>
          <w:color w:val="000000" w:themeColor="text1"/>
          <w:szCs w:val="24"/>
        </w:rPr>
        <w:t>3.4 Limitations</w:t>
      </w:r>
      <w:bookmarkEnd w:id="17"/>
      <w:r w:rsidRPr="00AC0F13">
        <w:rPr>
          <w:rFonts w:ascii="Arial" w:hAnsi="Arial" w:cs="Arial"/>
          <w:color w:val="000000" w:themeColor="text1"/>
          <w:szCs w:val="24"/>
        </w:rPr>
        <w:t xml:space="preserve"> </w:t>
      </w:r>
    </w:p>
    <w:p w14:paraId="5FF211B3" w14:textId="341A40C8" w:rsidR="00E34F36" w:rsidRPr="00AC0F13" w:rsidRDefault="00E34F36"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 xml:space="preserve">There are </w:t>
      </w:r>
      <w:r w:rsidR="00204A2F" w:rsidRPr="00AC0F13">
        <w:rPr>
          <w:rFonts w:ascii="Arial" w:hAnsi="Arial" w:cs="Arial"/>
          <w:color w:val="000000" w:themeColor="text1"/>
          <w:sz w:val="24"/>
          <w:szCs w:val="24"/>
        </w:rPr>
        <w:t>several</w:t>
      </w:r>
      <w:r w:rsidRPr="00AC0F13">
        <w:rPr>
          <w:rFonts w:ascii="Arial" w:hAnsi="Arial" w:cs="Arial"/>
          <w:color w:val="000000" w:themeColor="text1"/>
          <w:sz w:val="24"/>
          <w:szCs w:val="24"/>
        </w:rPr>
        <w:t xml:space="preserve"> caveats to be noted.</w:t>
      </w:r>
      <w:r w:rsidR="00213D5E" w:rsidRPr="00AC0F13">
        <w:rPr>
          <w:rFonts w:ascii="Arial" w:hAnsi="Arial" w:cs="Arial"/>
          <w:color w:val="000000" w:themeColor="text1"/>
          <w:sz w:val="24"/>
          <w:szCs w:val="24"/>
        </w:rPr>
        <w:t xml:space="preserve"> First, there is only secondary data and no interviews with BHP managers, customers, investors, or regulators. Thus, it will be impossible to test customer willingness to pay for decarbonised products as any assumption will be risky. Second, commodity prices have very high volatility. While copper contribution is very good at FY2026 and looks good now because of market situation, this cannot be assumed in the future. Third, the report lacks the project-level NPV analysis of specific decarbonisation technologies. The senior management needs to engage in customer willingness to pay research, product-level carbon assessment, benchmarking of competitors, copper price and demand scenario analysis, regulatory scenario analysis (Australia, Chile, China, EU), technology readiness assessment, Scope 3 emissions assessment, and stakeholder sentiment research and financial assessment of proposed low-carbon products</w:t>
      </w:r>
      <w:r w:rsidR="00AC0F13" w:rsidRPr="00AC0F13">
        <w:rPr>
          <w:rFonts w:ascii="Arial" w:hAnsi="Arial" w:cs="Arial"/>
          <w:color w:val="000000" w:themeColor="text1"/>
          <w:sz w:val="24"/>
          <w:szCs w:val="24"/>
        </w:rPr>
        <w:t xml:space="preserve"> (BHP, 2025).</w:t>
      </w:r>
    </w:p>
    <w:p w14:paraId="649DEAA6" w14:textId="77777777" w:rsidR="00E34F36" w:rsidRPr="00AC0F13" w:rsidRDefault="00E34F36" w:rsidP="00AC0F13">
      <w:pPr>
        <w:pStyle w:val="Heading1"/>
        <w:spacing w:line="360" w:lineRule="auto"/>
        <w:jc w:val="both"/>
        <w:rPr>
          <w:rFonts w:ascii="Arial" w:hAnsi="Arial" w:cs="Arial"/>
          <w:color w:val="000000" w:themeColor="text1"/>
          <w:sz w:val="24"/>
          <w:szCs w:val="24"/>
        </w:rPr>
      </w:pPr>
      <w:bookmarkStart w:id="18" w:name="_Toc242798850"/>
      <w:r w:rsidRPr="00AC0F13">
        <w:rPr>
          <w:rFonts w:ascii="Arial" w:hAnsi="Arial" w:cs="Arial"/>
          <w:color w:val="000000" w:themeColor="text1"/>
          <w:sz w:val="24"/>
          <w:szCs w:val="24"/>
        </w:rPr>
        <w:t>Conclusion</w:t>
      </w:r>
      <w:bookmarkEnd w:id="18"/>
    </w:p>
    <w:p w14:paraId="4F8D5558" w14:textId="1E403A6D" w:rsidR="005769AC" w:rsidRPr="00AC0F13" w:rsidRDefault="00213D5E"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A move towards low-carbon economy has raised several environmental concerns, as well as strategic advantages, for BHP. In view of analysis, the development of products appears to be the best option when it comes to market development. Development of mineral products with the proven lower carbon footprint, building customer relations, and increased copper production will help enhance competitive advantages. However, BHP should maintain cost efficiency and credibility in environmental reporting, in addition to investing in technologies that make sustainability commercially feasible.</w:t>
      </w:r>
    </w:p>
    <w:p w14:paraId="181AFF87" w14:textId="77777777" w:rsidR="00BC7E06" w:rsidRPr="00AC0F13" w:rsidRDefault="00BC7E06" w:rsidP="00AC0F13">
      <w:pPr>
        <w:spacing w:after="200" w:line="360" w:lineRule="auto"/>
        <w:jc w:val="both"/>
        <w:rPr>
          <w:rFonts w:ascii="Arial" w:eastAsiaTheme="majorEastAsia" w:hAnsi="Arial" w:cs="Arial"/>
          <w:b/>
          <w:bCs/>
          <w:color w:val="000000" w:themeColor="text1"/>
          <w:sz w:val="24"/>
          <w:szCs w:val="24"/>
        </w:rPr>
      </w:pPr>
      <w:r w:rsidRPr="00AC0F13">
        <w:rPr>
          <w:rFonts w:ascii="Arial" w:hAnsi="Arial" w:cs="Arial"/>
          <w:color w:val="000000" w:themeColor="text1"/>
          <w:sz w:val="24"/>
          <w:szCs w:val="24"/>
        </w:rPr>
        <w:br w:type="page"/>
      </w:r>
    </w:p>
    <w:p w14:paraId="0A2FC6C0" w14:textId="4D88E737" w:rsidR="00E34F36" w:rsidRPr="00AC0F13" w:rsidRDefault="00E34F36" w:rsidP="00AC0F13">
      <w:pPr>
        <w:pStyle w:val="Heading1"/>
        <w:spacing w:line="360" w:lineRule="auto"/>
        <w:jc w:val="both"/>
        <w:rPr>
          <w:rFonts w:ascii="Arial" w:hAnsi="Arial" w:cs="Arial"/>
          <w:color w:val="000000" w:themeColor="text1"/>
          <w:sz w:val="24"/>
          <w:szCs w:val="24"/>
        </w:rPr>
      </w:pPr>
      <w:bookmarkStart w:id="19" w:name="_Toc242798851"/>
      <w:r w:rsidRPr="00AC0F13">
        <w:rPr>
          <w:rFonts w:ascii="Arial" w:hAnsi="Arial" w:cs="Arial"/>
          <w:color w:val="000000" w:themeColor="text1"/>
          <w:sz w:val="24"/>
          <w:szCs w:val="24"/>
        </w:rPr>
        <w:lastRenderedPageBreak/>
        <w:t>References</w:t>
      </w:r>
      <w:bookmarkEnd w:id="19"/>
    </w:p>
    <w:p w14:paraId="3BDFC39A" w14:textId="77777777" w:rsidR="00BC7E06" w:rsidRPr="00AC0F13" w:rsidRDefault="00BC7E06" w:rsidP="00AC0F13">
      <w:pPr>
        <w:spacing w:line="360" w:lineRule="auto"/>
        <w:ind w:left="360" w:hanging="360"/>
        <w:jc w:val="both"/>
        <w:rPr>
          <w:rFonts w:ascii="Arial" w:hAnsi="Arial" w:cs="Arial"/>
          <w:color w:val="000000" w:themeColor="text1"/>
          <w:sz w:val="24"/>
          <w:szCs w:val="24"/>
        </w:rPr>
      </w:pPr>
      <w:r w:rsidRPr="00AC0F13">
        <w:rPr>
          <w:rFonts w:ascii="Arial" w:hAnsi="Arial" w:cs="Arial"/>
          <w:color w:val="000000" w:themeColor="text1"/>
          <w:sz w:val="24"/>
          <w:szCs w:val="24"/>
        </w:rPr>
        <w:t xml:space="preserve">BHP, 2026. Annual Report 2026. Melbourne: BHP Group. </w:t>
      </w:r>
      <w:hyperlink r:id="rId10" w:history="1">
        <w:r w:rsidRPr="00AC0F13">
          <w:rPr>
            <w:rStyle w:val="Hyperlink"/>
            <w:rFonts w:ascii="Arial" w:hAnsi="Arial" w:cs="Arial"/>
            <w:color w:val="000000" w:themeColor="text1"/>
            <w:sz w:val="24"/>
            <w:szCs w:val="24"/>
          </w:rPr>
          <w:t>https://www.bhp.com/ar2026</w:t>
        </w:r>
      </w:hyperlink>
      <w:r w:rsidRPr="00AC0F13">
        <w:rPr>
          <w:rFonts w:ascii="Arial" w:hAnsi="Arial" w:cs="Arial"/>
          <w:color w:val="000000" w:themeColor="text1"/>
          <w:sz w:val="24"/>
          <w:szCs w:val="24"/>
        </w:rPr>
        <w:t xml:space="preserve"> </w:t>
      </w:r>
    </w:p>
    <w:p w14:paraId="125FC5E9" w14:textId="20967D95" w:rsidR="00BC7E06" w:rsidRPr="00AC0F13" w:rsidRDefault="00BC7E06" w:rsidP="00AC0F13">
      <w:pPr>
        <w:spacing w:line="360" w:lineRule="auto"/>
        <w:jc w:val="both"/>
        <w:rPr>
          <w:rFonts w:ascii="Arial" w:eastAsia="Times New Roman" w:hAnsi="Arial" w:cs="Arial"/>
          <w:color w:val="000000" w:themeColor="text1"/>
          <w:sz w:val="24"/>
          <w:szCs w:val="24"/>
          <w:lang w:val="en-IN"/>
        </w:rPr>
      </w:pPr>
      <w:r w:rsidRPr="00AC0F13">
        <w:rPr>
          <w:rFonts w:ascii="Arial" w:hAnsi="Arial" w:cs="Arial"/>
          <w:color w:val="000000" w:themeColor="text1"/>
          <w:sz w:val="24"/>
          <w:szCs w:val="24"/>
        </w:rPr>
        <w:t xml:space="preserve">BHP, 2026b. BHP: the world’s largest copper producer. BHP Group. </w:t>
      </w:r>
      <w:hyperlink r:id="rId11" w:history="1">
        <w:r w:rsidRPr="00AC0F13">
          <w:rPr>
            <w:rStyle w:val="Hyperlink"/>
            <w:rFonts w:ascii="Arial" w:hAnsi="Arial" w:cs="Arial"/>
            <w:color w:val="000000" w:themeColor="text1"/>
            <w:sz w:val="24"/>
            <w:szCs w:val="24"/>
          </w:rPr>
          <w:t>https://www.bhp.com/about/coppergrowth</w:t>
        </w:r>
      </w:hyperlink>
      <w:r w:rsidRPr="00AC0F13">
        <w:rPr>
          <w:rFonts w:ascii="Arial" w:hAnsi="Arial" w:cs="Arial"/>
          <w:color w:val="000000" w:themeColor="text1"/>
          <w:sz w:val="24"/>
          <w:szCs w:val="24"/>
        </w:rPr>
        <w:t xml:space="preserve"> </w:t>
      </w:r>
      <w:r w:rsidR="00AC0F13" w:rsidRPr="00AC0F13">
        <w:rPr>
          <w:rFonts w:ascii="Arial" w:hAnsi="Arial" w:cs="Arial"/>
          <w:color w:val="000000" w:themeColor="text1"/>
          <w:sz w:val="24"/>
          <w:szCs w:val="24"/>
        </w:rPr>
        <w:t>(Available at: 21 October, 2026)</w:t>
      </w:r>
    </w:p>
    <w:p w14:paraId="7F3842BF" w14:textId="14EEE453" w:rsidR="00BC7E06" w:rsidRPr="00AC0F13" w:rsidRDefault="00BC7E06" w:rsidP="00AC0F13">
      <w:pPr>
        <w:spacing w:line="360" w:lineRule="auto"/>
        <w:jc w:val="both"/>
        <w:rPr>
          <w:rFonts w:ascii="Arial" w:eastAsia="Times New Roman" w:hAnsi="Arial" w:cs="Arial"/>
          <w:color w:val="000000" w:themeColor="text1"/>
          <w:sz w:val="24"/>
          <w:szCs w:val="24"/>
          <w:lang w:val="en-IN"/>
        </w:rPr>
      </w:pPr>
      <w:r w:rsidRPr="00AC0F13">
        <w:rPr>
          <w:rFonts w:ascii="Arial" w:hAnsi="Arial" w:cs="Arial"/>
          <w:color w:val="000000" w:themeColor="text1"/>
          <w:sz w:val="24"/>
          <w:szCs w:val="24"/>
        </w:rPr>
        <w:t xml:space="preserve">BHP, 2026c. Climate change. Melbourne: BHP Group. </w:t>
      </w:r>
      <w:hyperlink r:id="rId12" w:history="1">
        <w:r w:rsidRPr="00AC0F13">
          <w:rPr>
            <w:rStyle w:val="Hyperlink"/>
            <w:rFonts w:ascii="Arial" w:hAnsi="Arial" w:cs="Arial"/>
            <w:color w:val="000000" w:themeColor="text1"/>
            <w:sz w:val="24"/>
            <w:szCs w:val="24"/>
          </w:rPr>
          <w:t>https://www.bhp.com/sustainability/climate-change</w:t>
        </w:r>
      </w:hyperlink>
      <w:r w:rsidRPr="00AC0F13">
        <w:rPr>
          <w:rFonts w:ascii="Arial" w:hAnsi="Arial" w:cs="Arial"/>
          <w:color w:val="000000" w:themeColor="text1"/>
          <w:sz w:val="24"/>
          <w:szCs w:val="24"/>
        </w:rPr>
        <w:t xml:space="preserve"> </w:t>
      </w:r>
      <w:r w:rsidR="00AC0F13" w:rsidRPr="00AC0F13">
        <w:rPr>
          <w:rFonts w:ascii="Arial" w:hAnsi="Arial" w:cs="Arial"/>
          <w:color w:val="000000" w:themeColor="text1"/>
          <w:sz w:val="24"/>
          <w:szCs w:val="24"/>
        </w:rPr>
        <w:t>(Available at: 21 October, 2026)</w:t>
      </w:r>
    </w:p>
    <w:p w14:paraId="2C65A80D" w14:textId="2BB9FF6C" w:rsidR="00BC7E06" w:rsidRPr="00AC0F13" w:rsidRDefault="00BC7E06"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 xml:space="preserve">BHP, 2026d. Decarbonising our operations, responsibly and transparently. Melbourne: BHP Group. </w:t>
      </w:r>
      <w:hyperlink r:id="rId13" w:history="1">
        <w:r w:rsidRPr="00AC0F13">
          <w:rPr>
            <w:rStyle w:val="Hyperlink"/>
            <w:rFonts w:ascii="Arial" w:hAnsi="Arial" w:cs="Arial"/>
            <w:color w:val="000000" w:themeColor="text1"/>
            <w:sz w:val="24"/>
            <w:szCs w:val="24"/>
          </w:rPr>
          <w:t>https://www.bhp.com/progress</w:t>
        </w:r>
      </w:hyperlink>
      <w:r w:rsidRPr="00AC0F13">
        <w:rPr>
          <w:rFonts w:ascii="Arial" w:hAnsi="Arial" w:cs="Arial"/>
          <w:color w:val="000000" w:themeColor="text1"/>
          <w:sz w:val="24"/>
          <w:szCs w:val="24"/>
        </w:rPr>
        <w:t xml:space="preserve"> </w:t>
      </w:r>
      <w:r w:rsidR="00AC0F13" w:rsidRPr="00AC0F13">
        <w:rPr>
          <w:rFonts w:ascii="Arial" w:hAnsi="Arial" w:cs="Arial"/>
          <w:color w:val="000000" w:themeColor="text1"/>
          <w:sz w:val="24"/>
          <w:szCs w:val="24"/>
        </w:rPr>
        <w:t>(Available at: 21 October, 2026)</w:t>
      </w:r>
    </w:p>
    <w:p w14:paraId="52ECCE91" w14:textId="19889FB7" w:rsidR="00BC7E06" w:rsidRPr="00AC0F13" w:rsidRDefault="00BC7E06"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 xml:space="preserve">BHP, 2026e. BHP and China Baowu renew steel decarbonisation partnership. Melbourne: BHP Group. </w:t>
      </w:r>
      <w:hyperlink r:id="rId14" w:history="1">
        <w:r w:rsidRPr="00AC0F13">
          <w:rPr>
            <w:rStyle w:val="Hyperlink"/>
            <w:rFonts w:ascii="Arial" w:hAnsi="Arial" w:cs="Arial"/>
            <w:color w:val="000000" w:themeColor="text1"/>
            <w:sz w:val="24"/>
            <w:szCs w:val="24"/>
          </w:rPr>
          <w:t>https://www.bhp.com/news/media-centre/releases/2026/09/bhp-and-china-baowu-renew-steel-decarbonisation-partnership</w:t>
        </w:r>
      </w:hyperlink>
      <w:r w:rsidRPr="00AC0F13">
        <w:rPr>
          <w:rFonts w:ascii="Arial" w:hAnsi="Arial" w:cs="Arial"/>
          <w:color w:val="000000" w:themeColor="text1"/>
          <w:sz w:val="24"/>
          <w:szCs w:val="24"/>
        </w:rPr>
        <w:t xml:space="preserve"> </w:t>
      </w:r>
      <w:r w:rsidR="00AC0F13" w:rsidRPr="00AC0F13">
        <w:rPr>
          <w:rFonts w:ascii="Arial" w:hAnsi="Arial" w:cs="Arial"/>
          <w:color w:val="000000" w:themeColor="text1"/>
          <w:sz w:val="24"/>
          <w:szCs w:val="24"/>
        </w:rPr>
        <w:t>(Available at: 21 October, 2026)</w:t>
      </w:r>
    </w:p>
    <w:p w14:paraId="61BD7454" w14:textId="2963DBEA" w:rsidR="00BC7E06" w:rsidRPr="00AC0F13" w:rsidRDefault="00BC7E06"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 xml:space="preserve">BHP, 2025. Annual Report 2025. BHP Group. </w:t>
      </w:r>
      <w:hyperlink r:id="rId15" w:history="1">
        <w:r w:rsidRPr="00AC0F13">
          <w:rPr>
            <w:rStyle w:val="Hyperlink"/>
            <w:rFonts w:ascii="Arial" w:hAnsi="Arial" w:cs="Arial"/>
            <w:color w:val="000000" w:themeColor="text1"/>
            <w:sz w:val="24"/>
            <w:szCs w:val="24"/>
          </w:rPr>
          <w:t>https://www.bhp.com/-/media/documents/investors/annual-reports/2025/250819_bhpannualreport2025.pdf</w:t>
        </w:r>
      </w:hyperlink>
      <w:r w:rsidRPr="00AC0F13">
        <w:rPr>
          <w:rFonts w:ascii="Arial" w:hAnsi="Arial" w:cs="Arial"/>
          <w:color w:val="000000" w:themeColor="text1"/>
          <w:sz w:val="24"/>
          <w:szCs w:val="24"/>
        </w:rPr>
        <w:t xml:space="preserve"> </w:t>
      </w:r>
      <w:r w:rsidR="00AC0F13" w:rsidRPr="00AC0F13">
        <w:rPr>
          <w:rFonts w:ascii="Arial" w:hAnsi="Arial" w:cs="Arial"/>
          <w:color w:val="000000" w:themeColor="text1"/>
          <w:sz w:val="24"/>
          <w:szCs w:val="24"/>
        </w:rPr>
        <w:t>(Available at: 21 October, 2026)</w:t>
      </w:r>
    </w:p>
    <w:p w14:paraId="3C24AAAF" w14:textId="76F86ED4" w:rsidR="00BC7E06" w:rsidRPr="00AC0F13" w:rsidRDefault="00BC7E06"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 xml:space="preserve">European Commission, 2026. </w:t>
      </w:r>
      <w:r w:rsidRPr="00AC0F13">
        <w:rPr>
          <w:rFonts w:ascii="Arial" w:hAnsi="Arial" w:cs="Arial"/>
          <w:i/>
          <w:iCs/>
          <w:color w:val="000000" w:themeColor="text1"/>
          <w:sz w:val="24"/>
          <w:szCs w:val="24"/>
        </w:rPr>
        <w:t>CBAM definitive regime</w:t>
      </w:r>
      <w:r w:rsidRPr="00AC0F13">
        <w:rPr>
          <w:rFonts w:ascii="Arial" w:hAnsi="Arial" w:cs="Arial"/>
          <w:color w:val="000000" w:themeColor="text1"/>
          <w:sz w:val="24"/>
          <w:szCs w:val="24"/>
        </w:rPr>
        <w:t xml:space="preserve">. [online] Taxation and Customs Union. Available at: </w:t>
      </w:r>
      <w:hyperlink r:id="rId16" w:history="1">
        <w:r w:rsidRPr="00AC0F13">
          <w:rPr>
            <w:rStyle w:val="Hyperlink"/>
            <w:rFonts w:ascii="Arial" w:hAnsi="Arial" w:cs="Arial"/>
            <w:color w:val="000000" w:themeColor="text1"/>
            <w:sz w:val="24"/>
            <w:szCs w:val="24"/>
          </w:rPr>
          <w:t>https://taxation-customs.ec.europa.eu/carbon-border-adjustment-mechanism/cbam-definitive-regime_en</w:t>
        </w:r>
      </w:hyperlink>
      <w:r w:rsidRPr="00AC0F13">
        <w:rPr>
          <w:rFonts w:ascii="Arial" w:hAnsi="Arial" w:cs="Arial"/>
          <w:color w:val="000000" w:themeColor="text1"/>
          <w:sz w:val="24"/>
          <w:szCs w:val="24"/>
        </w:rPr>
        <w:t xml:space="preserve"> </w:t>
      </w:r>
      <w:r w:rsidR="00AC0F13" w:rsidRPr="00AC0F13">
        <w:rPr>
          <w:rFonts w:ascii="Arial" w:hAnsi="Arial" w:cs="Arial"/>
          <w:color w:val="000000" w:themeColor="text1"/>
          <w:sz w:val="24"/>
          <w:szCs w:val="24"/>
        </w:rPr>
        <w:t>(Available at: 21 October, 2026)</w:t>
      </w:r>
    </w:p>
    <w:p w14:paraId="65B4D230" w14:textId="33C0BE84" w:rsidR="00BC7E06" w:rsidRPr="00AC0F13" w:rsidRDefault="00BC7E06"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 xml:space="preserve">IEA, 2025. Copper: Global Critical Minerals Outlook 2025. Paris: International Energy Agency. </w:t>
      </w:r>
      <w:hyperlink r:id="rId17" w:history="1">
        <w:r w:rsidRPr="00AC0F13">
          <w:rPr>
            <w:rStyle w:val="Hyperlink"/>
            <w:rFonts w:ascii="Arial" w:hAnsi="Arial" w:cs="Arial"/>
            <w:color w:val="000000" w:themeColor="text1"/>
            <w:sz w:val="24"/>
            <w:szCs w:val="24"/>
          </w:rPr>
          <w:t>https://www.iea.org/reports/global-critical-minerals-outlook-2025</w:t>
        </w:r>
      </w:hyperlink>
      <w:r w:rsidRPr="00AC0F13">
        <w:rPr>
          <w:rFonts w:ascii="Arial" w:hAnsi="Arial" w:cs="Arial"/>
          <w:color w:val="000000" w:themeColor="text1"/>
          <w:sz w:val="24"/>
          <w:szCs w:val="24"/>
        </w:rPr>
        <w:t xml:space="preserve"> </w:t>
      </w:r>
      <w:r w:rsidR="00AC0F13" w:rsidRPr="00AC0F13">
        <w:rPr>
          <w:rFonts w:ascii="Arial" w:hAnsi="Arial" w:cs="Arial"/>
          <w:color w:val="000000" w:themeColor="text1"/>
          <w:sz w:val="24"/>
          <w:szCs w:val="24"/>
        </w:rPr>
        <w:t>(Available at: 21 October, 2026)</w:t>
      </w:r>
    </w:p>
    <w:p w14:paraId="64F07ABD" w14:textId="04599F67" w:rsidR="00BC7E06" w:rsidRPr="00AC0F13" w:rsidRDefault="00BC7E06"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 xml:space="preserve">IEA, 2026. Global Critical Minerals Outlook 2026: Market Overview. Paris: International Energy Agency. </w:t>
      </w:r>
      <w:hyperlink r:id="rId18" w:history="1">
        <w:r w:rsidRPr="00AC0F13">
          <w:rPr>
            <w:rStyle w:val="Hyperlink"/>
            <w:rFonts w:ascii="Arial" w:hAnsi="Arial" w:cs="Arial"/>
            <w:color w:val="000000" w:themeColor="text1"/>
            <w:sz w:val="24"/>
            <w:szCs w:val="24"/>
          </w:rPr>
          <w:t>https://www.iea.org/reports/global-critical-minerals-outlook-2026/market-overview</w:t>
        </w:r>
      </w:hyperlink>
      <w:r w:rsidRPr="00AC0F13">
        <w:rPr>
          <w:rFonts w:ascii="Arial" w:hAnsi="Arial" w:cs="Arial"/>
          <w:color w:val="000000" w:themeColor="text1"/>
          <w:sz w:val="24"/>
          <w:szCs w:val="24"/>
        </w:rPr>
        <w:t xml:space="preserve"> </w:t>
      </w:r>
      <w:r w:rsidR="00AC0F13" w:rsidRPr="00AC0F13">
        <w:rPr>
          <w:rFonts w:ascii="Arial" w:hAnsi="Arial" w:cs="Arial"/>
          <w:color w:val="000000" w:themeColor="text1"/>
          <w:sz w:val="24"/>
          <w:szCs w:val="24"/>
        </w:rPr>
        <w:t>(Available at: 21 October, 2026)</w:t>
      </w:r>
    </w:p>
    <w:p w14:paraId="78A195CC" w14:textId="7D44F6E6" w:rsidR="00BC7E06" w:rsidRPr="00AC0F13" w:rsidRDefault="00BC7E06"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 xml:space="preserve">Kotler, P., Armstrong, G., Harris, L.C. and He, H., 2024. Principles of Marketing. 19th edn. Harlow: Pearson. </w:t>
      </w:r>
      <w:hyperlink r:id="rId19" w:history="1">
        <w:r w:rsidRPr="00AC0F13">
          <w:rPr>
            <w:rStyle w:val="Hyperlink"/>
            <w:rFonts w:ascii="Arial" w:hAnsi="Arial" w:cs="Arial"/>
            <w:color w:val="000000" w:themeColor="text1"/>
            <w:sz w:val="24"/>
            <w:szCs w:val="24"/>
          </w:rPr>
          <w:t>https://api.pageplace.de/preview/DT0400.9781292449333_A46720135/preview-9781292449333_A46720135.pdf</w:t>
        </w:r>
      </w:hyperlink>
      <w:r w:rsidRPr="00AC0F13">
        <w:rPr>
          <w:rFonts w:ascii="Arial" w:hAnsi="Arial" w:cs="Arial"/>
          <w:color w:val="000000" w:themeColor="text1"/>
          <w:sz w:val="24"/>
          <w:szCs w:val="24"/>
        </w:rPr>
        <w:t xml:space="preserve"> </w:t>
      </w:r>
      <w:r w:rsidR="00AC0F13" w:rsidRPr="00AC0F13">
        <w:rPr>
          <w:rFonts w:ascii="Arial" w:hAnsi="Arial" w:cs="Arial"/>
          <w:color w:val="000000" w:themeColor="text1"/>
          <w:sz w:val="24"/>
          <w:szCs w:val="24"/>
        </w:rPr>
        <w:t>(Available at: 21 October, 2026)</w:t>
      </w:r>
    </w:p>
    <w:p w14:paraId="69FCBDF3" w14:textId="59C0D681" w:rsidR="00BC7E06" w:rsidRPr="00AC0F13" w:rsidRDefault="00BC7E06" w:rsidP="00AC0F13">
      <w:pPr>
        <w:spacing w:line="360" w:lineRule="auto"/>
        <w:jc w:val="both"/>
        <w:rPr>
          <w:rFonts w:ascii="Arial" w:hAnsi="Arial" w:cs="Arial"/>
          <w:color w:val="000000" w:themeColor="text1"/>
          <w:sz w:val="24"/>
          <w:szCs w:val="24"/>
          <w:shd w:val="clear" w:color="auto" w:fill="FFFFFF"/>
        </w:rPr>
      </w:pPr>
      <w:r w:rsidRPr="00AC0F13">
        <w:rPr>
          <w:rFonts w:ascii="Arial" w:hAnsi="Arial" w:cs="Arial"/>
          <w:color w:val="000000" w:themeColor="text1"/>
          <w:sz w:val="24"/>
          <w:szCs w:val="24"/>
          <w:shd w:val="clear" w:color="auto" w:fill="FFFFFF"/>
        </w:rPr>
        <w:t xml:space="preserve">Ravichandran, J., Leong, C.M., Lim, T.Y., Lim, E. and Chaw, L.Y., 2023. Green Marketing Strategies and CSR: Are They Relevant to Consumer Willingness to Purchase Green </w:t>
      </w:r>
      <w:r w:rsidRPr="00AC0F13">
        <w:rPr>
          <w:rFonts w:ascii="Arial" w:hAnsi="Arial" w:cs="Arial"/>
          <w:color w:val="000000" w:themeColor="text1"/>
          <w:sz w:val="24"/>
          <w:szCs w:val="24"/>
          <w:shd w:val="clear" w:color="auto" w:fill="FFFFFF"/>
        </w:rPr>
        <w:lastRenderedPageBreak/>
        <w:t xml:space="preserve">Products?. </w:t>
      </w:r>
      <w:hyperlink r:id="rId20" w:history="1">
        <w:r w:rsidRPr="00AC0F13">
          <w:rPr>
            <w:rStyle w:val="Hyperlink"/>
            <w:rFonts w:ascii="Arial" w:hAnsi="Arial" w:cs="Arial"/>
            <w:color w:val="000000" w:themeColor="text1"/>
            <w:sz w:val="24"/>
            <w:szCs w:val="24"/>
            <w:shd w:val="clear" w:color="auto" w:fill="FFFFFF"/>
          </w:rPr>
          <w:t>https://www.emerald.com/books/edited-volume/15351/chapter-abstract/86536884</w:t>
        </w:r>
      </w:hyperlink>
      <w:r w:rsidRPr="00AC0F13">
        <w:rPr>
          <w:rFonts w:ascii="Arial" w:hAnsi="Arial" w:cs="Arial"/>
          <w:color w:val="000000" w:themeColor="text1"/>
          <w:sz w:val="24"/>
          <w:szCs w:val="24"/>
          <w:shd w:val="clear" w:color="auto" w:fill="FFFFFF"/>
        </w:rPr>
        <w:t xml:space="preserve"> </w:t>
      </w:r>
      <w:r w:rsidR="00AC0F13" w:rsidRPr="00AC0F13">
        <w:rPr>
          <w:rFonts w:ascii="Arial" w:hAnsi="Arial" w:cs="Arial"/>
          <w:color w:val="000000" w:themeColor="text1"/>
          <w:sz w:val="24"/>
          <w:szCs w:val="24"/>
        </w:rPr>
        <w:t>(Available at: 21 October, 2026)</w:t>
      </w:r>
    </w:p>
    <w:p w14:paraId="20100373" w14:textId="55F203EE" w:rsidR="00BC7E06" w:rsidRPr="00AC0F13" w:rsidRDefault="00BC7E06" w:rsidP="00AC0F13">
      <w:pPr>
        <w:spacing w:line="360" w:lineRule="auto"/>
        <w:jc w:val="both"/>
        <w:rPr>
          <w:rFonts w:ascii="Arial" w:hAnsi="Arial" w:cs="Arial"/>
          <w:color w:val="000000" w:themeColor="text1"/>
          <w:sz w:val="24"/>
          <w:szCs w:val="24"/>
          <w:shd w:val="clear" w:color="auto" w:fill="FFFFFF"/>
        </w:rPr>
      </w:pPr>
      <w:r w:rsidRPr="00AC0F13">
        <w:rPr>
          <w:rFonts w:ascii="Arial" w:hAnsi="Arial" w:cs="Arial"/>
          <w:color w:val="000000" w:themeColor="text1"/>
          <w:sz w:val="24"/>
          <w:szCs w:val="24"/>
          <w:shd w:val="clear" w:color="auto" w:fill="FFFFFF"/>
        </w:rPr>
        <w:t xml:space="preserve">Molla, A. and Cooper, V., 2026. Green IT readiness: A framework and preliminary proof of concept. </w:t>
      </w:r>
      <w:r w:rsidRPr="00AC0F13">
        <w:rPr>
          <w:rFonts w:ascii="Arial" w:hAnsi="Arial" w:cs="Arial"/>
          <w:i/>
          <w:iCs/>
          <w:color w:val="000000" w:themeColor="text1"/>
          <w:sz w:val="24"/>
          <w:szCs w:val="24"/>
          <w:shd w:val="clear" w:color="auto" w:fill="FFFFFF"/>
        </w:rPr>
        <w:t>The Australasian Journal of Information Systems</w:t>
      </w:r>
      <w:r w:rsidRPr="00AC0F13">
        <w:rPr>
          <w:rFonts w:ascii="Arial" w:hAnsi="Arial" w:cs="Arial"/>
          <w:color w:val="000000" w:themeColor="text1"/>
          <w:sz w:val="24"/>
          <w:szCs w:val="24"/>
          <w:shd w:val="clear" w:color="auto" w:fill="FFFFFF"/>
        </w:rPr>
        <w:t xml:space="preserve">, </w:t>
      </w:r>
      <w:r w:rsidRPr="00AC0F13">
        <w:rPr>
          <w:rFonts w:ascii="Arial" w:hAnsi="Arial" w:cs="Arial"/>
          <w:i/>
          <w:iCs/>
          <w:color w:val="000000" w:themeColor="text1"/>
          <w:sz w:val="24"/>
          <w:szCs w:val="24"/>
          <w:shd w:val="clear" w:color="auto" w:fill="FFFFFF"/>
        </w:rPr>
        <w:t>16</w:t>
      </w:r>
      <w:r w:rsidRPr="00AC0F13">
        <w:rPr>
          <w:rFonts w:ascii="Arial" w:hAnsi="Arial" w:cs="Arial"/>
          <w:color w:val="000000" w:themeColor="text1"/>
          <w:sz w:val="24"/>
          <w:szCs w:val="24"/>
          <w:shd w:val="clear" w:color="auto" w:fill="FFFFFF"/>
        </w:rPr>
        <w:t xml:space="preserve">(2), p.20. </w:t>
      </w:r>
      <w:hyperlink r:id="rId21" w:history="1">
        <w:r w:rsidRPr="00AC0F13">
          <w:rPr>
            <w:rStyle w:val="Hyperlink"/>
            <w:rFonts w:ascii="Arial" w:hAnsi="Arial" w:cs="Arial"/>
            <w:color w:val="000000" w:themeColor="text1"/>
            <w:sz w:val="24"/>
            <w:szCs w:val="24"/>
            <w:shd w:val="clear" w:color="auto" w:fill="FFFFFF"/>
          </w:rPr>
          <w:t>https://aisel.aisnet.org/ajis/vol16/iss2/20/</w:t>
        </w:r>
      </w:hyperlink>
      <w:r w:rsidRPr="00AC0F13">
        <w:rPr>
          <w:rFonts w:ascii="Arial" w:hAnsi="Arial" w:cs="Arial"/>
          <w:color w:val="000000" w:themeColor="text1"/>
          <w:sz w:val="24"/>
          <w:szCs w:val="24"/>
          <w:shd w:val="clear" w:color="auto" w:fill="FFFFFF"/>
        </w:rPr>
        <w:t xml:space="preserve"> </w:t>
      </w:r>
      <w:r w:rsidR="00AC0F13" w:rsidRPr="00AC0F13">
        <w:rPr>
          <w:rFonts w:ascii="Arial" w:hAnsi="Arial" w:cs="Arial"/>
          <w:color w:val="000000" w:themeColor="text1"/>
          <w:sz w:val="24"/>
          <w:szCs w:val="24"/>
        </w:rPr>
        <w:t>(Available at: 21 October, 2026)</w:t>
      </w:r>
    </w:p>
    <w:p w14:paraId="21610309" w14:textId="408D9EF9" w:rsidR="00BC7E06" w:rsidRPr="00AC0F13" w:rsidRDefault="00BC7E06" w:rsidP="00AC0F13">
      <w:pPr>
        <w:spacing w:line="360" w:lineRule="auto"/>
        <w:jc w:val="both"/>
        <w:rPr>
          <w:rFonts w:ascii="Arial" w:hAnsi="Arial" w:cs="Arial"/>
          <w:color w:val="000000" w:themeColor="text1"/>
          <w:sz w:val="24"/>
          <w:szCs w:val="24"/>
          <w:shd w:val="clear" w:color="auto" w:fill="FFFFFF"/>
        </w:rPr>
      </w:pPr>
      <w:r w:rsidRPr="00AC0F13">
        <w:rPr>
          <w:rFonts w:ascii="Arial" w:hAnsi="Arial" w:cs="Arial"/>
          <w:color w:val="000000" w:themeColor="text1"/>
          <w:sz w:val="24"/>
          <w:szCs w:val="24"/>
          <w:shd w:val="clear" w:color="auto" w:fill="FFFFFF"/>
        </w:rPr>
        <w:t xml:space="preserve">Amos, G.J., 2024. Corporate social and environmental reporting in the mining sector: seeking pragmatic and moral forms of legitimacy?. </w:t>
      </w:r>
      <w:r w:rsidRPr="00AC0F13">
        <w:rPr>
          <w:rFonts w:ascii="Arial" w:hAnsi="Arial" w:cs="Arial"/>
          <w:i/>
          <w:iCs/>
          <w:color w:val="000000" w:themeColor="text1"/>
          <w:sz w:val="24"/>
          <w:szCs w:val="24"/>
          <w:shd w:val="clear" w:color="auto" w:fill="FFFFFF"/>
        </w:rPr>
        <w:t>Journal of Accounting in Emerging Economies</w:t>
      </w:r>
      <w:r w:rsidRPr="00AC0F13">
        <w:rPr>
          <w:rFonts w:ascii="Arial" w:hAnsi="Arial" w:cs="Arial"/>
          <w:color w:val="000000" w:themeColor="text1"/>
          <w:sz w:val="24"/>
          <w:szCs w:val="24"/>
          <w:shd w:val="clear" w:color="auto" w:fill="FFFFFF"/>
        </w:rPr>
        <w:t xml:space="preserve">, </w:t>
      </w:r>
      <w:r w:rsidRPr="00AC0F13">
        <w:rPr>
          <w:rFonts w:ascii="Arial" w:hAnsi="Arial" w:cs="Arial"/>
          <w:i/>
          <w:iCs/>
          <w:color w:val="000000" w:themeColor="text1"/>
          <w:sz w:val="24"/>
          <w:szCs w:val="24"/>
          <w:shd w:val="clear" w:color="auto" w:fill="FFFFFF"/>
        </w:rPr>
        <w:t>14</w:t>
      </w:r>
      <w:r w:rsidRPr="00AC0F13">
        <w:rPr>
          <w:rFonts w:ascii="Arial" w:hAnsi="Arial" w:cs="Arial"/>
          <w:color w:val="000000" w:themeColor="text1"/>
          <w:sz w:val="24"/>
          <w:szCs w:val="24"/>
          <w:shd w:val="clear" w:color="auto" w:fill="FFFFFF"/>
        </w:rPr>
        <w:t xml:space="preserve">(3), pp.548-584. </w:t>
      </w:r>
      <w:hyperlink r:id="rId22" w:history="1">
        <w:r w:rsidRPr="00AC0F13">
          <w:rPr>
            <w:rStyle w:val="Hyperlink"/>
            <w:rFonts w:ascii="Arial" w:hAnsi="Arial" w:cs="Arial"/>
            <w:color w:val="000000" w:themeColor="text1"/>
            <w:sz w:val="24"/>
            <w:szCs w:val="24"/>
            <w:shd w:val="clear" w:color="auto" w:fill="FFFFFF"/>
          </w:rPr>
          <w:t>https://www.emerald.com/jaee/article/14/3/548/1216370</w:t>
        </w:r>
      </w:hyperlink>
      <w:r w:rsidRPr="00AC0F13">
        <w:rPr>
          <w:rFonts w:ascii="Arial" w:hAnsi="Arial" w:cs="Arial"/>
          <w:color w:val="000000" w:themeColor="text1"/>
          <w:sz w:val="24"/>
          <w:szCs w:val="24"/>
          <w:shd w:val="clear" w:color="auto" w:fill="FFFFFF"/>
        </w:rPr>
        <w:t xml:space="preserve"> </w:t>
      </w:r>
      <w:r w:rsidR="00AC0F13" w:rsidRPr="00AC0F13">
        <w:rPr>
          <w:rFonts w:ascii="Arial" w:hAnsi="Arial" w:cs="Arial"/>
          <w:color w:val="000000" w:themeColor="text1"/>
          <w:sz w:val="24"/>
          <w:szCs w:val="24"/>
        </w:rPr>
        <w:t>(Available at: 21 October, 2026)</w:t>
      </w:r>
    </w:p>
    <w:p w14:paraId="164BA99D" w14:textId="1418844F" w:rsidR="00BC7E06" w:rsidRPr="00AC0F13" w:rsidRDefault="00BC7E06"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shd w:val="clear" w:color="auto" w:fill="FFFFFF"/>
        </w:rPr>
        <w:t xml:space="preserve">Lopez, B., Rangel-Pérez, C. and Fernández, M., 2023. Sustainable strategies in the luxury business to increase efficiency in reducing carbon footprint. </w:t>
      </w:r>
      <w:r w:rsidRPr="00AC0F13">
        <w:rPr>
          <w:rFonts w:ascii="Arial" w:hAnsi="Arial" w:cs="Arial"/>
          <w:i/>
          <w:iCs/>
          <w:color w:val="000000" w:themeColor="text1"/>
          <w:sz w:val="24"/>
          <w:szCs w:val="24"/>
          <w:shd w:val="clear" w:color="auto" w:fill="FFFFFF"/>
        </w:rPr>
        <w:t>Journal of Business Research</w:t>
      </w:r>
      <w:r w:rsidRPr="00AC0F13">
        <w:rPr>
          <w:rFonts w:ascii="Arial" w:hAnsi="Arial" w:cs="Arial"/>
          <w:color w:val="000000" w:themeColor="text1"/>
          <w:sz w:val="24"/>
          <w:szCs w:val="24"/>
          <w:shd w:val="clear" w:color="auto" w:fill="FFFFFF"/>
        </w:rPr>
        <w:t xml:space="preserve">, </w:t>
      </w:r>
      <w:r w:rsidRPr="00AC0F13">
        <w:rPr>
          <w:rFonts w:ascii="Arial" w:hAnsi="Arial" w:cs="Arial"/>
          <w:i/>
          <w:iCs/>
          <w:color w:val="000000" w:themeColor="text1"/>
          <w:sz w:val="24"/>
          <w:szCs w:val="24"/>
          <w:shd w:val="clear" w:color="auto" w:fill="FFFFFF"/>
        </w:rPr>
        <w:t>157</w:t>
      </w:r>
      <w:r w:rsidRPr="00AC0F13">
        <w:rPr>
          <w:rFonts w:ascii="Arial" w:hAnsi="Arial" w:cs="Arial"/>
          <w:color w:val="000000" w:themeColor="text1"/>
          <w:sz w:val="24"/>
          <w:szCs w:val="24"/>
          <w:shd w:val="clear" w:color="auto" w:fill="FFFFFF"/>
        </w:rPr>
        <w:t xml:space="preserve">, p.113607. </w:t>
      </w:r>
      <w:hyperlink r:id="rId23" w:history="1">
        <w:r w:rsidRPr="00AC0F13">
          <w:rPr>
            <w:rStyle w:val="Hyperlink"/>
            <w:rFonts w:ascii="Arial" w:hAnsi="Arial" w:cs="Arial"/>
            <w:color w:val="000000" w:themeColor="text1"/>
            <w:sz w:val="24"/>
            <w:szCs w:val="24"/>
            <w:shd w:val="clear" w:color="auto" w:fill="FFFFFF"/>
          </w:rPr>
          <w:t>https://www.sciencedirect.com/science/article/pii/S0148296322010724</w:t>
        </w:r>
      </w:hyperlink>
      <w:r w:rsidRPr="00AC0F13">
        <w:rPr>
          <w:rFonts w:ascii="Arial" w:hAnsi="Arial" w:cs="Arial"/>
          <w:color w:val="000000" w:themeColor="text1"/>
          <w:sz w:val="24"/>
          <w:szCs w:val="24"/>
          <w:shd w:val="clear" w:color="auto" w:fill="FFFFFF"/>
        </w:rPr>
        <w:t xml:space="preserve"> </w:t>
      </w:r>
      <w:r w:rsidR="00AC0F13" w:rsidRPr="00AC0F13">
        <w:rPr>
          <w:rFonts w:ascii="Arial" w:hAnsi="Arial" w:cs="Arial"/>
          <w:color w:val="000000" w:themeColor="text1"/>
          <w:sz w:val="24"/>
          <w:szCs w:val="24"/>
        </w:rPr>
        <w:t>(Available at: 21 October, 2026)</w:t>
      </w:r>
    </w:p>
    <w:p w14:paraId="6FB6AA26" w14:textId="0B9899FA" w:rsidR="00BC7E06" w:rsidRPr="00AC0F13" w:rsidRDefault="00BC7E06"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 xml:space="preserve">World Bank Group, 2024. Commodity Markets Outlook: April 2024. Washington, DC: World Bank. </w:t>
      </w:r>
      <w:hyperlink r:id="rId24" w:history="1">
        <w:r w:rsidRPr="00AC0F13">
          <w:rPr>
            <w:rStyle w:val="Hyperlink"/>
            <w:rFonts w:ascii="Arial" w:hAnsi="Arial" w:cs="Arial"/>
            <w:color w:val="000000" w:themeColor="text1"/>
            <w:sz w:val="24"/>
            <w:szCs w:val="24"/>
          </w:rPr>
          <w:t>https://documents1.worldbank.org/curated/en/099548005132432324/pdf/IDU-7e28d212-9178-4ab4-a122-f82604cfb20f.pdf</w:t>
        </w:r>
      </w:hyperlink>
      <w:r w:rsidRPr="00AC0F13">
        <w:rPr>
          <w:rFonts w:ascii="Arial" w:hAnsi="Arial" w:cs="Arial"/>
          <w:color w:val="000000" w:themeColor="text1"/>
          <w:sz w:val="24"/>
          <w:szCs w:val="24"/>
        </w:rPr>
        <w:t xml:space="preserve"> </w:t>
      </w:r>
      <w:r w:rsidR="00AC0F13" w:rsidRPr="00AC0F13">
        <w:rPr>
          <w:rFonts w:ascii="Arial" w:hAnsi="Arial" w:cs="Arial"/>
          <w:color w:val="000000" w:themeColor="text1"/>
          <w:sz w:val="24"/>
          <w:szCs w:val="24"/>
        </w:rPr>
        <w:t>(Available at: 21 October, 2026)</w:t>
      </w:r>
    </w:p>
    <w:p w14:paraId="1CE08B46" w14:textId="7857C609" w:rsidR="00204A2F" w:rsidRPr="00AC0F13" w:rsidRDefault="00BC7E06"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 xml:space="preserve">BHP, 2026a. BHP Results for the full year ended 30 June 2026. Melbourne: BHP Group. </w:t>
      </w:r>
      <w:hyperlink r:id="rId25" w:history="1">
        <w:r w:rsidRPr="00AC0F13">
          <w:rPr>
            <w:rStyle w:val="Hyperlink"/>
            <w:rFonts w:ascii="Arial" w:hAnsi="Arial" w:cs="Arial"/>
            <w:color w:val="000000" w:themeColor="text1"/>
            <w:sz w:val="24"/>
            <w:szCs w:val="24"/>
          </w:rPr>
          <w:t>https://www.bhp.com/news/media-centre/releases/2026/08/bhp-results-for-the-full-year-ended-30-june-2026</w:t>
        </w:r>
      </w:hyperlink>
      <w:r w:rsidRPr="00AC0F13">
        <w:rPr>
          <w:rFonts w:ascii="Arial" w:hAnsi="Arial" w:cs="Arial"/>
          <w:color w:val="000000" w:themeColor="text1"/>
          <w:sz w:val="24"/>
          <w:szCs w:val="24"/>
        </w:rPr>
        <w:t xml:space="preserve"> </w:t>
      </w:r>
      <w:r w:rsidR="00AC0F13" w:rsidRPr="00AC0F13">
        <w:rPr>
          <w:rFonts w:ascii="Arial" w:hAnsi="Arial" w:cs="Arial"/>
          <w:color w:val="000000" w:themeColor="text1"/>
          <w:sz w:val="24"/>
          <w:szCs w:val="24"/>
        </w:rPr>
        <w:t>(Available at: 21 October, 2026)</w:t>
      </w:r>
    </w:p>
    <w:p w14:paraId="46E4F872" w14:textId="5A554CA4" w:rsidR="00204A2F" w:rsidRPr="00AC0F13" w:rsidRDefault="00204A2F" w:rsidP="00AC0F13">
      <w:pPr>
        <w:spacing w:line="360" w:lineRule="auto"/>
        <w:jc w:val="both"/>
        <w:rPr>
          <w:rFonts w:ascii="Arial" w:hAnsi="Arial" w:cs="Arial"/>
          <w:color w:val="000000" w:themeColor="text1"/>
          <w:sz w:val="24"/>
          <w:szCs w:val="24"/>
        </w:rPr>
      </w:pPr>
      <w:r w:rsidRPr="00AC0F13">
        <w:rPr>
          <w:rFonts w:ascii="Arial" w:hAnsi="Arial" w:cs="Arial"/>
          <w:color w:val="000000" w:themeColor="text1"/>
          <w:sz w:val="24"/>
          <w:szCs w:val="24"/>
        </w:rPr>
        <w:t xml:space="preserve">Porter, M.E., 1985. Competitive Advantage: Creating and Sustaining Superior Performance. New York: Free Press. </w:t>
      </w:r>
      <w:hyperlink r:id="rId26" w:history="1">
        <w:r w:rsidRPr="00AC0F13">
          <w:rPr>
            <w:rStyle w:val="Hyperlink"/>
            <w:rFonts w:ascii="Arial" w:hAnsi="Arial" w:cs="Arial"/>
            <w:color w:val="000000" w:themeColor="text1"/>
            <w:sz w:val="24"/>
            <w:szCs w:val="24"/>
          </w:rPr>
          <w:t>https://books.google.co.in/books/about/Competitive_Advantage.html?id=9C-5AAAAIAAJ&amp;redir_esc=y</w:t>
        </w:r>
      </w:hyperlink>
      <w:r w:rsidRPr="00AC0F13">
        <w:rPr>
          <w:rFonts w:ascii="Arial" w:hAnsi="Arial" w:cs="Arial"/>
          <w:color w:val="000000" w:themeColor="text1"/>
          <w:sz w:val="24"/>
          <w:szCs w:val="24"/>
        </w:rPr>
        <w:t xml:space="preserve"> </w:t>
      </w:r>
      <w:r w:rsidR="00AC0F13" w:rsidRPr="00AC0F13">
        <w:rPr>
          <w:rFonts w:ascii="Arial" w:hAnsi="Arial" w:cs="Arial"/>
          <w:color w:val="000000" w:themeColor="text1"/>
          <w:sz w:val="24"/>
          <w:szCs w:val="24"/>
        </w:rPr>
        <w:t>(Available at: 21 October, 2026)</w:t>
      </w:r>
    </w:p>
    <w:p w14:paraId="335AC261" w14:textId="77777777" w:rsidR="00BC7E06" w:rsidRPr="00AC0F13" w:rsidRDefault="00BC7E06" w:rsidP="00AC0F13">
      <w:pPr>
        <w:spacing w:line="360" w:lineRule="auto"/>
        <w:jc w:val="both"/>
        <w:rPr>
          <w:rFonts w:ascii="Arial" w:hAnsi="Arial" w:cs="Arial"/>
          <w:color w:val="000000" w:themeColor="text1"/>
          <w:sz w:val="24"/>
          <w:szCs w:val="24"/>
        </w:rPr>
      </w:pPr>
    </w:p>
    <w:p w14:paraId="3BF82A8D" w14:textId="77777777" w:rsidR="00E34F36" w:rsidRPr="00AC0F13" w:rsidRDefault="00E34F36" w:rsidP="00AC0F13">
      <w:pPr>
        <w:spacing w:line="360" w:lineRule="auto"/>
        <w:jc w:val="both"/>
        <w:rPr>
          <w:rFonts w:ascii="Arial" w:hAnsi="Arial" w:cs="Arial"/>
          <w:color w:val="000000" w:themeColor="text1"/>
          <w:sz w:val="24"/>
          <w:szCs w:val="24"/>
        </w:rPr>
      </w:pPr>
    </w:p>
    <w:p w14:paraId="0AC2B166" w14:textId="77777777" w:rsidR="00E34F36" w:rsidRPr="00AC0F13" w:rsidRDefault="00E34F36" w:rsidP="00AC0F13">
      <w:pPr>
        <w:spacing w:line="360" w:lineRule="auto"/>
        <w:jc w:val="both"/>
        <w:rPr>
          <w:rFonts w:ascii="Arial" w:hAnsi="Arial" w:cs="Arial"/>
          <w:color w:val="000000" w:themeColor="text1"/>
          <w:sz w:val="24"/>
          <w:szCs w:val="24"/>
        </w:rPr>
      </w:pPr>
    </w:p>
    <w:p w14:paraId="57416C38" w14:textId="77777777" w:rsidR="00E34F36" w:rsidRPr="00AC0F13" w:rsidRDefault="00E34F36" w:rsidP="00AC0F13">
      <w:pPr>
        <w:spacing w:line="360" w:lineRule="auto"/>
        <w:jc w:val="both"/>
        <w:rPr>
          <w:rFonts w:ascii="Arial" w:hAnsi="Arial" w:cs="Arial"/>
          <w:color w:val="000000" w:themeColor="text1"/>
          <w:sz w:val="24"/>
          <w:szCs w:val="24"/>
        </w:rPr>
      </w:pPr>
    </w:p>
    <w:p w14:paraId="582BCE58" w14:textId="6E0B2BB2" w:rsidR="005769AC" w:rsidRPr="00AC0F13" w:rsidRDefault="005769AC" w:rsidP="00AC0F13">
      <w:pPr>
        <w:spacing w:line="360" w:lineRule="auto"/>
        <w:ind w:left="360" w:hanging="360"/>
        <w:jc w:val="both"/>
        <w:rPr>
          <w:rFonts w:ascii="Arial" w:hAnsi="Arial" w:cs="Arial"/>
          <w:color w:val="000000" w:themeColor="text1"/>
          <w:sz w:val="24"/>
          <w:szCs w:val="24"/>
        </w:rPr>
      </w:pPr>
    </w:p>
    <w:sectPr w:rsidR="005769AC" w:rsidRPr="00AC0F13" w:rsidSect="00034616">
      <w:footerReference w:type="even" r:id="rId27"/>
      <w:footerReference w:type="default" r:id="rId28"/>
      <w:pgSz w:w="12240" w:h="15840"/>
      <w:pgMar w:top="1152" w:right="1224" w:bottom="1152"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AE047C" w14:textId="77777777" w:rsidR="0040476A" w:rsidRDefault="0040476A">
      <w:pPr>
        <w:spacing w:after="0" w:line="240" w:lineRule="auto"/>
      </w:pPr>
      <w:r>
        <w:separator/>
      </w:r>
    </w:p>
  </w:endnote>
  <w:endnote w:type="continuationSeparator" w:id="0">
    <w:p w14:paraId="152391E1" w14:textId="77777777" w:rsidR="0040476A" w:rsidRDefault="00404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638076501"/>
      <w:docPartObj>
        <w:docPartGallery w:val="Page Numbers (Bottom of Page)"/>
        <w:docPartUnique/>
      </w:docPartObj>
    </w:sdtPr>
    <w:sdtEndPr>
      <w:rPr>
        <w:rStyle w:val="PageNumber"/>
      </w:rPr>
    </w:sdtEndPr>
    <w:sdtContent>
      <w:p w14:paraId="6F7DE461" w14:textId="20BA9425" w:rsidR="00BC7E06" w:rsidRDefault="00BC7E06" w:rsidP="00B12C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34611A" w14:textId="77777777" w:rsidR="00BC7E06" w:rsidRDefault="00BC7E06" w:rsidP="00BC7E0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62443000"/>
      <w:docPartObj>
        <w:docPartGallery w:val="Page Numbers (Bottom of Page)"/>
        <w:docPartUnique/>
      </w:docPartObj>
    </w:sdtPr>
    <w:sdtEndPr>
      <w:rPr>
        <w:rStyle w:val="PageNumber"/>
      </w:rPr>
    </w:sdtEndPr>
    <w:sdtContent>
      <w:p w14:paraId="68C111A2" w14:textId="067DB359" w:rsidR="00BC7E06" w:rsidRDefault="00BC7E06" w:rsidP="00B12C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623FF4">
          <w:rPr>
            <w:rStyle w:val="PageNumber"/>
            <w:noProof/>
          </w:rPr>
          <w:t>3</w:t>
        </w:r>
        <w:r>
          <w:rPr>
            <w:rStyle w:val="PageNumber"/>
          </w:rPr>
          <w:fldChar w:fldCharType="end"/>
        </w:r>
      </w:p>
    </w:sdtContent>
  </w:sdt>
  <w:p w14:paraId="6DF6B7DD" w14:textId="5A5FE26B" w:rsidR="005769AC" w:rsidRDefault="005769AC" w:rsidP="00BC7E06">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FC0DF3" w14:textId="77777777" w:rsidR="0040476A" w:rsidRDefault="0040476A">
      <w:pPr>
        <w:spacing w:after="0" w:line="240" w:lineRule="auto"/>
      </w:pPr>
      <w:r>
        <w:separator/>
      </w:r>
    </w:p>
  </w:footnote>
  <w:footnote w:type="continuationSeparator" w:id="0">
    <w:p w14:paraId="192B4D66" w14:textId="77777777" w:rsidR="0040476A" w:rsidRDefault="004047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C46112A"/>
    <w:multiLevelType w:val="hybridMultilevel"/>
    <w:tmpl w:val="3D80D198"/>
    <w:lvl w:ilvl="0" w:tplc="3A2E6A98">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23D5A"/>
    <w:rsid w:val="00034616"/>
    <w:rsid w:val="0006063C"/>
    <w:rsid w:val="0015074B"/>
    <w:rsid w:val="001C44A2"/>
    <w:rsid w:val="00204A2F"/>
    <w:rsid w:val="00213D5E"/>
    <w:rsid w:val="00214009"/>
    <w:rsid w:val="0029639D"/>
    <w:rsid w:val="00326F90"/>
    <w:rsid w:val="0040476A"/>
    <w:rsid w:val="004C3285"/>
    <w:rsid w:val="005769AC"/>
    <w:rsid w:val="00623FF4"/>
    <w:rsid w:val="006F1657"/>
    <w:rsid w:val="00751DCE"/>
    <w:rsid w:val="00932C9B"/>
    <w:rsid w:val="00AA1D8D"/>
    <w:rsid w:val="00AC0F13"/>
    <w:rsid w:val="00B47730"/>
    <w:rsid w:val="00BC7E06"/>
    <w:rsid w:val="00CB0664"/>
    <w:rsid w:val="00E34F36"/>
    <w:rsid w:val="00E6197B"/>
    <w:rsid w:val="00EC378A"/>
    <w:rsid w:val="00F4415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A00F4A"/>
  <w14:defaultImageDpi w14:val="300"/>
  <w15:docId w15:val="{B7475A81-74D8-8F43-AEEC-DF9D8E434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120"/>
    </w:pPr>
    <w:rPr>
      <w:rFonts w:ascii="Times New Roman" w:hAnsi="Times New Roman"/>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link w:val="ListParagraphChar"/>
    <w:uiPriority w:val="1"/>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BC7E06"/>
    <w:rPr>
      <w:color w:val="0000FF"/>
      <w:u w:val="single"/>
    </w:rPr>
  </w:style>
  <w:style w:type="character" w:customStyle="1" w:styleId="ListParagraphChar">
    <w:name w:val="List Paragraph Char"/>
    <w:basedOn w:val="DefaultParagraphFont"/>
    <w:link w:val="ListParagraph"/>
    <w:uiPriority w:val="1"/>
    <w:qFormat/>
    <w:locked/>
    <w:rsid w:val="00BC7E06"/>
    <w:rPr>
      <w:rFonts w:ascii="Times New Roman" w:hAnsi="Times New Roman"/>
    </w:rPr>
  </w:style>
  <w:style w:type="character" w:styleId="PageNumber">
    <w:name w:val="page number"/>
    <w:basedOn w:val="DefaultParagraphFont"/>
    <w:uiPriority w:val="99"/>
    <w:semiHidden/>
    <w:unhideWhenUsed/>
    <w:rsid w:val="00BC7E06"/>
  </w:style>
  <w:style w:type="paragraph" w:styleId="TOC1">
    <w:name w:val="toc 1"/>
    <w:basedOn w:val="Normal"/>
    <w:next w:val="Normal"/>
    <w:autoRedefine/>
    <w:uiPriority w:val="39"/>
    <w:unhideWhenUsed/>
    <w:rsid w:val="00BC7E06"/>
    <w:pPr>
      <w:spacing w:after="100"/>
    </w:pPr>
  </w:style>
  <w:style w:type="paragraph" w:styleId="TOC2">
    <w:name w:val="toc 2"/>
    <w:basedOn w:val="Normal"/>
    <w:next w:val="Normal"/>
    <w:autoRedefine/>
    <w:uiPriority w:val="39"/>
    <w:unhideWhenUsed/>
    <w:rsid w:val="00BC7E06"/>
    <w:pPr>
      <w:spacing w:after="100"/>
      <w:ind w:left="220"/>
    </w:pPr>
  </w:style>
  <w:style w:type="paragraph" w:styleId="NormalWeb">
    <w:name w:val="Normal (Web)"/>
    <w:basedOn w:val="Normal"/>
    <w:uiPriority w:val="99"/>
    <w:semiHidden/>
    <w:unhideWhenUsed/>
    <w:rsid w:val="00E6197B"/>
    <w:pPr>
      <w:spacing w:before="100" w:beforeAutospacing="1" w:after="100" w:afterAutospacing="1" w:line="240" w:lineRule="auto"/>
    </w:pPr>
    <w:rPr>
      <w:rFonts w:eastAsia="Times New Roman" w:cs="Times New Roman"/>
      <w:sz w:val="24"/>
      <w:szCs w:val="24"/>
      <w:lang w:val="en-IN" w:eastAsia="en-GB"/>
    </w:rPr>
  </w:style>
  <w:style w:type="character" w:customStyle="1" w:styleId="UnresolvedMention">
    <w:name w:val="Unresolved Mention"/>
    <w:basedOn w:val="DefaultParagraphFont"/>
    <w:uiPriority w:val="99"/>
    <w:semiHidden/>
    <w:unhideWhenUsed/>
    <w:rsid w:val="00204A2F"/>
    <w:rPr>
      <w:color w:val="605E5C"/>
      <w:shd w:val="clear" w:color="auto" w:fill="E1DFDD"/>
    </w:rPr>
  </w:style>
  <w:style w:type="character" w:styleId="FollowedHyperlink">
    <w:name w:val="FollowedHyperlink"/>
    <w:basedOn w:val="DefaultParagraphFont"/>
    <w:uiPriority w:val="99"/>
    <w:semiHidden/>
    <w:unhideWhenUsed/>
    <w:rsid w:val="00204A2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45176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hp.com/progress" TargetMode="External"/><Relationship Id="rId18" Type="http://schemas.openxmlformats.org/officeDocument/2006/relationships/hyperlink" Target="https://www.iea.org/reports/global-critical-minerals-outlook-2026/market-overview" TargetMode="External"/><Relationship Id="rId26" Type="http://schemas.openxmlformats.org/officeDocument/2006/relationships/hyperlink" Target="https://books.google.co.in/books/about/Competitive_Advantage.html?id=9C-5AAAAIAAJ&amp;redir_esc=y" TargetMode="External"/><Relationship Id="rId3" Type="http://schemas.openxmlformats.org/officeDocument/2006/relationships/styles" Target="styles.xml"/><Relationship Id="rId21" Type="http://schemas.openxmlformats.org/officeDocument/2006/relationships/hyperlink" Target="https://aisel.aisnet.org/ajis/vol16/iss2/20/" TargetMode="External"/><Relationship Id="rId7" Type="http://schemas.openxmlformats.org/officeDocument/2006/relationships/endnotes" Target="endnotes.xml"/><Relationship Id="rId12" Type="http://schemas.openxmlformats.org/officeDocument/2006/relationships/hyperlink" Target="https://www.bhp.com/sustainability/climate-change" TargetMode="External"/><Relationship Id="rId17" Type="http://schemas.openxmlformats.org/officeDocument/2006/relationships/hyperlink" Target="https://www.iea.org/reports/global-critical-minerals-outlook-2025" TargetMode="External"/><Relationship Id="rId25" Type="http://schemas.openxmlformats.org/officeDocument/2006/relationships/hyperlink" Target="https://www.bhp.com/news/media-centre/releases/2026/08/bhp-results-for-the-full-year-ended-30-june-2026" TargetMode="External"/><Relationship Id="rId2" Type="http://schemas.openxmlformats.org/officeDocument/2006/relationships/numbering" Target="numbering.xml"/><Relationship Id="rId16" Type="http://schemas.openxmlformats.org/officeDocument/2006/relationships/hyperlink" Target="https://taxation-customs.ec.europa.eu/carbon-border-adjustment-mechanism/cbam-definitive-regime_en" TargetMode="External"/><Relationship Id="rId20" Type="http://schemas.openxmlformats.org/officeDocument/2006/relationships/hyperlink" Target="https://www.emerald.com/books/edited-volume/15351/chapter-abstract/8653688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hp.com/about/coppergrowth" TargetMode="External"/><Relationship Id="rId24" Type="http://schemas.openxmlformats.org/officeDocument/2006/relationships/hyperlink" Target="https://documents1.worldbank.org/curated/en/099548005132432324/pdf/IDU-7e28d212-9178-4ab4-a122-f82604cfb20f.pdf" TargetMode="External"/><Relationship Id="rId5" Type="http://schemas.openxmlformats.org/officeDocument/2006/relationships/webSettings" Target="webSettings.xml"/><Relationship Id="rId15" Type="http://schemas.openxmlformats.org/officeDocument/2006/relationships/hyperlink" Target="https://www.bhp.com/-/media/documents/investors/annual-reports/2025/250819_bhpannualreport2025.pdf" TargetMode="External"/><Relationship Id="rId23" Type="http://schemas.openxmlformats.org/officeDocument/2006/relationships/hyperlink" Target="https://www.sciencedirect.com/science/article/pii/S0148296322010724" TargetMode="External"/><Relationship Id="rId28" Type="http://schemas.openxmlformats.org/officeDocument/2006/relationships/footer" Target="footer2.xml"/><Relationship Id="rId10" Type="http://schemas.openxmlformats.org/officeDocument/2006/relationships/hyperlink" Target="https://www.bhp.com/ar2026" TargetMode="External"/><Relationship Id="rId19" Type="http://schemas.openxmlformats.org/officeDocument/2006/relationships/hyperlink" Target="https://api.pageplace.de/preview/DT0400.9781292449333_A46720135/preview-9781292449333_A46720135.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bhp.com/news/media-centre/releases/2026/09/bhp-and-china-baowu-renew-steel-decarbonisation-partnership" TargetMode="External"/><Relationship Id="rId22" Type="http://schemas.openxmlformats.org/officeDocument/2006/relationships/hyperlink" Target="https://www.emerald.com/jaee/article/14/3/548/1216370"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77A45-1A05-4422-9E41-5720839D0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3940</Words>
  <Characters>22461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26349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generated by python-docx</dc:description>
  <cp:lastModifiedBy>HP</cp:lastModifiedBy>
  <cp:revision>5</cp:revision>
  <dcterms:created xsi:type="dcterms:W3CDTF">2026-10-21T16:29:00Z</dcterms:created>
  <dcterms:modified xsi:type="dcterms:W3CDTF">2026-10-21T17:11:00Z</dcterms:modified>
  <cp:category/>
</cp:coreProperties>
</file>