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0F02D">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7FB382E9">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2DFFEF40">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55E48965">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1A8CD831">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3572126A">
      <w:pPr>
        <w:keepNext w:val="0"/>
        <w:keepLines w:val="0"/>
        <w:pageBreakBefore w:val="0"/>
        <w:widowControl/>
        <w:suppressLineNumbers w:val="0"/>
        <w:kinsoku/>
        <w:wordWrap/>
        <w:overflowPunct/>
        <w:topLinePunct w:val="0"/>
        <w:autoSpaceDE/>
        <w:autoSpaceDN/>
        <w:bidi w:val="0"/>
        <w:adjustRightInd/>
        <w:snapToGrid/>
        <w:ind w:firstLine="562" w:firstLineChars="200"/>
        <w:jc w:val="both"/>
        <w:textAlignment w:val="auto"/>
        <w:rPr>
          <w:rFonts w:hint="default" w:ascii="Times New Roman" w:hAnsi="Times New Roman" w:eastAsia="宋体" w:cs="Times New Roman"/>
          <w:b/>
          <w:bCs/>
          <w:i w:val="0"/>
          <w:iCs w:val="0"/>
          <w:color w:val="000000"/>
          <w:kern w:val="0"/>
          <w:sz w:val="28"/>
          <w:szCs w:val="28"/>
          <w:lang w:val="en-US" w:eastAsia="zh-CN" w:bidi="ar"/>
        </w:rPr>
      </w:pPr>
      <w:r>
        <w:rPr>
          <w:rFonts w:hint="default" w:ascii="Times New Roman" w:hAnsi="Times New Roman" w:eastAsia="宋体" w:cs="Times New Roman"/>
          <w:b/>
          <w:bCs/>
          <w:i w:val="0"/>
          <w:iCs w:val="0"/>
          <w:color w:val="000000"/>
          <w:kern w:val="0"/>
          <w:sz w:val="28"/>
          <w:szCs w:val="28"/>
          <w:lang w:val="en-US" w:eastAsia="zh-CN" w:bidi="ar"/>
        </w:rPr>
        <w:t>Research on the Application and Strategy of Cross cultural Communication in Expanding the Asian Market for British Clothing Retailers</w:t>
      </w:r>
    </w:p>
    <w:p w14:paraId="61B07F9B">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62514C4E">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0C220802">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2E1798D9">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503103F1">
      <w:pPr>
        <w:keepNext w:val="0"/>
        <w:keepLines w:val="0"/>
        <w:widowControl/>
        <w:suppressLineNumbers w:val="0"/>
        <w:jc w:val="left"/>
        <w:rPr>
          <w:rFonts w:hint="default" w:ascii="Times New Roman" w:hAnsi="Times New Roman" w:eastAsia="宋体" w:cs="Times New Roman"/>
          <w:b/>
          <w:bCs/>
          <w:i w:val="0"/>
          <w:iCs w:val="0"/>
          <w:color w:val="000000"/>
          <w:kern w:val="0"/>
          <w:sz w:val="28"/>
          <w:szCs w:val="28"/>
          <w:lang w:val="en-US" w:eastAsia="zh-CN" w:bidi="ar"/>
        </w:rPr>
      </w:pPr>
    </w:p>
    <w:p w14:paraId="1B375ED9">
      <w:pPr>
        <w:keepNext w:val="0"/>
        <w:keepLines w:val="0"/>
        <w:widowControl/>
        <w:suppressLineNumbers w:val="0"/>
        <w:jc w:val="left"/>
        <w:rPr>
          <w:rFonts w:hint="default" w:ascii="Times New Roman" w:hAnsi="Times New Roman" w:eastAsia="宋体" w:cs="Times New Roman"/>
          <w:b/>
          <w:bCs/>
          <w:i w:val="0"/>
          <w:iCs w:val="0"/>
          <w:color w:val="000000"/>
          <w:kern w:val="0"/>
          <w:sz w:val="28"/>
          <w:szCs w:val="28"/>
          <w:lang w:val="en-US" w:eastAsia="zh-CN" w:bidi="ar"/>
        </w:rPr>
      </w:pPr>
    </w:p>
    <w:p w14:paraId="234407D2">
      <w:pPr>
        <w:keepNext w:val="0"/>
        <w:keepLines w:val="0"/>
        <w:widowControl/>
        <w:suppressLineNumbers w:val="0"/>
        <w:jc w:val="left"/>
        <w:rPr>
          <w:rFonts w:hint="default" w:eastAsia="宋体" w:cs="Times New Roman"/>
          <w:b/>
          <w:bCs/>
          <w:i w:val="0"/>
          <w:iCs w:val="0"/>
          <w:color w:val="000000"/>
          <w:kern w:val="0"/>
          <w:sz w:val="28"/>
          <w:szCs w:val="28"/>
          <w:lang w:val="en-US" w:eastAsia="zh-CN" w:bidi="ar"/>
        </w:rPr>
      </w:pPr>
      <w:r>
        <w:rPr>
          <w:rFonts w:hint="default" w:ascii="Times New Roman" w:hAnsi="Times New Roman" w:eastAsia="宋体" w:cs="Times New Roman"/>
          <w:b/>
          <w:bCs/>
          <w:i w:val="0"/>
          <w:iCs w:val="0"/>
          <w:color w:val="000000"/>
          <w:kern w:val="0"/>
          <w:sz w:val="28"/>
          <w:szCs w:val="28"/>
          <w:lang w:val="en-US" w:eastAsia="zh-CN" w:bidi="ar"/>
        </w:rPr>
        <w:t>Student Name</w:t>
      </w:r>
      <w:r>
        <w:rPr>
          <w:rFonts w:hint="eastAsia" w:eastAsia="宋体" w:cs="Times New Roman"/>
          <w:b/>
          <w:bCs/>
          <w:i w:val="0"/>
          <w:iCs w:val="0"/>
          <w:color w:val="000000"/>
          <w:kern w:val="0"/>
          <w:sz w:val="28"/>
          <w:szCs w:val="28"/>
          <w:lang w:val="en-US" w:eastAsia="zh-CN" w:bidi="ar"/>
        </w:rPr>
        <w:t>: MingYang Zhang</w:t>
      </w:r>
    </w:p>
    <w:p w14:paraId="3883E81E">
      <w:pPr>
        <w:keepNext w:val="0"/>
        <w:keepLines w:val="0"/>
        <w:widowControl/>
        <w:suppressLineNumbers w:val="0"/>
        <w:jc w:val="left"/>
        <w:rPr>
          <w:rFonts w:hint="default" w:eastAsia="宋体" w:cs="Times New Roman"/>
          <w:b/>
          <w:bCs/>
          <w:i w:val="0"/>
          <w:iCs w:val="0"/>
          <w:color w:val="000000"/>
          <w:kern w:val="0"/>
          <w:sz w:val="28"/>
          <w:szCs w:val="28"/>
          <w:lang w:val="en-US" w:eastAsia="zh-CN" w:bidi="ar"/>
        </w:rPr>
      </w:pPr>
      <w:r>
        <w:rPr>
          <w:rFonts w:hint="default" w:eastAsia="宋体" w:cs="Times New Roman"/>
          <w:b/>
          <w:bCs/>
          <w:i w:val="0"/>
          <w:iCs w:val="0"/>
          <w:color w:val="000000"/>
          <w:kern w:val="0"/>
          <w:sz w:val="28"/>
          <w:szCs w:val="28"/>
          <w:lang w:val="en-US" w:eastAsia="zh-CN" w:bidi="ar"/>
        </w:rPr>
        <w:t xml:space="preserve">Student </w:t>
      </w:r>
      <w:r>
        <w:rPr>
          <w:rFonts w:hint="eastAsia" w:eastAsia="宋体" w:cs="Times New Roman"/>
          <w:b/>
          <w:bCs/>
          <w:i w:val="0"/>
          <w:iCs w:val="0"/>
          <w:color w:val="000000"/>
          <w:kern w:val="0"/>
          <w:sz w:val="28"/>
          <w:szCs w:val="28"/>
          <w:lang w:val="en-US" w:eastAsia="zh-CN" w:bidi="ar"/>
        </w:rPr>
        <w:t>ID：2405456</w:t>
      </w:r>
    </w:p>
    <w:p w14:paraId="219B8882">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7159CB55">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40B5734E">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214ABABA">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6F80FD01">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5EE8DCC5">
      <w:pPr>
        <w:pStyle w:val="13"/>
        <w:bidi w:val="0"/>
        <w:rPr>
          <w:rStyle w:val="12"/>
          <w:rFonts w:hint="default"/>
          <w:i w:val="0"/>
          <w:iCs/>
          <w:lang w:val="en-US" w:eastAsia="zh-CN"/>
        </w:rPr>
      </w:pPr>
    </w:p>
    <w:p w14:paraId="2C500AD8">
      <w:pPr>
        <w:bidi w:val="0"/>
        <w:rPr>
          <w:rFonts w:hint="default"/>
          <w:b/>
          <w:bCs/>
          <w:lang w:val="en-US" w:eastAsia="zh-CN"/>
        </w:rPr>
      </w:pPr>
      <w:bookmarkStart w:id="0" w:name="_Toc20397"/>
      <w:r>
        <w:rPr>
          <w:rFonts w:hint="default"/>
          <w:b/>
          <w:bCs/>
          <w:lang w:val="en-US" w:eastAsia="zh-CN"/>
        </w:rPr>
        <w:t>Executive Summary</w:t>
      </w:r>
      <w:bookmarkEnd w:id="0"/>
    </w:p>
    <w:p w14:paraId="1827C05A">
      <w:pPr>
        <w:pStyle w:val="14"/>
        <w:bidi w:val="0"/>
        <w:rPr>
          <w:rFonts w:hint="default"/>
          <w:lang w:val="en-US" w:eastAsia="zh-CN"/>
        </w:rPr>
      </w:pPr>
      <w:r>
        <w:rPr>
          <w:rFonts w:hint="eastAsia"/>
        </w:rPr>
        <w:t>I will study in this report how British companies achieve business success in the Asian market by managing cultural and communication differences that influence business outcomes. I believe that trading companies that want to engage in cross-cultural communication should not only focus on pricing or logistics, but also emphasize their understanding of hierarchical systems between different cultures, indirect expressions in different contexts, and how relationship based communication affects cooperation. This report will draw on Hall's (1976) high context and low context communication theory, as well as Trompenas and Hampden Turner's (1997) seven cultural dimensions, to specifically discuss how to connect theory with daily management practice. Finally, the research findings of the report indicate that cross-cultural competence is developed through empathy, reflection, and meaningful relationships. Establishing a reasonable training plan, long-term partnerships, and active cultural exchanges can help businesses effectively adapt. Finally, I believe that the success of British companies in Asia should not only depend on their clever strategies, but also on their ability to listen and learn how to establish good relationships with local partners.</w:t>
      </w:r>
    </w:p>
    <w:p w14:paraId="6015DF5F">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29C0E4B7">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25A7EADD">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482D9013">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23A7AB17">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36AB263A">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3287EE78">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456D7B34">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2B2DABE7">
      <w:pPr>
        <w:keepNext w:val="0"/>
        <w:keepLines w:val="0"/>
        <w:widowControl/>
        <w:suppressLineNumbers w:val="0"/>
        <w:jc w:val="both"/>
        <w:rPr>
          <w:rFonts w:hint="default" w:ascii="Times New Roman" w:hAnsi="Times New Roman" w:eastAsia="宋体" w:cs="Times New Roman"/>
          <w:b/>
          <w:bCs/>
          <w:i w:val="0"/>
          <w:iCs w:val="0"/>
          <w:color w:val="000000"/>
          <w:kern w:val="0"/>
          <w:sz w:val="28"/>
          <w:szCs w:val="28"/>
          <w:lang w:val="en-US" w:eastAsia="zh-CN" w:bidi="ar"/>
        </w:rPr>
      </w:pPr>
    </w:p>
    <w:p w14:paraId="4915BD1E">
      <w:pPr>
        <w:keepNext w:val="0"/>
        <w:keepLines w:val="0"/>
        <w:widowControl/>
        <w:suppressLineNumbers w:val="0"/>
        <w:jc w:val="center"/>
        <w:rPr>
          <w:rFonts w:hint="default" w:ascii="Times New Roman" w:hAnsi="Times New Roman" w:eastAsia="宋体" w:cs="Times New Roman"/>
          <w:b/>
          <w:bCs/>
          <w:i w:val="0"/>
          <w:iCs w:val="0"/>
          <w:color w:val="000000"/>
          <w:kern w:val="0"/>
          <w:sz w:val="28"/>
          <w:szCs w:val="28"/>
          <w:lang w:val="en-US" w:eastAsia="zh-CN" w:bidi="ar"/>
        </w:rPr>
      </w:pPr>
    </w:p>
    <w:p w14:paraId="42B95CD3">
      <w:pPr>
        <w:keepNext w:val="0"/>
        <w:keepLines w:val="0"/>
        <w:widowControl/>
        <w:suppressLineNumbers w:val="0"/>
        <w:jc w:val="center"/>
        <w:rPr>
          <w:rFonts w:hint="default" w:ascii="Times New Roman" w:hAnsi="Times New Roman" w:cs="Times New Roman"/>
          <w:b/>
          <w:bCs/>
          <w:i w:val="0"/>
          <w:iCs w:val="0"/>
          <w:sz w:val="28"/>
          <w:szCs w:val="28"/>
        </w:rPr>
      </w:pPr>
      <w:r>
        <w:rPr>
          <w:rFonts w:hint="default" w:ascii="Times New Roman" w:hAnsi="Times New Roman" w:eastAsia="宋体" w:cs="Times New Roman"/>
          <w:b/>
          <w:bCs/>
          <w:i w:val="0"/>
          <w:iCs w:val="0"/>
          <w:color w:val="000000"/>
          <w:kern w:val="0"/>
          <w:sz w:val="28"/>
          <w:szCs w:val="28"/>
          <w:lang w:val="en-US" w:eastAsia="zh-CN" w:bidi="ar"/>
        </w:rPr>
        <w:t>Content</w:t>
      </w:r>
    </w:p>
    <w:p w14:paraId="5B1B7B3B">
      <w:pPr>
        <w:pStyle w:val="6"/>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TOC \t "1,1,2,2" \h</w:instrText>
      </w:r>
      <w:r>
        <w:rPr>
          <w:rFonts w:hint="default"/>
          <w:b/>
          <w:bCs/>
          <w:sz w:val="24"/>
          <w:szCs w:val="24"/>
          <w:lang w:val="en-US" w:eastAsia="zh-CN"/>
        </w:rPr>
        <w:fldChar w:fldCharType="separate"/>
      </w:r>
      <w:r>
        <w:rPr>
          <w:rFonts w:hint="default"/>
          <w:b/>
          <w:bCs/>
          <w:sz w:val="24"/>
          <w:szCs w:val="24"/>
          <w:lang w:val="en-US" w:eastAsia="zh-CN"/>
        </w:rPr>
        <w:fldChar w:fldCharType="begin"/>
      </w:r>
      <w:r>
        <w:rPr>
          <w:rFonts w:hint="default"/>
          <w:b/>
          <w:bCs/>
          <w:sz w:val="24"/>
          <w:szCs w:val="24"/>
          <w:lang w:val="en-US" w:eastAsia="zh-CN"/>
        </w:rPr>
        <w:instrText xml:space="preserve"> HYPERLINK \l _Toc28868 </w:instrText>
      </w:r>
      <w:r>
        <w:rPr>
          <w:rFonts w:hint="default"/>
          <w:b/>
          <w:bCs/>
          <w:sz w:val="24"/>
          <w:szCs w:val="24"/>
          <w:lang w:val="en-US" w:eastAsia="zh-CN"/>
        </w:rPr>
        <w:fldChar w:fldCharType="separate"/>
      </w:r>
      <w:r>
        <w:rPr>
          <w:rFonts w:hint="default"/>
          <w:b/>
          <w:bCs/>
          <w:sz w:val="24"/>
          <w:szCs w:val="24"/>
          <w:lang w:val="en-US" w:eastAsia="zh-CN"/>
        </w:rPr>
        <w:t>1. Introduction</w:t>
      </w:r>
      <w:r>
        <w:rPr>
          <w:b/>
          <w:bCs/>
          <w:sz w:val="24"/>
          <w:szCs w:val="24"/>
        </w:rPr>
        <w:tab/>
      </w:r>
      <w:r>
        <w:rPr>
          <w:b/>
          <w:bCs/>
          <w:sz w:val="24"/>
          <w:szCs w:val="24"/>
        </w:rPr>
        <w:fldChar w:fldCharType="begin"/>
      </w:r>
      <w:r>
        <w:rPr>
          <w:b/>
          <w:bCs/>
          <w:sz w:val="24"/>
          <w:szCs w:val="24"/>
        </w:rPr>
        <w:instrText xml:space="preserve"> PAGEREF _Toc28868 \h </w:instrText>
      </w:r>
      <w:r>
        <w:rPr>
          <w:b/>
          <w:bCs/>
          <w:sz w:val="24"/>
          <w:szCs w:val="24"/>
        </w:rPr>
        <w:fldChar w:fldCharType="separate"/>
      </w:r>
      <w:r>
        <w:rPr>
          <w:b/>
          <w:bCs/>
          <w:sz w:val="24"/>
          <w:szCs w:val="24"/>
        </w:rPr>
        <w:t>1</w:t>
      </w:r>
      <w:r>
        <w:rPr>
          <w:b/>
          <w:bCs/>
          <w:sz w:val="24"/>
          <w:szCs w:val="24"/>
        </w:rPr>
        <w:fldChar w:fldCharType="end"/>
      </w:r>
      <w:r>
        <w:rPr>
          <w:rFonts w:hint="default"/>
          <w:b/>
          <w:bCs/>
          <w:sz w:val="24"/>
          <w:szCs w:val="24"/>
          <w:lang w:val="en-US" w:eastAsia="zh-CN"/>
        </w:rPr>
        <w:fldChar w:fldCharType="end"/>
      </w:r>
    </w:p>
    <w:p w14:paraId="50782FF1">
      <w:pPr>
        <w:pStyle w:val="6"/>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_Toc2393 </w:instrText>
      </w:r>
      <w:r>
        <w:rPr>
          <w:rFonts w:hint="default"/>
          <w:b/>
          <w:bCs/>
          <w:sz w:val="24"/>
          <w:szCs w:val="24"/>
          <w:lang w:val="en-US" w:eastAsia="zh-CN"/>
        </w:rPr>
        <w:fldChar w:fldCharType="separate"/>
      </w:r>
      <w:r>
        <w:rPr>
          <w:rFonts w:hint="eastAsia"/>
          <w:b/>
          <w:bCs/>
          <w:sz w:val="24"/>
          <w:szCs w:val="24"/>
          <w:lang w:val="en-US" w:eastAsia="zh-CN"/>
        </w:rPr>
        <w:t>2.Main Findings</w:t>
      </w:r>
      <w:r>
        <w:rPr>
          <w:b/>
          <w:bCs/>
          <w:sz w:val="24"/>
          <w:szCs w:val="24"/>
        </w:rPr>
        <w:tab/>
      </w:r>
      <w:r>
        <w:rPr>
          <w:b/>
          <w:bCs/>
          <w:sz w:val="24"/>
          <w:szCs w:val="24"/>
        </w:rPr>
        <w:fldChar w:fldCharType="begin"/>
      </w:r>
      <w:r>
        <w:rPr>
          <w:b/>
          <w:bCs/>
          <w:sz w:val="24"/>
          <w:szCs w:val="24"/>
        </w:rPr>
        <w:instrText xml:space="preserve"> PAGEREF _Toc2393 \h </w:instrText>
      </w:r>
      <w:r>
        <w:rPr>
          <w:b/>
          <w:bCs/>
          <w:sz w:val="24"/>
          <w:szCs w:val="24"/>
        </w:rPr>
        <w:fldChar w:fldCharType="separate"/>
      </w:r>
      <w:r>
        <w:rPr>
          <w:b/>
          <w:bCs/>
          <w:sz w:val="24"/>
          <w:szCs w:val="24"/>
        </w:rPr>
        <w:t>1</w:t>
      </w:r>
      <w:r>
        <w:rPr>
          <w:b/>
          <w:bCs/>
          <w:sz w:val="24"/>
          <w:szCs w:val="24"/>
        </w:rPr>
        <w:fldChar w:fldCharType="end"/>
      </w:r>
      <w:r>
        <w:rPr>
          <w:rFonts w:hint="default"/>
          <w:b/>
          <w:bCs/>
          <w:sz w:val="24"/>
          <w:szCs w:val="24"/>
          <w:lang w:val="en-US" w:eastAsia="zh-CN"/>
        </w:rPr>
        <w:fldChar w:fldCharType="end"/>
      </w:r>
    </w:p>
    <w:p w14:paraId="6D1CAF01">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_Toc17984 </w:instrText>
      </w:r>
      <w:r>
        <w:rPr>
          <w:rFonts w:hint="default"/>
          <w:b/>
          <w:bCs/>
          <w:sz w:val="24"/>
          <w:szCs w:val="24"/>
          <w:lang w:val="en-US" w:eastAsia="zh-CN"/>
        </w:rPr>
        <w:fldChar w:fldCharType="separate"/>
      </w:r>
      <w:r>
        <w:rPr>
          <w:rFonts w:hint="default"/>
          <w:b/>
          <w:bCs/>
          <w:sz w:val="24"/>
          <w:szCs w:val="24"/>
          <w:lang w:val="en-US" w:eastAsia="zh-CN"/>
        </w:rPr>
        <w:t>2.</w:t>
      </w:r>
      <w:r>
        <w:rPr>
          <w:rFonts w:hint="eastAsia"/>
          <w:b/>
          <w:bCs/>
          <w:sz w:val="24"/>
          <w:szCs w:val="24"/>
          <w:lang w:val="en-US" w:eastAsia="zh-CN"/>
        </w:rPr>
        <w:t>1</w:t>
      </w:r>
      <w:r>
        <w:rPr>
          <w:rFonts w:hint="default"/>
          <w:b/>
          <w:bCs/>
          <w:sz w:val="24"/>
          <w:szCs w:val="24"/>
          <w:lang w:val="en-US" w:eastAsia="zh-CN"/>
        </w:rPr>
        <w:t xml:space="preserve"> The Role and Definition of International Business Communication</w:t>
      </w:r>
      <w:r>
        <w:rPr>
          <w:b/>
          <w:bCs/>
          <w:sz w:val="24"/>
          <w:szCs w:val="24"/>
        </w:rPr>
        <w:tab/>
      </w:r>
      <w:r>
        <w:rPr>
          <w:b/>
          <w:bCs/>
          <w:sz w:val="24"/>
          <w:szCs w:val="24"/>
        </w:rPr>
        <w:fldChar w:fldCharType="begin"/>
      </w:r>
      <w:r>
        <w:rPr>
          <w:b/>
          <w:bCs/>
          <w:sz w:val="24"/>
          <w:szCs w:val="24"/>
        </w:rPr>
        <w:instrText xml:space="preserve"> PAGEREF _Toc17984 \h </w:instrText>
      </w:r>
      <w:r>
        <w:rPr>
          <w:b/>
          <w:bCs/>
          <w:sz w:val="24"/>
          <w:szCs w:val="24"/>
        </w:rPr>
        <w:fldChar w:fldCharType="separate"/>
      </w:r>
      <w:r>
        <w:rPr>
          <w:b/>
          <w:bCs/>
          <w:sz w:val="24"/>
          <w:szCs w:val="24"/>
        </w:rPr>
        <w:t>1</w:t>
      </w:r>
      <w:r>
        <w:rPr>
          <w:b/>
          <w:bCs/>
          <w:sz w:val="24"/>
          <w:szCs w:val="24"/>
        </w:rPr>
        <w:fldChar w:fldCharType="end"/>
      </w:r>
      <w:r>
        <w:rPr>
          <w:rFonts w:hint="default"/>
          <w:b/>
          <w:bCs/>
          <w:sz w:val="24"/>
          <w:szCs w:val="24"/>
          <w:lang w:val="en-US" w:eastAsia="zh-CN"/>
        </w:rPr>
        <w:fldChar w:fldCharType="end"/>
      </w:r>
    </w:p>
    <w:p w14:paraId="6129AEBA">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_Toc19722 </w:instrText>
      </w:r>
      <w:r>
        <w:rPr>
          <w:rFonts w:hint="default"/>
          <w:b/>
          <w:bCs/>
          <w:sz w:val="24"/>
          <w:szCs w:val="24"/>
          <w:lang w:val="en-US" w:eastAsia="zh-CN"/>
        </w:rPr>
        <w:fldChar w:fldCharType="separate"/>
      </w:r>
      <w:r>
        <w:rPr>
          <w:rFonts w:hint="eastAsia"/>
          <w:b/>
          <w:bCs/>
          <w:sz w:val="24"/>
          <w:szCs w:val="24"/>
          <w:lang w:val="en-US" w:eastAsia="zh-CN"/>
        </w:rPr>
        <w:t>2</w:t>
      </w:r>
      <w:r>
        <w:rPr>
          <w:rFonts w:hint="default"/>
          <w:b/>
          <w:bCs/>
          <w:sz w:val="24"/>
          <w:szCs w:val="24"/>
          <w:lang w:val="en-US" w:eastAsia="zh-CN"/>
        </w:rPr>
        <w:t>.</w:t>
      </w:r>
      <w:r>
        <w:rPr>
          <w:rFonts w:hint="eastAsia"/>
          <w:b/>
          <w:bCs/>
          <w:sz w:val="24"/>
          <w:szCs w:val="24"/>
          <w:lang w:val="en-US" w:eastAsia="zh-CN"/>
        </w:rPr>
        <w:t>2</w:t>
      </w:r>
      <w:r>
        <w:rPr>
          <w:rFonts w:hint="default"/>
          <w:b/>
          <w:bCs/>
          <w:sz w:val="24"/>
          <w:szCs w:val="24"/>
          <w:lang w:val="en-US" w:eastAsia="zh-CN"/>
        </w:rPr>
        <w:t xml:space="preserve"> Key Skills for Effective Cross-Cultural Communication</w:t>
      </w:r>
      <w:r>
        <w:rPr>
          <w:b/>
          <w:bCs/>
          <w:sz w:val="24"/>
          <w:szCs w:val="24"/>
        </w:rPr>
        <w:tab/>
      </w:r>
      <w:r>
        <w:rPr>
          <w:b/>
          <w:bCs/>
          <w:sz w:val="24"/>
          <w:szCs w:val="24"/>
        </w:rPr>
        <w:fldChar w:fldCharType="begin"/>
      </w:r>
      <w:r>
        <w:rPr>
          <w:b/>
          <w:bCs/>
          <w:sz w:val="24"/>
          <w:szCs w:val="24"/>
        </w:rPr>
        <w:instrText xml:space="preserve"> PAGEREF _Toc19722 \h </w:instrText>
      </w:r>
      <w:r>
        <w:rPr>
          <w:b/>
          <w:bCs/>
          <w:sz w:val="24"/>
          <w:szCs w:val="24"/>
        </w:rPr>
        <w:fldChar w:fldCharType="separate"/>
      </w:r>
      <w:r>
        <w:rPr>
          <w:b/>
          <w:bCs/>
          <w:sz w:val="24"/>
          <w:szCs w:val="24"/>
        </w:rPr>
        <w:t>2</w:t>
      </w:r>
      <w:r>
        <w:rPr>
          <w:b/>
          <w:bCs/>
          <w:sz w:val="24"/>
          <w:szCs w:val="24"/>
        </w:rPr>
        <w:fldChar w:fldCharType="end"/>
      </w:r>
      <w:r>
        <w:rPr>
          <w:rFonts w:hint="default"/>
          <w:b/>
          <w:bCs/>
          <w:sz w:val="24"/>
          <w:szCs w:val="24"/>
          <w:lang w:val="en-US" w:eastAsia="zh-CN"/>
        </w:rPr>
        <w:fldChar w:fldCharType="end"/>
      </w:r>
    </w:p>
    <w:p w14:paraId="6A74A9F9">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_Toc19423 </w:instrText>
      </w:r>
      <w:r>
        <w:rPr>
          <w:rFonts w:hint="default"/>
          <w:b/>
          <w:bCs/>
          <w:sz w:val="24"/>
          <w:szCs w:val="24"/>
          <w:lang w:val="en-US" w:eastAsia="zh-CN"/>
        </w:rPr>
        <w:fldChar w:fldCharType="separate"/>
      </w:r>
      <w:r>
        <w:rPr>
          <w:rFonts w:hint="eastAsia"/>
          <w:b/>
          <w:bCs/>
          <w:sz w:val="24"/>
          <w:szCs w:val="24"/>
          <w:lang w:val="en-US" w:eastAsia="zh-CN"/>
        </w:rPr>
        <w:t>2.3</w:t>
      </w:r>
      <w:r>
        <w:rPr>
          <w:rFonts w:hint="default"/>
          <w:b/>
          <w:bCs/>
          <w:sz w:val="24"/>
          <w:szCs w:val="24"/>
          <w:lang w:val="en-US" w:eastAsia="zh-CN"/>
        </w:rPr>
        <w:t xml:space="preserve"> Non-Verbal Communication in Business Contexts</w:t>
      </w:r>
      <w:r>
        <w:rPr>
          <w:b/>
          <w:bCs/>
          <w:sz w:val="24"/>
          <w:szCs w:val="24"/>
        </w:rPr>
        <w:tab/>
      </w:r>
      <w:r>
        <w:rPr>
          <w:b/>
          <w:bCs/>
          <w:sz w:val="24"/>
          <w:szCs w:val="24"/>
        </w:rPr>
        <w:fldChar w:fldCharType="begin"/>
      </w:r>
      <w:r>
        <w:rPr>
          <w:b/>
          <w:bCs/>
          <w:sz w:val="24"/>
          <w:szCs w:val="24"/>
        </w:rPr>
        <w:instrText xml:space="preserve"> PAGEREF _Toc19423 \h </w:instrText>
      </w:r>
      <w:r>
        <w:rPr>
          <w:b/>
          <w:bCs/>
          <w:sz w:val="24"/>
          <w:szCs w:val="24"/>
        </w:rPr>
        <w:fldChar w:fldCharType="separate"/>
      </w:r>
      <w:r>
        <w:rPr>
          <w:b/>
          <w:bCs/>
          <w:sz w:val="24"/>
          <w:szCs w:val="24"/>
        </w:rPr>
        <w:t>3</w:t>
      </w:r>
      <w:r>
        <w:rPr>
          <w:b/>
          <w:bCs/>
          <w:sz w:val="24"/>
          <w:szCs w:val="24"/>
        </w:rPr>
        <w:fldChar w:fldCharType="end"/>
      </w:r>
      <w:r>
        <w:rPr>
          <w:rFonts w:hint="default"/>
          <w:b/>
          <w:bCs/>
          <w:sz w:val="24"/>
          <w:szCs w:val="24"/>
          <w:lang w:val="en-US" w:eastAsia="zh-CN"/>
        </w:rPr>
        <w:fldChar w:fldCharType="end"/>
      </w:r>
    </w:p>
    <w:p w14:paraId="5CF510DC">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_Toc29368 </w:instrText>
      </w:r>
      <w:r>
        <w:rPr>
          <w:rFonts w:hint="default"/>
          <w:b/>
          <w:bCs/>
          <w:sz w:val="24"/>
          <w:szCs w:val="24"/>
          <w:lang w:val="en-US" w:eastAsia="zh-CN"/>
        </w:rPr>
        <w:fldChar w:fldCharType="separate"/>
      </w:r>
      <w:r>
        <w:rPr>
          <w:rFonts w:hint="eastAsia"/>
          <w:b/>
          <w:bCs/>
          <w:sz w:val="24"/>
          <w:szCs w:val="24"/>
          <w:lang w:val="en-US" w:eastAsia="zh-CN"/>
        </w:rPr>
        <w:t>2.4</w:t>
      </w:r>
      <w:r>
        <w:rPr>
          <w:rFonts w:hint="default"/>
          <w:b/>
          <w:bCs/>
          <w:sz w:val="24"/>
          <w:szCs w:val="24"/>
          <w:lang w:val="en-US" w:eastAsia="zh-CN"/>
        </w:rPr>
        <w:t xml:space="preserve"> High- and Low-Context Cultures: Hall’s Framework</w:t>
      </w:r>
      <w:r>
        <w:rPr>
          <w:b/>
          <w:bCs/>
          <w:sz w:val="24"/>
          <w:szCs w:val="24"/>
        </w:rPr>
        <w:tab/>
      </w:r>
      <w:r>
        <w:rPr>
          <w:b/>
          <w:bCs/>
          <w:sz w:val="24"/>
          <w:szCs w:val="24"/>
        </w:rPr>
        <w:fldChar w:fldCharType="begin"/>
      </w:r>
      <w:r>
        <w:rPr>
          <w:b/>
          <w:bCs/>
          <w:sz w:val="24"/>
          <w:szCs w:val="24"/>
        </w:rPr>
        <w:instrText xml:space="preserve"> PAGEREF _Toc29368 \h </w:instrText>
      </w:r>
      <w:r>
        <w:rPr>
          <w:b/>
          <w:bCs/>
          <w:sz w:val="24"/>
          <w:szCs w:val="24"/>
        </w:rPr>
        <w:fldChar w:fldCharType="separate"/>
      </w:r>
      <w:r>
        <w:rPr>
          <w:b/>
          <w:bCs/>
          <w:sz w:val="24"/>
          <w:szCs w:val="24"/>
        </w:rPr>
        <w:t>3</w:t>
      </w:r>
      <w:r>
        <w:rPr>
          <w:b/>
          <w:bCs/>
          <w:sz w:val="24"/>
          <w:szCs w:val="24"/>
        </w:rPr>
        <w:fldChar w:fldCharType="end"/>
      </w:r>
      <w:r>
        <w:rPr>
          <w:rFonts w:hint="default"/>
          <w:b/>
          <w:bCs/>
          <w:sz w:val="24"/>
          <w:szCs w:val="24"/>
          <w:lang w:val="en-US" w:eastAsia="zh-CN"/>
        </w:rPr>
        <w:fldChar w:fldCharType="end"/>
      </w:r>
    </w:p>
    <w:p w14:paraId="1279FEB2">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_Toc15698 </w:instrText>
      </w:r>
      <w:r>
        <w:rPr>
          <w:rFonts w:hint="default"/>
          <w:b/>
          <w:bCs/>
          <w:sz w:val="24"/>
          <w:szCs w:val="24"/>
          <w:lang w:val="en-US" w:eastAsia="zh-CN"/>
        </w:rPr>
        <w:fldChar w:fldCharType="separate"/>
      </w:r>
      <w:r>
        <w:rPr>
          <w:rFonts w:hint="eastAsia"/>
          <w:b/>
          <w:bCs/>
          <w:sz w:val="24"/>
          <w:szCs w:val="24"/>
          <w:lang w:val="en-US" w:eastAsia="zh-CN"/>
        </w:rPr>
        <w:t>2.5</w:t>
      </w:r>
      <w:r>
        <w:rPr>
          <w:rFonts w:hint="default"/>
          <w:b/>
          <w:bCs/>
          <w:sz w:val="24"/>
          <w:szCs w:val="24"/>
          <w:lang w:val="en-US" w:eastAsia="zh-CN"/>
        </w:rPr>
        <w:t xml:space="preserve"> Trompenaars’ Seven Dimensions of Culture</w:t>
      </w:r>
      <w:r>
        <w:rPr>
          <w:b/>
          <w:bCs/>
          <w:sz w:val="24"/>
          <w:szCs w:val="24"/>
        </w:rPr>
        <w:tab/>
      </w:r>
      <w:r>
        <w:rPr>
          <w:b/>
          <w:bCs/>
          <w:sz w:val="24"/>
          <w:szCs w:val="24"/>
        </w:rPr>
        <w:fldChar w:fldCharType="begin"/>
      </w:r>
      <w:r>
        <w:rPr>
          <w:b/>
          <w:bCs/>
          <w:sz w:val="24"/>
          <w:szCs w:val="24"/>
        </w:rPr>
        <w:instrText xml:space="preserve"> PAGEREF _Toc15698 \h </w:instrText>
      </w:r>
      <w:r>
        <w:rPr>
          <w:b/>
          <w:bCs/>
          <w:sz w:val="24"/>
          <w:szCs w:val="24"/>
        </w:rPr>
        <w:fldChar w:fldCharType="separate"/>
      </w:r>
      <w:r>
        <w:rPr>
          <w:b/>
          <w:bCs/>
          <w:sz w:val="24"/>
          <w:szCs w:val="24"/>
        </w:rPr>
        <w:t>4</w:t>
      </w:r>
      <w:r>
        <w:rPr>
          <w:b/>
          <w:bCs/>
          <w:sz w:val="24"/>
          <w:szCs w:val="24"/>
        </w:rPr>
        <w:fldChar w:fldCharType="end"/>
      </w:r>
      <w:r>
        <w:rPr>
          <w:rFonts w:hint="default"/>
          <w:b/>
          <w:bCs/>
          <w:sz w:val="24"/>
          <w:szCs w:val="24"/>
          <w:lang w:val="en-US" w:eastAsia="zh-CN"/>
        </w:rPr>
        <w:fldChar w:fldCharType="end"/>
      </w:r>
    </w:p>
    <w:p w14:paraId="00B1A283">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_Toc25729 </w:instrText>
      </w:r>
      <w:r>
        <w:rPr>
          <w:rFonts w:hint="default"/>
          <w:b/>
          <w:bCs/>
          <w:sz w:val="24"/>
          <w:szCs w:val="24"/>
          <w:lang w:val="en-US" w:eastAsia="zh-CN"/>
        </w:rPr>
        <w:fldChar w:fldCharType="separate"/>
      </w:r>
      <w:r>
        <w:rPr>
          <w:rFonts w:hint="eastAsia"/>
          <w:b/>
          <w:bCs/>
          <w:sz w:val="24"/>
          <w:szCs w:val="24"/>
          <w:lang w:val="en-US" w:eastAsia="zh-CN"/>
        </w:rPr>
        <w:t>2.6</w:t>
      </w:r>
      <w:r>
        <w:rPr>
          <w:rFonts w:hint="default"/>
          <w:b/>
          <w:bCs/>
          <w:sz w:val="24"/>
          <w:szCs w:val="24"/>
          <w:lang w:val="en-US" w:eastAsia="zh-CN"/>
        </w:rPr>
        <w:t xml:space="preserve"> Communication Challenges in Asian Markets</w:t>
      </w:r>
      <w:r>
        <w:rPr>
          <w:b/>
          <w:bCs/>
          <w:sz w:val="24"/>
          <w:szCs w:val="24"/>
        </w:rPr>
        <w:tab/>
      </w:r>
      <w:r>
        <w:rPr>
          <w:b/>
          <w:bCs/>
          <w:sz w:val="24"/>
          <w:szCs w:val="24"/>
        </w:rPr>
        <w:fldChar w:fldCharType="begin"/>
      </w:r>
      <w:r>
        <w:rPr>
          <w:b/>
          <w:bCs/>
          <w:sz w:val="24"/>
          <w:szCs w:val="24"/>
        </w:rPr>
        <w:instrText xml:space="preserve"> PAGEREF _Toc25729 \h </w:instrText>
      </w:r>
      <w:r>
        <w:rPr>
          <w:b/>
          <w:bCs/>
          <w:sz w:val="24"/>
          <w:szCs w:val="24"/>
        </w:rPr>
        <w:fldChar w:fldCharType="separate"/>
      </w:r>
      <w:r>
        <w:rPr>
          <w:b/>
          <w:bCs/>
          <w:sz w:val="24"/>
          <w:szCs w:val="24"/>
        </w:rPr>
        <w:t>5</w:t>
      </w:r>
      <w:r>
        <w:rPr>
          <w:b/>
          <w:bCs/>
          <w:sz w:val="24"/>
          <w:szCs w:val="24"/>
        </w:rPr>
        <w:fldChar w:fldCharType="end"/>
      </w:r>
      <w:r>
        <w:rPr>
          <w:rFonts w:hint="default"/>
          <w:b/>
          <w:bCs/>
          <w:sz w:val="24"/>
          <w:szCs w:val="24"/>
          <w:lang w:val="en-US" w:eastAsia="zh-CN"/>
        </w:rPr>
        <w:fldChar w:fldCharType="end"/>
      </w:r>
    </w:p>
    <w:p w14:paraId="119DDDB2">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_Toc19629 </w:instrText>
      </w:r>
      <w:r>
        <w:rPr>
          <w:rFonts w:hint="default"/>
          <w:b/>
          <w:bCs/>
          <w:sz w:val="24"/>
          <w:szCs w:val="24"/>
          <w:lang w:val="en-US" w:eastAsia="zh-CN"/>
        </w:rPr>
        <w:fldChar w:fldCharType="separate"/>
      </w:r>
      <w:r>
        <w:rPr>
          <w:rFonts w:hint="eastAsia"/>
          <w:b/>
          <w:bCs/>
          <w:sz w:val="24"/>
          <w:szCs w:val="24"/>
          <w:lang w:val="en-US" w:eastAsia="zh-CN"/>
        </w:rPr>
        <w:t xml:space="preserve">2.7 </w:t>
      </w:r>
      <w:r>
        <w:rPr>
          <w:rFonts w:hint="default"/>
          <w:b/>
          <w:bCs/>
          <w:sz w:val="24"/>
          <w:szCs w:val="24"/>
          <w:lang w:val="en-US" w:eastAsia="zh-CN"/>
        </w:rPr>
        <w:t>Communication breakdowns and potential cultural misunderstandings</w:t>
      </w:r>
      <w:r>
        <w:rPr>
          <w:b/>
          <w:bCs/>
          <w:sz w:val="24"/>
          <w:szCs w:val="24"/>
        </w:rPr>
        <w:tab/>
      </w:r>
      <w:r>
        <w:rPr>
          <w:b/>
          <w:bCs/>
          <w:sz w:val="24"/>
          <w:szCs w:val="24"/>
        </w:rPr>
        <w:fldChar w:fldCharType="begin"/>
      </w:r>
      <w:r>
        <w:rPr>
          <w:b/>
          <w:bCs/>
          <w:sz w:val="24"/>
          <w:szCs w:val="24"/>
        </w:rPr>
        <w:instrText xml:space="preserve"> PAGEREF _Toc19629 \h </w:instrText>
      </w:r>
      <w:r>
        <w:rPr>
          <w:b/>
          <w:bCs/>
          <w:sz w:val="24"/>
          <w:szCs w:val="24"/>
        </w:rPr>
        <w:fldChar w:fldCharType="separate"/>
      </w:r>
      <w:r>
        <w:rPr>
          <w:b/>
          <w:bCs/>
          <w:sz w:val="24"/>
          <w:szCs w:val="24"/>
        </w:rPr>
        <w:t>5</w:t>
      </w:r>
      <w:r>
        <w:rPr>
          <w:b/>
          <w:bCs/>
          <w:sz w:val="24"/>
          <w:szCs w:val="24"/>
        </w:rPr>
        <w:fldChar w:fldCharType="end"/>
      </w:r>
      <w:r>
        <w:rPr>
          <w:rFonts w:hint="default"/>
          <w:b/>
          <w:bCs/>
          <w:sz w:val="24"/>
          <w:szCs w:val="24"/>
          <w:lang w:val="en-US" w:eastAsia="zh-CN"/>
        </w:rPr>
        <w:fldChar w:fldCharType="end"/>
      </w:r>
    </w:p>
    <w:p w14:paraId="650F4C8D">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_Toc25327 </w:instrText>
      </w:r>
      <w:r>
        <w:rPr>
          <w:rFonts w:hint="default"/>
          <w:b/>
          <w:bCs/>
          <w:sz w:val="24"/>
          <w:szCs w:val="24"/>
          <w:lang w:val="en-US" w:eastAsia="zh-CN"/>
        </w:rPr>
        <w:fldChar w:fldCharType="separate"/>
      </w:r>
      <w:r>
        <w:rPr>
          <w:rFonts w:hint="eastAsia"/>
          <w:b/>
          <w:bCs/>
          <w:sz w:val="24"/>
          <w:szCs w:val="24"/>
          <w:lang w:val="en-US" w:eastAsia="zh-CN"/>
        </w:rPr>
        <w:t>2.8</w:t>
      </w:r>
      <w:r>
        <w:rPr>
          <w:rFonts w:hint="default"/>
          <w:b/>
          <w:bCs/>
          <w:sz w:val="24"/>
          <w:szCs w:val="24"/>
          <w:lang w:val="en-US" w:eastAsia="zh-CN"/>
        </w:rPr>
        <w:t xml:space="preserve"> Strategies for Building and Sustaining Trust</w:t>
      </w:r>
      <w:r>
        <w:rPr>
          <w:b/>
          <w:bCs/>
          <w:sz w:val="24"/>
          <w:szCs w:val="24"/>
        </w:rPr>
        <w:tab/>
      </w:r>
      <w:r>
        <w:rPr>
          <w:b/>
          <w:bCs/>
          <w:sz w:val="24"/>
          <w:szCs w:val="24"/>
        </w:rPr>
        <w:fldChar w:fldCharType="begin"/>
      </w:r>
      <w:r>
        <w:rPr>
          <w:b/>
          <w:bCs/>
          <w:sz w:val="24"/>
          <w:szCs w:val="24"/>
        </w:rPr>
        <w:instrText xml:space="preserve"> PAGEREF _Toc25327 \h </w:instrText>
      </w:r>
      <w:r>
        <w:rPr>
          <w:b/>
          <w:bCs/>
          <w:sz w:val="24"/>
          <w:szCs w:val="24"/>
        </w:rPr>
        <w:fldChar w:fldCharType="separate"/>
      </w:r>
      <w:r>
        <w:rPr>
          <w:b/>
          <w:bCs/>
          <w:sz w:val="24"/>
          <w:szCs w:val="24"/>
        </w:rPr>
        <w:t>6</w:t>
      </w:r>
      <w:r>
        <w:rPr>
          <w:b/>
          <w:bCs/>
          <w:sz w:val="24"/>
          <w:szCs w:val="24"/>
        </w:rPr>
        <w:fldChar w:fldCharType="end"/>
      </w:r>
      <w:r>
        <w:rPr>
          <w:rFonts w:hint="default"/>
          <w:b/>
          <w:bCs/>
          <w:sz w:val="24"/>
          <w:szCs w:val="24"/>
          <w:lang w:val="en-US" w:eastAsia="zh-CN"/>
        </w:rPr>
        <w:fldChar w:fldCharType="end"/>
      </w:r>
    </w:p>
    <w:p w14:paraId="528FF1BF">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_Toc15372 </w:instrText>
      </w:r>
      <w:r>
        <w:rPr>
          <w:rFonts w:hint="default"/>
          <w:b/>
          <w:bCs/>
          <w:sz w:val="24"/>
          <w:szCs w:val="24"/>
          <w:lang w:val="en-US" w:eastAsia="zh-CN"/>
        </w:rPr>
        <w:fldChar w:fldCharType="separate"/>
      </w:r>
      <w:r>
        <w:rPr>
          <w:rFonts w:hint="eastAsia"/>
          <w:b/>
          <w:bCs/>
          <w:sz w:val="24"/>
          <w:szCs w:val="24"/>
          <w:lang w:val="en-US" w:eastAsia="zh-CN"/>
        </w:rPr>
        <w:t>2.9</w:t>
      </w:r>
      <w:r>
        <w:rPr>
          <w:rFonts w:hint="default"/>
          <w:b/>
          <w:bCs/>
          <w:sz w:val="24"/>
          <w:szCs w:val="24"/>
          <w:lang w:val="en-US" w:eastAsia="zh-CN"/>
        </w:rPr>
        <w:t xml:space="preserve"> Implementation Roadmap and Key Performance Indicators</w:t>
      </w:r>
      <w:r>
        <w:rPr>
          <w:b/>
          <w:bCs/>
          <w:sz w:val="24"/>
          <w:szCs w:val="24"/>
        </w:rPr>
        <w:tab/>
      </w:r>
      <w:r>
        <w:rPr>
          <w:b/>
          <w:bCs/>
          <w:sz w:val="24"/>
          <w:szCs w:val="24"/>
        </w:rPr>
        <w:fldChar w:fldCharType="begin"/>
      </w:r>
      <w:r>
        <w:rPr>
          <w:b/>
          <w:bCs/>
          <w:sz w:val="24"/>
          <w:szCs w:val="24"/>
        </w:rPr>
        <w:instrText xml:space="preserve"> PAGEREF _Toc15372 \h </w:instrText>
      </w:r>
      <w:r>
        <w:rPr>
          <w:b/>
          <w:bCs/>
          <w:sz w:val="24"/>
          <w:szCs w:val="24"/>
        </w:rPr>
        <w:fldChar w:fldCharType="separate"/>
      </w:r>
      <w:r>
        <w:rPr>
          <w:b/>
          <w:bCs/>
          <w:sz w:val="24"/>
          <w:szCs w:val="24"/>
        </w:rPr>
        <w:t>7</w:t>
      </w:r>
      <w:r>
        <w:rPr>
          <w:b/>
          <w:bCs/>
          <w:sz w:val="24"/>
          <w:szCs w:val="24"/>
        </w:rPr>
        <w:fldChar w:fldCharType="end"/>
      </w:r>
      <w:r>
        <w:rPr>
          <w:rFonts w:hint="default"/>
          <w:b/>
          <w:bCs/>
          <w:sz w:val="24"/>
          <w:szCs w:val="24"/>
          <w:lang w:val="en-US" w:eastAsia="zh-CN"/>
        </w:rPr>
        <w:fldChar w:fldCharType="end"/>
      </w:r>
    </w:p>
    <w:p w14:paraId="306D6566">
      <w:pPr>
        <w:pStyle w:val="7"/>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_Toc1147 </w:instrText>
      </w:r>
      <w:r>
        <w:rPr>
          <w:rFonts w:hint="default"/>
          <w:b/>
          <w:bCs/>
          <w:sz w:val="24"/>
          <w:szCs w:val="24"/>
          <w:lang w:val="en-US" w:eastAsia="zh-CN"/>
        </w:rPr>
        <w:fldChar w:fldCharType="separate"/>
      </w:r>
      <w:r>
        <w:rPr>
          <w:rFonts w:hint="eastAsia"/>
          <w:b/>
          <w:bCs/>
          <w:sz w:val="24"/>
          <w:szCs w:val="24"/>
          <w:lang w:val="en-US" w:eastAsia="zh-CN"/>
        </w:rPr>
        <w:t xml:space="preserve">2.10 </w:t>
      </w:r>
      <w:r>
        <w:rPr>
          <w:rFonts w:hint="default"/>
          <w:b/>
          <w:bCs/>
          <w:sz w:val="24"/>
          <w:szCs w:val="24"/>
          <w:lang w:val="en-US" w:eastAsia="zh-CN"/>
        </w:rPr>
        <w:t>Risk prevention and management in cross-cultural cooperation.</w:t>
      </w:r>
      <w:r>
        <w:rPr>
          <w:b/>
          <w:bCs/>
          <w:sz w:val="24"/>
          <w:szCs w:val="24"/>
        </w:rPr>
        <w:tab/>
      </w:r>
      <w:r>
        <w:rPr>
          <w:b/>
          <w:bCs/>
          <w:sz w:val="24"/>
          <w:szCs w:val="24"/>
        </w:rPr>
        <w:fldChar w:fldCharType="begin"/>
      </w:r>
      <w:r>
        <w:rPr>
          <w:b/>
          <w:bCs/>
          <w:sz w:val="24"/>
          <w:szCs w:val="24"/>
        </w:rPr>
        <w:instrText xml:space="preserve"> PAGEREF _Toc1147 \h </w:instrText>
      </w:r>
      <w:r>
        <w:rPr>
          <w:b/>
          <w:bCs/>
          <w:sz w:val="24"/>
          <w:szCs w:val="24"/>
        </w:rPr>
        <w:fldChar w:fldCharType="separate"/>
      </w:r>
      <w:r>
        <w:rPr>
          <w:b/>
          <w:bCs/>
          <w:sz w:val="24"/>
          <w:szCs w:val="24"/>
        </w:rPr>
        <w:t>7</w:t>
      </w:r>
      <w:r>
        <w:rPr>
          <w:b/>
          <w:bCs/>
          <w:sz w:val="24"/>
          <w:szCs w:val="24"/>
        </w:rPr>
        <w:fldChar w:fldCharType="end"/>
      </w:r>
      <w:r>
        <w:rPr>
          <w:rFonts w:hint="default"/>
          <w:b/>
          <w:bCs/>
          <w:sz w:val="24"/>
          <w:szCs w:val="24"/>
          <w:lang w:val="en-US" w:eastAsia="zh-CN"/>
        </w:rPr>
        <w:fldChar w:fldCharType="end"/>
      </w:r>
    </w:p>
    <w:p w14:paraId="066D714B">
      <w:pPr>
        <w:pStyle w:val="6"/>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_Toc31113 </w:instrText>
      </w:r>
      <w:r>
        <w:rPr>
          <w:rFonts w:hint="default"/>
          <w:b/>
          <w:bCs/>
          <w:sz w:val="24"/>
          <w:szCs w:val="24"/>
          <w:lang w:val="en-US" w:eastAsia="zh-CN"/>
        </w:rPr>
        <w:fldChar w:fldCharType="separate"/>
      </w:r>
      <w:r>
        <w:rPr>
          <w:rFonts w:hint="eastAsia"/>
          <w:b/>
          <w:bCs/>
          <w:sz w:val="24"/>
          <w:szCs w:val="24"/>
          <w:lang w:val="en-US" w:eastAsia="zh-CN"/>
        </w:rPr>
        <w:t>3</w:t>
      </w:r>
      <w:r>
        <w:rPr>
          <w:rFonts w:hint="default"/>
          <w:b/>
          <w:bCs/>
          <w:sz w:val="24"/>
          <w:szCs w:val="24"/>
          <w:lang w:val="en-US" w:eastAsia="zh-CN"/>
        </w:rPr>
        <w:t>. Conclusion and Recommendations</w:t>
      </w:r>
      <w:r>
        <w:rPr>
          <w:b/>
          <w:bCs/>
          <w:sz w:val="24"/>
          <w:szCs w:val="24"/>
        </w:rPr>
        <w:tab/>
      </w:r>
      <w:r>
        <w:rPr>
          <w:b/>
          <w:bCs/>
          <w:sz w:val="24"/>
          <w:szCs w:val="24"/>
        </w:rPr>
        <w:fldChar w:fldCharType="begin"/>
      </w:r>
      <w:r>
        <w:rPr>
          <w:b/>
          <w:bCs/>
          <w:sz w:val="24"/>
          <w:szCs w:val="24"/>
        </w:rPr>
        <w:instrText xml:space="preserve"> PAGEREF _Toc31113 \h </w:instrText>
      </w:r>
      <w:r>
        <w:rPr>
          <w:b/>
          <w:bCs/>
          <w:sz w:val="24"/>
          <w:szCs w:val="24"/>
        </w:rPr>
        <w:fldChar w:fldCharType="separate"/>
      </w:r>
      <w:r>
        <w:rPr>
          <w:b/>
          <w:bCs/>
          <w:sz w:val="24"/>
          <w:szCs w:val="24"/>
        </w:rPr>
        <w:t>8</w:t>
      </w:r>
      <w:r>
        <w:rPr>
          <w:b/>
          <w:bCs/>
          <w:sz w:val="24"/>
          <w:szCs w:val="24"/>
        </w:rPr>
        <w:fldChar w:fldCharType="end"/>
      </w:r>
      <w:r>
        <w:rPr>
          <w:rFonts w:hint="default"/>
          <w:b/>
          <w:bCs/>
          <w:sz w:val="24"/>
          <w:szCs w:val="24"/>
          <w:lang w:val="en-US" w:eastAsia="zh-CN"/>
        </w:rPr>
        <w:fldChar w:fldCharType="end"/>
      </w:r>
    </w:p>
    <w:p w14:paraId="266C9975">
      <w:pPr>
        <w:pStyle w:val="6"/>
        <w:tabs>
          <w:tab w:val="right" w:leader="dot" w:pos="8306"/>
        </w:tabs>
        <w:rPr>
          <w:b/>
          <w:bCs/>
          <w:sz w:val="24"/>
          <w:szCs w:val="24"/>
        </w:rPr>
      </w:pPr>
      <w:r>
        <w:rPr>
          <w:rFonts w:hint="default"/>
          <w:b/>
          <w:bCs/>
          <w:sz w:val="24"/>
          <w:szCs w:val="24"/>
          <w:lang w:val="en-US" w:eastAsia="zh-CN"/>
        </w:rPr>
        <w:fldChar w:fldCharType="begin"/>
      </w:r>
      <w:r>
        <w:rPr>
          <w:rFonts w:hint="default"/>
          <w:b/>
          <w:bCs/>
          <w:sz w:val="24"/>
          <w:szCs w:val="24"/>
          <w:lang w:val="en-US" w:eastAsia="zh-CN"/>
        </w:rPr>
        <w:instrText xml:space="preserve"> HYPERLINK \l _Toc4669 </w:instrText>
      </w:r>
      <w:r>
        <w:rPr>
          <w:rFonts w:hint="default"/>
          <w:b/>
          <w:bCs/>
          <w:sz w:val="24"/>
          <w:szCs w:val="24"/>
          <w:lang w:val="en-US" w:eastAsia="zh-CN"/>
        </w:rPr>
        <w:fldChar w:fldCharType="separate"/>
      </w:r>
      <w:r>
        <w:rPr>
          <w:rFonts w:hint="default"/>
          <w:b/>
          <w:bCs/>
          <w:sz w:val="24"/>
          <w:szCs w:val="24"/>
        </w:rPr>
        <w:t>References</w:t>
      </w:r>
      <w:r>
        <w:rPr>
          <w:b/>
          <w:bCs/>
          <w:sz w:val="24"/>
          <w:szCs w:val="24"/>
        </w:rPr>
        <w:tab/>
      </w:r>
      <w:r>
        <w:rPr>
          <w:b/>
          <w:bCs/>
          <w:sz w:val="24"/>
          <w:szCs w:val="24"/>
        </w:rPr>
        <w:fldChar w:fldCharType="begin"/>
      </w:r>
      <w:r>
        <w:rPr>
          <w:b/>
          <w:bCs/>
          <w:sz w:val="24"/>
          <w:szCs w:val="24"/>
        </w:rPr>
        <w:instrText xml:space="preserve"> PAGEREF _Toc4669 \h </w:instrText>
      </w:r>
      <w:r>
        <w:rPr>
          <w:b/>
          <w:bCs/>
          <w:sz w:val="24"/>
          <w:szCs w:val="24"/>
        </w:rPr>
        <w:fldChar w:fldCharType="separate"/>
      </w:r>
      <w:r>
        <w:rPr>
          <w:b/>
          <w:bCs/>
          <w:sz w:val="24"/>
          <w:szCs w:val="24"/>
        </w:rPr>
        <w:t>9</w:t>
      </w:r>
      <w:r>
        <w:rPr>
          <w:b/>
          <w:bCs/>
          <w:sz w:val="24"/>
          <w:szCs w:val="24"/>
        </w:rPr>
        <w:fldChar w:fldCharType="end"/>
      </w:r>
      <w:r>
        <w:rPr>
          <w:rFonts w:hint="default"/>
          <w:b/>
          <w:bCs/>
          <w:sz w:val="24"/>
          <w:szCs w:val="24"/>
          <w:lang w:val="en-US" w:eastAsia="zh-CN"/>
        </w:rPr>
        <w:fldChar w:fldCharType="end"/>
      </w:r>
    </w:p>
    <w:p w14:paraId="1117132A">
      <w:pPr>
        <w:pStyle w:val="13"/>
        <w:bidi w:val="0"/>
        <w:rPr>
          <w:rFonts w:hint="default"/>
          <w:lang w:val="en-US" w:eastAsia="zh-CN"/>
        </w:rPr>
      </w:pPr>
      <w:r>
        <w:rPr>
          <w:rFonts w:hint="default"/>
          <w:b/>
          <w:bCs/>
          <w:sz w:val="24"/>
          <w:szCs w:val="24"/>
          <w:lang w:val="en-US" w:eastAsia="zh-CN"/>
        </w:rPr>
        <w:fldChar w:fldCharType="end"/>
      </w:r>
    </w:p>
    <w:p w14:paraId="29EE1978">
      <w:pPr>
        <w:pStyle w:val="13"/>
        <w:bidi w:val="0"/>
        <w:rPr>
          <w:rFonts w:hint="default"/>
          <w:lang w:val="en-US" w:eastAsia="zh-CN"/>
        </w:rPr>
      </w:pPr>
    </w:p>
    <w:p w14:paraId="53B40C80">
      <w:pPr>
        <w:pStyle w:val="13"/>
        <w:bidi w:val="0"/>
        <w:rPr>
          <w:rFonts w:hint="default"/>
          <w:lang w:val="en-US" w:eastAsia="zh-CN"/>
        </w:rPr>
      </w:pPr>
    </w:p>
    <w:p w14:paraId="14FD1986">
      <w:pPr>
        <w:pStyle w:val="13"/>
        <w:bidi w:val="0"/>
        <w:rPr>
          <w:rFonts w:hint="default"/>
          <w:lang w:val="en-US" w:eastAsia="zh-CN"/>
        </w:rPr>
      </w:pPr>
    </w:p>
    <w:p w14:paraId="7E483601">
      <w:pPr>
        <w:pStyle w:val="13"/>
        <w:bidi w:val="0"/>
        <w:rPr>
          <w:rFonts w:hint="default"/>
          <w:lang w:val="en-US" w:eastAsia="zh-CN"/>
        </w:rPr>
      </w:pPr>
    </w:p>
    <w:p w14:paraId="2C00B94B">
      <w:pPr>
        <w:pStyle w:val="13"/>
        <w:bidi w:val="0"/>
        <w:rPr>
          <w:rFonts w:hint="default"/>
          <w:lang w:val="en-US" w:eastAsia="zh-CN"/>
        </w:rPr>
      </w:pPr>
    </w:p>
    <w:p w14:paraId="52AD974C">
      <w:pPr>
        <w:pStyle w:val="13"/>
        <w:bidi w:val="0"/>
        <w:rPr>
          <w:rFonts w:hint="default"/>
          <w:lang w:val="en-US" w:eastAsia="zh-CN"/>
        </w:rPr>
      </w:pPr>
    </w:p>
    <w:p w14:paraId="59CD6879">
      <w:pPr>
        <w:pStyle w:val="13"/>
        <w:bidi w:val="0"/>
        <w:rPr>
          <w:rFonts w:hint="default"/>
          <w:lang w:val="en-US" w:eastAsia="zh-CN"/>
        </w:rPr>
      </w:pPr>
      <w:bookmarkStart w:id="1" w:name="_Toc30722"/>
    </w:p>
    <w:p w14:paraId="77F421A1">
      <w:pPr>
        <w:pStyle w:val="13"/>
        <w:bidi w:val="0"/>
        <w:rPr>
          <w:rFonts w:hint="default"/>
          <w:lang w:val="en-US" w:eastAsia="zh-CN"/>
        </w:rPr>
        <w:sectPr>
          <w:pgSz w:w="11906" w:h="16838"/>
          <w:pgMar w:top="1440" w:right="1800" w:bottom="1440" w:left="1800" w:header="851" w:footer="992" w:gutter="0"/>
          <w:cols w:space="425" w:num="1"/>
          <w:docGrid w:type="lines" w:linePitch="312" w:charSpace="0"/>
        </w:sectPr>
      </w:pPr>
    </w:p>
    <w:bookmarkEnd w:id="1"/>
    <w:p w14:paraId="63658E35">
      <w:pPr>
        <w:pStyle w:val="13"/>
        <w:bidi w:val="0"/>
        <w:rPr>
          <w:rFonts w:hint="default"/>
          <w:lang w:val="en-US" w:eastAsia="zh-CN"/>
        </w:rPr>
      </w:pPr>
      <w:bookmarkStart w:id="2" w:name="_Toc28868"/>
      <w:r>
        <w:rPr>
          <w:rFonts w:hint="default"/>
          <w:lang w:val="en-US" w:eastAsia="zh-CN"/>
        </w:rPr>
        <w:t>1. Introduction</w:t>
      </w:r>
      <w:bookmarkEnd w:id="2"/>
    </w:p>
    <w:p w14:paraId="2C260BE9">
      <w:pPr>
        <w:pStyle w:val="14"/>
        <w:bidi w:val="0"/>
        <w:rPr>
          <w:rFonts w:hint="eastAsia"/>
        </w:rPr>
      </w:pPr>
      <w:bookmarkStart w:id="16" w:name="_GoBack"/>
      <w:r>
        <w:rPr>
          <w:rFonts w:hint="eastAsia"/>
        </w:rPr>
        <w:t>I believe that effective cross-cultural communication has become one of the key factors for international business success in today's increasingly interconnected global trade market. For a British clothing retailer aiming to enter the Asian market, the challenge goes far beyond language - it also includes interpreting subtle cultural signals and building trust in contexts that typically convey meaning indirectly (Adler&amp;</w:t>
      </w:r>
      <w:r>
        <w:rPr>
          <w:rFonts w:hint="eastAsia" w:eastAsia="宋体"/>
          <w:lang w:eastAsia="zh-CN"/>
        </w:rPr>
        <w:t>Gundersen</w:t>
      </w:r>
      <w:r>
        <w:rPr>
          <w:rFonts w:hint="eastAsia"/>
        </w:rPr>
        <w:t>, 2008). Most Asian countries have a long history and culture, and the diversity of traditions, social norms, and business etiquette requires a lot of time and experience to adapt. British companies are often influenced by low context and efficiency oriented communication, and may encounter difficulties when interacting with high context cultures that value relationships and respect (Lewis, 2006). If these differences are not fully understood, poor communication can quickly hinder cooperation (Fang, 2012; Thomas&amp;Peterson, 2018). Therefore, I believe that cultivating cross-cultural communication skills is not just a theoretical requirement, but a necessary condition for success.</w:t>
      </w:r>
    </w:p>
    <w:bookmarkEnd w:id="16"/>
    <w:p w14:paraId="1B01E4F6">
      <w:pPr>
        <w:pStyle w:val="14"/>
        <w:bidi w:val="0"/>
        <w:rPr>
          <w:rFonts w:hint="default"/>
          <w:lang w:val="en-US" w:eastAsia="zh-CN"/>
        </w:rPr>
      </w:pPr>
    </w:p>
    <w:p w14:paraId="7947D066">
      <w:pPr>
        <w:pStyle w:val="13"/>
        <w:bidi w:val="0"/>
        <w:rPr>
          <w:rFonts w:hint="default"/>
          <w:lang w:val="en-US" w:eastAsia="zh-CN"/>
        </w:rPr>
      </w:pPr>
      <w:bookmarkStart w:id="3" w:name="_Toc2393"/>
      <w:r>
        <w:rPr>
          <w:rFonts w:hint="eastAsia"/>
          <w:lang w:val="en-US" w:eastAsia="zh-CN"/>
        </w:rPr>
        <w:t>2.Main Findings</w:t>
      </w:r>
      <w:bookmarkEnd w:id="3"/>
    </w:p>
    <w:p w14:paraId="762CA480">
      <w:pPr>
        <w:pStyle w:val="15"/>
        <w:bidi w:val="0"/>
        <w:rPr>
          <w:rFonts w:hint="default"/>
          <w:lang w:val="en-US" w:eastAsia="zh-CN"/>
        </w:rPr>
      </w:pPr>
      <w:bookmarkStart w:id="4" w:name="_Toc17984"/>
      <w:r>
        <w:rPr>
          <w:rFonts w:hint="default"/>
          <w:lang w:val="en-US" w:eastAsia="zh-CN"/>
        </w:rPr>
        <w:t>2.</w:t>
      </w:r>
      <w:r>
        <w:rPr>
          <w:rFonts w:hint="eastAsia"/>
          <w:lang w:val="en-US" w:eastAsia="zh-CN"/>
        </w:rPr>
        <w:t>1</w:t>
      </w:r>
      <w:r>
        <w:rPr>
          <w:rFonts w:hint="default"/>
          <w:lang w:val="en-US" w:eastAsia="zh-CN"/>
        </w:rPr>
        <w:t xml:space="preserve"> The Role and Definition of International Business Communication</w:t>
      </w:r>
      <w:bookmarkEnd w:id="4"/>
    </w:p>
    <w:p w14:paraId="5BC8F639">
      <w:pPr>
        <w:pStyle w:val="14"/>
        <w:bidi w:val="0"/>
        <w:rPr>
          <w:rFonts w:hint="eastAsia"/>
        </w:rPr>
      </w:pPr>
      <w:r>
        <w:rPr>
          <w:rFonts w:hint="eastAsia"/>
        </w:rPr>
        <w:t>International business communication refers to the process of information exchange and opinion coordination between business entities from different countries and regions in order to achieve business objectives in the context of globalization. This process includes not only verbal communication, but also non-verbal communication methods such as body language, facial expressions, cultural customs, etc. Effective international business communication can help companies better understand business habits and laws and regulations in different cultural backgrounds, reduce misunderstandings and conflicts, improve cooperation efficiency, and thus occupy a favorable position in the fierce international market competition. International business communication refers to how people from different language and cultural backgrounds exchange ideas, negotiate meaning, and establish relationships for business purposes (Daniels, Radebagh&amp;Sullivan, 2019). It includes both verbal and nonverbal aspects - what to say, how to say it, and in what context to say it.</w:t>
      </w:r>
    </w:p>
    <w:p w14:paraId="5E6D1EDC">
      <w:pPr>
        <w:pStyle w:val="14"/>
        <w:bidi w:val="0"/>
      </w:pPr>
      <w:r>
        <w:rPr>
          <w:rFonts w:hint="eastAsia"/>
        </w:rPr>
        <w:t>Samovar, Porter, and McDaniel (2010) emphasize that communication is the foundation of understanding and cooperation. In cross-border operations, it bridges differences and establishes common goals. For retailers expanding overseas, effective communication is more effective in building trust and reputation than individual marketing or logistics (Harzing, 2006). Gudykunst (2004) pointed out that reducing uncertainty through communication can promote stability and cooperation. Therefore, I believe that companies that want to enter the Asian market must communicate with cultural awareness and emotional sensitivity, rather than just language accuracy.</w:t>
      </w:r>
    </w:p>
    <w:p w14:paraId="078319E7">
      <w:pPr>
        <w:pStyle w:val="14"/>
        <w:bidi w:val="0"/>
        <w:rPr>
          <w:rFonts w:hint="default" w:ascii="宋体" w:hAnsi="宋体" w:eastAsia="宋体" w:cs="宋体"/>
          <w:sz w:val="24"/>
          <w:szCs w:val="24"/>
          <w:lang w:val="en-US" w:eastAsia="zh-CN"/>
        </w:rPr>
      </w:pPr>
    </w:p>
    <w:p w14:paraId="61F8984D">
      <w:pPr>
        <w:pStyle w:val="15"/>
        <w:bidi w:val="0"/>
        <w:rPr>
          <w:rFonts w:hint="default"/>
          <w:lang w:val="en-US" w:eastAsia="zh-CN"/>
        </w:rPr>
      </w:pPr>
      <w:bookmarkStart w:id="5" w:name="_Toc19722"/>
      <w:r>
        <w:rPr>
          <w:rFonts w:hint="eastAsia"/>
          <w:lang w:val="en-US" w:eastAsia="zh-CN"/>
        </w:rPr>
        <w:t>2</w:t>
      </w:r>
      <w:r>
        <w:rPr>
          <w:rFonts w:hint="default"/>
          <w:lang w:val="en-US" w:eastAsia="zh-CN"/>
        </w:rPr>
        <w:t>.</w:t>
      </w:r>
      <w:r>
        <w:rPr>
          <w:rFonts w:hint="eastAsia"/>
          <w:lang w:val="en-US" w:eastAsia="zh-CN"/>
        </w:rPr>
        <w:t>2</w:t>
      </w:r>
      <w:r>
        <w:rPr>
          <w:rFonts w:hint="default"/>
          <w:lang w:val="en-US" w:eastAsia="zh-CN"/>
        </w:rPr>
        <w:t xml:space="preserve"> Key Skills for Effective Cross-Cultural Communication</w:t>
      </w:r>
      <w:bookmarkEnd w:id="5"/>
    </w:p>
    <w:p w14:paraId="0A947703">
      <w:pPr>
        <w:pStyle w:val="14"/>
        <w:bidi w:val="0"/>
        <w:rPr>
          <w:rFonts w:hint="default"/>
          <w:lang w:val="en-US" w:eastAsia="zh-CN"/>
        </w:rPr>
      </w:pPr>
      <w:r>
        <w:rPr>
          <w:rFonts w:hint="default"/>
          <w:lang w:val="en-US" w:eastAsia="zh-CN"/>
        </w:rPr>
        <w:t>Effective cross-cultural communication involves not only verbal and nonverbal expression, but also a profound understanding of cultural values, behavioral norms, and social etiquette. To achieve this goal, individuals within international organizations need to develop a set of key skills that go far beyond fluent mastery of foreign languages. These include active listening, empathy, nonverbal awareness, and cultural sensitivity (Spitzberg&amp;</w:t>
      </w:r>
      <w:r>
        <w:rPr>
          <w:rFonts w:hint="eastAsia"/>
          <w:lang w:val="en-US" w:eastAsia="zh-CN"/>
        </w:rPr>
        <w:t>Changnon</w:t>
      </w:r>
      <w:r>
        <w:rPr>
          <w:rFonts w:hint="default"/>
          <w:lang w:val="en-US" w:eastAsia="zh-CN"/>
        </w:rPr>
        <w:t>, 2009). Chen and Starosta (2000) emphasize that cultural sensitivity enables communicators to recognize and respect cultural differences, rather than simply tolerating them. Deardorff (2006) further explains that empathy enables professionals to understand how others interpret meaning within their own cultural framework. For example, in negotiations with most Asian companies, silence can indicate respect or contemplation, while in negotiations with British companies, opponents may misinterpret it as discomfort or hesitation (Hall&amp;Hall, 1990). This misunderstanding may seem small, but it can have serious consequences in business relationships. As observed by Mor, Morris, and Joh (2013), cross-cultural adaptability can be learned through experience and training. Therefore, companies can design seminars, simulations, and guidance systems to help employees establish awareness of subtle cues such as pitch, gestures, and time. Over time, these experiences have not only developed abilities, but also instilled confidence in a multicultural environment. Understand and accept different cultures</w:t>
      </w:r>
    </w:p>
    <w:p w14:paraId="62F99895">
      <w:pPr>
        <w:pStyle w:val="14"/>
        <w:bidi w:val="0"/>
        <w:rPr>
          <w:rFonts w:hint="default"/>
          <w:lang w:val="en-US" w:eastAsia="zh-CN"/>
        </w:rPr>
      </w:pPr>
    </w:p>
    <w:p w14:paraId="39FB9E60">
      <w:pPr>
        <w:pStyle w:val="15"/>
        <w:bidi w:val="0"/>
        <w:rPr>
          <w:rFonts w:hint="default"/>
          <w:lang w:val="en-US" w:eastAsia="zh-CN"/>
        </w:rPr>
      </w:pPr>
      <w:bookmarkStart w:id="6" w:name="_Toc19423"/>
      <w:r>
        <w:rPr>
          <w:rFonts w:hint="eastAsia"/>
          <w:lang w:val="en-US" w:eastAsia="zh-CN"/>
        </w:rPr>
        <w:t>2.3</w:t>
      </w:r>
      <w:r>
        <w:rPr>
          <w:rFonts w:hint="default"/>
          <w:lang w:val="en-US" w:eastAsia="zh-CN"/>
        </w:rPr>
        <w:t xml:space="preserve"> Non-Verbal Communication in Business Contexts</w:t>
      </w:r>
      <w:bookmarkEnd w:id="6"/>
    </w:p>
    <w:p w14:paraId="76B5E927">
      <w:pPr>
        <w:pStyle w:val="14"/>
        <w:bidi w:val="0"/>
        <w:rPr>
          <w:rFonts w:hint="default"/>
          <w:lang w:val="en-US" w:eastAsia="zh-CN"/>
        </w:rPr>
      </w:pPr>
      <w:r>
        <w:rPr>
          <w:rFonts w:hint="default"/>
          <w:lang w:val="en-US" w:eastAsia="zh-CN"/>
        </w:rPr>
        <w:t>In the business environment, nonverbal communication plays a crucial role as it not only compensates for the shortcomings of verbal communication, but also conveys emotions and information. Nonverbal communication includes body posture, facial expressions, eye contact, spatial distance, tactile behavior, and time perception. These nonverbal elements are particularly important in cross-cultural business communication, as different cultures have varying perceptions and interpretations of nonverbal symbols, making the role and impact of nonverbal communication more significant and complex. Simple behaviors, such as eye contact, gestures, or physical distance, often have different meanings in different regions. For example, in the UK, maintaining strong eye contact can indicate confidence and honesty, but in Japan it may be seen as confrontational or disrespectful. Similarly, British professionals often use humor to build rapport or ease tension, but in some Asian cultures, this may be misunderstood as unprofessional. Shaking hands, bowing, and even chatting with others have social significance. Understanding and adapting to these subtle differences can help build trust and prevent misunderstandings (Hall&amp;Hall, 1990). In the workplace, companies and employees who learn to "read the atmosphere" and are proficient in body language and emotional expression are often more likely to establish connections with international colleagues and clients.</w:t>
      </w:r>
    </w:p>
    <w:p w14:paraId="3C61B722">
      <w:pPr>
        <w:pStyle w:val="14"/>
        <w:bidi w:val="0"/>
        <w:rPr>
          <w:rFonts w:hint="default"/>
          <w:lang w:val="en-US" w:eastAsia="zh-CN"/>
        </w:rPr>
      </w:pPr>
    </w:p>
    <w:p w14:paraId="6939F138">
      <w:pPr>
        <w:pStyle w:val="15"/>
        <w:bidi w:val="0"/>
        <w:rPr>
          <w:rFonts w:hint="default"/>
          <w:lang w:val="en-US" w:eastAsia="zh-CN"/>
        </w:rPr>
      </w:pPr>
      <w:bookmarkStart w:id="7" w:name="_Toc29368"/>
      <w:r>
        <w:rPr>
          <w:rFonts w:hint="eastAsia"/>
          <w:lang w:val="en-US" w:eastAsia="zh-CN"/>
        </w:rPr>
        <w:t>2.4</w:t>
      </w:r>
      <w:r>
        <w:rPr>
          <w:rFonts w:hint="default"/>
          <w:lang w:val="en-US" w:eastAsia="zh-CN"/>
        </w:rPr>
        <w:t xml:space="preserve"> High- and Low-Context Cultures: Hall’s Framework</w:t>
      </w:r>
      <w:bookmarkEnd w:id="7"/>
    </w:p>
    <w:p w14:paraId="1DBA7986">
      <w:pPr>
        <w:pStyle w:val="14"/>
        <w:bidi w:val="0"/>
        <w:rPr>
          <w:rFonts w:hint="eastAsia"/>
        </w:rPr>
      </w:pPr>
      <w:r>
        <w:rPr>
          <w:rFonts w:hint="eastAsia"/>
        </w:rPr>
        <w:t>High and low context culture is proposed by American anthropologist Edward T. Hall in "Beyond Culture" in 1976, referring to cultural types divided according to the different roles of context and language in communication, with the aim of analyzing cultural diversity Most of the information in high context cultures exists in material contexts or is internalized into communicators' thinking and memory, relying on subtle and implicit expressions and nonverbal coding, emphasizing close interpersonal relationships and flexible time processing; Low context culture transmits information through explicit and straightforward language encoding, requiring logic and clarity, and relying on the power of language itself for communication. The high context culture requires the listener to infer the implied meaning based on the context and take on more responsibility for interpretation; Low context culture requires speakers to ensure the accuracy and completeness of language expression Hall's concepts of high context and low context communication explain why meaning is easily lost in different cultures. In high context environments, a lot of information is implicit rather than declarative, while in low context cultures, clarity and directness are preferred. However, these differences are not fixed. Modern global teams often switch between these two styles based on the situation. For example, partners in the Asian region may also adopt a direct approach during progress meetings, but revert to a more indirect tone when resolving differences.</w:t>
      </w:r>
    </w:p>
    <w:p w14:paraId="0E5E2686">
      <w:pPr>
        <w:pStyle w:val="14"/>
        <w:bidi w:val="0"/>
        <w:rPr>
          <w:rFonts w:hint="default"/>
          <w:lang w:val="en-US" w:eastAsia="zh-CN"/>
        </w:rPr>
      </w:pPr>
    </w:p>
    <w:p w14:paraId="3D69EB34">
      <w:pPr>
        <w:pStyle w:val="15"/>
        <w:bidi w:val="0"/>
        <w:rPr>
          <w:rFonts w:hint="default"/>
          <w:lang w:val="en-US" w:eastAsia="zh-CN"/>
        </w:rPr>
      </w:pPr>
      <w:bookmarkStart w:id="8" w:name="_Toc15698"/>
      <w:r>
        <w:rPr>
          <w:rFonts w:hint="eastAsia"/>
          <w:lang w:val="en-US" w:eastAsia="zh-CN"/>
        </w:rPr>
        <w:t>2.5</w:t>
      </w:r>
      <w:r>
        <w:rPr>
          <w:rFonts w:hint="default"/>
          <w:lang w:val="en-US" w:eastAsia="zh-CN"/>
        </w:rPr>
        <w:t xml:space="preserve"> Trompenaars’ Seven Dimensions of Culture</w:t>
      </w:r>
      <w:bookmarkEnd w:id="8"/>
    </w:p>
    <w:p w14:paraId="58BD845B">
      <w:pPr>
        <w:pStyle w:val="14"/>
        <w:bidi w:val="0"/>
        <w:rPr>
          <w:rFonts w:hint="default"/>
          <w:lang w:val="en-US" w:eastAsia="zh-CN"/>
        </w:rPr>
      </w:pPr>
      <w:r>
        <w:rPr>
          <w:rFonts w:hint="default"/>
          <w:lang w:val="en-US" w:eastAsia="zh-CN"/>
        </w:rPr>
        <w:t>The seven dimensional cultural model proposed by Trompenaars and Hampden Turner (1997) is one of the most influential frameworks in cross-cultural management research, used to explain the differences in communication patterns, organizational behavior, and management practices among different societies. This model is based on a survey of over 15000 employees in more than 40 countries, and proposes that culture can be compared along seven key dimensions, each of which reflects the preferences of social members in values and behaviors. The seven cultural dimensions provide further insights by distinguishing between universalism and particularism, or by examining temporal order and synchronous perspectives. In my opinion, the advantage of this model is that it encourages managers to reflect on their cultural assumptions rather than treating differences as fixed and unchanging. For example, managers in the UK often see punctuality as a sign of professionalism, while in some Asian environments, the flexibility of time demonstrates respect for interpersonal relationships. Recognizing these perspectives can help avoid frustration and establish more partnerships.</w:t>
      </w:r>
    </w:p>
    <w:p w14:paraId="13CAF7A1">
      <w:pPr>
        <w:pStyle w:val="15"/>
        <w:bidi w:val="0"/>
        <w:rPr>
          <w:rFonts w:hint="eastAsia"/>
          <w:lang w:val="en-US" w:eastAsia="zh-CN"/>
        </w:rPr>
      </w:pPr>
    </w:p>
    <w:p w14:paraId="3A45C1AD">
      <w:pPr>
        <w:pStyle w:val="15"/>
        <w:bidi w:val="0"/>
        <w:rPr>
          <w:rFonts w:hint="default"/>
          <w:lang w:val="en-US" w:eastAsia="zh-CN"/>
        </w:rPr>
      </w:pPr>
      <w:bookmarkStart w:id="9" w:name="_Toc25729"/>
      <w:r>
        <w:rPr>
          <w:rFonts w:hint="eastAsia"/>
          <w:lang w:val="en-US" w:eastAsia="zh-CN"/>
        </w:rPr>
        <w:t>2.6</w:t>
      </w:r>
      <w:r>
        <w:rPr>
          <w:rFonts w:hint="default"/>
          <w:lang w:val="en-US" w:eastAsia="zh-CN"/>
        </w:rPr>
        <w:t xml:space="preserve"> Communication Challenges in Asian Markets</w:t>
      </w:r>
      <w:bookmarkEnd w:id="9"/>
    </w:p>
    <w:p w14:paraId="59DC9D90">
      <w:pPr>
        <w:pStyle w:val="14"/>
        <w:bidi w:val="0"/>
        <w:rPr>
          <w:rFonts w:hint="eastAsia"/>
        </w:rPr>
      </w:pPr>
      <w:r>
        <w:rPr>
          <w:rFonts w:hint="eastAsia"/>
        </w:rPr>
        <w:t>The Asian market has a high degree of diversity in cultural values, organizational behavior, and communication methods, but generally presents characteristics such as high context communication, relationship orientation, and clear hierarchy. Therefore, companies from low context or individualistic backgrounds such as Europe and America often face many communication challenges when entering the Asian market. Even if English is used as the lingua franca for communication, there will be significant differences in the proficiency levels of individuals from different regions. British companies entering the Asian market often face challenges that go beyond language differences. Even when using English, changes in intonation, politeness, and grade can affect meaning (Samovar et al., 2010). Time perception is another common source of misunderstanding. In the UK, time is linear and punctuality signifies respect; In many Asian environments, flexibility is valued as it allows for the development of relationships (Lewis, 2006). For British managers, low efficiency may represent patience and trust in Asian partners (Child&amp;M ö llering, 2003). Meanwhile, politeness strategies and face saving culture are also important, as many Asian cultures value face and avoid public conflicts. The concept of 'face' is also important. Public disagreements may lead to awkward and tense relationships (Jackson, 2011). To address these subtleties, companies should work closely with local consultants who understand the cultural expectations of both parties.</w:t>
      </w:r>
    </w:p>
    <w:p w14:paraId="483316A4">
      <w:pPr>
        <w:pStyle w:val="14"/>
        <w:bidi w:val="0"/>
        <w:rPr>
          <w:rFonts w:hint="default"/>
          <w:lang w:val="en-US" w:eastAsia="zh-CN"/>
        </w:rPr>
      </w:pPr>
    </w:p>
    <w:p w14:paraId="682857AD">
      <w:pPr>
        <w:pStyle w:val="15"/>
        <w:bidi w:val="0"/>
        <w:rPr>
          <w:rFonts w:hint="default"/>
          <w:lang w:val="en-US" w:eastAsia="zh-CN"/>
        </w:rPr>
      </w:pPr>
      <w:bookmarkStart w:id="10" w:name="_Toc19629"/>
      <w:r>
        <w:rPr>
          <w:rFonts w:hint="eastAsia"/>
          <w:lang w:val="en-US" w:eastAsia="zh-CN"/>
        </w:rPr>
        <w:t xml:space="preserve">2.7 </w:t>
      </w:r>
      <w:r>
        <w:rPr>
          <w:rFonts w:hint="default"/>
          <w:lang w:val="en-US" w:eastAsia="zh-CN"/>
        </w:rPr>
        <w:t>Communication breakdowns and potential cultural misunderstandings</w:t>
      </w:r>
      <w:bookmarkEnd w:id="10"/>
    </w:p>
    <w:p w14:paraId="6048FC67">
      <w:pPr>
        <w:pStyle w:val="14"/>
        <w:bidi w:val="0"/>
        <w:rPr>
          <w:rFonts w:hint="eastAsia"/>
        </w:rPr>
      </w:pPr>
      <w:r>
        <w:rPr>
          <w:rFonts w:hint="eastAsia"/>
        </w:rPr>
        <w:t>Of course, cross-cultural communication is not always smooth sailing, and it is normal to encounter communication breakdowns and cultural misunderstandings, especially in the early stages of communication where misunderstandings often occur. So the company should try its best to avoid such embarrassment and ensure timely remedies after it occurs. But sometimes communication breakdowns can have serious consequences. Thomas and Peterson (2018) pointed out that many failures stem from conflicting assumptions or misinterpreted nonverbal cues. For example, a British manager who views direct criticism as efficiency may inadvertently embarrass an Asian colleague who interprets it as disrespectful (Hall&amp;Hall, 1990). Once trust is damaged, cooperation becomes even more difficult. As Mayer, Davis, and Schoorman (1995) pointed out, when trust decreases, partners share less information and perceive greater risk. To prevent this situation, organizations should encourage public feedback, clarify intentions rather than assumptions, and establish conflict resolution processes as early as possible. At the same time, communication breakdowns in language and expression are not uncommon, such as deviations in vocabulary understanding, misunderstandings caused by vague writing, semantic shifts in bilingual and multilingual communication, etc., all of which can lead to communication breakdowns and cause considerable trouble. So companies should try to avoid communication as much as possible.</w:t>
      </w:r>
    </w:p>
    <w:p w14:paraId="1A219770">
      <w:pPr>
        <w:pStyle w:val="14"/>
        <w:bidi w:val="0"/>
        <w:rPr>
          <w:rFonts w:hint="default"/>
          <w:lang w:val="en-US" w:eastAsia="zh-CN"/>
        </w:rPr>
      </w:pPr>
    </w:p>
    <w:p w14:paraId="7FD059A5">
      <w:pPr>
        <w:pStyle w:val="15"/>
        <w:bidi w:val="0"/>
        <w:rPr>
          <w:rFonts w:hint="default"/>
          <w:lang w:val="en-US" w:eastAsia="zh-CN"/>
        </w:rPr>
      </w:pPr>
      <w:bookmarkStart w:id="11" w:name="_Toc25327"/>
      <w:r>
        <w:rPr>
          <w:rFonts w:hint="eastAsia"/>
          <w:lang w:val="en-US" w:eastAsia="zh-CN"/>
        </w:rPr>
        <w:t>2.8</w:t>
      </w:r>
      <w:r>
        <w:rPr>
          <w:rFonts w:hint="default"/>
          <w:lang w:val="en-US" w:eastAsia="zh-CN"/>
        </w:rPr>
        <w:t xml:space="preserve"> Strategies for Building and Sustaining Trust</w:t>
      </w:r>
      <w:bookmarkEnd w:id="11"/>
    </w:p>
    <w:p w14:paraId="681A4D03">
      <w:pPr>
        <w:pStyle w:val="14"/>
        <w:bidi w:val="0"/>
        <w:rPr>
          <w:rFonts w:hint="eastAsia"/>
        </w:rPr>
      </w:pPr>
      <w:r>
        <w:rPr>
          <w:rFonts w:hint="eastAsia"/>
        </w:rPr>
        <w:t>Trust is the foundation of lasting business relationships (Child&amp;M ö llering, 2003). This is especially true in the cross-border trade environment, where establishing cooperative relationships with companies from other countries, ensuring transaction stability, and forming long-term partnerships are the core foundations. Due to cultural differences, physical distance, and information asymmetry, multinational corporations face more challenges in establishing and maintaining trust. Therefore, developing a systematic trust building strategy is crucial for international business success. In the Western context, it is usually developed through contracts and performance; In many Asian environments, it grows through sharing experiences and sincere emotions (Mayer et al., 1995). Therefore, building trust requires patience and consistency. British retailers can demonstrate cultural respect by celebrating local holidays, maintaining informal connections, and showing genuine interest in community life (Trompenaars&amp;Hampden Turner, 1997). Zakaria (2000) pointed out that structured cross-cultural training can help foreign nationals adapt more effectively, while Mor et al. (2013) emphasized that open dialogue between multicultural teams can establish mutual understanding. Over time, stable interaction and empathy will transform formal cooperation into genuine trust.</w:t>
      </w:r>
    </w:p>
    <w:p w14:paraId="05C50389">
      <w:pPr>
        <w:pStyle w:val="14"/>
        <w:bidi w:val="0"/>
        <w:rPr>
          <w:rFonts w:hint="default"/>
          <w:lang w:val="en-US" w:eastAsia="zh-CN"/>
        </w:rPr>
      </w:pPr>
    </w:p>
    <w:p w14:paraId="4778A7FB">
      <w:pPr>
        <w:pStyle w:val="15"/>
        <w:bidi w:val="0"/>
        <w:rPr>
          <w:rFonts w:hint="default"/>
          <w:lang w:val="en-US" w:eastAsia="zh-CN"/>
        </w:rPr>
      </w:pPr>
      <w:bookmarkStart w:id="12" w:name="_Toc15372"/>
      <w:r>
        <w:rPr>
          <w:rFonts w:hint="eastAsia"/>
          <w:lang w:val="en-US" w:eastAsia="zh-CN"/>
        </w:rPr>
        <w:t>2.9</w:t>
      </w:r>
      <w:r>
        <w:rPr>
          <w:rFonts w:hint="default"/>
          <w:lang w:val="en-US" w:eastAsia="zh-CN"/>
        </w:rPr>
        <w:t xml:space="preserve"> Implementation Roadmap and Key Performance Indicators</w:t>
      </w:r>
      <w:bookmarkEnd w:id="12"/>
    </w:p>
    <w:p w14:paraId="4F1DEADB">
      <w:pPr>
        <w:pStyle w:val="14"/>
        <w:bidi w:val="0"/>
        <w:rPr>
          <w:rFonts w:hint="eastAsia"/>
        </w:rPr>
      </w:pPr>
      <w:r>
        <w:rPr>
          <w:rFonts w:hint="eastAsia"/>
        </w:rPr>
        <w:t>So, in order to translate these insights into practical actions, I believe that companies should adopt a phased approach rather than rushing all at once, which may result in negative outcomes. In the short-term goal, I believe the most important thing is to first appoint a local cultural liaison officer, organize cultural awareness courses for employees, and conduct a quick review to determine communication challenges such as decision-making habits or meeting etiquette. After sufficient accumulation, the company can try to deepen cooperation with local partners, hire bilingual managers, and initiate joint projects that focus on relationship development rather than immediate profits. Consider incorporating cultural engagement indicators into performance evaluations to ensure that building relationships becomes a sustained priority (Harzing, 2006). To evaluate progress, the company can track indicators such as partner satisfaction, communication efficiency, participation in local activities, and employee adaptability after training. Monitoring these measures helps managers detect friction points early and respond before the problem escalates. To achieve the long-term goal of successfully entering other countries' markets and integrating into the local cultural environment.</w:t>
      </w:r>
    </w:p>
    <w:p w14:paraId="4D69303E">
      <w:pPr>
        <w:pStyle w:val="14"/>
        <w:bidi w:val="0"/>
        <w:rPr>
          <w:rFonts w:hint="default"/>
          <w:lang w:val="en-US" w:eastAsia="zh-CN"/>
        </w:rPr>
      </w:pPr>
    </w:p>
    <w:p w14:paraId="74798B3F">
      <w:pPr>
        <w:pStyle w:val="15"/>
        <w:bidi w:val="0"/>
        <w:rPr>
          <w:rFonts w:hint="default"/>
          <w:lang w:val="en-US" w:eastAsia="zh-CN"/>
        </w:rPr>
      </w:pPr>
      <w:bookmarkStart w:id="13" w:name="_Toc1147"/>
      <w:r>
        <w:rPr>
          <w:rFonts w:hint="eastAsia"/>
          <w:lang w:val="en-US" w:eastAsia="zh-CN"/>
        </w:rPr>
        <w:t xml:space="preserve">2.10 </w:t>
      </w:r>
      <w:r>
        <w:rPr>
          <w:rFonts w:hint="default"/>
          <w:lang w:val="en-US" w:eastAsia="zh-CN"/>
        </w:rPr>
        <w:t>Risk prevention and management in cross-cultural cooperation.</w:t>
      </w:r>
      <w:bookmarkEnd w:id="13"/>
    </w:p>
    <w:p w14:paraId="0533A700">
      <w:pPr>
        <w:pStyle w:val="14"/>
        <w:bidi w:val="0"/>
        <w:rPr>
          <w:rFonts w:hint="eastAsia"/>
        </w:rPr>
      </w:pPr>
      <w:r>
        <w:rPr>
          <w:rFonts w:hint="eastAsia"/>
        </w:rPr>
        <w:t>It has also been mentioned before that cross-cultural cooperation carries risks. These may include excessive reliance on a single local contact, cultural stereotypes, or insufficient language support. So in order to minimize such risks, companies can rotate local representatives, combine foreign nationals with local guides, and ensure that key documents and negotiations are professionally translated. And standardized communication processes can be established to achieve a unified meeting process. It is possible to consider confirming all decisions in writing to avoid "verbal understanding differences". Try adding paraphrasing in the high context cultural market to ensure that both parties have the same understanding. In addition, practical exercises such as role-playing or crisis simulations can be held regularly, which can help the team quickly and calmly deal with misunderstandings. By predicting potential mistakes, organizations can respond agilely, rather than just reacting, protecting relationships and reputation.</w:t>
      </w:r>
    </w:p>
    <w:p w14:paraId="3D93F73B">
      <w:pPr>
        <w:pStyle w:val="14"/>
        <w:bidi w:val="0"/>
        <w:rPr>
          <w:rFonts w:hint="default"/>
          <w:lang w:val="en-US" w:eastAsia="zh-CN"/>
        </w:rPr>
      </w:pPr>
    </w:p>
    <w:p w14:paraId="33EDB90B">
      <w:pPr>
        <w:pStyle w:val="13"/>
        <w:bidi w:val="0"/>
        <w:rPr>
          <w:rFonts w:hint="default"/>
          <w:lang w:val="en-US" w:eastAsia="zh-CN"/>
        </w:rPr>
      </w:pPr>
      <w:bookmarkStart w:id="14" w:name="_Toc31113"/>
      <w:r>
        <w:rPr>
          <w:rFonts w:hint="eastAsia"/>
          <w:lang w:val="en-US" w:eastAsia="zh-CN"/>
        </w:rPr>
        <w:t>3</w:t>
      </w:r>
      <w:r>
        <w:rPr>
          <w:rFonts w:hint="default"/>
          <w:lang w:val="en-US" w:eastAsia="zh-CN"/>
        </w:rPr>
        <w:t>. Conclusion and Recommendations</w:t>
      </w:r>
      <w:bookmarkEnd w:id="14"/>
      <w:r>
        <w:rPr>
          <w:rFonts w:hint="eastAsia"/>
          <w:lang w:val="en-US" w:eastAsia="zh-CN"/>
        </w:rPr>
        <w:t xml:space="preserve"> </w:t>
      </w:r>
    </w:p>
    <w:p w14:paraId="7472232C">
      <w:pPr>
        <w:pStyle w:val="14"/>
        <w:bidi w:val="0"/>
        <w:rPr>
          <w:rFonts w:hint="default"/>
          <w:lang w:val="en-US" w:eastAsia="zh-CN"/>
        </w:rPr>
      </w:pPr>
      <w:r>
        <w:rPr>
          <w:rFonts w:hint="default"/>
          <w:lang w:val="en-US" w:eastAsia="zh-CN"/>
        </w:rPr>
        <w:t>From the above content of this report, it is evident that cross-cultural communication is not simply about good etiquette, but rather a long-term and continuous learning process. The theories of Hall (1976), Trompenaars, and Hampden Turner (1997) help to understand general patterns, but true success depends on how businesses and individuals apply them sensitively in practice. According to my analysis, the biggest opportunity for this British retailer lies in translating cultural awareness into daily behavior, actively listening, clarifying issues in a timely manner when they arise, and demonstrating sufficient patience in negotiations and decision-making processes.</w:t>
      </w:r>
    </w:p>
    <w:p w14:paraId="407CAA69">
      <w:pPr>
        <w:pStyle w:val="14"/>
        <w:bidi w:val="0"/>
        <w:rPr>
          <w:rFonts w:hint="default"/>
          <w:lang w:val="en-US" w:eastAsia="zh-CN"/>
        </w:rPr>
      </w:pPr>
      <w:r>
        <w:rPr>
          <w:rFonts w:hint="default"/>
          <w:lang w:val="en-US" w:eastAsia="zh-CN"/>
        </w:rPr>
        <w:t>My suggestion for the company is to conduct small-scale pilot projects in selected Asian markets to test its cross-cultural strategy and collect feedback from local employees and partners. I believe this will be very valuable. This reflective and adaptive approach can reveal which practices truly promote trust. In the long run, establishing an organizational culture that values diversity and humility may be more sustainable than any single strategy. Essentially, the ability to communicate across cultures is not only a competitive skill, but also a mindset that defines how a company participates in the global market.</w:t>
      </w:r>
    </w:p>
    <w:p w14:paraId="3943C3E8">
      <w:pPr>
        <w:pStyle w:val="13"/>
        <w:bidi w:val="0"/>
        <w:rPr>
          <w:rFonts w:hint="default"/>
        </w:rPr>
      </w:pPr>
    </w:p>
    <w:p w14:paraId="69E29EAF">
      <w:pPr>
        <w:pStyle w:val="13"/>
        <w:bidi w:val="0"/>
        <w:rPr>
          <w:rFonts w:hint="default"/>
        </w:rPr>
      </w:pPr>
    </w:p>
    <w:p w14:paraId="2C40F730">
      <w:pPr>
        <w:pStyle w:val="13"/>
        <w:bidi w:val="0"/>
        <w:rPr>
          <w:rFonts w:hint="default"/>
        </w:rPr>
      </w:pPr>
    </w:p>
    <w:p w14:paraId="65439984">
      <w:pPr>
        <w:pStyle w:val="13"/>
        <w:bidi w:val="0"/>
        <w:rPr>
          <w:rFonts w:hint="default"/>
        </w:rPr>
      </w:pPr>
    </w:p>
    <w:p w14:paraId="2AE68093">
      <w:pPr>
        <w:pStyle w:val="13"/>
        <w:bidi w:val="0"/>
        <w:rPr>
          <w:rFonts w:hint="default"/>
        </w:rPr>
      </w:pPr>
    </w:p>
    <w:p w14:paraId="0AFE06EC">
      <w:pPr>
        <w:pStyle w:val="13"/>
        <w:bidi w:val="0"/>
        <w:rPr>
          <w:rFonts w:hint="default"/>
        </w:rPr>
      </w:pPr>
      <w:bookmarkStart w:id="15" w:name="_Toc4669"/>
    </w:p>
    <w:p w14:paraId="7F0DCE64">
      <w:pPr>
        <w:pStyle w:val="13"/>
        <w:bidi w:val="0"/>
        <w:rPr>
          <w:rFonts w:hint="default"/>
        </w:rPr>
      </w:pPr>
      <w:r>
        <w:rPr>
          <w:rFonts w:hint="default"/>
        </w:rPr>
        <w:t>References</w:t>
      </w:r>
      <w:bookmarkEnd w:id="15"/>
    </w:p>
    <w:p w14:paraId="246CB9CD">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Adler, N. J. &amp; Gundersen, A. (2008) </w:t>
      </w:r>
      <w:r>
        <w:rPr>
          <w:rStyle w:val="12"/>
          <w:rFonts w:hint="default" w:ascii="Times New Roman" w:hAnsi="Times New Roman" w:cs="Times New Roman"/>
        </w:rPr>
        <w:t>International Dimensions of Organizational Behavior.</w:t>
      </w:r>
      <w:r>
        <w:rPr>
          <w:rFonts w:hint="default" w:ascii="Times New Roman" w:hAnsi="Times New Roman" w:cs="Times New Roman"/>
        </w:rPr>
        <w:t xml:space="preserve"> 5th ed. Mason, OH: Thomson South-Western.</w:t>
      </w:r>
    </w:p>
    <w:p w14:paraId="27339979">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Chen, G. M. &amp; Starosta, W. J. (2000) ‘The development and validation of the intercultural communication sensitivity scale’, </w:t>
      </w:r>
      <w:r>
        <w:rPr>
          <w:rStyle w:val="12"/>
          <w:rFonts w:hint="default" w:ascii="Times New Roman" w:hAnsi="Times New Roman" w:cs="Times New Roman"/>
        </w:rPr>
        <w:t>Human Communication</w:t>
      </w:r>
      <w:r>
        <w:rPr>
          <w:rFonts w:hint="default" w:ascii="Times New Roman" w:hAnsi="Times New Roman" w:cs="Times New Roman"/>
        </w:rPr>
        <w:t>, 1(1), pp. 1–15.</w:t>
      </w:r>
    </w:p>
    <w:p w14:paraId="5A7919F4">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Child, J. &amp; Möllering, G. (2003) ‘Contextual confidence and active trust development in the Chinese business environment’, </w:t>
      </w:r>
      <w:r>
        <w:rPr>
          <w:rStyle w:val="12"/>
          <w:rFonts w:hint="default" w:ascii="Times New Roman" w:hAnsi="Times New Roman" w:cs="Times New Roman"/>
        </w:rPr>
        <w:t>Organization Science</w:t>
      </w:r>
      <w:r>
        <w:rPr>
          <w:rFonts w:hint="default" w:ascii="Times New Roman" w:hAnsi="Times New Roman" w:cs="Times New Roman"/>
        </w:rPr>
        <w:t>, 14(1), pp. 69–80.</w:t>
      </w:r>
    </w:p>
    <w:p w14:paraId="2581122E">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Daniels, J. D., Radebaugh, L. H. &amp; Sullivan, D. P. (2019) </w:t>
      </w:r>
      <w:r>
        <w:rPr>
          <w:rStyle w:val="12"/>
          <w:rFonts w:hint="default" w:ascii="Times New Roman" w:hAnsi="Times New Roman" w:cs="Times New Roman"/>
        </w:rPr>
        <w:t>International Business: Environments and Operations.</w:t>
      </w:r>
      <w:r>
        <w:rPr>
          <w:rFonts w:hint="default" w:ascii="Times New Roman" w:hAnsi="Times New Roman" w:cs="Times New Roman"/>
        </w:rPr>
        <w:t xml:space="preserve"> 17th ed. Harlow: Pearson Education.</w:t>
      </w:r>
    </w:p>
    <w:p w14:paraId="42D10C58">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Deardorff, D. K. (2006) ‘Identification and assessment of intercultural competence as a student outcome of internationalization’, </w:t>
      </w:r>
      <w:r>
        <w:rPr>
          <w:rStyle w:val="12"/>
          <w:rFonts w:hint="default" w:ascii="Times New Roman" w:hAnsi="Times New Roman" w:cs="Times New Roman"/>
        </w:rPr>
        <w:t>Journal of Studies in International Education</w:t>
      </w:r>
      <w:r>
        <w:rPr>
          <w:rFonts w:hint="default" w:ascii="Times New Roman" w:hAnsi="Times New Roman" w:cs="Times New Roman"/>
        </w:rPr>
        <w:t>, 10(3), pp. 241–266.</w:t>
      </w:r>
    </w:p>
    <w:p w14:paraId="78F1A2BE">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Earley, P. C. &amp; Mosakowski, E. (2004) ‘Cultural intelligence’, </w:t>
      </w:r>
      <w:r>
        <w:rPr>
          <w:rStyle w:val="12"/>
          <w:rFonts w:hint="default" w:ascii="Times New Roman" w:hAnsi="Times New Roman" w:cs="Times New Roman"/>
        </w:rPr>
        <w:t>Harvard Business Review</w:t>
      </w:r>
      <w:r>
        <w:rPr>
          <w:rFonts w:hint="default" w:ascii="Times New Roman" w:hAnsi="Times New Roman" w:cs="Times New Roman"/>
        </w:rPr>
        <w:t>, 82(10), pp. 139–146.</w:t>
      </w:r>
    </w:p>
    <w:p w14:paraId="29D3CE8E">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Fang, T. (2012) ‘Yin Yang: A new perspective on culture’, </w:t>
      </w:r>
      <w:r>
        <w:rPr>
          <w:rStyle w:val="12"/>
          <w:rFonts w:hint="default" w:ascii="Times New Roman" w:hAnsi="Times New Roman" w:cs="Times New Roman"/>
        </w:rPr>
        <w:t>Management and Organization Review</w:t>
      </w:r>
      <w:r>
        <w:rPr>
          <w:rFonts w:hint="default" w:ascii="Times New Roman" w:hAnsi="Times New Roman" w:cs="Times New Roman"/>
        </w:rPr>
        <w:t>, 8(1), pp. 25–50.</w:t>
      </w:r>
    </w:p>
    <w:p w14:paraId="3C1BB982">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Gudykunst, W. B. (2004) </w:t>
      </w:r>
      <w:r>
        <w:rPr>
          <w:rStyle w:val="12"/>
          <w:rFonts w:hint="default" w:ascii="Times New Roman" w:hAnsi="Times New Roman" w:cs="Times New Roman"/>
        </w:rPr>
        <w:t>Bridging Differences: Effective Intergroup Communication.</w:t>
      </w:r>
      <w:r>
        <w:rPr>
          <w:rFonts w:hint="default" w:ascii="Times New Roman" w:hAnsi="Times New Roman" w:cs="Times New Roman"/>
        </w:rPr>
        <w:t xml:space="preserve"> 4th ed. Thousand Oaks, CA: Sage Publications.</w:t>
      </w:r>
    </w:p>
    <w:p w14:paraId="17623D34">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Hall, E. T. (1976) </w:t>
      </w:r>
      <w:r>
        <w:rPr>
          <w:rStyle w:val="12"/>
          <w:rFonts w:hint="default" w:ascii="Times New Roman" w:hAnsi="Times New Roman" w:cs="Times New Roman"/>
        </w:rPr>
        <w:t>Beyond Culture.</w:t>
      </w:r>
      <w:r>
        <w:rPr>
          <w:rFonts w:hint="default" w:ascii="Times New Roman" w:hAnsi="Times New Roman" w:cs="Times New Roman"/>
        </w:rPr>
        <w:t xml:space="preserve"> New York: Anchor Press/Doubleday.</w:t>
      </w:r>
    </w:p>
    <w:p w14:paraId="596BBA32">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Hall, E. T. &amp; Hall, M. R. (1990) </w:t>
      </w:r>
      <w:r>
        <w:rPr>
          <w:rStyle w:val="12"/>
          <w:rFonts w:hint="default" w:ascii="Times New Roman" w:hAnsi="Times New Roman" w:cs="Times New Roman"/>
        </w:rPr>
        <w:t>Understanding Cultural Differences.</w:t>
      </w:r>
      <w:r>
        <w:rPr>
          <w:rFonts w:hint="default" w:ascii="Times New Roman" w:hAnsi="Times New Roman" w:cs="Times New Roman"/>
        </w:rPr>
        <w:t xml:space="preserve"> Yarmouth, ME: Intercultural Press.</w:t>
      </w:r>
    </w:p>
    <w:p w14:paraId="606E195D">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Harzing, A.-W. (2006) ‘Response styles in cross-national survey research: A 26-country study’, </w:t>
      </w:r>
      <w:r>
        <w:rPr>
          <w:rStyle w:val="12"/>
          <w:rFonts w:hint="default" w:ascii="Times New Roman" w:hAnsi="Times New Roman" w:cs="Times New Roman"/>
        </w:rPr>
        <w:t>International Journal of Cross Cultural Management</w:t>
      </w:r>
      <w:r>
        <w:rPr>
          <w:rFonts w:hint="default" w:ascii="Times New Roman" w:hAnsi="Times New Roman" w:cs="Times New Roman"/>
        </w:rPr>
        <w:t>, 6(2), pp. 243–266.</w:t>
      </w:r>
    </w:p>
    <w:p w14:paraId="72E71007">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Jackson, T. (2011) </w:t>
      </w:r>
      <w:r>
        <w:rPr>
          <w:rStyle w:val="12"/>
          <w:rFonts w:hint="default" w:ascii="Times New Roman" w:hAnsi="Times New Roman" w:cs="Times New Roman"/>
        </w:rPr>
        <w:t>International Management Ethics: A Critical, Cross-Cultural Perspective.</w:t>
      </w:r>
      <w:r>
        <w:rPr>
          <w:rFonts w:hint="default" w:ascii="Times New Roman" w:hAnsi="Times New Roman" w:cs="Times New Roman"/>
        </w:rPr>
        <w:t xml:space="preserve"> Cambridge: Cambridge University Press.</w:t>
      </w:r>
    </w:p>
    <w:p w14:paraId="6BAF636E">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Lewis, R. D. (2006) </w:t>
      </w:r>
      <w:r>
        <w:rPr>
          <w:rStyle w:val="12"/>
          <w:rFonts w:hint="default" w:ascii="Times New Roman" w:hAnsi="Times New Roman" w:cs="Times New Roman"/>
        </w:rPr>
        <w:t>When Cultures Collide: Leading Across Cultures.</w:t>
      </w:r>
      <w:r>
        <w:rPr>
          <w:rFonts w:hint="default" w:ascii="Times New Roman" w:hAnsi="Times New Roman" w:cs="Times New Roman"/>
        </w:rPr>
        <w:t xml:space="preserve"> 3rd ed. Boston, MA: Nicholas Brealey International.</w:t>
      </w:r>
    </w:p>
    <w:p w14:paraId="6742AAFA">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Mayer, R. C., Davis, J. H. &amp; Schoorman, F. D. (1995) ‘An integrative model of organizational trust’, </w:t>
      </w:r>
      <w:r>
        <w:rPr>
          <w:rStyle w:val="12"/>
          <w:rFonts w:hint="default" w:ascii="Times New Roman" w:hAnsi="Times New Roman" w:cs="Times New Roman"/>
        </w:rPr>
        <w:t>Academy of Management Review</w:t>
      </w:r>
      <w:r>
        <w:rPr>
          <w:rFonts w:hint="default" w:ascii="Times New Roman" w:hAnsi="Times New Roman" w:cs="Times New Roman"/>
        </w:rPr>
        <w:t>, 20(3), pp. 709–734.</w:t>
      </w:r>
    </w:p>
    <w:p w14:paraId="67C78E84">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Mor, S., Morris, M. W. &amp; Joh, J. (2013) ‘Identifying and training adaptive cross-cultural management skills: The crucial role of cultural metacognition’, </w:t>
      </w:r>
      <w:r>
        <w:rPr>
          <w:rStyle w:val="12"/>
          <w:rFonts w:hint="default" w:ascii="Times New Roman" w:hAnsi="Times New Roman" w:cs="Times New Roman"/>
        </w:rPr>
        <w:t>Academy of Management Learning &amp; Education</w:t>
      </w:r>
      <w:r>
        <w:rPr>
          <w:rFonts w:hint="default" w:ascii="Times New Roman" w:hAnsi="Times New Roman" w:cs="Times New Roman"/>
        </w:rPr>
        <w:t>, 12(3), pp. 453–475.</w:t>
      </w:r>
    </w:p>
    <w:p w14:paraId="34A47A76">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Samovar, L. A., Porter, R. E. &amp; McDaniel, E. R. (2010) </w:t>
      </w:r>
      <w:r>
        <w:rPr>
          <w:rStyle w:val="12"/>
          <w:rFonts w:hint="default" w:ascii="Times New Roman" w:hAnsi="Times New Roman" w:cs="Times New Roman"/>
        </w:rPr>
        <w:t>Communication Between Cultures.</w:t>
      </w:r>
      <w:r>
        <w:rPr>
          <w:rFonts w:hint="default" w:ascii="Times New Roman" w:hAnsi="Times New Roman" w:cs="Times New Roman"/>
        </w:rPr>
        <w:t xml:space="preserve"> 7th ed. Boston, MA: Wadsworth Cengage Learning.</w:t>
      </w:r>
    </w:p>
    <w:p w14:paraId="5B78264A">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Schein, E. H. (2010) </w:t>
      </w:r>
      <w:r>
        <w:rPr>
          <w:rStyle w:val="12"/>
          <w:rFonts w:hint="default" w:ascii="Times New Roman" w:hAnsi="Times New Roman" w:cs="Times New Roman"/>
        </w:rPr>
        <w:t>Organizational Culture and Leadership.</w:t>
      </w:r>
      <w:r>
        <w:rPr>
          <w:rFonts w:hint="default" w:ascii="Times New Roman" w:hAnsi="Times New Roman" w:cs="Times New Roman"/>
        </w:rPr>
        <w:t xml:space="preserve"> 4th ed. San Francisco, CA: Jossey-Bass.</w:t>
      </w:r>
    </w:p>
    <w:p w14:paraId="29FC8AD6">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Spitzberg, B. H. &amp; Changnon, G. (2009) ‘Conceptualizing intercultural competence’, in Deardorff, D. K. (ed.) </w:t>
      </w:r>
      <w:r>
        <w:rPr>
          <w:rStyle w:val="12"/>
          <w:rFonts w:hint="default" w:ascii="Times New Roman" w:hAnsi="Times New Roman" w:cs="Times New Roman"/>
        </w:rPr>
        <w:t>The SAGE Handbook of Intercultural Competence.</w:t>
      </w:r>
      <w:r>
        <w:rPr>
          <w:rFonts w:hint="default" w:ascii="Times New Roman" w:hAnsi="Times New Roman" w:cs="Times New Roman"/>
        </w:rPr>
        <w:t xml:space="preserve"> Thousand Oaks, CA: Sage, pp. 2–52.</w:t>
      </w:r>
    </w:p>
    <w:p w14:paraId="346D0603">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Thomas, D. C. &amp; Peterson, M. F. (2018) </w:t>
      </w:r>
      <w:r>
        <w:rPr>
          <w:rStyle w:val="12"/>
          <w:rFonts w:hint="default" w:ascii="Times New Roman" w:hAnsi="Times New Roman" w:cs="Times New Roman"/>
        </w:rPr>
        <w:t>Cross-Cultural Management: Essential Concepts.</w:t>
      </w:r>
      <w:r>
        <w:rPr>
          <w:rFonts w:hint="default" w:ascii="Times New Roman" w:hAnsi="Times New Roman" w:cs="Times New Roman"/>
        </w:rPr>
        <w:t xml:space="preserve"> 4th ed. Thousand Oaks, CA: Sage Publications.</w:t>
      </w:r>
    </w:p>
    <w:p w14:paraId="1902A702">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Trompenaars, F. &amp; Hampden-Turner, C. (1997) </w:t>
      </w:r>
      <w:r>
        <w:rPr>
          <w:rStyle w:val="12"/>
          <w:rFonts w:hint="default" w:ascii="Times New Roman" w:hAnsi="Times New Roman" w:cs="Times New Roman"/>
        </w:rPr>
        <w:t>Riding the Waves of Culture: Understanding Cultural Diversity in Business.</w:t>
      </w:r>
      <w:r>
        <w:rPr>
          <w:rFonts w:hint="default" w:ascii="Times New Roman" w:hAnsi="Times New Roman" w:cs="Times New Roman"/>
        </w:rPr>
        <w:t xml:space="preserve"> 2nd ed. London: Nicholas Brealey Publishing.</w:t>
      </w:r>
    </w:p>
    <w:p w14:paraId="1048A4C2">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Zakaria, N. (2000) ‘The effects of cross-cultural training on the acculturation process of the global workforce’, </w:t>
      </w:r>
      <w:r>
        <w:rPr>
          <w:rStyle w:val="12"/>
          <w:rFonts w:hint="default" w:ascii="Times New Roman" w:hAnsi="Times New Roman" w:cs="Times New Roman"/>
        </w:rPr>
        <w:t>International Journal of Manpower</w:t>
      </w:r>
      <w:r>
        <w:rPr>
          <w:rFonts w:hint="default" w:ascii="Times New Roman" w:hAnsi="Times New Roman" w:cs="Times New Roman"/>
        </w:rPr>
        <w:t>, 21(6), pp. 492–510.</w:t>
      </w:r>
    </w:p>
    <w:p w14:paraId="483E5280">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Adler, N. J. (2002) </w:t>
      </w:r>
      <w:r>
        <w:rPr>
          <w:rStyle w:val="12"/>
          <w:rFonts w:hint="default" w:ascii="Times New Roman" w:hAnsi="Times New Roman" w:cs="Times New Roman"/>
        </w:rPr>
        <w:t>International Dimensions of Organizational Behavior.</w:t>
      </w:r>
      <w:r>
        <w:rPr>
          <w:rFonts w:hint="default" w:ascii="Times New Roman" w:hAnsi="Times New Roman" w:cs="Times New Roman"/>
        </w:rPr>
        <w:t xml:space="preserve"> 4th ed. Cincinnati, OH: South-Western College Publishing.</w:t>
      </w:r>
    </w:p>
    <w:p w14:paraId="55E25ECF">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Child, J. (1998) </w:t>
      </w:r>
      <w:r>
        <w:rPr>
          <w:rStyle w:val="12"/>
          <w:rFonts w:hint="default" w:ascii="Times New Roman" w:hAnsi="Times New Roman" w:cs="Times New Roman"/>
        </w:rPr>
        <w:t>Trust and International Strategic Alliances: The Case of Sino-Foreign Joint Ventures.</w:t>
      </w:r>
      <w:r>
        <w:rPr>
          <w:rFonts w:hint="default" w:ascii="Times New Roman" w:hAnsi="Times New Roman" w:cs="Times New Roman"/>
        </w:rPr>
        <w:t xml:space="preserve"> In: Lane, C. &amp; Bachmann, R. (eds.) </w:t>
      </w:r>
      <w:r>
        <w:rPr>
          <w:rStyle w:val="12"/>
          <w:rFonts w:hint="default" w:ascii="Times New Roman" w:hAnsi="Times New Roman" w:cs="Times New Roman"/>
        </w:rPr>
        <w:t>Trust Within and Between Organizations.</w:t>
      </w:r>
      <w:r>
        <w:rPr>
          <w:rFonts w:hint="default" w:ascii="Times New Roman" w:hAnsi="Times New Roman" w:cs="Times New Roman"/>
        </w:rPr>
        <w:t xml:space="preserve"> Oxford: Oxford University Press, pp. 241–272.</w:t>
      </w:r>
    </w:p>
    <w:p w14:paraId="63609A30">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Fang, T. (2010) ‘Culture as a dynamic construct’, </w:t>
      </w:r>
      <w:r>
        <w:rPr>
          <w:rStyle w:val="12"/>
          <w:rFonts w:hint="default" w:ascii="Times New Roman" w:hAnsi="Times New Roman" w:cs="Times New Roman"/>
        </w:rPr>
        <w:t>Asia Pacific Journal of Management</w:t>
      </w:r>
      <w:r>
        <w:rPr>
          <w:rFonts w:hint="default" w:ascii="Times New Roman" w:hAnsi="Times New Roman" w:cs="Times New Roman"/>
        </w:rPr>
        <w:t>, 27(2), pp. 229–247.</w:t>
      </w:r>
    </w:p>
    <w:p w14:paraId="462E3164">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Gudykunst, W. B. &amp; Ting-Toomey, S. (1988) </w:t>
      </w:r>
      <w:r>
        <w:rPr>
          <w:rStyle w:val="12"/>
          <w:rFonts w:hint="default" w:ascii="Times New Roman" w:hAnsi="Times New Roman" w:cs="Times New Roman"/>
        </w:rPr>
        <w:t>Culture and Interpersonal Communication.</w:t>
      </w:r>
      <w:r>
        <w:rPr>
          <w:rFonts w:hint="default" w:ascii="Times New Roman" w:hAnsi="Times New Roman" w:cs="Times New Roman"/>
        </w:rPr>
        <w:t xml:space="preserve"> Newbury Park, CA: Sage Publications.</w:t>
      </w:r>
    </w:p>
    <w:p w14:paraId="0698120A">
      <w:pPr>
        <w:pStyle w:val="8"/>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Hall, E. T. (1983) </w:t>
      </w:r>
      <w:r>
        <w:rPr>
          <w:rStyle w:val="12"/>
          <w:rFonts w:hint="default" w:ascii="Times New Roman" w:hAnsi="Times New Roman" w:cs="Times New Roman"/>
        </w:rPr>
        <w:t>The Dance of Life: The Other Dimension of Time.</w:t>
      </w:r>
      <w:r>
        <w:rPr>
          <w:rFonts w:hint="default" w:ascii="Times New Roman" w:hAnsi="Times New Roman" w:cs="Times New Roman"/>
        </w:rPr>
        <w:t xml:space="preserve"> New York: Anchor Books.</w:t>
      </w:r>
    </w:p>
    <w:p w14:paraId="450C79E1">
      <w:pPr>
        <w:pStyle w:val="14"/>
        <w:bidi w:val="0"/>
        <w:rPr>
          <w:rFonts w:hint="default"/>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2D6E">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73415B">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D73415B">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1774AC"/>
    <w:rsid w:val="04C072A6"/>
    <w:rsid w:val="0AD45E7C"/>
    <w:rsid w:val="14CA76EB"/>
    <w:rsid w:val="17E9609C"/>
    <w:rsid w:val="18E86CED"/>
    <w:rsid w:val="1FE14169"/>
    <w:rsid w:val="2D9A1ABA"/>
    <w:rsid w:val="384C2EE2"/>
    <w:rsid w:val="396C6330"/>
    <w:rsid w:val="3AC802EF"/>
    <w:rsid w:val="41796C03"/>
    <w:rsid w:val="41B641A6"/>
    <w:rsid w:val="4D1774AC"/>
    <w:rsid w:val="5DB023D3"/>
    <w:rsid w:val="61273712"/>
    <w:rsid w:val="6A9C0CCD"/>
    <w:rsid w:val="70781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8"/>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Emphasis"/>
    <w:basedOn w:val="10"/>
    <w:qFormat/>
    <w:uiPriority w:val="0"/>
    <w:rPr>
      <w:i/>
    </w:rPr>
  </w:style>
  <w:style w:type="paragraph" w:customStyle="1" w:styleId="13">
    <w:name w:val="1"/>
    <w:basedOn w:val="1"/>
    <w:qFormat/>
    <w:uiPriority w:val="0"/>
    <w:rPr>
      <w:rFonts w:hint="eastAsia" w:ascii="Times New Roman" w:hAnsi="Times New Roman" w:eastAsia="Times New Roman" w:cs="宋体"/>
      <w:b/>
      <w:bCs/>
      <w:sz w:val="28"/>
      <w:szCs w:val="28"/>
    </w:rPr>
  </w:style>
  <w:style w:type="paragraph" w:customStyle="1" w:styleId="14">
    <w:name w:val="正"/>
    <w:basedOn w:val="1"/>
    <w:qFormat/>
    <w:uiPriority w:val="0"/>
    <w:pPr>
      <w:spacing w:line="360" w:lineRule="auto"/>
    </w:pPr>
    <w:rPr>
      <w:rFonts w:hint="eastAsia" w:cs="宋体"/>
      <w:sz w:val="24"/>
    </w:rPr>
  </w:style>
  <w:style w:type="paragraph" w:customStyle="1" w:styleId="15">
    <w:name w:val="2"/>
    <w:basedOn w:val="1"/>
    <w:qFormat/>
    <w:uiPriority w:val="0"/>
    <w:pPr>
      <w:spacing w:line="360" w:lineRule="auto"/>
    </w:pPr>
    <w:rPr>
      <w:rFonts w:hint="eastAsia" w:eastAsia="Times New Roman" w:cs="宋体"/>
      <w:b/>
      <w:bCs/>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3152</Words>
  <Characters>19796</Characters>
  <Lines>0</Lines>
  <Paragraphs>0</Paragraphs>
  <TotalTime>222</TotalTime>
  <ScaleCrop>false</ScaleCrop>
  <LinksUpToDate>false</LinksUpToDate>
  <CharactersWithSpaces>22873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2025-11-11T22:57:00Z</dcterms:created>
  <dc:creator>。。。</dc:creator>
  <cp:lastModifiedBy>。。。</cp:lastModifiedBy>
  <dcterms:modified xsi:type="dcterms:W3CDTF">2025-11-14T17:46:34Z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69B91D3DDB664EE3A180B1CEB24BBCAE_13</vt:lpwstr>
  </property>
  <property fmtid="{D5CDD505-2E9C-101B-9397-08002B2CF9AE}" pid="4" name="KSOTemplateDocerSaveRecord">
    <vt:lpwstr>eyJoZGlkIjoiNzM1NzU0MDllM2FjZWZjNWViNzk5YTZmYTA4MjQ0YjciLCJ1c2VySWQiOiI0MTIwMDU2NzQifQ==</vt:lpwstr>
  </property>
</Properties>
</file>