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2D43EFF6" w:rsidR="00B50873" w:rsidRDefault="5F1C6D44" w:rsidP="6D37ED3F">
      <w:pPr>
        <w:spacing w:line="360" w:lineRule="auto"/>
        <w:rPr>
          <w:rFonts w:ascii="Arial" w:eastAsia="Arial" w:hAnsi="Arial" w:cs="Arial"/>
          <w:b/>
          <w:bCs/>
          <w:sz w:val="32"/>
          <w:szCs w:val="32"/>
        </w:rPr>
      </w:pPr>
      <w:r w:rsidRPr="6D37ED3F">
        <w:rPr>
          <w:rFonts w:ascii="Arial" w:eastAsia="Arial" w:hAnsi="Arial" w:cs="Arial"/>
          <w:b/>
          <w:bCs/>
          <w:sz w:val="32"/>
          <w:szCs w:val="32"/>
        </w:rPr>
        <w:t xml:space="preserve">Business Intelligence Report </w:t>
      </w:r>
    </w:p>
    <w:p w14:paraId="0BC6A771" w14:textId="240EDAFD" w:rsidR="5F1C6D44" w:rsidRDefault="5F1C6D44" w:rsidP="6D37ED3F">
      <w:pPr>
        <w:spacing w:line="360" w:lineRule="auto"/>
        <w:rPr>
          <w:rFonts w:ascii="Arial" w:eastAsia="Arial" w:hAnsi="Arial" w:cs="Arial"/>
          <w:sz w:val="32"/>
          <w:szCs w:val="32"/>
        </w:rPr>
      </w:pPr>
      <w:r w:rsidRPr="6D37ED3F">
        <w:rPr>
          <w:rFonts w:ascii="Arial" w:eastAsia="Arial" w:hAnsi="Arial" w:cs="Arial"/>
          <w:sz w:val="32"/>
          <w:szCs w:val="32"/>
        </w:rPr>
        <w:t>Mihaela Ruxandra Iancu</w:t>
      </w:r>
    </w:p>
    <w:p w14:paraId="704B51A7" w14:textId="0648042D" w:rsidR="5F1C6D44" w:rsidRDefault="5F1C6D44" w:rsidP="6D37ED3F">
      <w:pPr>
        <w:spacing w:line="360" w:lineRule="auto"/>
        <w:rPr>
          <w:rFonts w:ascii="Arial" w:eastAsia="Arial" w:hAnsi="Arial" w:cs="Arial"/>
          <w:sz w:val="32"/>
          <w:szCs w:val="32"/>
        </w:rPr>
      </w:pPr>
      <w:r w:rsidRPr="6D37ED3F">
        <w:rPr>
          <w:rFonts w:ascii="Arial" w:eastAsia="Arial" w:hAnsi="Arial" w:cs="Arial"/>
          <w:sz w:val="32"/>
          <w:szCs w:val="32"/>
        </w:rPr>
        <w:t>Student ID:2133740</w:t>
      </w:r>
    </w:p>
    <w:p w14:paraId="6D386D54" w14:textId="3F850C92" w:rsidR="5F1C6D44" w:rsidRDefault="5F1C6D44" w:rsidP="6D37ED3F">
      <w:pPr>
        <w:spacing w:line="360" w:lineRule="auto"/>
        <w:rPr>
          <w:rFonts w:ascii="Arial" w:eastAsia="Arial" w:hAnsi="Arial" w:cs="Arial"/>
          <w:sz w:val="32"/>
          <w:szCs w:val="32"/>
        </w:rPr>
      </w:pPr>
      <w:r w:rsidRPr="6D37ED3F">
        <w:rPr>
          <w:rFonts w:ascii="Arial" w:eastAsia="Arial" w:hAnsi="Arial" w:cs="Arial"/>
          <w:sz w:val="32"/>
          <w:szCs w:val="32"/>
        </w:rPr>
        <w:t>University Trinity Saint David</w:t>
      </w:r>
    </w:p>
    <w:p w14:paraId="1A2AA83E" w14:textId="5C141F97" w:rsidR="7A29084A" w:rsidRDefault="7A29084A" w:rsidP="7A29084A">
      <w:pPr>
        <w:rPr>
          <w:rFonts w:ascii="Calibri" w:eastAsia="Calibri" w:hAnsi="Calibri" w:cs="Calibri"/>
          <w:sz w:val="32"/>
          <w:szCs w:val="32"/>
        </w:rPr>
      </w:pPr>
    </w:p>
    <w:p w14:paraId="7565940B" w14:textId="17DFBF06" w:rsidR="7A29084A" w:rsidRDefault="7A29084A" w:rsidP="7A29084A">
      <w:pPr>
        <w:rPr>
          <w:rFonts w:ascii="Calibri" w:eastAsia="Calibri" w:hAnsi="Calibri" w:cs="Calibri"/>
          <w:sz w:val="32"/>
          <w:szCs w:val="32"/>
        </w:rPr>
      </w:pPr>
    </w:p>
    <w:p w14:paraId="1097B283" w14:textId="2186FC9E" w:rsidR="7A29084A" w:rsidRDefault="7A29084A" w:rsidP="7A29084A">
      <w:pPr>
        <w:rPr>
          <w:rFonts w:ascii="Calibri" w:eastAsia="Calibri" w:hAnsi="Calibri" w:cs="Calibri"/>
          <w:sz w:val="32"/>
          <w:szCs w:val="32"/>
        </w:rPr>
      </w:pPr>
    </w:p>
    <w:p w14:paraId="0DCBC1EA" w14:textId="3CAEC97A" w:rsidR="7A29084A" w:rsidRDefault="7A29084A" w:rsidP="7A29084A">
      <w:pPr>
        <w:rPr>
          <w:rFonts w:ascii="Calibri" w:eastAsia="Calibri" w:hAnsi="Calibri" w:cs="Calibri"/>
          <w:sz w:val="32"/>
          <w:szCs w:val="32"/>
        </w:rPr>
      </w:pPr>
    </w:p>
    <w:p w14:paraId="21D60A99" w14:textId="346D3EEC" w:rsidR="7A29084A" w:rsidRDefault="7A29084A" w:rsidP="7A29084A">
      <w:pPr>
        <w:rPr>
          <w:rFonts w:ascii="Calibri" w:eastAsia="Calibri" w:hAnsi="Calibri" w:cs="Calibri"/>
          <w:sz w:val="32"/>
          <w:szCs w:val="32"/>
        </w:rPr>
      </w:pPr>
    </w:p>
    <w:p w14:paraId="7AED0571" w14:textId="1FC4655C" w:rsidR="7A29084A" w:rsidRDefault="7A29084A" w:rsidP="7A29084A">
      <w:pPr>
        <w:rPr>
          <w:rFonts w:ascii="Calibri" w:eastAsia="Calibri" w:hAnsi="Calibri" w:cs="Calibri"/>
          <w:sz w:val="32"/>
          <w:szCs w:val="32"/>
        </w:rPr>
      </w:pPr>
    </w:p>
    <w:p w14:paraId="1A637BFD" w14:textId="2B604F4D" w:rsidR="7A29084A" w:rsidRDefault="7A29084A" w:rsidP="7A29084A">
      <w:pPr>
        <w:rPr>
          <w:rFonts w:ascii="Calibri" w:eastAsia="Calibri" w:hAnsi="Calibri" w:cs="Calibri"/>
          <w:sz w:val="32"/>
          <w:szCs w:val="32"/>
        </w:rPr>
      </w:pPr>
    </w:p>
    <w:p w14:paraId="106FF252" w14:textId="1A54568F" w:rsidR="7A29084A" w:rsidRDefault="7A29084A" w:rsidP="7A29084A">
      <w:pPr>
        <w:rPr>
          <w:rFonts w:ascii="Calibri" w:eastAsia="Calibri" w:hAnsi="Calibri" w:cs="Calibri"/>
          <w:sz w:val="32"/>
          <w:szCs w:val="32"/>
        </w:rPr>
      </w:pPr>
    </w:p>
    <w:p w14:paraId="7BA8BFF8" w14:textId="5C720AB9" w:rsidR="7A29084A" w:rsidRDefault="7A29084A" w:rsidP="7A29084A">
      <w:pPr>
        <w:rPr>
          <w:rFonts w:ascii="Calibri" w:eastAsia="Calibri" w:hAnsi="Calibri" w:cs="Calibri"/>
          <w:sz w:val="32"/>
          <w:szCs w:val="32"/>
        </w:rPr>
      </w:pPr>
    </w:p>
    <w:p w14:paraId="38B9DD3A" w14:textId="04390E98" w:rsidR="7A29084A" w:rsidRDefault="7A29084A" w:rsidP="7A29084A">
      <w:pPr>
        <w:rPr>
          <w:rFonts w:ascii="Calibri" w:eastAsia="Calibri" w:hAnsi="Calibri" w:cs="Calibri"/>
          <w:sz w:val="32"/>
          <w:szCs w:val="32"/>
        </w:rPr>
      </w:pPr>
    </w:p>
    <w:p w14:paraId="2920009F" w14:textId="5E83DECF" w:rsidR="7A29084A" w:rsidRDefault="7A29084A" w:rsidP="7A29084A">
      <w:pPr>
        <w:rPr>
          <w:rFonts w:ascii="Calibri" w:eastAsia="Calibri" w:hAnsi="Calibri" w:cs="Calibri"/>
          <w:sz w:val="32"/>
          <w:szCs w:val="32"/>
        </w:rPr>
      </w:pPr>
    </w:p>
    <w:p w14:paraId="0E5F3620" w14:textId="38C3B490" w:rsidR="7A29084A" w:rsidRDefault="7A29084A" w:rsidP="7A29084A">
      <w:pPr>
        <w:rPr>
          <w:rFonts w:ascii="Calibri" w:eastAsia="Calibri" w:hAnsi="Calibri" w:cs="Calibri"/>
          <w:sz w:val="32"/>
          <w:szCs w:val="32"/>
        </w:rPr>
      </w:pPr>
    </w:p>
    <w:p w14:paraId="7079C8EF" w14:textId="6320754F" w:rsidR="7A29084A" w:rsidRDefault="7A29084A" w:rsidP="7A29084A">
      <w:pPr>
        <w:rPr>
          <w:rFonts w:ascii="Calibri" w:eastAsia="Calibri" w:hAnsi="Calibri" w:cs="Calibri"/>
          <w:sz w:val="32"/>
          <w:szCs w:val="32"/>
        </w:rPr>
      </w:pPr>
    </w:p>
    <w:p w14:paraId="28961A77" w14:textId="1CEEAF0F" w:rsidR="7A29084A" w:rsidRDefault="7A29084A" w:rsidP="7A29084A">
      <w:pPr>
        <w:rPr>
          <w:rFonts w:ascii="Calibri" w:eastAsia="Calibri" w:hAnsi="Calibri" w:cs="Calibri"/>
          <w:sz w:val="32"/>
          <w:szCs w:val="32"/>
        </w:rPr>
      </w:pPr>
    </w:p>
    <w:p w14:paraId="3497F975" w14:textId="538EF673" w:rsidR="7A29084A" w:rsidRDefault="7A29084A" w:rsidP="7A29084A">
      <w:pPr>
        <w:rPr>
          <w:rFonts w:ascii="Calibri" w:eastAsia="Calibri" w:hAnsi="Calibri" w:cs="Calibri"/>
          <w:sz w:val="32"/>
          <w:szCs w:val="32"/>
        </w:rPr>
      </w:pPr>
    </w:p>
    <w:p w14:paraId="04DFA6FB" w14:textId="59304935" w:rsidR="7A29084A" w:rsidRDefault="7A29084A" w:rsidP="7A29084A">
      <w:pPr>
        <w:rPr>
          <w:rFonts w:ascii="Calibri" w:eastAsia="Calibri" w:hAnsi="Calibri" w:cs="Calibri"/>
          <w:sz w:val="32"/>
          <w:szCs w:val="32"/>
        </w:rPr>
      </w:pPr>
    </w:p>
    <w:p w14:paraId="26195609" w14:textId="3DA8C8AA" w:rsidR="7A29084A" w:rsidRDefault="7A29084A" w:rsidP="7A29084A">
      <w:pPr>
        <w:rPr>
          <w:rFonts w:ascii="Calibri" w:eastAsia="Calibri" w:hAnsi="Calibri" w:cs="Calibri"/>
          <w:sz w:val="32"/>
          <w:szCs w:val="32"/>
        </w:rPr>
      </w:pPr>
    </w:p>
    <w:p w14:paraId="66FEF996" w14:textId="4C5C0CB3" w:rsidR="7A29084A" w:rsidRDefault="7A29084A" w:rsidP="6D37ED3F">
      <w:pPr>
        <w:spacing w:line="360" w:lineRule="auto"/>
        <w:rPr>
          <w:rFonts w:ascii="Arial" w:eastAsia="Arial" w:hAnsi="Arial" w:cs="Arial"/>
          <w:b/>
          <w:bCs/>
        </w:rPr>
      </w:pPr>
    </w:p>
    <w:p w14:paraId="023A7F39" w14:textId="6B896C03" w:rsidR="5F1C6D44" w:rsidRDefault="5F1C6D44" w:rsidP="6D37ED3F">
      <w:pPr>
        <w:spacing w:line="360" w:lineRule="auto"/>
        <w:rPr>
          <w:rFonts w:ascii="Arial" w:eastAsia="Arial" w:hAnsi="Arial" w:cs="Arial"/>
          <w:b/>
          <w:bCs/>
        </w:rPr>
      </w:pPr>
      <w:r w:rsidRPr="6D37ED3F">
        <w:rPr>
          <w:rFonts w:ascii="Arial" w:eastAsia="Arial" w:hAnsi="Arial" w:cs="Arial"/>
          <w:b/>
          <w:bCs/>
        </w:rPr>
        <w:t>Table of content</w:t>
      </w:r>
    </w:p>
    <w:sdt>
      <w:sdtPr>
        <w:rPr>
          <w:rStyle w:val="Hyperlink"/>
          <w:rFonts w:ascii="Arial" w:eastAsia="Arial" w:hAnsi="Arial" w:cs="Arial"/>
        </w:rPr>
        <w:id w:val="346362017"/>
        <w:docPartObj>
          <w:docPartGallery w:val="Table of Contents"/>
          <w:docPartUnique/>
        </w:docPartObj>
      </w:sdtPr>
      <w:sdtEndPr>
        <w:rPr>
          <w:rStyle w:val="Hyperlink"/>
        </w:rPr>
      </w:sdtEndPr>
      <w:sdtContent>
        <w:p w14:paraId="2EB328D3" w14:textId="7E9C711C" w:rsidR="7A29084A" w:rsidRDefault="7A29084A" w:rsidP="6D37ED3F">
          <w:pPr>
            <w:pStyle w:val="Cuprins2"/>
            <w:tabs>
              <w:tab w:val="right" w:leader="dot" w:pos="9360"/>
            </w:tabs>
            <w:rPr>
              <w:rStyle w:val="Hyperlink"/>
              <w:rFonts w:ascii="Arial" w:eastAsia="Arial" w:hAnsi="Arial" w:cs="Arial"/>
            </w:rPr>
          </w:pPr>
          <w:r>
            <w:fldChar w:fldCharType="begin"/>
          </w:r>
          <w:r>
            <w:instrText>TOC \o \z \u \h</w:instrText>
          </w:r>
          <w:r>
            <w:fldChar w:fldCharType="separate"/>
          </w:r>
          <w:hyperlink w:anchor="_Toc568003026">
            <w:r w:rsidRPr="6D37ED3F">
              <w:rPr>
                <w:rStyle w:val="Hyperlink"/>
                <w:rFonts w:ascii="Calibri" w:eastAsia="Calibri" w:hAnsi="Calibri" w:cs="Calibri"/>
              </w:rPr>
              <w:t>Introduction</w:t>
            </w:r>
            <w:r>
              <w:tab/>
            </w:r>
            <w:r>
              <w:fldChar w:fldCharType="begin"/>
            </w:r>
            <w:r>
              <w:instrText>PAGEREF _Toc568003026 \h</w:instrText>
            </w:r>
            <w:r>
              <w:fldChar w:fldCharType="separate"/>
            </w:r>
            <w:r w:rsidRPr="6D37ED3F">
              <w:rPr>
                <w:rStyle w:val="Hyperlink"/>
                <w:rFonts w:ascii="Calibri" w:eastAsia="Calibri" w:hAnsi="Calibri" w:cs="Calibri"/>
              </w:rPr>
              <w:t>3</w:t>
            </w:r>
            <w:r>
              <w:fldChar w:fldCharType="end"/>
            </w:r>
          </w:hyperlink>
        </w:p>
        <w:p w14:paraId="1FBC8AF8" w14:textId="2BF41F50" w:rsidR="7A29084A" w:rsidRDefault="7A29084A" w:rsidP="6D37ED3F">
          <w:pPr>
            <w:pStyle w:val="Cuprins2"/>
            <w:tabs>
              <w:tab w:val="right" w:leader="dot" w:pos="9360"/>
            </w:tabs>
            <w:rPr>
              <w:rStyle w:val="Hyperlink"/>
              <w:rFonts w:ascii="Arial" w:eastAsia="Arial" w:hAnsi="Arial" w:cs="Arial"/>
            </w:rPr>
          </w:pPr>
          <w:hyperlink w:anchor="_Toc100118250">
            <w:r w:rsidRPr="6D37ED3F">
              <w:rPr>
                <w:rStyle w:val="Hyperlink"/>
                <w:rFonts w:ascii="Calibri" w:eastAsia="Calibri" w:hAnsi="Calibri" w:cs="Calibri"/>
              </w:rPr>
              <w:t>Discussion</w:t>
            </w:r>
            <w:r>
              <w:tab/>
            </w:r>
            <w:r>
              <w:fldChar w:fldCharType="begin"/>
            </w:r>
            <w:r>
              <w:instrText>PAGEREF _Toc100118250 \h</w:instrText>
            </w:r>
            <w:r>
              <w:fldChar w:fldCharType="separate"/>
            </w:r>
            <w:r w:rsidRPr="6D37ED3F">
              <w:rPr>
                <w:rStyle w:val="Hyperlink"/>
                <w:rFonts w:ascii="Calibri" w:eastAsia="Calibri" w:hAnsi="Calibri" w:cs="Calibri"/>
              </w:rPr>
              <w:t>3</w:t>
            </w:r>
            <w:r>
              <w:fldChar w:fldCharType="end"/>
            </w:r>
          </w:hyperlink>
        </w:p>
        <w:p w14:paraId="294986C8" w14:textId="579AE6BF" w:rsidR="7A29084A" w:rsidRDefault="7A29084A" w:rsidP="6D37ED3F">
          <w:pPr>
            <w:pStyle w:val="Cuprins3"/>
            <w:tabs>
              <w:tab w:val="right" w:leader="dot" w:pos="9360"/>
            </w:tabs>
            <w:rPr>
              <w:rStyle w:val="Hyperlink"/>
              <w:rFonts w:ascii="Arial" w:eastAsia="Arial" w:hAnsi="Arial" w:cs="Arial"/>
            </w:rPr>
          </w:pPr>
          <w:hyperlink w:anchor="_Toc983750146">
            <w:r w:rsidRPr="6D37ED3F">
              <w:rPr>
                <w:rStyle w:val="Hyperlink"/>
                <w:rFonts w:ascii="Calibri" w:eastAsia="Calibri" w:hAnsi="Calibri" w:cs="Calibri"/>
              </w:rPr>
              <w:t>Current development of financial business intelligence</w:t>
            </w:r>
            <w:r>
              <w:tab/>
            </w:r>
            <w:r>
              <w:fldChar w:fldCharType="begin"/>
            </w:r>
            <w:r>
              <w:instrText>PAGEREF _Toc983750146 \h</w:instrText>
            </w:r>
            <w:r>
              <w:fldChar w:fldCharType="separate"/>
            </w:r>
            <w:r w:rsidRPr="6D37ED3F">
              <w:rPr>
                <w:rStyle w:val="Hyperlink"/>
                <w:rFonts w:ascii="Calibri" w:eastAsia="Calibri" w:hAnsi="Calibri" w:cs="Calibri"/>
              </w:rPr>
              <w:t>3</w:t>
            </w:r>
            <w:r>
              <w:fldChar w:fldCharType="end"/>
            </w:r>
          </w:hyperlink>
        </w:p>
        <w:p w14:paraId="5F6B9E3F" w14:textId="43CC3755" w:rsidR="7A29084A" w:rsidRDefault="7A29084A" w:rsidP="6D37ED3F">
          <w:pPr>
            <w:pStyle w:val="Cuprins3"/>
            <w:tabs>
              <w:tab w:val="right" w:leader="dot" w:pos="9360"/>
            </w:tabs>
            <w:rPr>
              <w:rStyle w:val="Hyperlink"/>
              <w:rFonts w:ascii="Arial" w:eastAsia="Arial" w:hAnsi="Arial" w:cs="Arial"/>
            </w:rPr>
          </w:pPr>
          <w:hyperlink w:anchor="_Toc2005516363">
            <w:r w:rsidRPr="6D37ED3F">
              <w:rPr>
                <w:rStyle w:val="Hyperlink"/>
                <w:rFonts w:ascii="Calibri" w:eastAsia="Calibri" w:hAnsi="Calibri" w:cs="Calibri"/>
              </w:rPr>
              <w:t>Classifying Big Data in Finance</w:t>
            </w:r>
            <w:r>
              <w:tab/>
            </w:r>
            <w:r>
              <w:fldChar w:fldCharType="begin"/>
            </w:r>
            <w:r>
              <w:instrText>PAGEREF _Toc2005516363 \h</w:instrText>
            </w:r>
            <w:r>
              <w:fldChar w:fldCharType="separate"/>
            </w:r>
            <w:r w:rsidRPr="6D37ED3F">
              <w:rPr>
                <w:rStyle w:val="Hyperlink"/>
                <w:rFonts w:ascii="Calibri" w:eastAsia="Calibri" w:hAnsi="Calibri" w:cs="Calibri"/>
              </w:rPr>
              <w:t>4</w:t>
            </w:r>
            <w:r>
              <w:fldChar w:fldCharType="end"/>
            </w:r>
          </w:hyperlink>
        </w:p>
        <w:p w14:paraId="3D28C3A4" w14:textId="21D4240B" w:rsidR="7A29084A" w:rsidRDefault="7A29084A" w:rsidP="6D37ED3F">
          <w:pPr>
            <w:pStyle w:val="Cuprins3"/>
            <w:tabs>
              <w:tab w:val="right" w:leader="dot" w:pos="9360"/>
            </w:tabs>
            <w:rPr>
              <w:rStyle w:val="Hyperlink"/>
              <w:rFonts w:ascii="Arial" w:eastAsia="Arial" w:hAnsi="Arial" w:cs="Arial"/>
            </w:rPr>
          </w:pPr>
          <w:hyperlink w:anchor="_Toc242910356">
            <w:r w:rsidRPr="6D37ED3F">
              <w:rPr>
                <w:rStyle w:val="Hyperlink"/>
                <w:rFonts w:ascii="Calibri" w:eastAsia="Calibri" w:hAnsi="Calibri" w:cs="Calibri"/>
              </w:rPr>
              <w:t>Platforms and Tools for Managing Financial Big Data</w:t>
            </w:r>
            <w:r>
              <w:tab/>
            </w:r>
            <w:r>
              <w:fldChar w:fldCharType="begin"/>
            </w:r>
            <w:r>
              <w:instrText>PAGEREF _Toc242910356 \h</w:instrText>
            </w:r>
            <w:r>
              <w:fldChar w:fldCharType="separate"/>
            </w:r>
            <w:r w:rsidRPr="6D37ED3F">
              <w:rPr>
                <w:rStyle w:val="Hyperlink"/>
                <w:rFonts w:ascii="Calibri" w:eastAsia="Calibri" w:hAnsi="Calibri" w:cs="Calibri"/>
              </w:rPr>
              <w:t>4</w:t>
            </w:r>
            <w:r>
              <w:fldChar w:fldCharType="end"/>
            </w:r>
          </w:hyperlink>
        </w:p>
        <w:p w14:paraId="2263569B" w14:textId="4D9CA37D" w:rsidR="7A29084A" w:rsidRDefault="7A29084A" w:rsidP="6D37ED3F">
          <w:pPr>
            <w:pStyle w:val="Cuprins3"/>
            <w:tabs>
              <w:tab w:val="right" w:leader="dot" w:pos="9360"/>
            </w:tabs>
            <w:rPr>
              <w:rStyle w:val="Hyperlink"/>
              <w:rFonts w:ascii="Arial" w:eastAsia="Arial" w:hAnsi="Arial" w:cs="Arial"/>
            </w:rPr>
          </w:pPr>
          <w:hyperlink w:anchor="_Toc1740061944">
            <w:r w:rsidRPr="6D37ED3F">
              <w:rPr>
                <w:rStyle w:val="Hyperlink"/>
                <w:rFonts w:ascii="Calibri" w:eastAsia="Calibri" w:hAnsi="Calibri" w:cs="Calibri"/>
              </w:rPr>
              <w:t>Finance Big Data Analytics</w:t>
            </w:r>
            <w:r>
              <w:tab/>
            </w:r>
            <w:r>
              <w:fldChar w:fldCharType="begin"/>
            </w:r>
            <w:r>
              <w:instrText>PAGEREF _Toc1740061944 \h</w:instrText>
            </w:r>
            <w:r>
              <w:fldChar w:fldCharType="separate"/>
            </w:r>
            <w:r w:rsidRPr="6D37ED3F">
              <w:rPr>
                <w:rStyle w:val="Hyperlink"/>
                <w:rFonts w:ascii="Calibri" w:eastAsia="Calibri" w:hAnsi="Calibri" w:cs="Calibri"/>
              </w:rPr>
              <w:t>5</w:t>
            </w:r>
            <w:r>
              <w:fldChar w:fldCharType="end"/>
            </w:r>
          </w:hyperlink>
        </w:p>
        <w:p w14:paraId="79118252" w14:textId="0026411B" w:rsidR="7A29084A" w:rsidRDefault="7A29084A" w:rsidP="6D37ED3F">
          <w:pPr>
            <w:pStyle w:val="Cuprins2"/>
            <w:tabs>
              <w:tab w:val="right" w:leader="dot" w:pos="9360"/>
            </w:tabs>
            <w:rPr>
              <w:rStyle w:val="Hyperlink"/>
              <w:rFonts w:ascii="Arial" w:eastAsia="Arial" w:hAnsi="Arial" w:cs="Arial"/>
            </w:rPr>
          </w:pPr>
          <w:hyperlink w:anchor="_Toc1154238428">
            <w:r w:rsidRPr="6D37ED3F">
              <w:rPr>
                <w:rStyle w:val="Hyperlink"/>
                <w:rFonts w:ascii="Calibri" w:eastAsia="Calibri" w:hAnsi="Calibri" w:cs="Calibri"/>
              </w:rPr>
              <w:t>Conclusion</w:t>
            </w:r>
            <w:r>
              <w:tab/>
            </w:r>
            <w:r>
              <w:fldChar w:fldCharType="begin"/>
            </w:r>
            <w:r>
              <w:instrText>PAGEREF _Toc1154238428 \h</w:instrText>
            </w:r>
            <w:r>
              <w:fldChar w:fldCharType="separate"/>
            </w:r>
            <w:r w:rsidRPr="6D37ED3F">
              <w:rPr>
                <w:rStyle w:val="Hyperlink"/>
                <w:rFonts w:ascii="Calibri" w:eastAsia="Calibri" w:hAnsi="Calibri" w:cs="Calibri"/>
              </w:rPr>
              <w:t>5</w:t>
            </w:r>
            <w:r>
              <w:fldChar w:fldCharType="end"/>
            </w:r>
          </w:hyperlink>
        </w:p>
        <w:p w14:paraId="72F1508E" w14:textId="6596F8EC" w:rsidR="7A29084A" w:rsidRDefault="7A29084A" w:rsidP="6D37ED3F">
          <w:pPr>
            <w:pStyle w:val="Cuprins2"/>
            <w:tabs>
              <w:tab w:val="right" w:leader="dot" w:pos="9360"/>
            </w:tabs>
            <w:rPr>
              <w:rStyle w:val="Hyperlink"/>
              <w:rFonts w:ascii="Arial" w:eastAsia="Arial" w:hAnsi="Arial" w:cs="Arial"/>
            </w:rPr>
          </w:pPr>
          <w:hyperlink w:anchor="_Toc1265612646">
            <w:r w:rsidRPr="6D37ED3F">
              <w:rPr>
                <w:rStyle w:val="Hyperlink"/>
                <w:rFonts w:ascii="Calibri" w:eastAsia="Calibri" w:hAnsi="Calibri" w:cs="Calibri"/>
              </w:rPr>
              <w:t>References</w:t>
            </w:r>
            <w:r>
              <w:tab/>
            </w:r>
            <w:r>
              <w:fldChar w:fldCharType="begin"/>
            </w:r>
            <w:r>
              <w:instrText>PAGEREF _Toc1265612646 \h</w:instrText>
            </w:r>
            <w:r>
              <w:fldChar w:fldCharType="separate"/>
            </w:r>
            <w:r w:rsidRPr="6D37ED3F">
              <w:rPr>
                <w:rStyle w:val="Hyperlink"/>
                <w:rFonts w:ascii="Calibri" w:eastAsia="Calibri" w:hAnsi="Calibri" w:cs="Calibri"/>
              </w:rPr>
              <w:t>6</w:t>
            </w:r>
            <w:r>
              <w:fldChar w:fldCharType="end"/>
            </w:r>
          </w:hyperlink>
          <w:r>
            <w:fldChar w:fldCharType="end"/>
          </w:r>
        </w:p>
      </w:sdtContent>
    </w:sdt>
    <w:p w14:paraId="575FE9ED" w14:textId="11439FBB" w:rsidR="7A29084A" w:rsidRDefault="7A29084A" w:rsidP="7A29084A">
      <w:pPr>
        <w:rPr>
          <w:rFonts w:ascii="Calibri" w:eastAsia="Calibri" w:hAnsi="Calibri" w:cs="Calibri"/>
          <w:b/>
          <w:bCs/>
        </w:rPr>
      </w:pPr>
    </w:p>
    <w:p w14:paraId="77A144AD" w14:textId="2A335816" w:rsidR="7A29084A" w:rsidRDefault="7A29084A" w:rsidP="7A29084A">
      <w:pPr>
        <w:rPr>
          <w:rFonts w:ascii="Calibri" w:eastAsia="Calibri" w:hAnsi="Calibri" w:cs="Calibri"/>
          <w:b/>
          <w:bCs/>
        </w:rPr>
      </w:pPr>
    </w:p>
    <w:p w14:paraId="77DFD204" w14:textId="5D73B4D8" w:rsidR="7A29084A" w:rsidRDefault="7A29084A" w:rsidP="7A29084A">
      <w:pPr>
        <w:rPr>
          <w:rFonts w:ascii="Calibri" w:eastAsia="Calibri" w:hAnsi="Calibri" w:cs="Calibri"/>
          <w:b/>
          <w:bCs/>
        </w:rPr>
      </w:pPr>
    </w:p>
    <w:p w14:paraId="36C5F780" w14:textId="2A45E711" w:rsidR="7A29084A" w:rsidRDefault="7A29084A" w:rsidP="7A29084A">
      <w:pPr>
        <w:rPr>
          <w:rFonts w:ascii="Calibri" w:eastAsia="Calibri" w:hAnsi="Calibri" w:cs="Calibri"/>
          <w:b/>
          <w:bCs/>
        </w:rPr>
      </w:pPr>
    </w:p>
    <w:p w14:paraId="3E01E898" w14:textId="7EF63F5F" w:rsidR="7A29084A" w:rsidRDefault="7A29084A" w:rsidP="7A29084A">
      <w:pPr>
        <w:rPr>
          <w:rFonts w:ascii="Calibri" w:eastAsia="Calibri" w:hAnsi="Calibri" w:cs="Calibri"/>
          <w:b/>
          <w:bCs/>
        </w:rPr>
      </w:pPr>
    </w:p>
    <w:p w14:paraId="311C6F98" w14:textId="6D2E3E51" w:rsidR="7A29084A" w:rsidRDefault="7A29084A" w:rsidP="7A29084A">
      <w:pPr>
        <w:rPr>
          <w:rFonts w:ascii="Calibri" w:eastAsia="Calibri" w:hAnsi="Calibri" w:cs="Calibri"/>
          <w:b/>
          <w:bCs/>
        </w:rPr>
      </w:pPr>
    </w:p>
    <w:p w14:paraId="5EDAA02D" w14:textId="1628F073" w:rsidR="7A29084A" w:rsidRDefault="7A29084A" w:rsidP="7A29084A">
      <w:pPr>
        <w:rPr>
          <w:rFonts w:ascii="Calibri" w:eastAsia="Calibri" w:hAnsi="Calibri" w:cs="Calibri"/>
          <w:b/>
          <w:bCs/>
        </w:rPr>
      </w:pPr>
    </w:p>
    <w:p w14:paraId="2130D908" w14:textId="2A09D07E" w:rsidR="7A29084A" w:rsidRDefault="7A29084A" w:rsidP="7A29084A">
      <w:pPr>
        <w:rPr>
          <w:rFonts w:ascii="Calibri" w:eastAsia="Calibri" w:hAnsi="Calibri" w:cs="Calibri"/>
          <w:b/>
          <w:bCs/>
        </w:rPr>
      </w:pPr>
    </w:p>
    <w:p w14:paraId="6C623081" w14:textId="3EB36CD1" w:rsidR="7A29084A" w:rsidRDefault="7A29084A" w:rsidP="7A29084A">
      <w:pPr>
        <w:rPr>
          <w:rFonts w:ascii="Calibri" w:eastAsia="Calibri" w:hAnsi="Calibri" w:cs="Calibri"/>
          <w:b/>
          <w:bCs/>
        </w:rPr>
      </w:pPr>
    </w:p>
    <w:p w14:paraId="55555F1F" w14:textId="03BD958F" w:rsidR="7A29084A" w:rsidRDefault="7A29084A" w:rsidP="7A29084A">
      <w:pPr>
        <w:rPr>
          <w:rFonts w:ascii="Calibri" w:eastAsia="Calibri" w:hAnsi="Calibri" w:cs="Calibri"/>
          <w:b/>
          <w:bCs/>
        </w:rPr>
      </w:pPr>
    </w:p>
    <w:p w14:paraId="254A8DE1" w14:textId="4746898A" w:rsidR="7A29084A" w:rsidRDefault="7A29084A" w:rsidP="7A29084A">
      <w:pPr>
        <w:rPr>
          <w:rFonts w:ascii="Calibri" w:eastAsia="Calibri" w:hAnsi="Calibri" w:cs="Calibri"/>
          <w:b/>
          <w:bCs/>
        </w:rPr>
      </w:pPr>
    </w:p>
    <w:p w14:paraId="2910F481" w14:textId="347D653F" w:rsidR="7A29084A" w:rsidRDefault="7A29084A" w:rsidP="7A29084A">
      <w:pPr>
        <w:rPr>
          <w:rFonts w:ascii="Calibri" w:eastAsia="Calibri" w:hAnsi="Calibri" w:cs="Calibri"/>
          <w:b/>
          <w:bCs/>
        </w:rPr>
      </w:pPr>
    </w:p>
    <w:p w14:paraId="344F3C9B" w14:textId="14C618E3" w:rsidR="7A29084A" w:rsidRDefault="7A29084A" w:rsidP="7A29084A">
      <w:pPr>
        <w:rPr>
          <w:rFonts w:ascii="Calibri" w:eastAsia="Calibri" w:hAnsi="Calibri" w:cs="Calibri"/>
          <w:b/>
          <w:bCs/>
        </w:rPr>
      </w:pPr>
    </w:p>
    <w:p w14:paraId="6442D29D" w14:textId="72837C52" w:rsidR="7A29084A" w:rsidRDefault="7A29084A" w:rsidP="7A29084A">
      <w:pPr>
        <w:rPr>
          <w:rFonts w:ascii="Calibri" w:eastAsia="Calibri" w:hAnsi="Calibri" w:cs="Calibri"/>
          <w:b/>
          <w:bCs/>
        </w:rPr>
      </w:pPr>
    </w:p>
    <w:p w14:paraId="5AC8739D" w14:textId="5722D161" w:rsidR="7A29084A" w:rsidRDefault="7A29084A" w:rsidP="7A29084A">
      <w:pPr>
        <w:rPr>
          <w:rFonts w:ascii="Calibri" w:eastAsia="Calibri" w:hAnsi="Calibri" w:cs="Calibri"/>
          <w:b/>
          <w:bCs/>
        </w:rPr>
      </w:pPr>
    </w:p>
    <w:p w14:paraId="67DDE0A4" w14:textId="26A35813" w:rsidR="7A29084A" w:rsidRDefault="7A29084A" w:rsidP="7A29084A">
      <w:pPr>
        <w:rPr>
          <w:rFonts w:ascii="Calibri" w:eastAsia="Calibri" w:hAnsi="Calibri" w:cs="Calibri"/>
          <w:b/>
          <w:bCs/>
        </w:rPr>
      </w:pPr>
    </w:p>
    <w:p w14:paraId="7D59D20A" w14:textId="7EDD1658" w:rsidR="7A29084A" w:rsidRDefault="7A29084A" w:rsidP="7A29084A">
      <w:pPr>
        <w:rPr>
          <w:rFonts w:ascii="Calibri" w:eastAsia="Calibri" w:hAnsi="Calibri" w:cs="Calibri"/>
          <w:b/>
          <w:bCs/>
        </w:rPr>
      </w:pPr>
    </w:p>
    <w:p w14:paraId="4C5F4307" w14:textId="0A99EAEE" w:rsidR="7A29084A" w:rsidRDefault="7A29084A" w:rsidP="7A29084A">
      <w:pPr>
        <w:rPr>
          <w:rFonts w:ascii="Calibri" w:eastAsia="Calibri" w:hAnsi="Calibri" w:cs="Calibri"/>
          <w:b/>
          <w:bCs/>
        </w:rPr>
      </w:pPr>
    </w:p>
    <w:p w14:paraId="32AFD9AD" w14:textId="56D40F73" w:rsidR="5F1C6D44" w:rsidRDefault="5F1C6D44" w:rsidP="6D37ED3F">
      <w:pPr>
        <w:pStyle w:val="Titlu2"/>
        <w:spacing w:line="360" w:lineRule="auto"/>
        <w:rPr>
          <w:rFonts w:ascii="Arial" w:eastAsia="Arial" w:hAnsi="Arial" w:cs="Arial"/>
          <w:u w:val="single"/>
        </w:rPr>
      </w:pPr>
      <w:bookmarkStart w:id="0" w:name="_Toc568003026"/>
      <w:r w:rsidRPr="6D37ED3F">
        <w:rPr>
          <w:rFonts w:ascii="Arial" w:eastAsia="Arial" w:hAnsi="Arial" w:cs="Arial"/>
          <w:u w:val="single"/>
        </w:rPr>
        <w:t>Introduction</w:t>
      </w:r>
      <w:bookmarkEnd w:id="0"/>
    </w:p>
    <w:p w14:paraId="6827FF13" w14:textId="203D1258" w:rsidR="49B7C999" w:rsidRDefault="49B7C999" w:rsidP="6D37ED3F">
      <w:pPr>
        <w:spacing w:before="240" w:after="240" w:line="360" w:lineRule="auto"/>
        <w:rPr>
          <w:rFonts w:ascii="Arial" w:eastAsia="Arial" w:hAnsi="Arial" w:cs="Arial"/>
        </w:rPr>
      </w:pPr>
      <w:r w:rsidRPr="6D37ED3F">
        <w:rPr>
          <w:rFonts w:ascii="Arial" w:eastAsia="Arial" w:hAnsi="Arial" w:cs="Arial"/>
        </w:rPr>
        <w:t>In the financial industry, business intelligence (BI) tools provide insights derived from raw data which give companies a competitive edge. In an industry that is renowned for holding vast quantities of sensitive and intricate data, banking continues to rely heavily on BI tools and processes.</w:t>
      </w:r>
    </w:p>
    <w:p w14:paraId="199DE38D" w14:textId="7512F4E8" w:rsidR="49B7C999" w:rsidRDefault="49B7C999" w:rsidP="6D37ED3F">
      <w:pPr>
        <w:spacing w:before="240" w:after="240" w:line="360" w:lineRule="auto"/>
        <w:rPr>
          <w:rFonts w:ascii="Arial" w:eastAsia="Arial" w:hAnsi="Arial" w:cs="Arial"/>
        </w:rPr>
      </w:pPr>
      <w:r w:rsidRPr="6D37ED3F">
        <w:rPr>
          <w:rFonts w:ascii="Arial" w:eastAsia="Arial" w:hAnsi="Arial" w:cs="Arial"/>
        </w:rPr>
        <w:t>The volume, diversity, and velocity of big data have all increased dramatically, which in turn means that business intelligence (BI) techniques within the financial sector have made notable advances. In the fields of fraud detection, predictive analytics and consumer behavior analysis are where they have advanced most notably. When we talk of a successful BI culture, EI MATRIX (Eidizadeh et al., 2017) specifies how this is built up from data outlay, analytical capability, content excellence and conscientious decision-making. On the other hand, Larson &amp; Chang (2016) set forth developing trends in today's market -from data science applications to new agile BI tools and methods. Consequently, this study will aim to identify types of big data, scrutinize platforms and instruments, work out what to make of BI trends in the financial industry and have a word on future results from big data analyses.</w:t>
      </w:r>
    </w:p>
    <w:p w14:paraId="3A9507FE" w14:textId="43D068C4" w:rsidR="5DF9E310" w:rsidRDefault="5DF9E310" w:rsidP="6D37ED3F">
      <w:pPr>
        <w:pStyle w:val="Titlu2"/>
        <w:spacing w:line="360" w:lineRule="auto"/>
        <w:rPr>
          <w:rFonts w:ascii="Arial" w:eastAsia="Arial" w:hAnsi="Arial" w:cs="Arial"/>
          <w:u w:val="single"/>
        </w:rPr>
      </w:pPr>
      <w:bookmarkStart w:id="1" w:name="_Toc100118250"/>
      <w:r w:rsidRPr="6D37ED3F">
        <w:rPr>
          <w:rFonts w:ascii="Arial" w:eastAsia="Arial" w:hAnsi="Arial" w:cs="Arial"/>
          <w:u w:val="single"/>
        </w:rPr>
        <w:t>Discussion</w:t>
      </w:r>
      <w:bookmarkEnd w:id="1"/>
    </w:p>
    <w:p w14:paraId="228F8308" w14:textId="4AEB82D8" w:rsidR="40F9DCE2" w:rsidRDefault="40F9DCE2" w:rsidP="6D37ED3F">
      <w:pPr>
        <w:pStyle w:val="Titlu3"/>
        <w:spacing w:line="360" w:lineRule="auto"/>
        <w:rPr>
          <w:rFonts w:ascii="Arial" w:eastAsia="Arial" w:hAnsi="Arial" w:cs="Arial"/>
          <w:u w:val="single"/>
        </w:rPr>
      </w:pPr>
      <w:bookmarkStart w:id="2" w:name="_Toc983750146"/>
      <w:r w:rsidRPr="6D37ED3F">
        <w:rPr>
          <w:rFonts w:ascii="Arial" w:eastAsia="Arial" w:hAnsi="Arial" w:cs="Arial"/>
          <w:u w:val="single"/>
        </w:rPr>
        <w:t>Current development of financial business intelligence</w:t>
      </w:r>
      <w:bookmarkEnd w:id="2"/>
    </w:p>
    <w:p w14:paraId="29AD62F8" w14:textId="6DEBA625" w:rsidR="40F9DCE2" w:rsidRDefault="40F9DCE2" w:rsidP="6D37ED3F">
      <w:pPr>
        <w:spacing w:before="240" w:after="240" w:line="360" w:lineRule="auto"/>
        <w:rPr>
          <w:rFonts w:ascii="Arial" w:eastAsia="Arial" w:hAnsi="Arial" w:cs="Arial"/>
        </w:rPr>
      </w:pPr>
      <w:r w:rsidRPr="6D37ED3F">
        <w:rPr>
          <w:rFonts w:ascii="Arial" w:eastAsia="Arial" w:hAnsi="Arial" w:cs="Arial"/>
        </w:rPr>
        <w:t>BI developments include cloud-based BI solutions and AI-driven predictive modeling (Chen et al., 2012), real-time analytics. At Whosa, they're breaking down the full computing problem-racking servers of bank information systems are being replaced with distributed information networks that can extract and channel many thousands more transactions per second than any centralised system has so far managed to do. For example, by using real-time data analytics it is possible to monitor transaction volumes instantly and market patterns instantly, essential for high-frequency trading and fraud detection (Davenport &amp; Bean, 2018). This immediacy means that banks can respond immediately to financial worries, thereby providing stability.</w:t>
      </w:r>
    </w:p>
    <w:p w14:paraId="7FF2720F" w14:textId="30D45D96" w:rsidR="40F9DCE2" w:rsidRDefault="40F9DCE2" w:rsidP="6D37ED3F">
      <w:pPr>
        <w:spacing w:before="240" w:after="240" w:line="360" w:lineRule="auto"/>
        <w:rPr>
          <w:rFonts w:ascii="Arial" w:eastAsia="Arial" w:hAnsi="Arial" w:cs="Arial"/>
        </w:rPr>
      </w:pPr>
      <w:r w:rsidRPr="6D37ED3F">
        <w:rPr>
          <w:rFonts w:ascii="Arial" w:eastAsia="Arial" w:hAnsi="Arial" w:cs="Arial"/>
        </w:rPr>
        <w:t>Financial institutions are beginning to understand consumer behavior and market trends more accurately than ever thanks to AI-powered predictive analysis for creating data-driven predictions (Rialti et al., 2019). When it comes to evaluating credit risk a pivotal area of finance assistance with machine learning models is critical in spotting potential defaults. Finally, cloud-based BI is in a leading position on the market. For its scalable nature and easy usability, it is widely accepted by banks to store their sensitive data and conduct secure operations on than Chen (2015).</w:t>
      </w:r>
    </w:p>
    <w:p w14:paraId="2A0F2163" w14:textId="1BE670E4" w:rsidR="3B15B221" w:rsidRDefault="3B15B221" w:rsidP="6D37ED3F">
      <w:pPr>
        <w:pStyle w:val="Titlu3"/>
        <w:spacing w:line="360" w:lineRule="auto"/>
        <w:rPr>
          <w:rFonts w:ascii="Arial" w:eastAsia="Arial" w:hAnsi="Arial" w:cs="Arial"/>
          <w:u w:val="single"/>
        </w:rPr>
      </w:pPr>
      <w:bookmarkStart w:id="3" w:name="_Toc2005516363"/>
      <w:r w:rsidRPr="6D37ED3F">
        <w:rPr>
          <w:rFonts w:ascii="Arial" w:eastAsia="Arial" w:hAnsi="Arial" w:cs="Arial"/>
          <w:u w:val="single"/>
        </w:rPr>
        <w:t>Classifying Big Data in Finance</w:t>
      </w:r>
      <w:bookmarkEnd w:id="3"/>
    </w:p>
    <w:p w14:paraId="409E1C2F" w14:textId="083D5FCB" w:rsidR="3B15B221" w:rsidRDefault="3B15B221" w:rsidP="6D37ED3F">
      <w:pPr>
        <w:spacing w:before="240" w:after="240" w:line="360" w:lineRule="auto"/>
        <w:rPr>
          <w:rFonts w:ascii="Arial" w:eastAsia="Arial" w:hAnsi="Arial" w:cs="Arial"/>
        </w:rPr>
      </w:pPr>
      <w:r w:rsidRPr="6D37ED3F">
        <w:rPr>
          <w:rFonts w:ascii="Arial" w:eastAsia="Arial" w:hAnsi="Arial" w:cs="Arial"/>
        </w:rPr>
        <w:t>Big data in finance can be divided into structured, unstructured and semi structured. They each have different advantages which can be used for BI (Wamba et al., 2015). Relevant information is provided by these structured financial data for essential activities such as risk assessment and portfolio management.  Financial institutions increasingly utilise unstructured data sources, such as customer reviews or social media insights, to understand public sentiment and market trends more directly (Gandomi &amp; Haider, 2015). As firms analy</w:t>
      </w:r>
      <w:r w:rsidR="2EDCF087" w:rsidRPr="6D37ED3F">
        <w:rPr>
          <w:rFonts w:ascii="Arial" w:eastAsia="Arial" w:hAnsi="Arial" w:cs="Arial"/>
        </w:rPr>
        <w:t>s</w:t>
      </w:r>
      <w:r w:rsidRPr="6D37ED3F">
        <w:rPr>
          <w:rFonts w:ascii="Arial" w:eastAsia="Arial" w:hAnsi="Arial" w:cs="Arial"/>
        </w:rPr>
        <w:t>e these unstructured data sources, they can uncover patterns which provide clues for making investment decisions (Davenport &amp; Bean, 2018). Semi-structured Data Semi-structured data is information that appears in a mixture of structured and unstructured forms. It needs advanced processing techniques (Chen et al., 2015). Semi-structured data is vital for determining customer risk and detecting signs of financial fraud. It maintains an interface between each of the categories above which lies as a powerful analysis tool for financial information.</w:t>
      </w:r>
    </w:p>
    <w:p w14:paraId="46453237" w14:textId="14E1F66E" w:rsidR="205C6BBC" w:rsidRDefault="205C6BBC" w:rsidP="6D37ED3F">
      <w:pPr>
        <w:pStyle w:val="Titlu3"/>
        <w:spacing w:line="360" w:lineRule="auto"/>
        <w:rPr>
          <w:rFonts w:ascii="Arial" w:eastAsia="Arial" w:hAnsi="Arial" w:cs="Arial"/>
          <w:u w:val="single"/>
        </w:rPr>
      </w:pPr>
      <w:bookmarkStart w:id="4" w:name="_Toc242910356"/>
      <w:r w:rsidRPr="6D37ED3F">
        <w:rPr>
          <w:rFonts w:ascii="Arial" w:eastAsia="Arial" w:hAnsi="Arial" w:cs="Arial"/>
          <w:u w:val="single"/>
        </w:rPr>
        <w:t>Platforms and Tools for Managing Financial Big Data</w:t>
      </w:r>
      <w:bookmarkEnd w:id="4"/>
    </w:p>
    <w:p w14:paraId="7B1FD4B4" w14:textId="3EBA7E74" w:rsidR="205C6BBC" w:rsidRDefault="205C6BBC" w:rsidP="6D37ED3F">
      <w:pPr>
        <w:spacing w:before="240" w:after="240" w:line="360" w:lineRule="auto"/>
        <w:rPr>
          <w:rFonts w:ascii="Arial" w:eastAsia="Arial" w:hAnsi="Arial" w:cs="Arial"/>
        </w:rPr>
      </w:pPr>
      <w:r w:rsidRPr="6D37ED3F">
        <w:rPr>
          <w:rFonts w:ascii="Arial" w:eastAsia="Arial" w:hAnsi="Arial" w:cs="Arial"/>
        </w:rPr>
        <w:t>As previously mentioned, finance institutions make use of a wide range of platforms and BI tools in order to handle big data sets.</w:t>
      </w:r>
    </w:p>
    <w:p w14:paraId="3429F3D3" w14:textId="589B6471" w:rsidR="205C6BBC" w:rsidRDefault="205C6BBC" w:rsidP="6D37ED3F">
      <w:pPr>
        <w:spacing w:before="240" w:after="240" w:line="360" w:lineRule="auto"/>
        <w:rPr>
          <w:rFonts w:ascii="Arial" w:eastAsia="Arial" w:hAnsi="Arial" w:cs="Arial"/>
        </w:rPr>
      </w:pPr>
      <w:r w:rsidRPr="6D37ED3F">
        <w:rPr>
          <w:rFonts w:ascii="Arial" w:eastAsia="Arial" w:hAnsi="Arial" w:cs="Arial"/>
        </w:rPr>
        <w:t>Take Apache Hadoop, which is able to process large volumes of structured data and Apache Spark that can handle both meteorically increasing data quantities as businesses grow, plus unstructured data. Together they run the analytic jobs for fraud detection and market segmentation (Wamba et al., 2015). Spark also enables in-memory processing - that speeds up analyses--necessary for pixel-by-pixel performance in making trading decisions real time. (Chen et al., 2012).</w:t>
      </w:r>
    </w:p>
    <w:p w14:paraId="2E884E58" w14:textId="2B5A81F8" w:rsidR="205C6BBC" w:rsidRDefault="205C6BBC" w:rsidP="6D37ED3F">
      <w:pPr>
        <w:spacing w:before="240" w:after="240" w:line="360" w:lineRule="auto"/>
        <w:rPr>
          <w:rFonts w:ascii="Arial" w:eastAsia="Arial" w:hAnsi="Arial" w:cs="Arial"/>
        </w:rPr>
      </w:pPr>
      <w:r w:rsidRPr="6D37ED3F">
        <w:rPr>
          <w:rFonts w:ascii="Arial" w:eastAsia="Arial" w:hAnsi="Arial" w:cs="Arial"/>
        </w:rPr>
        <w:t>Using these visualization tools, Tableau and Microsoft Power BI, lets stakeholders at organizations all points in the enterprise make fast but well-informed choices. By presenting messy financial data in a way that is easier to understand, analysts can communicate with their peers. (Kiron, Prentice &amp; Ferguson, 2014) One case is that banks frequently use Tableau to monitor KPIs for making campaign contributions across geographies. Another example comes from the finance industry, where Tableaus also aids in interpreting FX rates for decision making purposes among different regions.</w:t>
      </w:r>
    </w:p>
    <w:p w14:paraId="6EB0508E" w14:textId="441D67A3" w:rsidR="205C6BBC" w:rsidRDefault="205C6BBC" w:rsidP="6D37ED3F">
      <w:pPr>
        <w:spacing w:before="240" w:after="240" w:line="360" w:lineRule="auto"/>
        <w:rPr>
          <w:rFonts w:ascii="Arial" w:eastAsia="Arial" w:hAnsi="Arial" w:cs="Arial"/>
        </w:rPr>
      </w:pPr>
      <w:r w:rsidRPr="6D37ED3F">
        <w:rPr>
          <w:rFonts w:ascii="Arial" w:eastAsia="Arial" w:hAnsi="Arial" w:cs="Arial"/>
        </w:rPr>
        <w:t>SAS and Oracle BI are specialized platforms for the finance sector that provide advanced risk management and compliance capabilities (Puklavec et al., 2018). Just as examples: Oracle BI is capable of performance analysis, enabling banks to maximize their profitability; SAS has been widely applied in regulatory reporting (Larson &amp; Chang, 2016).</w:t>
      </w:r>
    </w:p>
    <w:p w14:paraId="1E81C756" w14:textId="0079841F" w:rsidR="205C6BBC" w:rsidRDefault="205C6BBC" w:rsidP="6D37ED3F">
      <w:pPr>
        <w:spacing w:before="240" w:after="240" w:line="360" w:lineRule="auto"/>
        <w:rPr>
          <w:rFonts w:ascii="Arial" w:eastAsia="Arial" w:hAnsi="Arial" w:cs="Arial"/>
        </w:rPr>
      </w:pPr>
      <w:r w:rsidRPr="6D37ED3F">
        <w:rPr>
          <w:rFonts w:ascii="Arial" w:eastAsia="Arial" w:hAnsi="Arial" w:cs="Arial"/>
        </w:rPr>
        <w:t>The names of these platforms are SAS and Oracle BI.</w:t>
      </w:r>
    </w:p>
    <w:p w14:paraId="3D55E007" w14:textId="26CDE921" w:rsidR="743F35EB" w:rsidRDefault="743F35EB" w:rsidP="6D37ED3F">
      <w:pPr>
        <w:pStyle w:val="Titlu3"/>
        <w:spacing w:line="360" w:lineRule="auto"/>
        <w:rPr>
          <w:rFonts w:ascii="Arial" w:eastAsia="Arial" w:hAnsi="Arial" w:cs="Arial"/>
          <w:u w:val="single"/>
        </w:rPr>
      </w:pPr>
      <w:bookmarkStart w:id="5" w:name="_Toc1740061944"/>
      <w:r w:rsidRPr="6D37ED3F">
        <w:rPr>
          <w:rFonts w:ascii="Arial" w:eastAsia="Arial" w:hAnsi="Arial" w:cs="Arial"/>
          <w:u w:val="single"/>
        </w:rPr>
        <w:t>Finance Big Data Analytics</w:t>
      </w:r>
      <w:bookmarkEnd w:id="5"/>
    </w:p>
    <w:p w14:paraId="3F3A72DC" w14:textId="7BE69C70" w:rsidR="743F35EB" w:rsidRDefault="743F35EB" w:rsidP="6D37ED3F">
      <w:pPr>
        <w:spacing w:before="240" w:after="240" w:line="360" w:lineRule="auto"/>
        <w:rPr>
          <w:rFonts w:ascii="Arial" w:eastAsia="Arial" w:hAnsi="Arial" w:cs="Arial"/>
        </w:rPr>
      </w:pPr>
      <w:r w:rsidRPr="6D37ED3F">
        <w:rPr>
          <w:rFonts w:ascii="Arial" w:eastAsia="Arial" w:hAnsi="Arial" w:cs="Arial"/>
        </w:rPr>
        <w:t>Future developments in edge computing, enhanced predictive analytics, and data security: Three reasons that big data analytics will probably be further lifted in the finance sector.</w:t>
      </w:r>
    </w:p>
    <w:p w14:paraId="5B61AE5A" w14:textId="60150352" w:rsidR="743F35EB" w:rsidRDefault="743F35EB" w:rsidP="6D37ED3F">
      <w:pPr>
        <w:spacing w:before="240" w:after="240" w:line="360" w:lineRule="auto"/>
        <w:rPr>
          <w:rFonts w:ascii="Arial" w:eastAsia="Arial" w:hAnsi="Arial" w:cs="Arial"/>
        </w:rPr>
      </w:pPr>
      <w:r w:rsidRPr="6D37ED3F">
        <w:rPr>
          <w:rFonts w:ascii="Arial" w:eastAsia="Arial" w:hAnsi="Arial" w:cs="Arial"/>
        </w:rPr>
        <w:t>Edge Computing: With edge computing becoming more prevalent, data processing is moving closer to the source. Decisions therefore become faster, and swifter as required in high-frequency trading (Wixom, Yen &amp; Relich, 2013). Financial institutions can now monitor market changes with minimum latency (Manyika et al., 2011).</w:t>
      </w:r>
    </w:p>
    <w:p w14:paraId="03D049C7" w14:textId="532C82CD" w:rsidR="743F35EB" w:rsidRDefault="743F35EB" w:rsidP="6D37ED3F">
      <w:pPr>
        <w:spacing w:before="240" w:after="240" w:line="360" w:lineRule="auto"/>
        <w:rPr>
          <w:rFonts w:ascii="Arial" w:eastAsia="Arial" w:hAnsi="Arial" w:cs="Arial"/>
        </w:rPr>
      </w:pPr>
      <w:r w:rsidRPr="6D37ED3F">
        <w:rPr>
          <w:rFonts w:ascii="Arial" w:eastAsia="Arial" w:hAnsi="Arial" w:cs="Arial"/>
        </w:rPr>
        <w:t>Advanced Predictive Analysis: Just as AI-based predictive models become more accurate and sophisticated, so will banks begin to fine-tune their predictions for consumer demand and market trends. This shift is needed to enhance consumer satisfaction and will not only be a technical one but need various other conditions of operation.</w:t>
      </w:r>
    </w:p>
    <w:p w14:paraId="27141FB2" w14:textId="092ECF28" w:rsidR="743F35EB" w:rsidRDefault="743F35EB" w:rsidP="6D37ED3F">
      <w:pPr>
        <w:spacing w:line="360" w:lineRule="auto"/>
        <w:rPr>
          <w:rFonts w:ascii="Arial" w:eastAsia="Arial" w:hAnsi="Arial" w:cs="Arial"/>
        </w:rPr>
      </w:pPr>
      <w:r w:rsidRPr="6D37ED3F">
        <w:rPr>
          <w:rFonts w:ascii="Arial" w:eastAsia="Arial" w:hAnsi="Arial" w:cs="Arial"/>
        </w:rPr>
        <w:t xml:space="preserve">Data Security and </w:t>
      </w:r>
      <w:r w:rsidR="2ED32BF5" w:rsidRPr="6D37ED3F">
        <w:rPr>
          <w:rFonts w:ascii="Arial" w:eastAsia="Arial" w:hAnsi="Arial" w:cs="Arial"/>
        </w:rPr>
        <w:t>Privacy: As</w:t>
      </w:r>
      <w:r w:rsidRPr="6D37ED3F">
        <w:rPr>
          <w:rFonts w:ascii="Arial" w:eastAsia="Arial" w:hAnsi="Arial" w:cs="Arial"/>
        </w:rPr>
        <w:t xml:space="preserve"> the volume increases of sensitive financial data it is essential that proper protection measures are taken. In BI systems of the future that will be composed especially for financial services such encryption and sophisticated privacy features to defend against cyberattacks are a must (Chen et al., 2015).</w:t>
      </w:r>
    </w:p>
    <w:p w14:paraId="51BEFA98" w14:textId="30529F63" w:rsidR="47888427" w:rsidRDefault="47888427" w:rsidP="6D37ED3F">
      <w:pPr>
        <w:pStyle w:val="Titlu2"/>
        <w:spacing w:line="360" w:lineRule="auto"/>
        <w:rPr>
          <w:rFonts w:ascii="Arial" w:eastAsia="Arial" w:hAnsi="Arial" w:cs="Arial"/>
          <w:u w:val="single"/>
        </w:rPr>
      </w:pPr>
      <w:bookmarkStart w:id="6" w:name="_Toc1154238428"/>
      <w:r w:rsidRPr="6D37ED3F">
        <w:rPr>
          <w:rFonts w:ascii="Arial" w:eastAsia="Arial" w:hAnsi="Arial" w:cs="Arial"/>
          <w:u w:val="single"/>
        </w:rPr>
        <w:t>Conclusion</w:t>
      </w:r>
      <w:bookmarkEnd w:id="6"/>
    </w:p>
    <w:p w14:paraId="18D38D05" w14:textId="11275DCA" w:rsidR="6AF27256" w:rsidRDefault="6AF27256" w:rsidP="6D37ED3F">
      <w:pPr>
        <w:spacing w:before="240" w:after="240" w:line="360" w:lineRule="auto"/>
        <w:rPr>
          <w:rFonts w:ascii="Arial" w:eastAsia="Arial" w:hAnsi="Arial" w:cs="Arial"/>
        </w:rPr>
      </w:pPr>
      <w:r w:rsidRPr="6D37ED3F">
        <w:rPr>
          <w:rFonts w:ascii="Arial" w:eastAsia="Arial" w:hAnsi="Arial" w:cs="Arial"/>
        </w:rPr>
        <w:t>Finally, I am confident that we can change banking through business intelligence. By altering the way financial institutions handle data, business intelligence is changing the banking industry. With technologies such as cloud-based BI platforms, predictive AI, and real-time analytics, financial institutions can handle massive amounts of data that were more efficient than ever before more tuned for making decisions faster and better (Kiron et al., 2014). The banking industry can know most of what consumers need and what market trends have been by relying on structured, un-structured, and semi-structured data (Wamba et al. 2015). Large financial companies can use big data to increase profitability, decrease risks, and guarantee regulatory compliance, making use of tools such as Hadoop, Tableau, and SAS. The finance industry can see the future in data and be ready for it, thanks not so much to self-service BI as it is that we will be better served by future advances in edge computing and data convenience (Davenport &amp; Bean, 2018; Manyika et al., 2011).</w:t>
      </w:r>
    </w:p>
    <w:p w14:paraId="0A049161" w14:textId="75F57C1B" w:rsidR="7A29084A" w:rsidRDefault="7A29084A" w:rsidP="6D37ED3F">
      <w:pPr>
        <w:spacing w:before="240" w:after="240" w:line="360" w:lineRule="auto"/>
        <w:rPr>
          <w:rFonts w:ascii="Arial" w:eastAsia="Arial" w:hAnsi="Arial" w:cs="Arial"/>
        </w:rPr>
      </w:pPr>
    </w:p>
    <w:p w14:paraId="324CADB3" w14:textId="6A9F5674" w:rsidR="7A29084A" w:rsidRDefault="7A29084A" w:rsidP="6D37ED3F">
      <w:pPr>
        <w:spacing w:before="240" w:after="240" w:line="360" w:lineRule="auto"/>
        <w:rPr>
          <w:rFonts w:ascii="Arial" w:eastAsia="Arial" w:hAnsi="Arial" w:cs="Arial"/>
        </w:rPr>
      </w:pPr>
    </w:p>
    <w:p w14:paraId="62F2E84A" w14:textId="2FDAEFE9" w:rsidR="7A29084A" w:rsidRDefault="7A29084A" w:rsidP="6D37ED3F">
      <w:pPr>
        <w:spacing w:before="240" w:after="240" w:line="360" w:lineRule="auto"/>
        <w:rPr>
          <w:rFonts w:ascii="Arial" w:eastAsia="Arial" w:hAnsi="Arial" w:cs="Arial"/>
        </w:rPr>
      </w:pPr>
    </w:p>
    <w:p w14:paraId="7564047D" w14:textId="541A3075" w:rsidR="7A29084A" w:rsidRDefault="7A29084A" w:rsidP="6D37ED3F">
      <w:pPr>
        <w:spacing w:before="240" w:after="240" w:line="360" w:lineRule="auto"/>
        <w:rPr>
          <w:rFonts w:ascii="Arial" w:eastAsia="Arial" w:hAnsi="Arial" w:cs="Arial"/>
        </w:rPr>
      </w:pPr>
    </w:p>
    <w:p w14:paraId="46F8321C" w14:textId="71D869AA" w:rsidR="7A29084A" w:rsidRDefault="7A29084A" w:rsidP="6D37ED3F">
      <w:pPr>
        <w:spacing w:before="240" w:after="240" w:line="360" w:lineRule="auto"/>
        <w:rPr>
          <w:rFonts w:ascii="Arial" w:eastAsia="Arial" w:hAnsi="Arial" w:cs="Arial"/>
        </w:rPr>
      </w:pPr>
    </w:p>
    <w:p w14:paraId="10861CD2" w14:textId="1DD74D76" w:rsidR="7A29084A" w:rsidRDefault="7A29084A" w:rsidP="6D37ED3F">
      <w:pPr>
        <w:spacing w:before="240" w:after="240" w:line="360" w:lineRule="auto"/>
        <w:rPr>
          <w:rFonts w:ascii="Arial" w:eastAsia="Arial" w:hAnsi="Arial" w:cs="Arial"/>
        </w:rPr>
      </w:pPr>
    </w:p>
    <w:p w14:paraId="25C7B549" w14:textId="31B685BB" w:rsidR="7A29084A" w:rsidRDefault="7A29084A" w:rsidP="6D37ED3F">
      <w:pPr>
        <w:spacing w:before="240" w:after="240" w:line="360" w:lineRule="auto"/>
        <w:rPr>
          <w:rFonts w:ascii="Arial" w:eastAsia="Arial" w:hAnsi="Arial" w:cs="Arial"/>
        </w:rPr>
      </w:pPr>
    </w:p>
    <w:p w14:paraId="77A22DB4" w14:textId="2830D08C" w:rsidR="7A29084A" w:rsidRDefault="7A29084A" w:rsidP="6D37ED3F">
      <w:pPr>
        <w:spacing w:before="240" w:after="240" w:line="360" w:lineRule="auto"/>
        <w:rPr>
          <w:rFonts w:ascii="Arial" w:eastAsia="Arial" w:hAnsi="Arial" w:cs="Arial"/>
        </w:rPr>
      </w:pPr>
    </w:p>
    <w:p w14:paraId="00182525" w14:textId="4BCB9EDB" w:rsidR="7A29084A" w:rsidRDefault="7A29084A" w:rsidP="6D37ED3F">
      <w:pPr>
        <w:spacing w:before="240" w:after="240" w:line="360" w:lineRule="auto"/>
        <w:rPr>
          <w:rFonts w:ascii="Arial" w:eastAsia="Arial" w:hAnsi="Arial" w:cs="Arial"/>
        </w:rPr>
      </w:pPr>
    </w:p>
    <w:p w14:paraId="020F1DF2" w14:textId="5D03FAF1" w:rsidR="7A29084A" w:rsidRDefault="7A29084A" w:rsidP="6D37ED3F">
      <w:pPr>
        <w:spacing w:before="240" w:after="240" w:line="360" w:lineRule="auto"/>
        <w:rPr>
          <w:rFonts w:ascii="Arial" w:eastAsia="Arial" w:hAnsi="Arial" w:cs="Arial"/>
        </w:rPr>
      </w:pPr>
    </w:p>
    <w:p w14:paraId="111AE980" w14:textId="41126E03" w:rsidR="7A29084A" w:rsidRDefault="7A29084A" w:rsidP="6D37ED3F">
      <w:pPr>
        <w:spacing w:before="240" w:after="240" w:line="360" w:lineRule="auto"/>
        <w:rPr>
          <w:rFonts w:ascii="Arial" w:eastAsia="Arial" w:hAnsi="Arial" w:cs="Arial"/>
        </w:rPr>
      </w:pPr>
    </w:p>
    <w:p w14:paraId="49D01202" w14:textId="3DD3C031" w:rsidR="7A29084A" w:rsidRDefault="7A29084A" w:rsidP="6D37ED3F">
      <w:pPr>
        <w:spacing w:before="240" w:after="240" w:line="360" w:lineRule="auto"/>
        <w:rPr>
          <w:rFonts w:ascii="Arial" w:eastAsia="Arial" w:hAnsi="Arial" w:cs="Arial"/>
        </w:rPr>
      </w:pPr>
    </w:p>
    <w:p w14:paraId="26C427FD" w14:textId="6A439264" w:rsidR="7A29084A" w:rsidRDefault="7A29084A" w:rsidP="6D37ED3F">
      <w:pPr>
        <w:spacing w:before="240" w:after="240" w:line="360" w:lineRule="auto"/>
        <w:rPr>
          <w:rFonts w:ascii="Arial" w:eastAsia="Arial" w:hAnsi="Arial" w:cs="Arial"/>
        </w:rPr>
      </w:pPr>
    </w:p>
    <w:p w14:paraId="62FEC6AD" w14:textId="004F1E4D" w:rsidR="6AF27256" w:rsidRDefault="6AF27256" w:rsidP="6D37ED3F">
      <w:pPr>
        <w:pStyle w:val="Titlu2"/>
        <w:spacing w:line="360" w:lineRule="auto"/>
        <w:rPr>
          <w:rFonts w:ascii="Arial" w:eastAsia="Arial" w:hAnsi="Arial" w:cs="Arial"/>
          <w:u w:val="single"/>
        </w:rPr>
      </w:pPr>
      <w:bookmarkStart w:id="7" w:name="_Toc1265612646"/>
      <w:r w:rsidRPr="6D37ED3F">
        <w:rPr>
          <w:rFonts w:ascii="Arial" w:eastAsia="Arial" w:hAnsi="Arial" w:cs="Arial"/>
          <w:u w:val="single"/>
        </w:rPr>
        <w:t>References</w:t>
      </w:r>
      <w:bookmarkEnd w:id="7"/>
    </w:p>
    <w:p w14:paraId="52FAAA58" w14:textId="1E4B46AC" w:rsidR="60C804F8" w:rsidRDefault="60C804F8" w:rsidP="6D37ED3F">
      <w:pPr>
        <w:spacing w:after="240" w:line="360" w:lineRule="auto"/>
        <w:rPr>
          <w:rFonts w:ascii="Arial" w:eastAsia="Arial" w:hAnsi="Arial" w:cs="Arial"/>
        </w:rPr>
      </w:pPr>
      <w:r w:rsidRPr="6D37ED3F">
        <w:rPr>
          <w:rFonts w:ascii="Arial" w:eastAsia="Arial" w:hAnsi="Arial" w:cs="Arial"/>
        </w:rPr>
        <w:t xml:space="preserve">Chen, H., Chiang, R.H.L. and Storey, V.C. (2012). Business Intelligence and analytics: from Big Data to Big Impact. </w:t>
      </w:r>
      <w:r w:rsidRPr="6D37ED3F">
        <w:rPr>
          <w:rFonts w:ascii="Arial" w:eastAsia="Arial" w:hAnsi="Arial" w:cs="Arial"/>
          <w:i/>
          <w:iCs/>
        </w:rPr>
        <w:t>MIS Quarterly</w:t>
      </w:r>
      <w:r w:rsidRPr="6D37ED3F">
        <w:rPr>
          <w:rFonts w:ascii="Arial" w:eastAsia="Arial" w:hAnsi="Arial" w:cs="Arial"/>
        </w:rPr>
        <w:t>, [online] 36(4), pp.1165–1188. doi:https://doi.org/10.2307/41703503.</w:t>
      </w:r>
    </w:p>
    <w:p w14:paraId="0A790599" w14:textId="1A62DD99" w:rsidR="60C804F8" w:rsidRDefault="60C804F8" w:rsidP="6D37ED3F">
      <w:pPr>
        <w:spacing w:after="240" w:line="360" w:lineRule="auto"/>
        <w:rPr>
          <w:rFonts w:ascii="Arial" w:eastAsia="Arial" w:hAnsi="Arial" w:cs="Arial"/>
        </w:rPr>
      </w:pPr>
      <w:r w:rsidRPr="6D37ED3F">
        <w:rPr>
          <w:rFonts w:ascii="Arial" w:eastAsia="Arial" w:hAnsi="Arial" w:cs="Arial"/>
        </w:rPr>
        <w:t xml:space="preserve">Chen, H.-M., Schutz, R., R. Kazman and Matthes, F. (2017). </w:t>
      </w:r>
      <w:r w:rsidRPr="6D37ED3F">
        <w:rPr>
          <w:rFonts w:ascii="Arial" w:eastAsia="Arial" w:hAnsi="Arial" w:cs="Arial"/>
          <w:i/>
          <w:iCs/>
        </w:rPr>
        <w:t>How Lufthansa Capitalized on Big Data for Business Model Renovation</w:t>
      </w:r>
      <w:r w:rsidRPr="6D37ED3F">
        <w:rPr>
          <w:rFonts w:ascii="Arial" w:eastAsia="Arial" w:hAnsi="Arial" w:cs="Arial"/>
        </w:rPr>
        <w:t xml:space="preserve">. [online] undefined. Available at: </w:t>
      </w:r>
      <w:hyperlink r:id="rId6">
        <w:r w:rsidRPr="6D37ED3F">
          <w:rPr>
            <w:rStyle w:val="Hyperlink"/>
            <w:rFonts w:ascii="Arial" w:eastAsia="Arial" w:hAnsi="Arial" w:cs="Arial"/>
          </w:rPr>
          <w:t>https://www.semanticscholar.org/paper/How-Lufthansa-Capitalized-on-Big-Data-for-Business-Chen-Schutz/b64d81c72c6d9857d80d7d5a0f04decf79b9746c</w:t>
        </w:r>
      </w:hyperlink>
      <w:r w:rsidRPr="6D37ED3F">
        <w:rPr>
          <w:rFonts w:ascii="Arial" w:eastAsia="Arial" w:hAnsi="Arial" w:cs="Arial"/>
        </w:rPr>
        <w:t>.</w:t>
      </w:r>
    </w:p>
    <w:p w14:paraId="310D8DE8" w14:textId="51BFF2D3" w:rsidR="60C804F8" w:rsidRDefault="60C804F8" w:rsidP="6D37ED3F">
      <w:pPr>
        <w:spacing w:after="240" w:line="360" w:lineRule="auto"/>
        <w:rPr>
          <w:rFonts w:ascii="Arial" w:eastAsia="Arial" w:hAnsi="Arial" w:cs="Arial"/>
        </w:rPr>
      </w:pPr>
      <w:r w:rsidRPr="6D37ED3F">
        <w:rPr>
          <w:rFonts w:ascii="Arial" w:eastAsia="Arial" w:hAnsi="Arial" w:cs="Arial"/>
        </w:rPr>
        <w:t xml:space="preserve">Davenport, T.H. and Bean, R. (2018). </w:t>
      </w:r>
      <w:r w:rsidRPr="6D37ED3F">
        <w:rPr>
          <w:rFonts w:ascii="Arial" w:eastAsia="Arial" w:hAnsi="Arial" w:cs="Arial"/>
          <w:i/>
          <w:iCs/>
        </w:rPr>
        <w:t>Big Companies Are Embracing Analytics, But Most Still Don’t Have a Data-Driven Culture</w:t>
      </w:r>
      <w:r w:rsidRPr="6D37ED3F">
        <w:rPr>
          <w:rFonts w:ascii="Arial" w:eastAsia="Arial" w:hAnsi="Arial" w:cs="Arial"/>
        </w:rPr>
        <w:t xml:space="preserve">. [online] Harvard Business Review. Available at: </w:t>
      </w:r>
      <w:hyperlink r:id="rId7">
        <w:r w:rsidRPr="6D37ED3F">
          <w:rPr>
            <w:rStyle w:val="Hyperlink"/>
            <w:rFonts w:ascii="Arial" w:eastAsia="Arial" w:hAnsi="Arial" w:cs="Arial"/>
          </w:rPr>
          <w:t>https://hbr.org/2018/02/big-companies-are-embracing-analytics-but-most-still-dont-have-a-data-driven-culture</w:t>
        </w:r>
      </w:hyperlink>
      <w:r w:rsidRPr="6D37ED3F">
        <w:rPr>
          <w:rFonts w:ascii="Arial" w:eastAsia="Arial" w:hAnsi="Arial" w:cs="Arial"/>
        </w:rPr>
        <w:t>.</w:t>
      </w:r>
    </w:p>
    <w:p w14:paraId="14125847" w14:textId="1022FD79" w:rsidR="60C804F8" w:rsidRDefault="60C804F8" w:rsidP="6D37ED3F">
      <w:pPr>
        <w:spacing w:after="240" w:line="360" w:lineRule="auto"/>
        <w:rPr>
          <w:rFonts w:ascii="Arial" w:eastAsia="Arial" w:hAnsi="Arial" w:cs="Arial"/>
        </w:rPr>
      </w:pPr>
      <w:r w:rsidRPr="6D37ED3F">
        <w:rPr>
          <w:rFonts w:ascii="Arial" w:eastAsia="Arial" w:hAnsi="Arial" w:cs="Arial"/>
        </w:rPr>
        <w:t xml:space="preserve">Eidizadeh, R., Salehzadeh, R. and Chitsaz Esfahani, A. (2017). Analysing the role of business intelligence, knowledge sharing and organisational innovation on gaining competitive advantage. </w:t>
      </w:r>
      <w:r w:rsidRPr="6D37ED3F">
        <w:rPr>
          <w:rFonts w:ascii="Arial" w:eastAsia="Arial" w:hAnsi="Arial" w:cs="Arial"/>
          <w:i/>
          <w:iCs/>
        </w:rPr>
        <w:t>Journal of Workplace Learning</w:t>
      </w:r>
      <w:r w:rsidRPr="6D37ED3F">
        <w:rPr>
          <w:rFonts w:ascii="Arial" w:eastAsia="Arial" w:hAnsi="Arial" w:cs="Arial"/>
        </w:rPr>
        <w:t>, 29(4), pp.250–267. doi:https://doi.org/10.1108/jwl-07-2016-0070.</w:t>
      </w:r>
    </w:p>
    <w:p w14:paraId="1FDD69A9" w14:textId="411051E3" w:rsidR="60C804F8" w:rsidRDefault="60C804F8" w:rsidP="6D37ED3F">
      <w:pPr>
        <w:spacing w:after="240" w:line="360" w:lineRule="auto"/>
        <w:rPr>
          <w:rFonts w:ascii="Arial" w:eastAsia="Arial" w:hAnsi="Arial" w:cs="Arial"/>
        </w:rPr>
      </w:pPr>
      <w:r w:rsidRPr="6D37ED3F">
        <w:rPr>
          <w:rFonts w:ascii="Arial" w:eastAsia="Arial" w:hAnsi="Arial" w:cs="Arial"/>
        </w:rPr>
        <w:t xml:space="preserve">Fosso Wamba, S., Akter, S., Edwards, A., Chopin, G. and Gnanzou, D. (2019). How ‘big data’ can make big impact: Findings from a systematic review and a longitudinal case study. </w:t>
      </w:r>
      <w:r w:rsidRPr="6D37ED3F">
        <w:rPr>
          <w:rFonts w:ascii="Arial" w:eastAsia="Arial" w:hAnsi="Arial" w:cs="Arial"/>
          <w:i/>
          <w:iCs/>
        </w:rPr>
        <w:t>International Journal of Production Economics</w:t>
      </w:r>
      <w:r w:rsidRPr="6D37ED3F">
        <w:rPr>
          <w:rFonts w:ascii="Arial" w:eastAsia="Arial" w:hAnsi="Arial" w:cs="Arial"/>
        </w:rPr>
        <w:t>, [online] 165(165), pp.234–246. doi:https://doi.org/10.1016/j.ijpe.2014.12.031.</w:t>
      </w:r>
    </w:p>
    <w:p w14:paraId="127CCB40" w14:textId="07C74F13" w:rsidR="60C804F8" w:rsidRDefault="60C804F8" w:rsidP="6D37ED3F">
      <w:pPr>
        <w:spacing w:after="240" w:line="360" w:lineRule="auto"/>
        <w:rPr>
          <w:rFonts w:ascii="Arial" w:eastAsia="Arial" w:hAnsi="Arial" w:cs="Arial"/>
        </w:rPr>
      </w:pPr>
      <w:r w:rsidRPr="6D37ED3F">
        <w:rPr>
          <w:rFonts w:ascii="Arial" w:eastAsia="Arial" w:hAnsi="Arial" w:cs="Arial"/>
        </w:rPr>
        <w:t xml:space="preserve">Gandomi, A. and Haider, M. (2015). Beyond the Hype: Big Data Concepts, Methods, and Analytics. </w:t>
      </w:r>
      <w:r w:rsidRPr="6D37ED3F">
        <w:rPr>
          <w:rFonts w:ascii="Arial" w:eastAsia="Arial" w:hAnsi="Arial" w:cs="Arial"/>
          <w:i/>
          <w:iCs/>
        </w:rPr>
        <w:t>International Journal of Information Management</w:t>
      </w:r>
      <w:r w:rsidRPr="6D37ED3F">
        <w:rPr>
          <w:rFonts w:ascii="Arial" w:eastAsia="Arial" w:hAnsi="Arial" w:cs="Arial"/>
        </w:rPr>
        <w:t>, [online] 35(2), pp.137–144. doi:https://doi.org/10.1016/j.ijinfomgt.2014.10.007.</w:t>
      </w:r>
    </w:p>
    <w:p w14:paraId="7240686E" w14:textId="02A8C208" w:rsidR="60C804F8" w:rsidRDefault="60C804F8" w:rsidP="6D37ED3F">
      <w:pPr>
        <w:spacing w:after="240" w:line="360" w:lineRule="auto"/>
        <w:rPr>
          <w:rFonts w:ascii="Arial" w:eastAsia="Arial" w:hAnsi="Arial" w:cs="Arial"/>
        </w:rPr>
      </w:pPr>
      <w:r w:rsidRPr="6D37ED3F">
        <w:rPr>
          <w:rFonts w:ascii="Arial" w:eastAsia="Arial" w:hAnsi="Arial" w:cs="Arial"/>
        </w:rPr>
        <w:t xml:space="preserve">Kiron, D., Prentice, P. and Ferguson, R.B. (2014). The analytics mandate. </w:t>
      </w:r>
      <w:r w:rsidRPr="6D37ED3F">
        <w:rPr>
          <w:rFonts w:ascii="Arial" w:eastAsia="Arial" w:hAnsi="Arial" w:cs="Arial"/>
          <w:i/>
          <w:iCs/>
        </w:rPr>
        <w:t>MIT Sloan Management Review</w:t>
      </w:r>
      <w:r w:rsidRPr="6D37ED3F">
        <w:rPr>
          <w:rFonts w:ascii="Arial" w:eastAsia="Arial" w:hAnsi="Arial" w:cs="Arial"/>
        </w:rPr>
        <w:t xml:space="preserve">, [online] 55, pp.1–25. Available at: </w:t>
      </w:r>
      <w:hyperlink r:id="rId8">
        <w:r w:rsidRPr="6D37ED3F">
          <w:rPr>
            <w:rStyle w:val="Hyperlink"/>
            <w:rFonts w:ascii="Arial" w:eastAsia="Arial" w:hAnsi="Arial" w:cs="Arial"/>
          </w:rPr>
          <w:t>https://www.researchgate.net/publication/306160359_The_analytics_mandate</w:t>
        </w:r>
      </w:hyperlink>
      <w:r w:rsidRPr="6D37ED3F">
        <w:rPr>
          <w:rFonts w:ascii="Arial" w:eastAsia="Arial" w:hAnsi="Arial" w:cs="Arial"/>
        </w:rPr>
        <w:t>.</w:t>
      </w:r>
    </w:p>
    <w:p w14:paraId="31E42E46" w14:textId="2A816776" w:rsidR="60C804F8" w:rsidRDefault="60C804F8" w:rsidP="6D37ED3F">
      <w:pPr>
        <w:spacing w:after="240" w:line="360" w:lineRule="auto"/>
        <w:rPr>
          <w:rFonts w:ascii="Arial" w:eastAsia="Arial" w:hAnsi="Arial" w:cs="Arial"/>
        </w:rPr>
      </w:pPr>
      <w:r w:rsidRPr="6D37ED3F">
        <w:rPr>
          <w:rFonts w:ascii="Arial" w:eastAsia="Arial" w:hAnsi="Arial" w:cs="Arial"/>
        </w:rPr>
        <w:t xml:space="preserve">Larson, D. and Chang, V. (2016). A review and future direction of agile, business intelligence, analytics and data science. </w:t>
      </w:r>
      <w:r w:rsidRPr="6D37ED3F">
        <w:rPr>
          <w:rFonts w:ascii="Arial" w:eastAsia="Arial" w:hAnsi="Arial" w:cs="Arial"/>
          <w:i/>
          <w:iCs/>
        </w:rPr>
        <w:t>International Journal of Information Management</w:t>
      </w:r>
      <w:r w:rsidRPr="6D37ED3F">
        <w:rPr>
          <w:rFonts w:ascii="Arial" w:eastAsia="Arial" w:hAnsi="Arial" w:cs="Arial"/>
        </w:rPr>
        <w:t>, [online] 36(5), pp.700–710. doi:https://doi.org/10.1016/j.ijinfomgt.2016.04.013.</w:t>
      </w:r>
    </w:p>
    <w:p w14:paraId="183291D6" w14:textId="20C6E716" w:rsidR="60C804F8" w:rsidRDefault="60C804F8" w:rsidP="6D37ED3F">
      <w:pPr>
        <w:spacing w:after="240" w:line="360" w:lineRule="auto"/>
        <w:rPr>
          <w:rFonts w:ascii="Arial" w:eastAsia="Arial" w:hAnsi="Arial" w:cs="Arial"/>
        </w:rPr>
      </w:pPr>
      <w:r w:rsidRPr="6D37ED3F">
        <w:rPr>
          <w:rFonts w:ascii="Arial" w:eastAsia="Arial" w:hAnsi="Arial" w:cs="Arial"/>
        </w:rPr>
        <w:t xml:space="preserve">Manyika, J., Chui, M., Brown, B., Bughin, J., Dobbs, R., Roxburgh, C. and Byers, A.H. (2011). </w:t>
      </w:r>
      <w:r w:rsidRPr="6D37ED3F">
        <w:rPr>
          <w:rFonts w:ascii="Arial" w:eastAsia="Arial" w:hAnsi="Arial" w:cs="Arial"/>
          <w:i/>
          <w:iCs/>
        </w:rPr>
        <w:t>Big data: The next frontier for innovation, competition, and productivity</w:t>
      </w:r>
      <w:r w:rsidRPr="6D37ED3F">
        <w:rPr>
          <w:rFonts w:ascii="Arial" w:eastAsia="Arial" w:hAnsi="Arial" w:cs="Arial"/>
        </w:rPr>
        <w:t xml:space="preserve">. [online] McKinsey &amp; Company. Available at: </w:t>
      </w:r>
      <w:hyperlink r:id="rId9">
        <w:r w:rsidRPr="6D37ED3F">
          <w:rPr>
            <w:rStyle w:val="Hyperlink"/>
            <w:rFonts w:ascii="Arial" w:eastAsia="Arial" w:hAnsi="Arial" w:cs="Arial"/>
          </w:rPr>
          <w:t>https://www.mckinsey.com/industries/technology/our-insights/big-data-the-next-frontier-for-innovation</w:t>
        </w:r>
      </w:hyperlink>
      <w:r w:rsidRPr="6D37ED3F">
        <w:rPr>
          <w:rFonts w:ascii="Arial" w:eastAsia="Arial" w:hAnsi="Arial" w:cs="Arial"/>
        </w:rPr>
        <w:t xml:space="preserve"> [Accessed 14 Nov. 2024].</w:t>
      </w:r>
    </w:p>
    <w:p w14:paraId="07CBC1C0" w14:textId="2E1CF3AA" w:rsidR="60C804F8" w:rsidRDefault="60C804F8" w:rsidP="6D37ED3F">
      <w:pPr>
        <w:spacing w:after="240" w:line="360" w:lineRule="auto"/>
        <w:rPr>
          <w:rFonts w:ascii="Arial" w:eastAsia="Arial" w:hAnsi="Arial" w:cs="Arial"/>
        </w:rPr>
      </w:pPr>
      <w:r w:rsidRPr="6D37ED3F">
        <w:rPr>
          <w:rFonts w:ascii="Arial" w:eastAsia="Arial" w:hAnsi="Arial" w:cs="Arial"/>
        </w:rPr>
        <w:t>Puklavec, B., Oliveira, T. and Popovič, A. (2018). Understanding the Determinants of Business Intelligence System Adoption Stages: An Empirical Study of SMEs. [online] doi:https://doi.org/10.1108/IMDS-05-.</w:t>
      </w:r>
    </w:p>
    <w:p w14:paraId="6A0CE638" w14:textId="5A9FED1C" w:rsidR="60C804F8" w:rsidRDefault="60C804F8" w:rsidP="6D37ED3F">
      <w:pPr>
        <w:spacing w:after="240" w:line="360" w:lineRule="auto"/>
        <w:rPr>
          <w:rFonts w:ascii="Arial" w:eastAsia="Arial" w:hAnsi="Arial" w:cs="Arial"/>
        </w:rPr>
      </w:pPr>
      <w:r w:rsidRPr="6D37ED3F">
        <w:rPr>
          <w:rFonts w:ascii="Arial" w:eastAsia="Arial" w:hAnsi="Arial" w:cs="Arial"/>
        </w:rPr>
        <w:t xml:space="preserve">Rialti, R., Marzi, G., Ciappei, C. and Busso, D. (2019). Big data and dynamic capabilities: a bibliometric analysis and systematic literature review. </w:t>
      </w:r>
      <w:r w:rsidRPr="6D37ED3F">
        <w:rPr>
          <w:rFonts w:ascii="Arial" w:eastAsia="Arial" w:hAnsi="Arial" w:cs="Arial"/>
          <w:i/>
          <w:iCs/>
        </w:rPr>
        <w:t>Management Decision</w:t>
      </w:r>
      <w:r w:rsidRPr="6D37ED3F">
        <w:rPr>
          <w:rFonts w:ascii="Arial" w:eastAsia="Arial" w:hAnsi="Arial" w:cs="Arial"/>
        </w:rPr>
        <w:t>. doi:https://doi.org/10.1108/md-07-2018-0821.</w:t>
      </w:r>
    </w:p>
    <w:p w14:paraId="1CCD96F1" w14:textId="352E3913" w:rsidR="60C804F8" w:rsidRDefault="60C804F8" w:rsidP="6D37ED3F">
      <w:pPr>
        <w:spacing w:after="240" w:line="360" w:lineRule="auto"/>
        <w:rPr>
          <w:rFonts w:ascii="Arial" w:eastAsia="Arial" w:hAnsi="Arial" w:cs="Arial"/>
        </w:rPr>
      </w:pPr>
      <w:r w:rsidRPr="6D37ED3F">
        <w:rPr>
          <w:rFonts w:ascii="Arial" w:eastAsia="Arial" w:hAnsi="Arial" w:cs="Arial"/>
        </w:rPr>
        <w:t xml:space="preserve">Wixom, B., Yen, B. and Relich, M. (2013). Maximizing Value from Business Analytics. </w:t>
      </w:r>
      <w:r w:rsidRPr="6D37ED3F">
        <w:rPr>
          <w:rFonts w:ascii="Arial" w:eastAsia="Arial" w:hAnsi="Arial" w:cs="Arial"/>
          <w:i/>
          <w:iCs/>
        </w:rPr>
        <w:t>MIS Quarterly Executive</w:t>
      </w:r>
      <w:r w:rsidRPr="6D37ED3F">
        <w:rPr>
          <w:rFonts w:ascii="Arial" w:eastAsia="Arial" w:hAnsi="Arial" w:cs="Arial"/>
        </w:rPr>
        <w:t xml:space="preserve">, [online] 12(2). Available at: </w:t>
      </w:r>
      <w:hyperlink r:id="rId10">
        <w:r w:rsidRPr="6D37ED3F">
          <w:rPr>
            <w:rStyle w:val="Hyperlink"/>
            <w:rFonts w:ascii="Arial" w:eastAsia="Arial" w:hAnsi="Arial" w:cs="Arial"/>
          </w:rPr>
          <w:t>https://aisel.aisnet.org/misqe/vol12/iss2/6/</w:t>
        </w:r>
      </w:hyperlink>
      <w:r w:rsidRPr="6D37ED3F">
        <w:rPr>
          <w:rFonts w:ascii="Arial" w:eastAsia="Arial" w:hAnsi="Arial" w:cs="Arial"/>
        </w:rPr>
        <w:t>.</w:t>
      </w:r>
    </w:p>
    <w:p w14:paraId="662B91A2" w14:textId="1C49C2DE" w:rsidR="7A29084A" w:rsidRDefault="7A29084A" w:rsidP="6D37ED3F">
      <w:pPr>
        <w:spacing w:line="360" w:lineRule="auto"/>
        <w:rPr>
          <w:rFonts w:ascii="Arial" w:eastAsia="Arial" w:hAnsi="Arial" w:cs="Arial"/>
        </w:rPr>
      </w:pPr>
    </w:p>
    <w:p w14:paraId="0D5BC449" w14:textId="7144BDD3" w:rsidR="7A29084A" w:rsidRDefault="7A29084A" w:rsidP="6D37ED3F">
      <w:pPr>
        <w:spacing w:line="360" w:lineRule="auto"/>
        <w:rPr>
          <w:rFonts w:ascii="Arial" w:eastAsia="Arial" w:hAnsi="Arial" w:cs="Arial"/>
        </w:rPr>
      </w:pPr>
    </w:p>
    <w:p w14:paraId="2BDBB8A7" w14:textId="2C1014B0" w:rsidR="7A29084A" w:rsidRDefault="7A29084A" w:rsidP="6D37ED3F">
      <w:pPr>
        <w:spacing w:before="240" w:after="240" w:line="360" w:lineRule="auto"/>
        <w:rPr>
          <w:rFonts w:ascii="Arial" w:eastAsia="Arial" w:hAnsi="Arial" w:cs="Arial"/>
        </w:rPr>
      </w:pPr>
    </w:p>
    <w:p w14:paraId="54F1B01B" w14:textId="0FD355C5" w:rsidR="7A29084A" w:rsidRDefault="7A29084A" w:rsidP="7A29084A">
      <w:pPr>
        <w:spacing w:before="240" w:after="240"/>
        <w:rPr>
          <w:rFonts w:ascii="Calibri" w:eastAsia="Calibri" w:hAnsi="Calibri" w:cs="Calibri"/>
        </w:rPr>
      </w:pPr>
    </w:p>
    <w:p w14:paraId="0349E113" w14:textId="5AD4F8BC" w:rsidR="7A29084A" w:rsidRDefault="7A29084A" w:rsidP="7A29084A">
      <w:pPr>
        <w:spacing w:before="240" w:after="240"/>
        <w:rPr>
          <w:rFonts w:ascii="Calibri" w:eastAsia="Calibri" w:hAnsi="Calibri" w:cs="Calibri"/>
        </w:rPr>
      </w:pPr>
    </w:p>
    <w:p w14:paraId="4C12ABA8" w14:textId="607DE50F" w:rsidR="7A29084A" w:rsidRDefault="7A29084A" w:rsidP="7A29084A">
      <w:pPr>
        <w:spacing w:before="240" w:after="240"/>
        <w:rPr>
          <w:rFonts w:ascii="Calibri" w:eastAsia="Calibri" w:hAnsi="Calibri" w:cs="Calibri"/>
        </w:rPr>
      </w:pPr>
    </w:p>
    <w:p w14:paraId="02B37F50" w14:textId="2BF5A9BD" w:rsidR="7A29084A" w:rsidRDefault="7A29084A" w:rsidP="7A29084A">
      <w:pPr>
        <w:spacing w:before="240" w:after="240"/>
        <w:rPr>
          <w:rFonts w:ascii="Calibri" w:eastAsia="Calibri" w:hAnsi="Calibri" w:cs="Calibri"/>
        </w:rPr>
      </w:pPr>
    </w:p>
    <w:p w14:paraId="3952D36B" w14:textId="3E755C50" w:rsidR="7A29084A" w:rsidRDefault="7A29084A" w:rsidP="7A29084A">
      <w:pPr>
        <w:spacing w:before="240" w:after="240"/>
        <w:rPr>
          <w:rFonts w:ascii="Aptos" w:eastAsia="Aptos" w:hAnsi="Aptos" w:cs="Aptos"/>
        </w:rPr>
      </w:pPr>
    </w:p>
    <w:p w14:paraId="180874F8" w14:textId="3437838A" w:rsidR="7A29084A" w:rsidRDefault="7A29084A" w:rsidP="7A29084A"/>
    <w:p w14:paraId="44220A13" w14:textId="472BC514" w:rsidR="7A29084A" w:rsidRDefault="7A29084A" w:rsidP="7A29084A"/>
    <w:p w14:paraId="2B84351D" w14:textId="63C0AD29" w:rsidR="7A29084A" w:rsidRDefault="7A29084A" w:rsidP="7A29084A">
      <w:pPr>
        <w:rPr>
          <w:rFonts w:ascii="Calibri" w:eastAsia="Calibri" w:hAnsi="Calibri" w:cs="Calibri"/>
          <w:b/>
          <w:bCs/>
          <w:sz w:val="32"/>
          <w:szCs w:val="32"/>
        </w:rPr>
      </w:pPr>
    </w:p>
    <w:p w14:paraId="5743F141" w14:textId="3C069531" w:rsidR="7A29084A" w:rsidRDefault="7A29084A" w:rsidP="7A29084A">
      <w:pPr>
        <w:rPr>
          <w:rFonts w:ascii="Calibri" w:eastAsia="Calibri" w:hAnsi="Calibri" w:cs="Calibri"/>
          <w:b/>
          <w:bCs/>
          <w:sz w:val="32"/>
          <w:szCs w:val="32"/>
        </w:rPr>
      </w:pPr>
    </w:p>
    <w:p w14:paraId="773EF721" w14:textId="63F85152" w:rsidR="7A29084A" w:rsidRDefault="7A29084A" w:rsidP="7A29084A">
      <w:pPr>
        <w:rPr>
          <w:rFonts w:ascii="Calibri" w:eastAsia="Calibri" w:hAnsi="Calibri" w:cs="Calibri"/>
          <w:b/>
          <w:bCs/>
          <w:sz w:val="32"/>
          <w:szCs w:val="32"/>
        </w:rPr>
      </w:pPr>
    </w:p>
    <w:p w14:paraId="2AA4C02F" w14:textId="170BD2E2" w:rsidR="7A29084A" w:rsidRDefault="7A29084A" w:rsidP="7A29084A">
      <w:pPr>
        <w:rPr>
          <w:rFonts w:ascii="Calibri" w:eastAsia="Calibri" w:hAnsi="Calibri" w:cs="Calibri"/>
          <w:b/>
          <w:bCs/>
          <w:sz w:val="32"/>
          <w:szCs w:val="32"/>
        </w:rPr>
      </w:pPr>
    </w:p>
    <w:p w14:paraId="542D563D" w14:textId="1EB235DD" w:rsidR="7A29084A" w:rsidRDefault="7A29084A" w:rsidP="7A29084A">
      <w:pPr>
        <w:rPr>
          <w:rFonts w:ascii="Calibri" w:eastAsia="Calibri" w:hAnsi="Calibri" w:cs="Calibri"/>
          <w:b/>
          <w:bCs/>
          <w:sz w:val="32"/>
          <w:szCs w:val="32"/>
        </w:rPr>
      </w:pPr>
    </w:p>
    <w:p w14:paraId="4CAA69E2" w14:textId="09634702" w:rsidR="7A29084A" w:rsidRDefault="7A29084A" w:rsidP="7A29084A">
      <w:pPr>
        <w:rPr>
          <w:rFonts w:ascii="Calibri" w:eastAsia="Calibri" w:hAnsi="Calibri" w:cs="Calibri"/>
          <w:b/>
          <w:bCs/>
          <w:sz w:val="32"/>
          <w:szCs w:val="32"/>
        </w:rPr>
      </w:pPr>
    </w:p>
    <w:p w14:paraId="3F5297A2" w14:textId="2741530C" w:rsidR="7A29084A" w:rsidRDefault="7A29084A" w:rsidP="7A29084A">
      <w:pPr>
        <w:rPr>
          <w:rFonts w:ascii="Calibri" w:eastAsia="Calibri" w:hAnsi="Calibri" w:cs="Calibri"/>
          <w:b/>
          <w:bCs/>
          <w:sz w:val="32"/>
          <w:szCs w:val="32"/>
        </w:rPr>
      </w:pPr>
    </w:p>
    <w:p w14:paraId="05E8965A" w14:textId="69FEA397" w:rsidR="7A29084A" w:rsidRDefault="7A29084A" w:rsidP="7A29084A">
      <w:pPr>
        <w:rPr>
          <w:rFonts w:ascii="Calibri" w:eastAsia="Calibri" w:hAnsi="Calibri" w:cs="Calibri"/>
          <w:b/>
          <w:bCs/>
          <w:sz w:val="32"/>
          <w:szCs w:val="32"/>
        </w:rPr>
      </w:pPr>
    </w:p>
    <w:p w14:paraId="3AC97658" w14:textId="16F70EE3" w:rsidR="7A29084A" w:rsidRDefault="7A29084A" w:rsidP="7A29084A">
      <w:pPr>
        <w:rPr>
          <w:rFonts w:ascii="Calibri" w:eastAsia="Calibri" w:hAnsi="Calibri" w:cs="Calibri"/>
          <w:b/>
          <w:bCs/>
          <w:sz w:val="32"/>
          <w:szCs w:val="32"/>
        </w:rPr>
      </w:pPr>
    </w:p>
    <w:p w14:paraId="3FA7C1A6" w14:textId="3719BD8D" w:rsidR="7A29084A" w:rsidRDefault="7A29084A" w:rsidP="7A29084A">
      <w:pPr>
        <w:rPr>
          <w:rFonts w:ascii="Calibri" w:eastAsia="Calibri" w:hAnsi="Calibri" w:cs="Calibri"/>
          <w:b/>
          <w:bCs/>
          <w:sz w:val="32"/>
          <w:szCs w:val="32"/>
        </w:rPr>
      </w:pPr>
    </w:p>
    <w:p w14:paraId="77534816" w14:textId="2051AE1E" w:rsidR="7A29084A" w:rsidRDefault="7A29084A" w:rsidP="7A29084A">
      <w:pPr>
        <w:rPr>
          <w:rFonts w:ascii="Calibri" w:eastAsia="Calibri" w:hAnsi="Calibri" w:cs="Calibri"/>
          <w:sz w:val="32"/>
          <w:szCs w:val="32"/>
        </w:rPr>
      </w:pPr>
    </w:p>
    <w:p w14:paraId="69E5DD72" w14:textId="0D25A076" w:rsidR="7A29084A" w:rsidRDefault="7A29084A"/>
    <w:sectPr w:rsidR="7A29084A">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C2AEC8" w14:textId="77777777" w:rsidR="006F13F8" w:rsidRDefault="006F13F8">
      <w:pPr>
        <w:spacing w:after="0" w:line="240" w:lineRule="auto"/>
      </w:pPr>
      <w:r>
        <w:separator/>
      </w:r>
    </w:p>
  </w:endnote>
  <w:endnote w:type="continuationSeparator" w:id="0">
    <w:p w14:paraId="4630AD79" w14:textId="77777777" w:rsidR="006F13F8" w:rsidRDefault="006F1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A29084A" w14:paraId="06D87B72" w14:textId="77777777" w:rsidTr="7A29084A">
      <w:trPr>
        <w:trHeight w:val="300"/>
      </w:trPr>
      <w:tc>
        <w:tcPr>
          <w:tcW w:w="3120" w:type="dxa"/>
        </w:tcPr>
        <w:p w14:paraId="1A66EAB9" w14:textId="0790B337" w:rsidR="7A29084A" w:rsidRDefault="7A29084A" w:rsidP="7A29084A">
          <w:pPr>
            <w:pStyle w:val="Antet"/>
            <w:ind w:left="-115"/>
          </w:pPr>
        </w:p>
      </w:tc>
      <w:tc>
        <w:tcPr>
          <w:tcW w:w="3120" w:type="dxa"/>
        </w:tcPr>
        <w:p w14:paraId="40587D62" w14:textId="6FBD3377" w:rsidR="7A29084A" w:rsidRDefault="7A29084A" w:rsidP="7A29084A">
          <w:pPr>
            <w:pStyle w:val="Antet"/>
            <w:jc w:val="center"/>
          </w:pPr>
          <w:r>
            <w:fldChar w:fldCharType="begin"/>
          </w:r>
          <w:r>
            <w:instrText>PAGE</w:instrText>
          </w:r>
          <w:r>
            <w:fldChar w:fldCharType="separate"/>
          </w:r>
          <w:r>
            <w:fldChar w:fldCharType="end"/>
          </w:r>
        </w:p>
      </w:tc>
      <w:tc>
        <w:tcPr>
          <w:tcW w:w="3120" w:type="dxa"/>
        </w:tcPr>
        <w:p w14:paraId="6C97DB29" w14:textId="48048C8B" w:rsidR="7A29084A" w:rsidRDefault="7A29084A" w:rsidP="7A29084A">
          <w:pPr>
            <w:pStyle w:val="Antet"/>
            <w:ind w:right="-115"/>
            <w:jc w:val="right"/>
          </w:pPr>
        </w:p>
      </w:tc>
    </w:tr>
  </w:tbl>
  <w:p w14:paraId="195D89F5" w14:textId="381EB015" w:rsidR="7A29084A" w:rsidRDefault="7A29084A" w:rsidP="7A29084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FCDFCB" w14:textId="77777777" w:rsidR="006F13F8" w:rsidRDefault="006F13F8">
      <w:pPr>
        <w:spacing w:after="0" w:line="240" w:lineRule="auto"/>
      </w:pPr>
      <w:r>
        <w:separator/>
      </w:r>
    </w:p>
  </w:footnote>
  <w:footnote w:type="continuationSeparator" w:id="0">
    <w:p w14:paraId="122236E2" w14:textId="77777777" w:rsidR="006F13F8" w:rsidRDefault="006F13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A29084A" w14:paraId="197D33C3" w14:textId="77777777" w:rsidTr="7A29084A">
      <w:trPr>
        <w:trHeight w:val="300"/>
      </w:trPr>
      <w:tc>
        <w:tcPr>
          <w:tcW w:w="3120" w:type="dxa"/>
        </w:tcPr>
        <w:p w14:paraId="49584326" w14:textId="76E89D4D" w:rsidR="7A29084A" w:rsidRDefault="7A29084A" w:rsidP="7A29084A">
          <w:pPr>
            <w:pStyle w:val="Antet"/>
            <w:ind w:left="-115"/>
          </w:pPr>
        </w:p>
      </w:tc>
      <w:tc>
        <w:tcPr>
          <w:tcW w:w="3120" w:type="dxa"/>
        </w:tcPr>
        <w:p w14:paraId="5B72EAB3" w14:textId="42AE27DA" w:rsidR="7A29084A" w:rsidRDefault="7A29084A" w:rsidP="7A29084A">
          <w:pPr>
            <w:pStyle w:val="Antet"/>
            <w:jc w:val="center"/>
          </w:pPr>
        </w:p>
      </w:tc>
      <w:tc>
        <w:tcPr>
          <w:tcW w:w="3120" w:type="dxa"/>
        </w:tcPr>
        <w:p w14:paraId="11F63939" w14:textId="4F5AFD23" w:rsidR="7A29084A" w:rsidRDefault="7A29084A" w:rsidP="7A29084A">
          <w:pPr>
            <w:pStyle w:val="Antet"/>
            <w:ind w:right="-115"/>
            <w:jc w:val="right"/>
          </w:pPr>
        </w:p>
      </w:tc>
    </w:tr>
  </w:tbl>
  <w:p w14:paraId="2E725455" w14:textId="7EDDE372" w:rsidR="7A29084A" w:rsidRDefault="7A29084A" w:rsidP="7A29084A">
    <w:pPr>
      <w:pStyle w:val="Antet"/>
    </w:pPr>
  </w:p>
</w:hdr>
</file>

<file path=word/intelligence2.xml><?xml version="1.0" encoding="utf-8"?>
<int2:intelligence xmlns:int2="http://schemas.microsoft.com/office/intelligence/2020/intelligence" xmlns:oel="http://schemas.microsoft.com/office/2019/extlst">
  <int2:observations>
    <int2:textHash int2:hashCode="d6vvkjI26POa0b" int2:id="6Yi83dXT">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proofState w:spelling="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FD65D3"/>
    <w:rsid w:val="005F59CF"/>
    <w:rsid w:val="006F13F8"/>
    <w:rsid w:val="00B50873"/>
    <w:rsid w:val="00FB7B17"/>
    <w:rsid w:val="0791E323"/>
    <w:rsid w:val="10132495"/>
    <w:rsid w:val="1964BE5F"/>
    <w:rsid w:val="205C6BBC"/>
    <w:rsid w:val="22CC8AFA"/>
    <w:rsid w:val="22D0CB44"/>
    <w:rsid w:val="270EAECC"/>
    <w:rsid w:val="27F8A118"/>
    <w:rsid w:val="2C1DECD5"/>
    <w:rsid w:val="2ED32BF5"/>
    <w:rsid w:val="2EDCF087"/>
    <w:rsid w:val="33B036FB"/>
    <w:rsid w:val="3B15B221"/>
    <w:rsid w:val="40F9DCE2"/>
    <w:rsid w:val="47888427"/>
    <w:rsid w:val="49B7C999"/>
    <w:rsid w:val="4B26D092"/>
    <w:rsid w:val="4D2F3CAF"/>
    <w:rsid w:val="4FEA53BD"/>
    <w:rsid w:val="5198EE78"/>
    <w:rsid w:val="5AFC7068"/>
    <w:rsid w:val="5DF9E310"/>
    <w:rsid w:val="5F1C6D44"/>
    <w:rsid w:val="60B11A2C"/>
    <w:rsid w:val="60C804F8"/>
    <w:rsid w:val="6210FA11"/>
    <w:rsid w:val="69A82BF8"/>
    <w:rsid w:val="6AF27256"/>
    <w:rsid w:val="6D37ED3F"/>
    <w:rsid w:val="743F35EB"/>
    <w:rsid w:val="7835E940"/>
    <w:rsid w:val="7A29084A"/>
    <w:rsid w:val="7C1C6573"/>
    <w:rsid w:val="7EEB1F01"/>
    <w:rsid w:val="7EFD65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D65D3"/>
  <w15:chartTrackingRefBased/>
  <w15:docId w15:val="{6D238E44-0789-4755-B14E-93D76CE2E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paragraph" w:styleId="Antet">
    <w:name w:val="header"/>
    <w:basedOn w:val="Normal"/>
    <w:uiPriority w:val="99"/>
    <w:unhideWhenUsed/>
    <w:rsid w:val="7A29084A"/>
    <w:pPr>
      <w:tabs>
        <w:tab w:val="center" w:pos="4680"/>
        <w:tab w:val="right" w:pos="9360"/>
      </w:tabs>
      <w:spacing w:after="0" w:line="240" w:lineRule="auto"/>
    </w:pPr>
  </w:style>
  <w:style w:type="paragraph" w:styleId="Subsol">
    <w:name w:val="footer"/>
    <w:basedOn w:val="Normal"/>
    <w:uiPriority w:val="99"/>
    <w:unhideWhenUsed/>
    <w:rsid w:val="7A29084A"/>
    <w:pPr>
      <w:tabs>
        <w:tab w:val="center" w:pos="4680"/>
        <w:tab w:val="right" w:pos="9360"/>
      </w:tabs>
      <w:spacing w:after="0" w:line="240" w:lineRule="auto"/>
    </w:pPr>
  </w:style>
  <w:style w:type="paragraph" w:styleId="Cuprins2">
    <w:name w:val="toc 2"/>
    <w:basedOn w:val="Normal"/>
    <w:next w:val="Normal"/>
    <w:uiPriority w:val="39"/>
    <w:unhideWhenUsed/>
    <w:rsid w:val="7A29084A"/>
    <w:pPr>
      <w:spacing w:after="100"/>
      <w:ind w:left="220"/>
    </w:pPr>
  </w:style>
  <w:style w:type="paragraph" w:styleId="Cuprins3">
    <w:name w:val="toc 3"/>
    <w:basedOn w:val="Normal"/>
    <w:next w:val="Normal"/>
    <w:uiPriority w:val="39"/>
    <w:unhideWhenUsed/>
    <w:rsid w:val="7A29084A"/>
    <w:pPr>
      <w:spacing w:after="100"/>
      <w:ind w:left="440"/>
    </w:pPr>
  </w:style>
  <w:style w:type="character" w:styleId="Hyperlink">
    <w:name w:val="Hyperlink"/>
    <w:basedOn w:val="Fontdeparagrafimplicit"/>
    <w:uiPriority w:val="99"/>
    <w:unhideWhenUsed/>
    <w:rPr>
      <w:color w:val="467886" w:themeColor="hyperlink"/>
      <w:u w:val="single"/>
    </w:r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6160359_The_analytics_mandate" TargetMode="Externa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hbr.org/2018/02/big-companies-are-embracing-analytics-but-most-still-dont-have-a-data-driven-culture" TargetMode="External" /><Relationship Id="rId12"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semanticscholar.org/paper/How-Lufthansa-Capitalized-on-Big-Data-for-Business-Chen-Schutz/b64d81c72c6d9857d80d7d5a0f04decf79b9746c" TargetMode="External" /><Relationship Id="rId11" Type="http://schemas.openxmlformats.org/officeDocument/2006/relationships/header" Target="header1.xml" /><Relationship Id="rId5" Type="http://schemas.openxmlformats.org/officeDocument/2006/relationships/endnotes" Target="endnotes.xml" /><Relationship Id="rId15" Type="http://schemas.microsoft.com/office/2020/10/relationships/intelligence" Target="intelligence2.xml" /><Relationship Id="rId10" Type="http://schemas.openxmlformats.org/officeDocument/2006/relationships/hyperlink" Target="https://aisel.aisnet.org/misqe/vol12/iss2/6/" TargetMode="External" /><Relationship Id="rId4" Type="http://schemas.openxmlformats.org/officeDocument/2006/relationships/footnotes" Target="footnotes.xml" /><Relationship Id="rId9" Type="http://schemas.openxmlformats.org/officeDocument/2006/relationships/hyperlink" Target="https://www.mckinsey.com/industries/technology/our-insights/big-data-the-next-frontier-for-innovation"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1790</Words>
  <Characters>10383</Characters>
  <Application>Microsoft Office Word</Application>
  <DocSecurity>0</DocSecurity>
  <Lines>86</Lines>
  <Paragraphs>24</Paragraphs>
  <ScaleCrop>false</ScaleCrop>
  <Company/>
  <LinksUpToDate>false</LinksUpToDate>
  <CharactersWithSpaces>12149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Mihaela Iancu</cp:lastModifiedBy>
  <cp:revision>2</cp:revision>
  <dcterms:created xsi:type="dcterms:W3CDTF">2024-11-16T14:22:00Z</dcterms:created>
  <dcterms:modified xsi:type="dcterms:W3CDTF">2024-11-16T14:22:00Z</dcterms:modified>
</cp:coreProperties>
</file>