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7974E" w14:textId="77777777" w:rsidR="003625B1" w:rsidRDefault="003625B1" w:rsidP="005A209A">
      <w:pPr>
        <w:rPr>
          <w:b/>
          <w:sz w:val="32"/>
          <w:szCs w:val="32"/>
        </w:rPr>
      </w:pPr>
    </w:p>
    <w:p w14:paraId="009432FA" w14:textId="77777777" w:rsidR="003625B1" w:rsidRDefault="003625B1" w:rsidP="00DD524D">
      <w:pPr>
        <w:jc w:val="center"/>
        <w:rPr>
          <w:b/>
          <w:sz w:val="32"/>
          <w:szCs w:val="32"/>
        </w:rPr>
      </w:pPr>
    </w:p>
    <w:p w14:paraId="507457AB" w14:textId="77777777" w:rsidR="003625B1" w:rsidRDefault="003625B1" w:rsidP="00DD524D">
      <w:pPr>
        <w:jc w:val="center"/>
        <w:rPr>
          <w:b/>
          <w:sz w:val="32"/>
          <w:szCs w:val="32"/>
        </w:rPr>
      </w:pPr>
    </w:p>
    <w:p w14:paraId="1A541377" w14:textId="77777777" w:rsidR="003625B1" w:rsidRDefault="003625B1" w:rsidP="00DD524D">
      <w:pPr>
        <w:jc w:val="center"/>
        <w:rPr>
          <w:b/>
          <w:sz w:val="32"/>
          <w:szCs w:val="32"/>
        </w:rPr>
      </w:pPr>
    </w:p>
    <w:p w14:paraId="4EFE3C44" w14:textId="4F8DCD9C" w:rsidR="001A557A" w:rsidRPr="005A209A" w:rsidRDefault="001A557A" w:rsidP="001A557A">
      <w:pPr>
        <w:pStyle w:val="IntenseQuote"/>
        <w:rPr>
          <w:b/>
          <w:bCs/>
          <w:sz w:val="36"/>
          <w:szCs w:val="36"/>
        </w:rPr>
      </w:pPr>
      <w:r w:rsidRPr="005A209A">
        <w:rPr>
          <w:b/>
          <w:bCs/>
          <w:sz w:val="36"/>
          <w:szCs w:val="36"/>
        </w:rPr>
        <w:t xml:space="preserve">HONG KONG &amp; SHANGHAI BANKING CORPORATION - </w:t>
      </w:r>
      <w:r w:rsidR="005A209A">
        <w:rPr>
          <w:b/>
          <w:bCs/>
          <w:sz w:val="36"/>
          <w:szCs w:val="36"/>
        </w:rPr>
        <w:t xml:space="preserve"> </w:t>
      </w:r>
      <w:r w:rsidRPr="005A209A">
        <w:rPr>
          <w:b/>
          <w:bCs/>
          <w:sz w:val="36"/>
          <w:szCs w:val="36"/>
        </w:rPr>
        <w:t xml:space="preserve"> HSBC </w:t>
      </w:r>
    </w:p>
    <w:p w14:paraId="0845E03E" w14:textId="6C99D149" w:rsidR="001A557A" w:rsidRPr="001A557A" w:rsidRDefault="001A557A" w:rsidP="001A557A"/>
    <w:p w14:paraId="2B265CB6" w14:textId="5C869B70" w:rsidR="001A557A" w:rsidRPr="001A557A" w:rsidRDefault="001A557A" w:rsidP="001A557A">
      <w:pPr>
        <w:rPr>
          <w:b/>
          <w:sz w:val="36"/>
          <w:szCs w:val="36"/>
        </w:rPr>
      </w:pPr>
      <w:r w:rsidRPr="001A557A">
        <w:rPr>
          <w:b/>
          <w:sz w:val="36"/>
          <w:szCs w:val="36"/>
        </w:rPr>
        <w:t xml:space="preserve">                                               </w:t>
      </w:r>
    </w:p>
    <w:p w14:paraId="7ECC1986" w14:textId="77777777" w:rsidR="001A557A" w:rsidRDefault="001A557A" w:rsidP="001A557A">
      <w:pPr>
        <w:rPr>
          <w:b/>
          <w:sz w:val="32"/>
          <w:szCs w:val="32"/>
        </w:rPr>
      </w:pPr>
    </w:p>
    <w:p w14:paraId="41D440CD" w14:textId="0DDF966C" w:rsidR="001A557A" w:rsidRPr="005A209A" w:rsidRDefault="001A557A" w:rsidP="001A557A">
      <w:pPr>
        <w:jc w:val="center"/>
        <w:rPr>
          <w:rStyle w:val="IntenseEmphasis"/>
          <w:b/>
          <w:bCs/>
          <w:sz w:val="44"/>
          <w:szCs w:val="44"/>
        </w:rPr>
      </w:pPr>
      <w:r w:rsidRPr="005A209A">
        <w:rPr>
          <w:rStyle w:val="IntenseEmphasis"/>
          <w:b/>
          <w:bCs/>
          <w:sz w:val="44"/>
          <w:szCs w:val="44"/>
        </w:rPr>
        <w:t>MANAGING   MARKETING CHANGES</w:t>
      </w:r>
    </w:p>
    <w:p w14:paraId="74D32DE9" w14:textId="15C3447C" w:rsidR="005A209A" w:rsidRPr="005A209A" w:rsidRDefault="005A209A" w:rsidP="001A557A">
      <w:pPr>
        <w:jc w:val="center"/>
        <w:rPr>
          <w:rStyle w:val="IntenseEmphasis"/>
          <w:b/>
          <w:bCs/>
          <w:sz w:val="44"/>
          <w:szCs w:val="44"/>
        </w:rPr>
      </w:pPr>
      <w:r w:rsidRPr="005A209A">
        <w:rPr>
          <w:rStyle w:val="IntenseEmphasis"/>
          <w:b/>
          <w:bCs/>
          <w:sz w:val="44"/>
          <w:szCs w:val="44"/>
        </w:rPr>
        <w:t>(BMMB7026)</w:t>
      </w:r>
    </w:p>
    <w:p w14:paraId="6B14266B" w14:textId="77777777" w:rsidR="003625B1" w:rsidRDefault="003625B1" w:rsidP="00DD524D">
      <w:pPr>
        <w:jc w:val="center"/>
        <w:rPr>
          <w:b/>
          <w:sz w:val="32"/>
          <w:szCs w:val="32"/>
        </w:rPr>
      </w:pPr>
    </w:p>
    <w:p w14:paraId="7F12D99E" w14:textId="77777777" w:rsidR="003625B1" w:rsidRDefault="003625B1" w:rsidP="00DD524D">
      <w:pPr>
        <w:jc w:val="center"/>
        <w:rPr>
          <w:b/>
          <w:sz w:val="32"/>
          <w:szCs w:val="32"/>
        </w:rPr>
      </w:pPr>
    </w:p>
    <w:p w14:paraId="11338141" w14:textId="77777777" w:rsidR="003625B1" w:rsidRDefault="003625B1" w:rsidP="00DD524D">
      <w:pPr>
        <w:jc w:val="center"/>
        <w:rPr>
          <w:b/>
          <w:sz w:val="32"/>
          <w:szCs w:val="32"/>
        </w:rPr>
      </w:pPr>
    </w:p>
    <w:p w14:paraId="7FF26204" w14:textId="77777777" w:rsidR="003625B1" w:rsidRDefault="003625B1" w:rsidP="001A557A"/>
    <w:p w14:paraId="57609B3A" w14:textId="77777777" w:rsidR="001A557A" w:rsidRDefault="001A557A" w:rsidP="00DD524D">
      <w:pPr>
        <w:jc w:val="center"/>
      </w:pPr>
    </w:p>
    <w:p w14:paraId="3A0C0BAF" w14:textId="77777777" w:rsidR="001A557A" w:rsidRDefault="001A557A" w:rsidP="00DD524D">
      <w:pPr>
        <w:jc w:val="center"/>
      </w:pPr>
    </w:p>
    <w:p w14:paraId="7024B027" w14:textId="77777777" w:rsidR="001A557A" w:rsidRDefault="001A557A" w:rsidP="00DD524D">
      <w:pPr>
        <w:jc w:val="center"/>
      </w:pPr>
    </w:p>
    <w:p w14:paraId="2F4EBB6F" w14:textId="2125DFBD" w:rsidR="001A557A" w:rsidRPr="005A209A" w:rsidRDefault="005A209A" w:rsidP="00DD524D">
      <w:pPr>
        <w:jc w:val="center"/>
        <w:rPr>
          <w:rStyle w:val="IntenseEmphasis"/>
          <w:b/>
          <w:bCs/>
          <w:sz w:val="40"/>
          <w:szCs w:val="40"/>
        </w:rPr>
      </w:pPr>
      <w:r w:rsidRPr="005A209A">
        <w:rPr>
          <w:rStyle w:val="IntenseEmphasis"/>
          <w:b/>
          <w:bCs/>
          <w:sz w:val="40"/>
          <w:szCs w:val="40"/>
        </w:rPr>
        <w:t>UNIVERSITY OF WALES TRINITY SAINT DAVID</w:t>
      </w:r>
    </w:p>
    <w:p w14:paraId="1C003F3D" w14:textId="77777777" w:rsidR="001A557A" w:rsidRDefault="001A557A" w:rsidP="00DD524D">
      <w:pPr>
        <w:jc w:val="center"/>
      </w:pPr>
    </w:p>
    <w:p w14:paraId="5D847BEF" w14:textId="77777777" w:rsidR="001A557A" w:rsidRDefault="001A557A" w:rsidP="00DD524D">
      <w:pPr>
        <w:jc w:val="center"/>
      </w:pPr>
    </w:p>
    <w:p w14:paraId="3941F9A2" w14:textId="77777777" w:rsidR="001A557A" w:rsidRDefault="001A557A" w:rsidP="00DD524D">
      <w:pPr>
        <w:jc w:val="center"/>
      </w:pPr>
    </w:p>
    <w:p w14:paraId="69A6C8C0" w14:textId="77777777" w:rsidR="001A557A" w:rsidRDefault="001A557A" w:rsidP="00DD524D">
      <w:pPr>
        <w:jc w:val="center"/>
      </w:pPr>
    </w:p>
    <w:p w14:paraId="75013751" w14:textId="77777777" w:rsidR="001A557A" w:rsidRDefault="001A557A" w:rsidP="00DD524D">
      <w:pPr>
        <w:jc w:val="center"/>
      </w:pPr>
    </w:p>
    <w:p w14:paraId="7A10A35B" w14:textId="77777777" w:rsidR="001A557A" w:rsidRDefault="001A557A" w:rsidP="00DD524D">
      <w:pPr>
        <w:jc w:val="center"/>
      </w:pPr>
    </w:p>
    <w:p w14:paraId="20F61533" w14:textId="77777777" w:rsidR="001A557A" w:rsidRDefault="001A557A" w:rsidP="00DD524D">
      <w:pPr>
        <w:jc w:val="center"/>
      </w:pPr>
    </w:p>
    <w:p w14:paraId="012B0FFD" w14:textId="77777777" w:rsidR="003625B1" w:rsidRDefault="00000000" w:rsidP="00DD524D">
      <w:pPr>
        <w:jc w:val="center"/>
      </w:pPr>
      <w:r>
        <w:rPr>
          <w:b/>
          <w:sz w:val="28"/>
          <w:szCs w:val="28"/>
        </w:rPr>
        <w:t>Executive Summary</w:t>
      </w:r>
    </w:p>
    <w:p w14:paraId="6C1118C7" w14:textId="63679D67" w:rsidR="003625B1" w:rsidRDefault="00000000" w:rsidP="00DD524D">
      <w:r>
        <w:t xml:space="preserve">The purpose of this report is to evaluate HSBC’s marketing plan and present its advantages and drawbacks as well as possible enhancements. Marketing communication is also employed by HSBC to maintain its market share in the international market by segmenting, targeting, and digitization to </w:t>
      </w:r>
      <w:r w:rsidR="003C628C">
        <w:t>fulfil</w:t>
      </w:r>
      <w:r>
        <w:t xml:space="preserve"> the needs of the consumers. The consideration of macro and micro environments through a tool like PESTLE shows how its regulatory change, technology </w:t>
      </w:r>
      <w:r w:rsidR="003C628C">
        <w:t>severity, and</w:t>
      </w:r>
      <w:r>
        <w:t xml:space="preserve"> competition poses challenges on strategic plans it has. While campaigns like </w:t>
      </w:r>
      <w:r>
        <w:rPr>
          <w:b/>
          <w:i/>
        </w:rPr>
        <w:t xml:space="preserve">“Together We Thrive” </w:t>
      </w:r>
      <w:r>
        <w:t>does add to brand awareness, there are still opportunities to improve targeting of younger people and predictive analytics. The recommendations were as follows: the shift to newer digital platforms, the degree of customization of content that was provided then, and resource scenario. These strategies aim at increasing the flexibility and production capacity of organisations to meet the existing HSBC customer requirements.</w:t>
      </w:r>
    </w:p>
    <w:p w14:paraId="66F06927" w14:textId="77777777" w:rsidR="003625B1" w:rsidRDefault="003625B1" w:rsidP="00DD524D"/>
    <w:p w14:paraId="2FFEE0E6" w14:textId="77777777" w:rsidR="003625B1" w:rsidRDefault="00000000" w:rsidP="00DD524D">
      <w:r>
        <w:br w:type="page"/>
      </w:r>
    </w:p>
    <w:bookmarkStart w:id="0" w:name="_fsr8g29n2zqb" w:colFirst="0" w:colLast="0" w:displacedByCustomXml="next"/>
    <w:bookmarkEnd w:id="0" w:displacedByCustomXml="next"/>
    <w:sdt>
      <w:sdtPr>
        <w:rPr>
          <w:rFonts w:ascii="Times New Roman" w:eastAsia="Times New Roman" w:hAnsi="Times New Roman" w:cs="Times New Roman"/>
          <w:color w:val="auto"/>
          <w:sz w:val="24"/>
          <w:szCs w:val="24"/>
        </w:rPr>
        <w:id w:val="-1168623622"/>
        <w:docPartObj>
          <w:docPartGallery w:val="Table of Contents"/>
          <w:docPartUnique/>
        </w:docPartObj>
      </w:sdtPr>
      <w:sdtEndPr>
        <w:rPr>
          <w:b/>
          <w:bCs/>
        </w:rPr>
      </w:sdtEndPr>
      <w:sdtContent>
        <w:p w14:paraId="724DDCC9" w14:textId="59C106C0" w:rsidR="00C538B1" w:rsidRPr="00C538B1" w:rsidRDefault="00C538B1" w:rsidP="00DD524D">
          <w:pPr>
            <w:pStyle w:val="TOCHeading"/>
            <w:spacing w:line="360" w:lineRule="auto"/>
            <w:jc w:val="center"/>
            <w:rPr>
              <w:rFonts w:ascii="Times New Roman" w:hAnsi="Times New Roman" w:cs="Times New Roman"/>
              <w:b/>
              <w:bCs/>
              <w:color w:val="000000" w:themeColor="text1"/>
              <w:sz w:val="28"/>
              <w:szCs w:val="28"/>
            </w:rPr>
          </w:pPr>
          <w:r w:rsidRPr="00C538B1">
            <w:rPr>
              <w:rFonts w:ascii="Times New Roman" w:hAnsi="Times New Roman" w:cs="Times New Roman"/>
              <w:b/>
              <w:bCs/>
              <w:color w:val="000000" w:themeColor="text1"/>
              <w:sz w:val="28"/>
              <w:szCs w:val="28"/>
            </w:rPr>
            <w:t>Table of Contents</w:t>
          </w:r>
        </w:p>
        <w:p w14:paraId="1DD1028F" w14:textId="1CE8B608" w:rsidR="00B81D30" w:rsidRDefault="00C538B1">
          <w:pPr>
            <w:pStyle w:val="TOC1"/>
            <w:tabs>
              <w:tab w:val="right" w:leader="dot" w:pos="9350"/>
            </w:tabs>
            <w:rPr>
              <w:rFonts w:asciiTheme="minorHAnsi" w:eastAsiaTheme="minorEastAsia" w:hAnsiTheme="minorHAnsi" w:cstheme="minorBidi"/>
              <w:noProof/>
              <w:kern w:val="2"/>
              <w:sz w:val="22"/>
              <w:szCs w:val="22"/>
              <w14:ligatures w14:val="standardContextual"/>
            </w:rPr>
          </w:pPr>
          <w:r w:rsidRPr="00C538B1">
            <w:fldChar w:fldCharType="begin"/>
          </w:r>
          <w:r w:rsidRPr="00C538B1">
            <w:instrText xml:space="preserve"> TOC \o "1-3" \h \z \u </w:instrText>
          </w:r>
          <w:r w:rsidRPr="00C538B1">
            <w:fldChar w:fldCharType="separate"/>
          </w:r>
          <w:hyperlink w:anchor="_Toc187316919" w:history="1">
            <w:r w:rsidR="00B81D30" w:rsidRPr="004B1FC0">
              <w:rPr>
                <w:rStyle w:val="Hyperlink"/>
                <w:noProof/>
              </w:rPr>
              <w:t>1. Introduction</w:t>
            </w:r>
            <w:r w:rsidR="00B81D30">
              <w:rPr>
                <w:noProof/>
                <w:webHidden/>
              </w:rPr>
              <w:tab/>
            </w:r>
            <w:r w:rsidR="00B81D30">
              <w:rPr>
                <w:noProof/>
                <w:webHidden/>
              </w:rPr>
              <w:fldChar w:fldCharType="begin"/>
            </w:r>
            <w:r w:rsidR="00B81D30">
              <w:rPr>
                <w:noProof/>
                <w:webHidden/>
              </w:rPr>
              <w:instrText xml:space="preserve"> PAGEREF _Toc187316919 \h </w:instrText>
            </w:r>
            <w:r w:rsidR="00B81D30">
              <w:rPr>
                <w:noProof/>
                <w:webHidden/>
              </w:rPr>
            </w:r>
            <w:r w:rsidR="00B81D30">
              <w:rPr>
                <w:noProof/>
                <w:webHidden/>
              </w:rPr>
              <w:fldChar w:fldCharType="separate"/>
            </w:r>
            <w:r w:rsidR="00477024">
              <w:rPr>
                <w:noProof/>
                <w:webHidden/>
              </w:rPr>
              <w:t>4</w:t>
            </w:r>
            <w:r w:rsidR="00B81D30">
              <w:rPr>
                <w:noProof/>
                <w:webHidden/>
              </w:rPr>
              <w:fldChar w:fldCharType="end"/>
            </w:r>
          </w:hyperlink>
        </w:p>
        <w:p w14:paraId="765BF2E0" w14:textId="4ED06230" w:rsidR="00B81D30" w:rsidRDefault="00B81D3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87316920" w:history="1">
            <w:r w:rsidRPr="004B1FC0">
              <w:rPr>
                <w:rStyle w:val="Hyperlink"/>
                <w:noProof/>
              </w:rPr>
              <w:t>2. Task 1: Critical Evaluation of HSBC Marketing Activity</w:t>
            </w:r>
            <w:r>
              <w:rPr>
                <w:noProof/>
                <w:webHidden/>
              </w:rPr>
              <w:tab/>
            </w:r>
            <w:r>
              <w:rPr>
                <w:noProof/>
                <w:webHidden/>
              </w:rPr>
              <w:fldChar w:fldCharType="begin"/>
            </w:r>
            <w:r>
              <w:rPr>
                <w:noProof/>
                <w:webHidden/>
              </w:rPr>
              <w:instrText xml:space="preserve"> PAGEREF _Toc187316920 \h </w:instrText>
            </w:r>
            <w:r>
              <w:rPr>
                <w:noProof/>
                <w:webHidden/>
              </w:rPr>
            </w:r>
            <w:r>
              <w:rPr>
                <w:noProof/>
                <w:webHidden/>
              </w:rPr>
              <w:fldChar w:fldCharType="separate"/>
            </w:r>
            <w:r w:rsidR="00477024">
              <w:rPr>
                <w:noProof/>
                <w:webHidden/>
              </w:rPr>
              <w:t>4</w:t>
            </w:r>
            <w:r>
              <w:rPr>
                <w:noProof/>
                <w:webHidden/>
              </w:rPr>
              <w:fldChar w:fldCharType="end"/>
            </w:r>
          </w:hyperlink>
        </w:p>
        <w:p w14:paraId="40816DCA" w14:textId="462BA19B" w:rsidR="00B81D30" w:rsidRDefault="00B81D3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87316921" w:history="1">
            <w:r w:rsidRPr="004B1FC0">
              <w:rPr>
                <w:rStyle w:val="Hyperlink"/>
                <w:noProof/>
              </w:rPr>
              <w:t>2.1 The Concept and Importance of Marketing: Resources Invested by HSBC</w:t>
            </w:r>
            <w:r>
              <w:rPr>
                <w:noProof/>
                <w:webHidden/>
              </w:rPr>
              <w:tab/>
            </w:r>
            <w:r>
              <w:rPr>
                <w:noProof/>
                <w:webHidden/>
              </w:rPr>
              <w:fldChar w:fldCharType="begin"/>
            </w:r>
            <w:r>
              <w:rPr>
                <w:noProof/>
                <w:webHidden/>
              </w:rPr>
              <w:instrText xml:space="preserve"> PAGEREF _Toc187316921 \h </w:instrText>
            </w:r>
            <w:r>
              <w:rPr>
                <w:noProof/>
                <w:webHidden/>
              </w:rPr>
            </w:r>
            <w:r>
              <w:rPr>
                <w:noProof/>
                <w:webHidden/>
              </w:rPr>
              <w:fldChar w:fldCharType="separate"/>
            </w:r>
            <w:r w:rsidR="00477024">
              <w:rPr>
                <w:noProof/>
                <w:webHidden/>
              </w:rPr>
              <w:t>4</w:t>
            </w:r>
            <w:r>
              <w:rPr>
                <w:noProof/>
                <w:webHidden/>
              </w:rPr>
              <w:fldChar w:fldCharType="end"/>
            </w:r>
          </w:hyperlink>
        </w:p>
        <w:p w14:paraId="405DC64F" w14:textId="416937C7" w:rsidR="00B81D30" w:rsidRDefault="00B81D3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87316922" w:history="1">
            <w:r w:rsidRPr="004B1FC0">
              <w:rPr>
                <w:rStyle w:val="Hyperlink"/>
                <w:noProof/>
              </w:rPr>
              <w:t>2.2 The Macro and Micro Marketing Environment of HSBC: Influence on Marketing Strategy</w:t>
            </w:r>
            <w:r>
              <w:rPr>
                <w:noProof/>
                <w:webHidden/>
              </w:rPr>
              <w:tab/>
            </w:r>
            <w:r>
              <w:rPr>
                <w:noProof/>
                <w:webHidden/>
              </w:rPr>
              <w:fldChar w:fldCharType="begin"/>
            </w:r>
            <w:r>
              <w:rPr>
                <w:noProof/>
                <w:webHidden/>
              </w:rPr>
              <w:instrText xml:space="preserve"> PAGEREF _Toc187316922 \h </w:instrText>
            </w:r>
            <w:r>
              <w:rPr>
                <w:noProof/>
                <w:webHidden/>
              </w:rPr>
            </w:r>
            <w:r>
              <w:rPr>
                <w:noProof/>
                <w:webHidden/>
              </w:rPr>
              <w:fldChar w:fldCharType="separate"/>
            </w:r>
            <w:r w:rsidR="00477024">
              <w:rPr>
                <w:noProof/>
                <w:webHidden/>
              </w:rPr>
              <w:t>6</w:t>
            </w:r>
            <w:r>
              <w:rPr>
                <w:noProof/>
                <w:webHidden/>
              </w:rPr>
              <w:fldChar w:fldCharType="end"/>
            </w:r>
          </w:hyperlink>
        </w:p>
        <w:p w14:paraId="688D9C10" w14:textId="5E469812" w:rsidR="00B81D30" w:rsidRDefault="00B81D3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87316923" w:history="1">
            <w:r w:rsidRPr="004B1FC0">
              <w:rPr>
                <w:rStyle w:val="Hyperlink"/>
                <w:noProof/>
              </w:rPr>
              <w:t>2.3 Change Management Strategies: HSBC's Approach</w:t>
            </w:r>
            <w:r>
              <w:rPr>
                <w:noProof/>
                <w:webHidden/>
              </w:rPr>
              <w:tab/>
            </w:r>
            <w:r>
              <w:rPr>
                <w:noProof/>
                <w:webHidden/>
              </w:rPr>
              <w:fldChar w:fldCharType="begin"/>
            </w:r>
            <w:r>
              <w:rPr>
                <w:noProof/>
                <w:webHidden/>
              </w:rPr>
              <w:instrText xml:space="preserve"> PAGEREF _Toc187316923 \h </w:instrText>
            </w:r>
            <w:r>
              <w:rPr>
                <w:noProof/>
                <w:webHidden/>
              </w:rPr>
            </w:r>
            <w:r>
              <w:rPr>
                <w:noProof/>
                <w:webHidden/>
              </w:rPr>
              <w:fldChar w:fldCharType="separate"/>
            </w:r>
            <w:r w:rsidR="00477024">
              <w:rPr>
                <w:noProof/>
                <w:webHidden/>
              </w:rPr>
              <w:t>10</w:t>
            </w:r>
            <w:r>
              <w:rPr>
                <w:noProof/>
                <w:webHidden/>
              </w:rPr>
              <w:fldChar w:fldCharType="end"/>
            </w:r>
          </w:hyperlink>
        </w:p>
        <w:p w14:paraId="1BA90A13" w14:textId="4AC4082F" w:rsidR="00B81D30" w:rsidRDefault="00B81D3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87316924" w:history="1">
            <w:r w:rsidRPr="004B1FC0">
              <w:rPr>
                <w:rStyle w:val="Hyperlink"/>
                <w:noProof/>
              </w:rPr>
              <w:t>2.4 Target Markets: HSBC’s Audience and Approach</w:t>
            </w:r>
            <w:r>
              <w:rPr>
                <w:noProof/>
                <w:webHidden/>
              </w:rPr>
              <w:tab/>
            </w:r>
            <w:r>
              <w:rPr>
                <w:noProof/>
                <w:webHidden/>
              </w:rPr>
              <w:fldChar w:fldCharType="begin"/>
            </w:r>
            <w:r>
              <w:rPr>
                <w:noProof/>
                <w:webHidden/>
              </w:rPr>
              <w:instrText xml:space="preserve"> PAGEREF _Toc187316924 \h </w:instrText>
            </w:r>
            <w:r>
              <w:rPr>
                <w:noProof/>
                <w:webHidden/>
              </w:rPr>
            </w:r>
            <w:r>
              <w:rPr>
                <w:noProof/>
                <w:webHidden/>
              </w:rPr>
              <w:fldChar w:fldCharType="separate"/>
            </w:r>
            <w:r w:rsidR="00477024">
              <w:rPr>
                <w:noProof/>
                <w:webHidden/>
              </w:rPr>
              <w:t>13</w:t>
            </w:r>
            <w:r>
              <w:rPr>
                <w:noProof/>
                <w:webHidden/>
              </w:rPr>
              <w:fldChar w:fldCharType="end"/>
            </w:r>
          </w:hyperlink>
        </w:p>
        <w:p w14:paraId="3EF442D5" w14:textId="4D64240A" w:rsidR="00B81D30" w:rsidRDefault="00B81D3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87316925" w:history="1">
            <w:r w:rsidRPr="004B1FC0">
              <w:rPr>
                <w:rStyle w:val="Hyperlink"/>
                <w:noProof/>
              </w:rPr>
              <w:t>2.5 Selection of Media: Key Channels and Effectiveness</w:t>
            </w:r>
            <w:r>
              <w:rPr>
                <w:noProof/>
                <w:webHidden/>
              </w:rPr>
              <w:tab/>
            </w:r>
            <w:r>
              <w:rPr>
                <w:noProof/>
                <w:webHidden/>
              </w:rPr>
              <w:fldChar w:fldCharType="begin"/>
            </w:r>
            <w:r>
              <w:rPr>
                <w:noProof/>
                <w:webHidden/>
              </w:rPr>
              <w:instrText xml:space="preserve"> PAGEREF _Toc187316925 \h </w:instrText>
            </w:r>
            <w:r>
              <w:rPr>
                <w:noProof/>
                <w:webHidden/>
              </w:rPr>
            </w:r>
            <w:r>
              <w:rPr>
                <w:noProof/>
                <w:webHidden/>
              </w:rPr>
              <w:fldChar w:fldCharType="separate"/>
            </w:r>
            <w:r w:rsidR="00477024">
              <w:rPr>
                <w:noProof/>
                <w:webHidden/>
              </w:rPr>
              <w:t>14</w:t>
            </w:r>
            <w:r>
              <w:rPr>
                <w:noProof/>
                <w:webHidden/>
              </w:rPr>
              <w:fldChar w:fldCharType="end"/>
            </w:r>
          </w:hyperlink>
        </w:p>
        <w:p w14:paraId="3BB4CD9B" w14:textId="1DF095F1" w:rsidR="00B81D30" w:rsidRDefault="00B81D3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87316926" w:history="1">
            <w:r w:rsidRPr="004B1FC0">
              <w:rPr>
                <w:rStyle w:val="Hyperlink"/>
                <w:noProof/>
              </w:rPr>
              <w:t>2.6 Measuring Success: Effectiveness of Campaigns and Control</w:t>
            </w:r>
            <w:r>
              <w:rPr>
                <w:noProof/>
                <w:webHidden/>
              </w:rPr>
              <w:tab/>
            </w:r>
            <w:r>
              <w:rPr>
                <w:noProof/>
                <w:webHidden/>
              </w:rPr>
              <w:fldChar w:fldCharType="begin"/>
            </w:r>
            <w:r>
              <w:rPr>
                <w:noProof/>
                <w:webHidden/>
              </w:rPr>
              <w:instrText xml:space="preserve"> PAGEREF _Toc187316926 \h </w:instrText>
            </w:r>
            <w:r>
              <w:rPr>
                <w:noProof/>
                <w:webHidden/>
              </w:rPr>
            </w:r>
            <w:r>
              <w:rPr>
                <w:noProof/>
                <w:webHidden/>
              </w:rPr>
              <w:fldChar w:fldCharType="separate"/>
            </w:r>
            <w:r w:rsidR="00477024">
              <w:rPr>
                <w:noProof/>
                <w:webHidden/>
              </w:rPr>
              <w:t>15</w:t>
            </w:r>
            <w:r>
              <w:rPr>
                <w:noProof/>
                <w:webHidden/>
              </w:rPr>
              <w:fldChar w:fldCharType="end"/>
            </w:r>
          </w:hyperlink>
        </w:p>
        <w:p w14:paraId="22408030" w14:textId="09DD585E" w:rsidR="00B81D30" w:rsidRDefault="00B81D3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87316927" w:history="1">
            <w:r w:rsidRPr="004B1FC0">
              <w:rPr>
                <w:rStyle w:val="Hyperlink"/>
                <w:noProof/>
              </w:rPr>
              <w:t>3. Task 2: Conclusion: Shortcomings of HSBC's Marketing Strategy</w:t>
            </w:r>
            <w:r>
              <w:rPr>
                <w:noProof/>
                <w:webHidden/>
              </w:rPr>
              <w:tab/>
            </w:r>
            <w:r>
              <w:rPr>
                <w:noProof/>
                <w:webHidden/>
              </w:rPr>
              <w:fldChar w:fldCharType="begin"/>
            </w:r>
            <w:r>
              <w:rPr>
                <w:noProof/>
                <w:webHidden/>
              </w:rPr>
              <w:instrText xml:space="preserve"> PAGEREF _Toc187316927 \h </w:instrText>
            </w:r>
            <w:r>
              <w:rPr>
                <w:noProof/>
                <w:webHidden/>
              </w:rPr>
            </w:r>
            <w:r>
              <w:rPr>
                <w:noProof/>
                <w:webHidden/>
              </w:rPr>
              <w:fldChar w:fldCharType="separate"/>
            </w:r>
            <w:r w:rsidR="00477024">
              <w:rPr>
                <w:noProof/>
                <w:webHidden/>
              </w:rPr>
              <w:t>17</w:t>
            </w:r>
            <w:r>
              <w:rPr>
                <w:noProof/>
                <w:webHidden/>
              </w:rPr>
              <w:fldChar w:fldCharType="end"/>
            </w:r>
          </w:hyperlink>
        </w:p>
        <w:p w14:paraId="1F8272DA" w14:textId="3FDC58C3" w:rsidR="00B81D30" w:rsidRDefault="00B81D3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87316928" w:history="1">
            <w:r w:rsidRPr="004B1FC0">
              <w:rPr>
                <w:rStyle w:val="Hyperlink"/>
                <w:noProof/>
              </w:rPr>
              <w:t>4. Task 3: Recommendations for Improving HSBC’s Marketing Strategy</w:t>
            </w:r>
            <w:r>
              <w:rPr>
                <w:noProof/>
                <w:webHidden/>
              </w:rPr>
              <w:tab/>
            </w:r>
            <w:r>
              <w:rPr>
                <w:noProof/>
                <w:webHidden/>
              </w:rPr>
              <w:fldChar w:fldCharType="begin"/>
            </w:r>
            <w:r>
              <w:rPr>
                <w:noProof/>
                <w:webHidden/>
              </w:rPr>
              <w:instrText xml:space="preserve"> PAGEREF _Toc187316928 \h </w:instrText>
            </w:r>
            <w:r>
              <w:rPr>
                <w:noProof/>
                <w:webHidden/>
              </w:rPr>
            </w:r>
            <w:r>
              <w:rPr>
                <w:noProof/>
                <w:webHidden/>
              </w:rPr>
              <w:fldChar w:fldCharType="separate"/>
            </w:r>
            <w:r w:rsidR="00477024">
              <w:rPr>
                <w:noProof/>
                <w:webHidden/>
              </w:rPr>
              <w:t>17</w:t>
            </w:r>
            <w:r>
              <w:rPr>
                <w:noProof/>
                <w:webHidden/>
              </w:rPr>
              <w:fldChar w:fldCharType="end"/>
            </w:r>
          </w:hyperlink>
        </w:p>
        <w:p w14:paraId="6A7CDE9F" w14:textId="2F2BDCDF" w:rsidR="00B81D30" w:rsidRDefault="00B81D3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87316929" w:history="1">
            <w:r w:rsidRPr="004B1FC0">
              <w:rPr>
                <w:rStyle w:val="Hyperlink"/>
                <w:noProof/>
              </w:rPr>
              <w:t>References</w:t>
            </w:r>
            <w:r>
              <w:rPr>
                <w:noProof/>
                <w:webHidden/>
              </w:rPr>
              <w:tab/>
            </w:r>
            <w:r>
              <w:rPr>
                <w:noProof/>
                <w:webHidden/>
              </w:rPr>
              <w:fldChar w:fldCharType="begin"/>
            </w:r>
            <w:r>
              <w:rPr>
                <w:noProof/>
                <w:webHidden/>
              </w:rPr>
              <w:instrText xml:space="preserve"> PAGEREF _Toc187316929 \h </w:instrText>
            </w:r>
            <w:r>
              <w:rPr>
                <w:noProof/>
                <w:webHidden/>
              </w:rPr>
            </w:r>
            <w:r>
              <w:rPr>
                <w:noProof/>
                <w:webHidden/>
              </w:rPr>
              <w:fldChar w:fldCharType="separate"/>
            </w:r>
            <w:r w:rsidR="00477024">
              <w:rPr>
                <w:noProof/>
                <w:webHidden/>
              </w:rPr>
              <w:t>19</w:t>
            </w:r>
            <w:r>
              <w:rPr>
                <w:noProof/>
                <w:webHidden/>
              </w:rPr>
              <w:fldChar w:fldCharType="end"/>
            </w:r>
          </w:hyperlink>
        </w:p>
        <w:p w14:paraId="301BF784" w14:textId="53757A43" w:rsidR="00C538B1" w:rsidRDefault="00C538B1" w:rsidP="00DD524D">
          <w:pPr>
            <w:jc w:val="center"/>
          </w:pPr>
          <w:r w:rsidRPr="00C538B1">
            <w:rPr>
              <w:b/>
              <w:bCs/>
            </w:rPr>
            <w:fldChar w:fldCharType="end"/>
          </w:r>
        </w:p>
      </w:sdtContent>
    </w:sdt>
    <w:p w14:paraId="48420F69" w14:textId="77777777" w:rsidR="00C538B1" w:rsidRDefault="00C538B1" w:rsidP="00DD524D">
      <w:pPr>
        <w:rPr>
          <w:b/>
          <w:sz w:val="28"/>
          <w:szCs w:val="28"/>
        </w:rPr>
      </w:pPr>
      <w:r>
        <w:br w:type="page"/>
      </w:r>
    </w:p>
    <w:p w14:paraId="6006A853" w14:textId="3C23E62D" w:rsidR="003625B1" w:rsidRDefault="00000000" w:rsidP="00DD524D">
      <w:pPr>
        <w:pStyle w:val="Heading1"/>
      </w:pPr>
      <w:bookmarkStart w:id="1" w:name="_Toc187316919"/>
      <w:r>
        <w:lastRenderedPageBreak/>
        <w:t>1. Introduction</w:t>
      </w:r>
      <w:bookmarkEnd w:id="1"/>
      <w:r>
        <w:t xml:space="preserve"> </w:t>
      </w:r>
    </w:p>
    <w:p w14:paraId="7A747102" w14:textId="77777777" w:rsidR="003625B1" w:rsidRDefault="00000000" w:rsidP="00DD524D">
      <w:r>
        <w:t>HSBC, also known as HongKong and Shanghai Banking Corporation, is one of the biggest worldwide banking and financial organisations. HSBC provides its services to millions of consumers in more than 60 countries through its divisions, which include retail banking, wealth and personal banking, commercial banking, and global markets. The organisation plays a crucial role in providing foreign exchange services, managing various financial risks, and providing a variety of services to its customers, whether they are individuals, business entities. Due to the operations of HSBC in the global economy, these factors are relevant to the company and the constant evolution of its marketing strategies in the context of the competition.</w:t>
      </w:r>
    </w:p>
    <w:p w14:paraId="60205967" w14:textId="77777777" w:rsidR="003625B1" w:rsidRDefault="00000000" w:rsidP="00DD524D">
      <w:r>
        <w:t>In the banking industry, marketing strategy plays an important facet in attracting customers towards the banks and in increasing the percentage of business. Banking services are not tangible and this means that customers always have to seek services from organizations and companies that they can trust. Organisational communication goals work for benefit of the organisations like HSBC to inform their audience about its products and services, to position itself against competitors, and to address changes in customer needs. This becomes even more important, particularly in inducing technology in the production of goods and services by companies under changing customer needs and rising competitiveness.</w:t>
      </w:r>
    </w:p>
    <w:p w14:paraId="5412B20A" w14:textId="77777777" w:rsidR="003625B1" w:rsidRDefault="00000000" w:rsidP="00DD524D">
      <w:r>
        <w:t>This report proposes to critically evaluate the HSBC group in the following areas marketing about macro and microenvironmental factors, identification of the most suitable target markets and the proper communication channels to utilise. The report details the shortcomings and recommendations on the marketing of HSBC and shows how the company can enhance its status in the marketplace of financial services.</w:t>
      </w:r>
    </w:p>
    <w:p w14:paraId="6C44F981" w14:textId="77777777" w:rsidR="003625B1" w:rsidRDefault="00000000" w:rsidP="00DD524D">
      <w:pPr>
        <w:pStyle w:val="Heading1"/>
      </w:pPr>
      <w:bookmarkStart w:id="2" w:name="_s82zkbwf6nbo" w:colFirst="0" w:colLast="0"/>
      <w:bookmarkStart w:id="3" w:name="_Toc187316920"/>
      <w:bookmarkEnd w:id="2"/>
      <w:r>
        <w:t>2. Task 1: Critical Evaluation of HSBC Marketing Activity</w:t>
      </w:r>
      <w:bookmarkEnd w:id="3"/>
    </w:p>
    <w:p w14:paraId="2D24BBD5" w14:textId="77777777" w:rsidR="003625B1" w:rsidRDefault="00000000" w:rsidP="00DD524D">
      <w:pPr>
        <w:pStyle w:val="Heading2"/>
      </w:pPr>
      <w:bookmarkStart w:id="4" w:name="_whcrshel6lqb" w:colFirst="0" w:colLast="0"/>
      <w:bookmarkStart w:id="5" w:name="_Toc187316921"/>
      <w:bookmarkEnd w:id="4"/>
      <w:r>
        <w:t>2.1 The Concept and Importance of Marketing: Resources Invested by HSBC</w:t>
      </w:r>
      <w:bookmarkEnd w:id="5"/>
    </w:p>
    <w:p w14:paraId="7546987E" w14:textId="77777777" w:rsidR="003625B1" w:rsidRDefault="00000000" w:rsidP="00DD524D">
      <w:r>
        <w:t>Marketing is considered as one of the most valuable approaches in HSBC because it seeks the expansion of the company and international network (Sivaprasad and Mathew, 2021). The bank notices it important to spend a huge chunk of its capital on marketing to ensure that tops the list of the most recognized institutions and come close to the consumers in all the markets. They are present in several significant spheres, which can be the budget sphere, staff, and technologies.</w:t>
      </w:r>
    </w:p>
    <w:p w14:paraId="305509DE" w14:textId="77777777" w:rsidR="003625B1" w:rsidRDefault="00000000" w:rsidP="00DD524D">
      <w:pPr>
        <w:rPr>
          <w:b/>
        </w:rPr>
      </w:pPr>
      <w:r>
        <w:rPr>
          <w:b/>
        </w:rPr>
        <w:t>Budget Allocation</w:t>
      </w:r>
    </w:p>
    <w:p w14:paraId="4968594C" w14:textId="77777777" w:rsidR="003625B1" w:rsidRDefault="00000000" w:rsidP="00DD524D">
      <w:r>
        <w:lastRenderedPageBreak/>
        <w:t>Marketing communication expenses remain high if considered in terms of the overall fund investment by HSBC that it brings in for the process and highlights its importance on brand creation and customer outreach (Jain, 2024). This budget is adopted through the traditional media, the new media, the print media, and the Electronic Media also through advertisements and sponsorships. Significant portion remains with the DX projects because HSBC remains inclined towards online banking, mobile applications, and other customised offerings. Latterly, it has focused more on extending and enhancing digital advertisement in parallel with growing online financial services.</w:t>
      </w:r>
    </w:p>
    <w:p w14:paraId="433695AC" w14:textId="77777777" w:rsidR="003625B1" w:rsidRDefault="00000000" w:rsidP="00DD524D">
      <w:pPr>
        <w:jc w:val="center"/>
      </w:pPr>
      <w:r>
        <w:rPr>
          <w:noProof/>
        </w:rPr>
        <w:drawing>
          <wp:inline distT="114300" distB="114300" distL="114300" distR="114300" wp14:anchorId="22F423A4" wp14:editId="0B081609">
            <wp:extent cx="5943600" cy="27940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2794000"/>
                    </a:xfrm>
                    <a:prstGeom prst="rect">
                      <a:avLst/>
                    </a:prstGeom>
                    <a:ln w="25400">
                      <a:solidFill>
                        <a:srgbClr val="000000"/>
                      </a:solidFill>
                      <a:prstDash val="solid"/>
                    </a:ln>
                  </pic:spPr>
                </pic:pic>
              </a:graphicData>
            </a:graphic>
          </wp:inline>
        </w:drawing>
      </w:r>
    </w:p>
    <w:p w14:paraId="2018B1E4" w14:textId="77777777" w:rsidR="003625B1" w:rsidRDefault="00000000" w:rsidP="00DD524D">
      <w:pPr>
        <w:jc w:val="center"/>
        <w:rPr>
          <w:b/>
        </w:rPr>
      </w:pPr>
      <w:r>
        <w:rPr>
          <w:b/>
        </w:rPr>
        <w:t>Figure 2.1: Asset Management of HSBC</w:t>
      </w:r>
    </w:p>
    <w:p w14:paraId="6E6D3976" w14:textId="77777777" w:rsidR="003625B1" w:rsidRDefault="00000000" w:rsidP="00DD524D">
      <w:pPr>
        <w:jc w:val="center"/>
      </w:pPr>
      <w:r>
        <w:t>(Source: assetmanagement.hsbc.co.uk, 2025)</w:t>
      </w:r>
    </w:p>
    <w:p w14:paraId="6F426890" w14:textId="77777777" w:rsidR="003625B1" w:rsidRDefault="00000000" w:rsidP="00DD524D">
      <w:pPr>
        <w:rPr>
          <w:b/>
        </w:rPr>
      </w:pPr>
      <w:r>
        <w:rPr>
          <w:b/>
        </w:rPr>
        <w:t>Staffing</w:t>
      </w:r>
    </w:p>
    <w:p w14:paraId="61B25086" w14:textId="77777777" w:rsidR="003625B1" w:rsidRDefault="00000000" w:rsidP="00DD524D">
      <w:r>
        <w:t>The staffing resources used in the marketing functions of HSBC implies the involvement of several people in charge of marketing, marketing strategies, campaigns and consumers (BILGIN, 2024). Such individuals may have a wide range of experience across like fields as marketing, communications, research, and analysis. In HSBC, the marketing department collaborate with other departments such as IT and support in producing well-coordinated campaigns and structures that is responsive to the customers and conforms to the organizational strategies.</w:t>
      </w:r>
    </w:p>
    <w:p w14:paraId="10C81A65" w14:textId="77777777" w:rsidR="003625B1" w:rsidRDefault="00000000" w:rsidP="00DD524D">
      <w:pPr>
        <w:rPr>
          <w:b/>
        </w:rPr>
      </w:pPr>
      <w:r>
        <w:rPr>
          <w:b/>
        </w:rPr>
        <w:t>Technological Tools</w:t>
      </w:r>
    </w:p>
    <w:p w14:paraId="67A955E0" w14:textId="77777777" w:rsidR="003625B1" w:rsidRDefault="00000000" w:rsidP="00DD524D">
      <w:r>
        <w:t xml:space="preserve">Concerning the technological assets, it is equally important to note that HSBC has gotten hold of various modern digital tools and platforms to back its marketing campaign (Balaji, 2024). This </w:t>
      </w:r>
      <w:r>
        <w:lastRenderedPageBreak/>
        <w:t>includes from customer relationship management (CRM), data analytics, and social media management systems among others. The use of these technologies will help the bank track the habits of the customers, evaluate the effect of the campaigns and deliver quality services. The mobile banking promotions, the promotions’ key aspect is the customer information and trends, while on the other hand, HSBC has tapped into the technological aspect to come up with better ways of marketing.</w:t>
      </w:r>
    </w:p>
    <w:p w14:paraId="665073A0" w14:textId="77777777" w:rsidR="003625B1" w:rsidRDefault="00000000" w:rsidP="00DD524D">
      <w:r>
        <w:t>HSBC has invested on these resources in order to prove that marketing can be a competitive asset in the globalization effort of an enterprise.</w:t>
      </w:r>
    </w:p>
    <w:p w14:paraId="3770A7A1" w14:textId="77777777" w:rsidR="003625B1" w:rsidRDefault="00000000" w:rsidP="00DD524D">
      <w:pPr>
        <w:pStyle w:val="Heading2"/>
      </w:pPr>
      <w:bookmarkStart w:id="6" w:name="_e89x1thgm8sf" w:colFirst="0" w:colLast="0"/>
      <w:bookmarkStart w:id="7" w:name="_Toc187316922"/>
      <w:bookmarkEnd w:id="6"/>
      <w:r>
        <w:t>2.2 The Macro and Micro Marketing Environment of HSBC: Influence on Marketing Strategy</w:t>
      </w:r>
      <w:bookmarkEnd w:id="7"/>
    </w:p>
    <w:p w14:paraId="77DB918B" w14:textId="77777777" w:rsidR="003625B1" w:rsidRDefault="00000000" w:rsidP="00DD524D">
      <w:r>
        <w:t>The analysis of the macro and micro environment is immensely crucial in establishing HSBC’s marketing strategies (Kaluarachchi and Sedera, 2024). While using the PESTLE (Political, Economic, Social, Technological, Legal, and Environmental) framework facilitates understanding the macro environment better to assess this impact on the organisation. The microenvironment deals with specific industry competitors, and stakeholders and their direct influence on the marketing decisions within the bank.</w:t>
      </w:r>
    </w:p>
    <w:p w14:paraId="3D6B7B54" w14:textId="77777777" w:rsidR="003625B1" w:rsidRDefault="00000000" w:rsidP="00DD524D">
      <w:r>
        <w:rPr>
          <w:b/>
        </w:rPr>
        <w:t>Macro Factors: PESTLE Analysis</w:t>
      </w:r>
    </w:p>
    <w:tbl>
      <w:tblPr>
        <w:tblStyle w:val="a"/>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7515"/>
      </w:tblGrid>
      <w:tr w:rsidR="003625B1" w14:paraId="1559CEA5" w14:textId="77777777">
        <w:trPr>
          <w:trHeight w:val="43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72CD7" w14:textId="77777777" w:rsidR="003625B1" w:rsidRDefault="00000000" w:rsidP="00DD524D">
            <w:pPr>
              <w:jc w:val="center"/>
              <w:rPr>
                <w:b/>
              </w:rPr>
            </w:pPr>
            <w:r>
              <w:rPr>
                <w:b/>
              </w:rPr>
              <w:t>Factor</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02074" w14:textId="77777777" w:rsidR="003625B1" w:rsidRDefault="00000000" w:rsidP="00DD524D">
            <w:pPr>
              <w:jc w:val="center"/>
              <w:rPr>
                <w:b/>
              </w:rPr>
            </w:pPr>
            <w:r>
              <w:rPr>
                <w:b/>
              </w:rPr>
              <w:t>Impact on HSBC's Marketing</w:t>
            </w:r>
          </w:p>
        </w:tc>
      </w:tr>
      <w:tr w:rsidR="003625B1" w14:paraId="3D9BDB69" w14:textId="77777777">
        <w:trPr>
          <w:trHeight w:val="36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5954E0" w14:textId="77777777" w:rsidR="003625B1" w:rsidRDefault="00000000" w:rsidP="00DD524D">
            <w:r>
              <w:t>Political</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9F369" w14:textId="77777777" w:rsidR="003625B1" w:rsidRDefault="00000000" w:rsidP="00DD524D">
            <w:r>
              <w:t>Regulatory policies, banking reforms (Basel III), and political stability affect HSBC’s global marketing and growth strategies.</w:t>
            </w:r>
          </w:p>
        </w:tc>
      </w:tr>
      <w:tr w:rsidR="003625B1" w14:paraId="7D4ED843" w14:textId="77777777">
        <w:trPr>
          <w:trHeight w:val="106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D23F0" w14:textId="77777777" w:rsidR="003625B1" w:rsidRDefault="00000000" w:rsidP="00DD524D">
            <w:r>
              <w:t>Economic</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86B08" w14:textId="77777777" w:rsidR="003625B1" w:rsidRDefault="00000000" w:rsidP="00DD524D">
            <w:r>
              <w:t>Economic conditions influence HSBC’s product offerings; stable markets attract investment products, while downturns focus on cost-effective financial solutions.</w:t>
            </w:r>
          </w:p>
        </w:tc>
      </w:tr>
      <w:tr w:rsidR="003625B1" w14:paraId="59D6595A" w14:textId="77777777">
        <w:trPr>
          <w:trHeight w:val="124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B71AF" w14:textId="77777777" w:rsidR="003625B1" w:rsidRDefault="00000000" w:rsidP="00DD524D">
            <w:r>
              <w:t>Social</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51D6B" w14:textId="77777777" w:rsidR="003625B1" w:rsidRDefault="00000000" w:rsidP="00DD524D">
            <w:r>
              <w:t>CSR initiatives, sustainable finance, and demographic changes (ageing population, young consumers) shape HSBC’s marketing to reflect ethical values and cater to diverse customer needs.</w:t>
            </w:r>
          </w:p>
        </w:tc>
      </w:tr>
      <w:tr w:rsidR="003625B1" w14:paraId="427CC47A" w14:textId="77777777">
        <w:trPr>
          <w:trHeight w:val="11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EB67A" w14:textId="77777777" w:rsidR="003625B1" w:rsidRDefault="00000000" w:rsidP="00DD524D">
            <w:r>
              <w:lastRenderedPageBreak/>
              <w:t>Technological</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B2590" w14:textId="77777777" w:rsidR="003625B1" w:rsidRDefault="00000000" w:rsidP="00DD524D">
            <w:r>
              <w:t>Digital banking, AI, and mobile platforms necessitate investment in digital marketing strategies and innovative technologies (blockchain, cryptocurrency).</w:t>
            </w:r>
          </w:p>
        </w:tc>
      </w:tr>
      <w:tr w:rsidR="003625B1" w14:paraId="5BF9872D" w14:textId="77777777">
        <w:trPr>
          <w:trHeight w:val="127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8A5AE1" w14:textId="77777777" w:rsidR="003625B1" w:rsidRDefault="00000000" w:rsidP="00DD524D">
            <w:r>
              <w:t>Legal</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D4C6C" w14:textId="77777777" w:rsidR="003625B1" w:rsidRDefault="00000000" w:rsidP="00DD524D">
            <w:r>
              <w:t>Compliance with data protection, anti-money laundering laws, and regional regulations influences HSBC's marketing communication to ensure legal and ethical practices.</w:t>
            </w:r>
          </w:p>
        </w:tc>
      </w:tr>
      <w:tr w:rsidR="003625B1" w14:paraId="79BC4C10" w14:textId="77777777">
        <w:trPr>
          <w:trHeight w:val="73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3AF2E" w14:textId="77777777" w:rsidR="003625B1" w:rsidRDefault="00000000" w:rsidP="00DD524D">
            <w:r>
              <w:t>Environmental</w:t>
            </w:r>
          </w:p>
        </w:tc>
        <w:tc>
          <w:tcPr>
            <w:tcW w:w="7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4256C" w14:textId="77777777" w:rsidR="003625B1" w:rsidRDefault="00000000" w:rsidP="00DD524D">
            <w:r>
              <w:t>HSBC's commitment to sustainability drives the marketing of green bonds, eco-friendly financial products, and environmentally responsible practices.</w:t>
            </w:r>
          </w:p>
        </w:tc>
      </w:tr>
    </w:tbl>
    <w:p w14:paraId="47BF0BFB" w14:textId="77777777" w:rsidR="003625B1" w:rsidRDefault="00000000" w:rsidP="00DD524D">
      <w:pPr>
        <w:jc w:val="center"/>
        <w:rPr>
          <w:b/>
        </w:rPr>
      </w:pPr>
      <w:r>
        <w:rPr>
          <w:b/>
        </w:rPr>
        <w:t>Table 2.1: PESTLE Analysis: Macro Factors Influencing HSBC's Marketing Environment</w:t>
      </w:r>
    </w:p>
    <w:p w14:paraId="073B73EE" w14:textId="77777777" w:rsidR="003625B1" w:rsidRDefault="00000000" w:rsidP="00DD524D">
      <w:pPr>
        <w:jc w:val="center"/>
      </w:pPr>
      <w:r>
        <w:t>(Source: Self-created)</w:t>
      </w:r>
    </w:p>
    <w:p w14:paraId="0EDB197A" w14:textId="7739BE23" w:rsidR="003625B1" w:rsidRDefault="00000000" w:rsidP="00DD524D">
      <w:r>
        <w:rPr>
          <w:b/>
          <w:i/>
        </w:rPr>
        <w:t xml:space="preserve">Political Factors: </w:t>
      </w:r>
      <w:r>
        <w:t xml:space="preserve">The political factors are one of the important business macro environments affecting the marketing of HSBC since it operates in many countries and they all have different political structures and laws from that of the UK (Ghadiridehkordi </w:t>
      </w:r>
      <w:r w:rsidR="003C628C" w:rsidRPr="003C628C">
        <w:rPr>
          <w:i/>
          <w:iCs/>
        </w:rPr>
        <w:t>et al.</w:t>
      </w:r>
      <w:r>
        <w:t xml:space="preserve"> 2024). Some of these key policies include banking regulation policies, taxes, and trade policies which are crucial to the operations of HSBC. Legal changes, such as the launch of the Basel III banking reforms, demand marketing claims that emphasize the company’s compliance with the new guidelines and proper management of finances. The political factors also play a role in HSBC’s growth strategies since sometimes may be politically unstable but holds potential for growth.</w:t>
      </w:r>
    </w:p>
    <w:p w14:paraId="066D10A6" w14:textId="77777777" w:rsidR="003625B1" w:rsidRDefault="00000000" w:rsidP="00DD524D">
      <w:r>
        <w:rPr>
          <w:b/>
          <w:i/>
        </w:rPr>
        <w:t xml:space="preserve">Economic Factors: </w:t>
      </w:r>
      <w:r>
        <w:t>The economic factors including the world economy, inflation, spending power and many others are also key determinants of HSBC’s marketing strategies (Ngoc, 2024). HSBC could have other slogans like stabling, cheap, and secure when the market is not doing well. In turn, in situations of economic development, it can attract customers with investment offers, credit products, as well as other financial services. HSBC has been forced to adapt digital banking channels in its business due to changes in socio-economic factors including financial technology, and digital currency among others.</w:t>
      </w:r>
    </w:p>
    <w:p w14:paraId="2124740B" w14:textId="26D44F5B" w:rsidR="003625B1" w:rsidRDefault="00000000" w:rsidP="00DD524D">
      <w:r>
        <w:rPr>
          <w:b/>
          <w:i/>
        </w:rPr>
        <w:t xml:space="preserve">Social Factors: </w:t>
      </w:r>
      <w:r>
        <w:t xml:space="preserve">Social factors are another influential aspect in the context of the marketing mix decisions of HSBC (Niyazbekova </w:t>
      </w:r>
      <w:r w:rsidR="003C628C" w:rsidRPr="003C628C">
        <w:rPr>
          <w:i/>
          <w:iCs/>
        </w:rPr>
        <w:t>et al.</w:t>
      </w:r>
      <w:r>
        <w:t xml:space="preserve"> 2021). Since the customer is thinking of more ethical, sustainable, and socially responsible business activities, HSBC has included “corporate social responsibility (CSR)” approaches in their communicated themes. HSBC has promoted its </w:t>
      </w:r>
      <w:r>
        <w:lastRenderedPageBreak/>
        <w:t>sustainable finance services and policies on emission cuts to meet the growing consumer consciousness about the ethical standing of their banking institutions. Moreover, the ageing population in developed countries and the young generation in developing countries become a demographical factor that defines HSBC's segmented marketing strategies and products on wealth building and online banking.</w:t>
      </w:r>
    </w:p>
    <w:p w14:paraId="0E848545" w14:textId="019A8B54" w:rsidR="003625B1" w:rsidRDefault="00000000" w:rsidP="00DD524D">
      <w:r>
        <w:rPr>
          <w:b/>
          <w:i/>
        </w:rPr>
        <w:t xml:space="preserve">Technological Factors: </w:t>
      </w:r>
      <w:r>
        <w:t>Technological factors can be considered as one of the key factors in the transformation of HSBC’s marketing tactics caused by the shift towards digitalization of marketing processes (</w:t>
      </w:r>
      <w:r w:rsidR="001270AC" w:rsidRPr="003C628C">
        <w:t>Yu</w:t>
      </w:r>
      <w:r>
        <w:t>, 202</w:t>
      </w:r>
      <w:r w:rsidR="001270AC">
        <w:t>3</w:t>
      </w:r>
      <w:r>
        <w:t>). The development of mobile banking together with other platforms based on data analytics and AI increases the need for this enterprise to increase its advertising costs in digital media. Web advertisement, creating content for each customer, and membership in social networks can help HSBC establish communication with customers. The changes in technology have forced HSBC to embrace new techniques in offering digital banking services, blockchain and cryptocurrency offerings to consumers who are interested in such technologies.</w:t>
      </w:r>
    </w:p>
    <w:p w14:paraId="0CF94F2F" w14:textId="77777777" w:rsidR="003625B1" w:rsidRDefault="00000000" w:rsidP="00DD524D">
      <w:r>
        <w:rPr>
          <w:b/>
          <w:i/>
        </w:rPr>
        <w:t xml:space="preserve">Legal factors: </w:t>
      </w:r>
      <w:r>
        <w:t>The legal factors of HSBC’s marketing concern are the legal dimensions that guarantee that the company adheres to distinct legal requirements in various international locations (Marotta and Bradshaw, 2023). Presently, marketing communication is governed by anti-money laundering legislation, data protection and other consumer protection laws meaning that the marketing communication of HSBC should be legal, truthful and not unfair. In regions where specifics of regulations for data privacy are strict like the EU, HSBC has to manage legalities of customer privacy to detail how that company collects and uses customer data for marketing.</w:t>
      </w:r>
    </w:p>
    <w:p w14:paraId="535F6A81" w14:textId="0D6C658B" w:rsidR="003625B1" w:rsidRDefault="00000000" w:rsidP="00DD524D">
      <w:r>
        <w:rPr>
          <w:b/>
          <w:i/>
        </w:rPr>
        <w:t xml:space="preserve">Environmental Factors: </w:t>
      </w:r>
      <w:r>
        <w:t xml:space="preserve">Environmental factors include the need to practice sustainability and also affect the marketing decisions of HSBC (Nahar </w:t>
      </w:r>
      <w:r w:rsidR="003C628C" w:rsidRPr="003C628C">
        <w:rPr>
          <w:i/>
          <w:iCs/>
        </w:rPr>
        <w:t>et al.</w:t>
      </w:r>
      <w:r>
        <w:t xml:space="preserve"> 2021). It is also observed in its sales and marketing of sustainable investment, environmental bonds and the funding of sustainable practices. This strategy can be seen to enhance the consumption shifts for both the consumer and business by employing slogans as a way of communicating to the audience that HSBC is willing to facilitate change for the green economy.</w:t>
      </w:r>
    </w:p>
    <w:p w14:paraId="0E85CC0E" w14:textId="77777777" w:rsidR="003625B1" w:rsidRDefault="00000000" w:rsidP="00DD524D">
      <w:pPr>
        <w:jc w:val="center"/>
      </w:pPr>
      <w:r>
        <w:rPr>
          <w:noProof/>
        </w:rPr>
        <w:lastRenderedPageBreak/>
        <w:drawing>
          <wp:inline distT="114300" distB="114300" distL="114300" distR="114300" wp14:anchorId="5042075F" wp14:editId="1021B8E2">
            <wp:extent cx="5943600" cy="45847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4584700"/>
                    </a:xfrm>
                    <a:prstGeom prst="rect">
                      <a:avLst/>
                    </a:prstGeom>
                    <a:ln w="25400">
                      <a:solidFill>
                        <a:srgbClr val="000000"/>
                      </a:solidFill>
                      <a:prstDash val="solid"/>
                    </a:ln>
                  </pic:spPr>
                </pic:pic>
              </a:graphicData>
            </a:graphic>
          </wp:inline>
        </w:drawing>
      </w:r>
    </w:p>
    <w:p w14:paraId="3DF1EBDC" w14:textId="77777777" w:rsidR="003625B1" w:rsidRDefault="00000000" w:rsidP="00DD524D">
      <w:pPr>
        <w:jc w:val="center"/>
        <w:rPr>
          <w:b/>
        </w:rPr>
      </w:pPr>
      <w:r>
        <w:rPr>
          <w:b/>
        </w:rPr>
        <w:t>Figure 2.2: Different Macro and Micro Marketing Environments</w:t>
      </w:r>
    </w:p>
    <w:p w14:paraId="04F2284C" w14:textId="77777777" w:rsidR="003625B1" w:rsidRDefault="00000000" w:rsidP="00DD524D">
      <w:pPr>
        <w:jc w:val="center"/>
      </w:pPr>
      <w:r>
        <w:t>(Source: Week 3-The Marketing Environment Lecture Note)</w:t>
      </w:r>
    </w:p>
    <w:p w14:paraId="5900A920" w14:textId="77777777" w:rsidR="003625B1" w:rsidRDefault="00000000" w:rsidP="00DD524D">
      <w:r>
        <w:rPr>
          <w:b/>
        </w:rPr>
        <w:t>Micro Factors: Competitors, Customers, and Stakeholders</w:t>
      </w:r>
    </w:p>
    <w:tbl>
      <w:tblPr>
        <w:tblStyle w:val="a0"/>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7470"/>
      </w:tblGrid>
      <w:tr w:rsidR="003625B1" w14:paraId="708D8233" w14:textId="77777777">
        <w:trPr>
          <w:trHeight w:val="270"/>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50F57" w14:textId="77777777" w:rsidR="003625B1" w:rsidRDefault="00000000" w:rsidP="00DD524D">
            <w:pPr>
              <w:jc w:val="center"/>
              <w:rPr>
                <w:b/>
              </w:rPr>
            </w:pPr>
            <w:r>
              <w:rPr>
                <w:b/>
              </w:rPr>
              <w:t>Factor</w:t>
            </w:r>
          </w:p>
        </w:tc>
        <w:tc>
          <w:tcPr>
            <w:tcW w:w="7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A2080" w14:textId="77777777" w:rsidR="003625B1" w:rsidRDefault="00000000" w:rsidP="00DD524D">
            <w:pPr>
              <w:jc w:val="center"/>
              <w:rPr>
                <w:b/>
              </w:rPr>
            </w:pPr>
            <w:r>
              <w:rPr>
                <w:b/>
              </w:rPr>
              <w:t>Impact on HSBC's Marketing</w:t>
            </w:r>
          </w:p>
        </w:tc>
      </w:tr>
      <w:tr w:rsidR="003625B1" w14:paraId="7971E609" w14:textId="77777777">
        <w:trPr>
          <w:trHeight w:val="52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C8C51A" w14:textId="77777777" w:rsidR="003625B1" w:rsidRDefault="00000000" w:rsidP="00DD524D">
            <w:r>
              <w:t>Competitors</w:t>
            </w:r>
          </w:p>
        </w:tc>
        <w:tc>
          <w:tcPr>
            <w:tcW w:w="7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E69E9" w14:textId="77777777" w:rsidR="003625B1" w:rsidRDefault="00000000" w:rsidP="00DD524D">
            <w:r>
              <w:t>HSBC monitors competitors like Barclays and Citibank to adjust its marketing strategies, especially in digital banking, wealth management, and corporate finance.</w:t>
            </w:r>
          </w:p>
        </w:tc>
      </w:tr>
      <w:tr w:rsidR="003625B1" w14:paraId="5D4D41B1" w14:textId="77777777">
        <w:trPr>
          <w:trHeight w:val="1395"/>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2D1AB" w14:textId="77777777" w:rsidR="003625B1" w:rsidRDefault="00000000" w:rsidP="00DD524D">
            <w:r>
              <w:t>Customers</w:t>
            </w:r>
          </w:p>
        </w:tc>
        <w:tc>
          <w:tcPr>
            <w:tcW w:w="7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26444" w14:textId="77777777" w:rsidR="003625B1" w:rsidRDefault="00000000" w:rsidP="00DD524D">
            <w:r>
              <w:t>HSBC targets various customer segments (corporates, SMEs, digital users) based on data analytics, tailoring marketing to meet the needs of each group, including those in emerging markets.</w:t>
            </w:r>
          </w:p>
        </w:tc>
      </w:tr>
      <w:tr w:rsidR="003625B1" w14:paraId="15590E41" w14:textId="77777777">
        <w:trPr>
          <w:trHeight w:val="600"/>
        </w:trPr>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E1DF5" w14:textId="77777777" w:rsidR="003625B1" w:rsidRDefault="00000000" w:rsidP="00DD524D">
            <w:r>
              <w:lastRenderedPageBreak/>
              <w:t>Stakeholders</w:t>
            </w:r>
          </w:p>
        </w:tc>
        <w:tc>
          <w:tcPr>
            <w:tcW w:w="7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30271C" w14:textId="77777777" w:rsidR="003625B1" w:rsidRDefault="00000000" w:rsidP="00DD524D">
            <w:r>
              <w:t>Stakeholders, including employees and regulatory authorities, shape HSBC’s marketing strategies by enforcing ethical practices and promoting brand values.</w:t>
            </w:r>
          </w:p>
        </w:tc>
      </w:tr>
    </w:tbl>
    <w:p w14:paraId="1484861E" w14:textId="77777777" w:rsidR="003625B1" w:rsidRDefault="00000000" w:rsidP="00DD524D">
      <w:pPr>
        <w:jc w:val="center"/>
        <w:rPr>
          <w:b/>
        </w:rPr>
      </w:pPr>
      <w:r>
        <w:rPr>
          <w:b/>
        </w:rPr>
        <w:t>Table 2.2: Micro Factors Influencing HSBC's Marketing Environment</w:t>
      </w:r>
    </w:p>
    <w:p w14:paraId="3B19F0B6" w14:textId="77777777" w:rsidR="003625B1" w:rsidRDefault="00000000" w:rsidP="00DD524D">
      <w:pPr>
        <w:jc w:val="center"/>
        <w:rPr>
          <w:b/>
        </w:rPr>
      </w:pPr>
      <w:r>
        <w:t>(Source: Self-created)</w:t>
      </w:r>
    </w:p>
    <w:p w14:paraId="6D34385A" w14:textId="77777777" w:rsidR="003625B1" w:rsidRDefault="00000000" w:rsidP="00DD524D">
      <w:r>
        <w:rPr>
          <w:b/>
          <w:i/>
        </w:rPr>
        <w:t xml:space="preserve">Competitors: </w:t>
      </w:r>
      <w:r>
        <w:t>The main microenvironment for HSBC Company includes the competitors, customers and stakeholders. Among HSBC’s competitors that directly influence its marketing strategies, are Barclays and Citibank (Chowdhury and Islam, 2021). Marketing promotion and customer incentives together with prices offered by competitors are monitored by HSBC. This competition analysis can assist HSBC in positioning itself in more suitable ways in digital banking, wealth management, and corporate financing. If a competitor has launched a new product or service, HSBC can respond to it by staging advertising campaigns which can assert the benefits of their offerings and improved features.</w:t>
      </w:r>
    </w:p>
    <w:p w14:paraId="0762C46B" w14:textId="5A7E4C7E" w:rsidR="003625B1" w:rsidRDefault="00000000" w:rsidP="00DD524D">
      <w:r>
        <w:rPr>
          <w:b/>
          <w:i/>
        </w:rPr>
        <w:t xml:space="preserve">Customers: </w:t>
      </w:r>
      <w:r>
        <w:t xml:space="preserve">Customers are core in the marketing concepts practised at HSBC and on evaluating and classifying the customers, the bank directs its marketing activities towards these qualified customers. HSBC uses its customer data to </w:t>
      </w:r>
      <w:r w:rsidR="003C628C">
        <w:t>analyse</w:t>
      </w:r>
      <w:r>
        <w:t xml:space="preserve"> customer needs depending on a certain segment and then markets to their products that fit special categories like the corporate people, SMEs, the adept, and internet enthusiasts (Czinkota </w:t>
      </w:r>
      <w:r w:rsidR="003C628C" w:rsidRPr="003C628C">
        <w:rPr>
          <w:i/>
          <w:iCs/>
        </w:rPr>
        <w:t>et al.</w:t>
      </w:r>
      <w:r>
        <w:t xml:space="preserve"> 2021). It also adjusts its marketing activities to account for the challenges in such markets where mobile money and emerging middle-income groups provide high growth potential.</w:t>
      </w:r>
    </w:p>
    <w:p w14:paraId="7315E9C0" w14:textId="77777777" w:rsidR="003625B1" w:rsidRDefault="00000000" w:rsidP="00DD524D">
      <w:r>
        <w:rPr>
          <w:b/>
          <w:i/>
        </w:rPr>
        <w:t xml:space="preserve">Stakeholders: </w:t>
      </w:r>
      <w:r>
        <w:t>Shareholders like employees, and regulatory authorities are other marketing influencers in HSBC. An organisational culture that inculcates brand values has to be constantly nurtured by reinforcing with the employees and marketing to HSBC (Tahri, 2023). It targets the customers through the banker to communicate and persuade them on the financial position, growth prospects, and activities on environmental conservation the banker portrays. Legal and ethical requirements of promotion mean that there are some regulations by the relevant authorities that directly or indirectly regulate how HSBC structures its marketing communications.</w:t>
      </w:r>
    </w:p>
    <w:p w14:paraId="2AB56363" w14:textId="77777777" w:rsidR="003625B1" w:rsidRDefault="00000000" w:rsidP="00DD524D">
      <w:pPr>
        <w:pStyle w:val="Heading2"/>
      </w:pPr>
      <w:bookmarkStart w:id="8" w:name="_y5ujdl52cl5u" w:colFirst="0" w:colLast="0"/>
      <w:bookmarkStart w:id="9" w:name="_Toc187316923"/>
      <w:bookmarkEnd w:id="8"/>
      <w:r>
        <w:t>2.3 Change Management Strategies: HSBC's Approach</w:t>
      </w:r>
      <w:bookmarkEnd w:id="9"/>
    </w:p>
    <w:p w14:paraId="0BB29187" w14:textId="77777777" w:rsidR="003625B1" w:rsidRDefault="00000000" w:rsidP="00DD524D">
      <w:pPr>
        <w:rPr>
          <w:b/>
        </w:rPr>
      </w:pPr>
      <w:r>
        <w:rPr>
          <w:b/>
        </w:rPr>
        <w:t>Digital Transformation in Marketing</w:t>
      </w:r>
    </w:p>
    <w:p w14:paraId="5C85A33C" w14:textId="0AEEB08D" w:rsidR="003625B1" w:rsidRDefault="00000000" w:rsidP="00DD524D">
      <w:r>
        <w:lastRenderedPageBreak/>
        <w:t>HSBC has been flexible in responding to the shifting nature of the spread of marketing through mobile banking promotions and other digital channels</w:t>
      </w:r>
      <w:r w:rsidR="00C538B1">
        <w:t xml:space="preserve"> (Abou Saleh and Al Tuwaijri, 2022)</w:t>
      </w:r>
      <w:r>
        <w:t>. Currently, the bank has employed the use of Artificial intelligence, data analytics and even mobile applications when addressing the issues of customer interface and sales promotions. Mobile banking, for instance, creates an opportunity to advertise more frequently for instance special financial services offered by HSBC to reach more people who use digital platforms. Further, the high adoption of the Internet and social media for advertising by the bank has helped the marketing team to develop more campaigns, this is a sign that the institution has embraced technology in marketing</w:t>
      </w:r>
      <w:r w:rsidR="00C538B1">
        <w:t xml:space="preserve"> (</w:t>
      </w:r>
      <w:r w:rsidR="00C538B1" w:rsidRPr="00C538B1">
        <w:t>Cameron</w:t>
      </w:r>
      <w:r w:rsidR="00C538B1">
        <w:t xml:space="preserve"> and </w:t>
      </w:r>
      <w:r w:rsidR="00C538B1" w:rsidRPr="00C538B1">
        <w:t>Green,</w:t>
      </w:r>
      <w:r w:rsidR="00C538B1">
        <w:t xml:space="preserve"> </w:t>
      </w:r>
      <w:r w:rsidR="00C538B1" w:rsidRPr="00C538B1">
        <w:t>2015</w:t>
      </w:r>
      <w:r w:rsidR="00C538B1">
        <w:t>)</w:t>
      </w:r>
      <w:r>
        <w:t>.</w:t>
      </w:r>
    </w:p>
    <w:p w14:paraId="0DD421AC" w14:textId="77777777" w:rsidR="003625B1" w:rsidRDefault="00000000" w:rsidP="00DD524D">
      <w:pPr>
        <w:jc w:val="center"/>
      </w:pPr>
      <w:r>
        <w:rPr>
          <w:noProof/>
        </w:rPr>
        <w:drawing>
          <wp:inline distT="114300" distB="114300" distL="114300" distR="114300" wp14:anchorId="78BE62C1" wp14:editId="3ADF9035">
            <wp:extent cx="5943600" cy="3804084"/>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12224"/>
                    <a:stretch>
                      <a:fillRect/>
                    </a:stretch>
                  </pic:blipFill>
                  <pic:spPr>
                    <a:xfrm>
                      <a:off x="0" y="0"/>
                      <a:ext cx="5943600" cy="3804084"/>
                    </a:xfrm>
                    <a:prstGeom prst="rect">
                      <a:avLst/>
                    </a:prstGeom>
                    <a:ln w="25400">
                      <a:solidFill>
                        <a:srgbClr val="000000"/>
                      </a:solidFill>
                      <a:prstDash val="solid"/>
                    </a:ln>
                  </pic:spPr>
                </pic:pic>
              </a:graphicData>
            </a:graphic>
          </wp:inline>
        </w:drawing>
      </w:r>
    </w:p>
    <w:p w14:paraId="1E1C740A" w14:textId="77777777" w:rsidR="003625B1" w:rsidRDefault="00000000" w:rsidP="00DD524D">
      <w:pPr>
        <w:jc w:val="center"/>
        <w:rPr>
          <w:b/>
        </w:rPr>
      </w:pPr>
      <w:r>
        <w:rPr>
          <w:b/>
        </w:rPr>
        <w:t>Figure 2.3: Technology Strategy of HSBC</w:t>
      </w:r>
    </w:p>
    <w:p w14:paraId="449C7215" w14:textId="77777777" w:rsidR="003625B1" w:rsidRDefault="00000000" w:rsidP="00DD524D">
      <w:pPr>
        <w:jc w:val="center"/>
      </w:pPr>
      <w:r>
        <w:t>(Source: thedigitaltransformationpeople.com, 2025)</w:t>
      </w:r>
    </w:p>
    <w:p w14:paraId="40D17049" w14:textId="77777777" w:rsidR="003625B1" w:rsidRDefault="00000000" w:rsidP="00DD524D">
      <w:pPr>
        <w:rPr>
          <w:b/>
        </w:rPr>
      </w:pPr>
      <w:r>
        <w:rPr>
          <w:b/>
        </w:rPr>
        <w:t>Response to External Pressures</w:t>
      </w:r>
    </w:p>
    <w:p w14:paraId="3DCD867F" w14:textId="77777777" w:rsidR="003625B1" w:rsidRDefault="00000000" w:rsidP="00DD524D">
      <w:r>
        <w:t xml:space="preserve">Strategies used by HSBC concerning outside pressures, such as regulations and economic volatility, have been preventative though not without some challenges. These regulatory changes for instance with more stringent anti-money laundering (AML) and data privacy laws have prompted HSBC to change its marketing strategies (Barber, 2021). Marketing communication </w:t>
      </w:r>
      <w:r>
        <w:lastRenderedPageBreak/>
        <w:t>remains an area in which the bank has dynamism by ensuring the new regulations of transparency and trust in marketing campaigns. During periods of such economic disadvantages as the present world financial institution, the marketing concentration of HSBC has been the question related to stability and trust. However, the lack of efficient regulatory and economic risk management across the global locations of the bank still poses a challenging operating environment.</w:t>
      </w:r>
    </w:p>
    <w:p w14:paraId="10AD9825" w14:textId="77777777" w:rsidR="003625B1" w:rsidRDefault="00000000" w:rsidP="00DD524D">
      <w:pPr>
        <w:rPr>
          <w:b/>
        </w:rPr>
      </w:pPr>
      <w:r>
        <w:rPr>
          <w:b/>
        </w:rPr>
        <w:t>Effectiveness of Change Management Processes</w:t>
      </w:r>
    </w:p>
    <w:p w14:paraId="6EB28D65" w14:textId="77E1E33E" w:rsidR="003625B1" w:rsidRDefault="00000000" w:rsidP="00DD524D">
      <w:r>
        <w:t xml:space="preserve">The change management processes in HSBC have generally been good in their application, though they are still capable of improvement. Flexibility has however been adopted in the bank’s marketing strategies through the strategic management adapting to new technologies and environment (Vittala </w:t>
      </w:r>
      <w:r w:rsidR="003C628C" w:rsidRPr="003C628C">
        <w:rPr>
          <w:i/>
          <w:iCs/>
        </w:rPr>
        <w:t>et al.</w:t>
      </w:r>
      <w:r>
        <w:t xml:space="preserve"> 2024). The fact that it has integrated digital technology into the way it operates serves as proof that it is willing to reinvent itself. However, some of the critics believe that HSBC has not been as rapid with the change as some individuals and fintech businesses in the banking world. HSBC’s approach to change management has served its marketing strategies well sustained change is essential to remain competitive in the market</w:t>
      </w:r>
      <w:r w:rsidR="00F935BC">
        <w:t xml:space="preserve"> (</w:t>
      </w:r>
      <w:r w:rsidR="00F935BC" w:rsidRPr="00F935BC">
        <w:t xml:space="preserve">Buchanan </w:t>
      </w:r>
      <w:r w:rsidR="00F935BC">
        <w:t>and</w:t>
      </w:r>
      <w:r w:rsidR="00F935BC" w:rsidRPr="00F935BC">
        <w:t xml:space="preserve"> Badham</w:t>
      </w:r>
      <w:r w:rsidR="00C20457">
        <w:t>,</w:t>
      </w:r>
      <w:r w:rsidR="00F935BC">
        <w:t xml:space="preserve"> </w:t>
      </w:r>
      <w:r w:rsidR="00F935BC" w:rsidRPr="00F935BC">
        <w:t>2008</w:t>
      </w:r>
      <w:r w:rsidR="00F935BC">
        <w:t>)</w:t>
      </w:r>
      <w:r>
        <w:t>.</w:t>
      </w:r>
    </w:p>
    <w:p w14:paraId="3E8A7ED6" w14:textId="21EA8CF8" w:rsidR="0034289C" w:rsidRPr="00963CAE" w:rsidRDefault="0034289C" w:rsidP="00DD524D">
      <w:pPr>
        <w:rPr>
          <w:b/>
          <w:bCs/>
          <w:color w:val="FF0000"/>
        </w:rPr>
      </w:pPr>
      <w:r w:rsidRPr="00963CAE">
        <w:rPr>
          <w:b/>
          <w:bCs/>
          <w:color w:val="FF0000"/>
        </w:rPr>
        <w:t>Lewin’s Force Field Analysis</w:t>
      </w:r>
    </w:p>
    <w:p w14:paraId="7AF6B6E5" w14:textId="79540528" w:rsidR="00C439B6" w:rsidRPr="00963CAE" w:rsidRDefault="00D8111D" w:rsidP="00DD524D">
      <w:pPr>
        <w:rPr>
          <w:color w:val="FF0000"/>
        </w:rPr>
      </w:pPr>
      <w:r w:rsidRPr="00963CAE">
        <w:rPr>
          <w:color w:val="FF0000"/>
        </w:rPr>
        <w:t xml:space="preserve">Lewin’s Force Field Analysis can be used in HSBC to </w:t>
      </w:r>
      <w:r w:rsidR="009263B7" w:rsidRPr="00963CAE">
        <w:rPr>
          <w:color w:val="FF0000"/>
        </w:rPr>
        <w:t>analyse</w:t>
      </w:r>
      <w:r w:rsidRPr="00963CAE">
        <w:rPr>
          <w:color w:val="FF0000"/>
        </w:rPr>
        <w:t xml:space="preserve"> change management process and would need to look for driving forces and restraining forces in HSBC. With this model, it is easier to make a comparison of the results of HSBC actions in the past years with the actual success in marketing. </w:t>
      </w:r>
    </w:p>
    <w:tbl>
      <w:tblPr>
        <w:tblStyle w:val="TableGrid"/>
        <w:tblW w:w="0" w:type="auto"/>
        <w:tblLook w:val="04A0" w:firstRow="1" w:lastRow="0" w:firstColumn="1" w:lastColumn="0" w:noHBand="0" w:noVBand="1"/>
      </w:tblPr>
      <w:tblGrid>
        <w:gridCol w:w="3115"/>
        <w:gridCol w:w="3158"/>
        <w:gridCol w:w="3077"/>
      </w:tblGrid>
      <w:tr w:rsidR="00963CAE" w:rsidRPr="00963CAE" w14:paraId="61F79BC8" w14:textId="77777777" w:rsidTr="0034289C">
        <w:trPr>
          <w:trHeight w:val="288"/>
        </w:trPr>
        <w:tc>
          <w:tcPr>
            <w:tcW w:w="3115" w:type="dxa"/>
            <w:noWrap/>
            <w:hideMark/>
          </w:tcPr>
          <w:p w14:paraId="13E9F813" w14:textId="77777777" w:rsidR="0034289C" w:rsidRPr="00963CAE" w:rsidRDefault="0034289C" w:rsidP="00DD524D">
            <w:pPr>
              <w:spacing w:line="360" w:lineRule="auto"/>
              <w:jc w:val="center"/>
              <w:rPr>
                <w:b/>
                <w:bCs/>
                <w:color w:val="FF0000"/>
              </w:rPr>
            </w:pPr>
            <w:r w:rsidRPr="00963CAE">
              <w:rPr>
                <w:b/>
                <w:bCs/>
                <w:color w:val="FF0000"/>
              </w:rPr>
              <w:t>Driving Forces</w:t>
            </w:r>
          </w:p>
        </w:tc>
        <w:tc>
          <w:tcPr>
            <w:tcW w:w="3158" w:type="dxa"/>
            <w:noWrap/>
            <w:hideMark/>
          </w:tcPr>
          <w:p w14:paraId="11DEA32F" w14:textId="77777777" w:rsidR="0034289C" w:rsidRPr="00963CAE" w:rsidRDefault="0034289C" w:rsidP="00DD524D">
            <w:pPr>
              <w:spacing w:line="360" w:lineRule="auto"/>
              <w:jc w:val="center"/>
              <w:rPr>
                <w:b/>
                <w:bCs/>
                <w:color w:val="FF0000"/>
              </w:rPr>
            </w:pPr>
            <w:r w:rsidRPr="00963CAE">
              <w:rPr>
                <w:b/>
                <w:bCs/>
                <w:color w:val="FF0000"/>
              </w:rPr>
              <w:t>Restraining Forces</w:t>
            </w:r>
          </w:p>
        </w:tc>
        <w:tc>
          <w:tcPr>
            <w:tcW w:w="3077" w:type="dxa"/>
            <w:noWrap/>
            <w:hideMark/>
          </w:tcPr>
          <w:p w14:paraId="2526F0FB" w14:textId="77777777" w:rsidR="0034289C" w:rsidRPr="00963CAE" w:rsidRDefault="0034289C" w:rsidP="00DD524D">
            <w:pPr>
              <w:spacing w:line="360" w:lineRule="auto"/>
              <w:jc w:val="center"/>
              <w:rPr>
                <w:b/>
                <w:bCs/>
                <w:color w:val="FF0000"/>
              </w:rPr>
            </w:pPr>
            <w:r w:rsidRPr="00963CAE">
              <w:rPr>
                <w:b/>
                <w:bCs/>
                <w:color w:val="FF0000"/>
              </w:rPr>
              <w:t>Impact on Marketing Strategies</w:t>
            </w:r>
          </w:p>
        </w:tc>
      </w:tr>
      <w:tr w:rsidR="00963CAE" w:rsidRPr="00963CAE" w14:paraId="513BC31E" w14:textId="77777777" w:rsidTr="0034289C">
        <w:trPr>
          <w:trHeight w:val="288"/>
        </w:trPr>
        <w:tc>
          <w:tcPr>
            <w:tcW w:w="3115" w:type="dxa"/>
            <w:noWrap/>
            <w:hideMark/>
          </w:tcPr>
          <w:p w14:paraId="7320363F" w14:textId="77777777" w:rsidR="0034289C" w:rsidRPr="00963CAE" w:rsidRDefault="0034289C" w:rsidP="00DD524D">
            <w:pPr>
              <w:spacing w:line="360" w:lineRule="auto"/>
              <w:rPr>
                <w:color w:val="FF0000"/>
              </w:rPr>
            </w:pPr>
            <w:r w:rsidRPr="00963CAE">
              <w:rPr>
                <w:color w:val="FF0000"/>
              </w:rPr>
              <w:t>Adoption of digital technologies (AI, data analytics).</w:t>
            </w:r>
          </w:p>
        </w:tc>
        <w:tc>
          <w:tcPr>
            <w:tcW w:w="3158" w:type="dxa"/>
            <w:noWrap/>
            <w:hideMark/>
          </w:tcPr>
          <w:p w14:paraId="35CE12FC" w14:textId="77777777" w:rsidR="0034289C" w:rsidRPr="00963CAE" w:rsidRDefault="0034289C" w:rsidP="00DD524D">
            <w:pPr>
              <w:spacing w:line="360" w:lineRule="auto"/>
              <w:rPr>
                <w:color w:val="FF0000"/>
              </w:rPr>
            </w:pPr>
            <w:r w:rsidRPr="00963CAE">
              <w:rPr>
                <w:color w:val="FF0000"/>
              </w:rPr>
              <w:t>High costs of implementing advanced technologies.</w:t>
            </w:r>
          </w:p>
        </w:tc>
        <w:tc>
          <w:tcPr>
            <w:tcW w:w="3077" w:type="dxa"/>
            <w:noWrap/>
            <w:hideMark/>
          </w:tcPr>
          <w:p w14:paraId="3DBB3061" w14:textId="77777777" w:rsidR="0034289C" w:rsidRPr="00963CAE" w:rsidRDefault="0034289C" w:rsidP="00DD524D">
            <w:pPr>
              <w:spacing w:line="360" w:lineRule="auto"/>
              <w:rPr>
                <w:color w:val="FF0000"/>
              </w:rPr>
            </w:pPr>
            <w:r w:rsidRPr="00963CAE">
              <w:rPr>
                <w:color w:val="FF0000"/>
              </w:rPr>
              <w:t>Enhanced personalization and targeting of campaigns.</w:t>
            </w:r>
          </w:p>
        </w:tc>
      </w:tr>
      <w:tr w:rsidR="00963CAE" w:rsidRPr="00963CAE" w14:paraId="4CC57C6E" w14:textId="77777777" w:rsidTr="0034289C">
        <w:trPr>
          <w:trHeight w:val="288"/>
        </w:trPr>
        <w:tc>
          <w:tcPr>
            <w:tcW w:w="3115" w:type="dxa"/>
            <w:noWrap/>
            <w:hideMark/>
          </w:tcPr>
          <w:p w14:paraId="7CB9337B" w14:textId="77777777" w:rsidR="0034289C" w:rsidRPr="00963CAE" w:rsidRDefault="0034289C" w:rsidP="00DD524D">
            <w:pPr>
              <w:spacing w:line="360" w:lineRule="auto"/>
              <w:rPr>
                <w:color w:val="FF0000"/>
              </w:rPr>
            </w:pPr>
            <w:r w:rsidRPr="00963CAE">
              <w:rPr>
                <w:color w:val="FF0000"/>
              </w:rPr>
              <w:t>Increasing consumer preference for digital banking.</w:t>
            </w:r>
          </w:p>
        </w:tc>
        <w:tc>
          <w:tcPr>
            <w:tcW w:w="3158" w:type="dxa"/>
            <w:noWrap/>
            <w:hideMark/>
          </w:tcPr>
          <w:p w14:paraId="67F8F0DD" w14:textId="77777777" w:rsidR="0034289C" w:rsidRPr="00963CAE" w:rsidRDefault="0034289C" w:rsidP="00DD524D">
            <w:pPr>
              <w:spacing w:line="360" w:lineRule="auto"/>
              <w:rPr>
                <w:color w:val="FF0000"/>
              </w:rPr>
            </w:pPr>
            <w:r w:rsidRPr="00963CAE">
              <w:rPr>
                <w:color w:val="FF0000"/>
              </w:rPr>
              <w:t>Resistance to change among older or less tech-savvy users.</w:t>
            </w:r>
          </w:p>
        </w:tc>
        <w:tc>
          <w:tcPr>
            <w:tcW w:w="3077" w:type="dxa"/>
            <w:noWrap/>
            <w:hideMark/>
          </w:tcPr>
          <w:p w14:paraId="543D3FCD" w14:textId="77777777" w:rsidR="0034289C" w:rsidRPr="00963CAE" w:rsidRDefault="0034289C" w:rsidP="00DD524D">
            <w:pPr>
              <w:spacing w:line="360" w:lineRule="auto"/>
              <w:rPr>
                <w:color w:val="FF0000"/>
              </w:rPr>
            </w:pPr>
            <w:r w:rsidRPr="00963CAE">
              <w:rPr>
                <w:color w:val="FF0000"/>
              </w:rPr>
              <w:t>Broader outreach through mobile and digital platforms.</w:t>
            </w:r>
          </w:p>
        </w:tc>
      </w:tr>
      <w:tr w:rsidR="00963CAE" w:rsidRPr="00963CAE" w14:paraId="076C3112" w14:textId="77777777" w:rsidTr="0034289C">
        <w:trPr>
          <w:trHeight w:val="288"/>
        </w:trPr>
        <w:tc>
          <w:tcPr>
            <w:tcW w:w="3115" w:type="dxa"/>
            <w:noWrap/>
            <w:hideMark/>
          </w:tcPr>
          <w:p w14:paraId="4F436373" w14:textId="77777777" w:rsidR="0034289C" w:rsidRPr="00963CAE" w:rsidRDefault="0034289C" w:rsidP="00DD524D">
            <w:pPr>
              <w:spacing w:line="360" w:lineRule="auto"/>
              <w:rPr>
                <w:color w:val="FF0000"/>
              </w:rPr>
            </w:pPr>
            <w:r w:rsidRPr="00963CAE">
              <w:rPr>
                <w:color w:val="FF0000"/>
              </w:rPr>
              <w:t>Pressure from competitors (e.g., fintech companies).</w:t>
            </w:r>
          </w:p>
        </w:tc>
        <w:tc>
          <w:tcPr>
            <w:tcW w:w="3158" w:type="dxa"/>
            <w:noWrap/>
            <w:hideMark/>
          </w:tcPr>
          <w:p w14:paraId="674B044C" w14:textId="77777777" w:rsidR="0034289C" w:rsidRPr="00963CAE" w:rsidRDefault="0034289C" w:rsidP="00DD524D">
            <w:pPr>
              <w:spacing w:line="360" w:lineRule="auto"/>
              <w:rPr>
                <w:color w:val="FF0000"/>
              </w:rPr>
            </w:pPr>
            <w:r w:rsidRPr="00963CAE">
              <w:rPr>
                <w:color w:val="FF0000"/>
              </w:rPr>
              <w:t>Organizational inertia compared to agile fintech firms.</w:t>
            </w:r>
          </w:p>
        </w:tc>
        <w:tc>
          <w:tcPr>
            <w:tcW w:w="3077" w:type="dxa"/>
            <w:noWrap/>
            <w:hideMark/>
          </w:tcPr>
          <w:p w14:paraId="43F0C96D" w14:textId="77777777" w:rsidR="0034289C" w:rsidRPr="00963CAE" w:rsidRDefault="0034289C" w:rsidP="00DD524D">
            <w:pPr>
              <w:spacing w:line="360" w:lineRule="auto"/>
              <w:rPr>
                <w:color w:val="FF0000"/>
              </w:rPr>
            </w:pPr>
            <w:r w:rsidRPr="00963CAE">
              <w:rPr>
                <w:color w:val="FF0000"/>
              </w:rPr>
              <w:t>Accelerated innovation in marketing campaigns.</w:t>
            </w:r>
          </w:p>
        </w:tc>
      </w:tr>
      <w:tr w:rsidR="00963CAE" w:rsidRPr="00963CAE" w14:paraId="547E529B" w14:textId="77777777" w:rsidTr="0034289C">
        <w:trPr>
          <w:trHeight w:val="288"/>
        </w:trPr>
        <w:tc>
          <w:tcPr>
            <w:tcW w:w="3115" w:type="dxa"/>
            <w:noWrap/>
            <w:hideMark/>
          </w:tcPr>
          <w:p w14:paraId="5CA3242D" w14:textId="77777777" w:rsidR="0034289C" w:rsidRPr="00963CAE" w:rsidRDefault="0034289C" w:rsidP="00DD524D">
            <w:pPr>
              <w:spacing w:line="360" w:lineRule="auto"/>
              <w:rPr>
                <w:color w:val="FF0000"/>
              </w:rPr>
            </w:pPr>
            <w:r w:rsidRPr="00963CAE">
              <w:rPr>
                <w:color w:val="FF0000"/>
              </w:rPr>
              <w:lastRenderedPageBreak/>
              <w:t>Regulatory demands for transparency and compliance.</w:t>
            </w:r>
          </w:p>
        </w:tc>
        <w:tc>
          <w:tcPr>
            <w:tcW w:w="3158" w:type="dxa"/>
            <w:noWrap/>
            <w:hideMark/>
          </w:tcPr>
          <w:p w14:paraId="79AFCBBA" w14:textId="77777777" w:rsidR="0034289C" w:rsidRPr="00963CAE" w:rsidRDefault="0034289C" w:rsidP="00DD524D">
            <w:pPr>
              <w:spacing w:line="360" w:lineRule="auto"/>
              <w:rPr>
                <w:color w:val="FF0000"/>
              </w:rPr>
            </w:pPr>
            <w:r w:rsidRPr="00963CAE">
              <w:rPr>
                <w:color w:val="FF0000"/>
              </w:rPr>
              <w:t>Complex, region-specific regulations requiring adaptation.</w:t>
            </w:r>
          </w:p>
        </w:tc>
        <w:tc>
          <w:tcPr>
            <w:tcW w:w="3077" w:type="dxa"/>
            <w:noWrap/>
            <w:hideMark/>
          </w:tcPr>
          <w:p w14:paraId="6827A8A9" w14:textId="77777777" w:rsidR="0034289C" w:rsidRPr="00963CAE" w:rsidRDefault="0034289C" w:rsidP="00DD524D">
            <w:pPr>
              <w:spacing w:line="360" w:lineRule="auto"/>
              <w:rPr>
                <w:color w:val="FF0000"/>
              </w:rPr>
            </w:pPr>
            <w:r w:rsidRPr="00963CAE">
              <w:rPr>
                <w:color w:val="FF0000"/>
              </w:rPr>
              <w:t>Strengthened brand trust through compliance marketing.</w:t>
            </w:r>
          </w:p>
        </w:tc>
      </w:tr>
      <w:tr w:rsidR="00963CAE" w:rsidRPr="00963CAE" w14:paraId="6E92B153" w14:textId="77777777" w:rsidTr="0034289C">
        <w:trPr>
          <w:trHeight w:val="288"/>
        </w:trPr>
        <w:tc>
          <w:tcPr>
            <w:tcW w:w="3115" w:type="dxa"/>
            <w:noWrap/>
            <w:hideMark/>
          </w:tcPr>
          <w:p w14:paraId="0D33DDC7" w14:textId="77777777" w:rsidR="0034289C" w:rsidRPr="00963CAE" w:rsidRDefault="0034289C" w:rsidP="00DD524D">
            <w:pPr>
              <w:spacing w:line="360" w:lineRule="auto"/>
              <w:rPr>
                <w:color w:val="FF0000"/>
              </w:rPr>
            </w:pPr>
            <w:r w:rsidRPr="00963CAE">
              <w:rPr>
                <w:color w:val="FF0000"/>
              </w:rPr>
              <w:t>Economic pressures prompting focus on financial stability.</w:t>
            </w:r>
          </w:p>
        </w:tc>
        <w:tc>
          <w:tcPr>
            <w:tcW w:w="3158" w:type="dxa"/>
            <w:noWrap/>
            <w:hideMark/>
          </w:tcPr>
          <w:p w14:paraId="19CFCA20" w14:textId="77777777" w:rsidR="0034289C" w:rsidRPr="00963CAE" w:rsidRDefault="0034289C" w:rsidP="00DD524D">
            <w:pPr>
              <w:spacing w:line="360" w:lineRule="auto"/>
              <w:rPr>
                <w:color w:val="FF0000"/>
              </w:rPr>
            </w:pPr>
            <w:r w:rsidRPr="00963CAE">
              <w:rPr>
                <w:color w:val="FF0000"/>
              </w:rPr>
              <w:t>Limited flexibility in budget allocation during crises.</w:t>
            </w:r>
          </w:p>
        </w:tc>
        <w:tc>
          <w:tcPr>
            <w:tcW w:w="3077" w:type="dxa"/>
            <w:noWrap/>
            <w:hideMark/>
          </w:tcPr>
          <w:p w14:paraId="5389F541" w14:textId="77777777" w:rsidR="0034289C" w:rsidRPr="00963CAE" w:rsidRDefault="0034289C" w:rsidP="00DD524D">
            <w:pPr>
              <w:spacing w:line="360" w:lineRule="auto"/>
              <w:rPr>
                <w:color w:val="FF0000"/>
              </w:rPr>
            </w:pPr>
            <w:r w:rsidRPr="00963CAE">
              <w:rPr>
                <w:color w:val="FF0000"/>
              </w:rPr>
              <w:t>Positioning as a secure and reliable financial partner.</w:t>
            </w:r>
          </w:p>
        </w:tc>
      </w:tr>
    </w:tbl>
    <w:p w14:paraId="533B7337" w14:textId="0A97C4C5" w:rsidR="0034289C" w:rsidRPr="00963CAE" w:rsidRDefault="00C649F0" w:rsidP="00DD524D">
      <w:pPr>
        <w:jc w:val="center"/>
        <w:rPr>
          <w:b/>
          <w:bCs/>
          <w:color w:val="FF0000"/>
        </w:rPr>
      </w:pPr>
      <w:r w:rsidRPr="00963CAE">
        <w:rPr>
          <w:b/>
          <w:bCs/>
          <w:color w:val="FF0000"/>
        </w:rPr>
        <w:t xml:space="preserve">Table 2.3: </w:t>
      </w:r>
      <w:r w:rsidR="0034289C" w:rsidRPr="00963CAE">
        <w:rPr>
          <w:b/>
          <w:bCs/>
          <w:color w:val="FF0000"/>
        </w:rPr>
        <w:t>Lewin’s Force Field Analysis</w:t>
      </w:r>
    </w:p>
    <w:p w14:paraId="44A66100" w14:textId="764FE584" w:rsidR="0034289C" w:rsidRPr="00963CAE" w:rsidRDefault="0034289C" w:rsidP="00DD524D">
      <w:pPr>
        <w:jc w:val="center"/>
        <w:rPr>
          <w:color w:val="FF0000"/>
        </w:rPr>
      </w:pPr>
      <w:r w:rsidRPr="00963CAE">
        <w:rPr>
          <w:color w:val="FF0000"/>
        </w:rPr>
        <w:t>(Source: Self-created)</w:t>
      </w:r>
    </w:p>
    <w:p w14:paraId="52E7403F" w14:textId="77777777" w:rsidR="003625B1" w:rsidRDefault="00000000" w:rsidP="00DD524D">
      <w:pPr>
        <w:pStyle w:val="Heading2"/>
      </w:pPr>
      <w:bookmarkStart w:id="10" w:name="_cmp33xt9w469" w:colFirst="0" w:colLast="0"/>
      <w:bookmarkStart w:id="11" w:name="_Toc187316924"/>
      <w:bookmarkEnd w:id="10"/>
      <w:r>
        <w:t>2.4 Target Markets: HSBC’s Audience and Approach</w:t>
      </w:r>
      <w:bookmarkEnd w:id="11"/>
    </w:p>
    <w:p w14:paraId="0C9881BD" w14:textId="77777777" w:rsidR="003625B1" w:rsidRDefault="00000000" w:rsidP="00DD524D">
      <w:r>
        <w:t>As per HSBC, major customer segments are business markets, SMEs, high-net-worth individuals, and digital consumers. These segments are identified through market segmentation that depends on demographic, income and behaviour patterns (Sourov, 2022). These groups are targeted strategically because of the nature of the bank that serves international markets and provides financial services for sectors.</w:t>
      </w:r>
    </w:p>
    <w:p w14:paraId="51B5E2C3" w14:textId="77777777" w:rsidR="003625B1" w:rsidRDefault="00000000" w:rsidP="00DD524D">
      <w:pPr>
        <w:jc w:val="center"/>
      </w:pPr>
      <w:r>
        <w:rPr>
          <w:noProof/>
        </w:rPr>
        <w:drawing>
          <wp:inline distT="114300" distB="114300" distL="114300" distR="114300" wp14:anchorId="2DAC121A" wp14:editId="3D3F48E9">
            <wp:extent cx="5943600" cy="40767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076700"/>
                    </a:xfrm>
                    <a:prstGeom prst="rect">
                      <a:avLst/>
                    </a:prstGeom>
                    <a:ln w="25400">
                      <a:solidFill>
                        <a:srgbClr val="000000"/>
                      </a:solidFill>
                      <a:prstDash val="solid"/>
                    </a:ln>
                  </pic:spPr>
                </pic:pic>
              </a:graphicData>
            </a:graphic>
          </wp:inline>
        </w:drawing>
      </w:r>
    </w:p>
    <w:p w14:paraId="49C92808" w14:textId="77777777" w:rsidR="003625B1" w:rsidRDefault="00000000" w:rsidP="00DD524D">
      <w:pPr>
        <w:jc w:val="center"/>
        <w:rPr>
          <w:b/>
        </w:rPr>
      </w:pPr>
      <w:r>
        <w:rPr>
          <w:b/>
        </w:rPr>
        <w:t>Figure 2.4: Types of market segmentation</w:t>
      </w:r>
    </w:p>
    <w:p w14:paraId="4511A8E7" w14:textId="77777777" w:rsidR="003625B1" w:rsidRDefault="00000000" w:rsidP="00DD524D">
      <w:pPr>
        <w:jc w:val="center"/>
      </w:pPr>
      <w:r>
        <w:lastRenderedPageBreak/>
        <w:t>(Source: Week 6 - Segmentation Targeting Positioning Lecture Note)</w:t>
      </w:r>
    </w:p>
    <w:p w14:paraId="51897245" w14:textId="77777777" w:rsidR="003625B1" w:rsidRDefault="00000000" w:rsidP="00DD524D">
      <w:pPr>
        <w:rPr>
          <w:b/>
        </w:rPr>
      </w:pPr>
      <w:r>
        <w:rPr>
          <w:b/>
        </w:rPr>
        <w:t>Segmentation, Targeting, and Positioning</w:t>
      </w:r>
    </w:p>
    <w:p w14:paraId="20F19E6E" w14:textId="716C72CF" w:rsidR="003625B1" w:rsidRDefault="00000000" w:rsidP="00DD524D">
      <w:r>
        <w:t xml:space="preserve">HSBC employs segmentation because it identifies that its consumers aren’t homogeneous. The corporate and business customer together with the SMEs are served with products related to financial solutions such as trade finance and global cash management which focuses on international transactions (Kapmeier </w:t>
      </w:r>
      <w:r w:rsidR="003C628C" w:rsidRPr="003C628C">
        <w:rPr>
          <w:i/>
          <w:iCs/>
        </w:rPr>
        <w:t>et al.</w:t>
      </w:r>
      <w:r>
        <w:t xml:space="preserve"> 2021). Private banking services are provided and customers personal services for the management of wealth are provided. Mobile banking and easy-to-use online interfaces are used to target technology-aware customers. HSBC, citing its global leadership and accuracy, in its turn, uses the slogans that characterize the concepts of health and partnership, Such as </w:t>
      </w:r>
      <w:r>
        <w:rPr>
          <w:b/>
          <w:i/>
        </w:rPr>
        <w:t>“Together We Grow”</w:t>
      </w:r>
      <w:r>
        <w:t>.</w:t>
      </w:r>
    </w:p>
    <w:p w14:paraId="7057A1DF" w14:textId="77777777" w:rsidR="003625B1" w:rsidRDefault="00000000" w:rsidP="00DD524D">
      <w:pPr>
        <w:rPr>
          <w:b/>
        </w:rPr>
      </w:pPr>
      <w:r>
        <w:rPr>
          <w:b/>
        </w:rPr>
        <w:t>Marketing Mix and Campaigns</w:t>
      </w:r>
    </w:p>
    <w:p w14:paraId="6CE9E5E4" w14:textId="2AD7C5D4" w:rsidR="003625B1" w:rsidRDefault="00000000" w:rsidP="00DD524D">
      <w:r>
        <w:t xml:space="preserve">HSBC uses an appropriate marketing mix to access its desired markets. Some of the highlighted digital selling activities include social media and email marketing which assist in contacting digitized customers (Lu </w:t>
      </w:r>
      <w:r w:rsidR="003C628C" w:rsidRPr="003C628C">
        <w:rPr>
          <w:i/>
          <w:iCs/>
        </w:rPr>
        <w:t>et al.</w:t>
      </w:r>
      <w:r>
        <w:t xml:space="preserve"> 2023). The campaigns it conducts on the LinkedIn site can easily identify corporate customers through financial solutions advertisements in different fields. Newspapers and television targeting remain focused on the upper-class segment still carrying the branding of originals. Marketing campaigns like </w:t>
      </w:r>
      <w:r>
        <w:rPr>
          <w:b/>
          <w:i/>
        </w:rPr>
        <w:t>“Together We Thrive”</w:t>
      </w:r>
      <w:r>
        <w:t xml:space="preserve"> introduce new cultures chasing globalization for the customers.</w:t>
      </w:r>
    </w:p>
    <w:p w14:paraId="64253BA9" w14:textId="77777777" w:rsidR="003625B1" w:rsidRDefault="00000000" w:rsidP="00DD524D">
      <w:pPr>
        <w:rPr>
          <w:b/>
        </w:rPr>
      </w:pPr>
      <w:r>
        <w:rPr>
          <w:b/>
        </w:rPr>
        <w:t>Effectiveness of the Approach</w:t>
      </w:r>
    </w:p>
    <w:p w14:paraId="036EA887" w14:textId="77777777" w:rsidR="003625B1" w:rsidRDefault="00000000" w:rsidP="00DD524D">
      <w:r>
        <w:t>This is a good strategy adopted by HSBC in enhancing its branding strategy for reinforcing its branding globally and reaching the right audience. There is a possibility to interact at the given age, even more, using further examples of TikTok and gamified marketing strategies (Mim, 2023). The extent of compatibility of the bank’s segmentation, targeting, and differentiation strategies helps to improve its competitiveness within a dynamic and changing financial landscape.</w:t>
      </w:r>
    </w:p>
    <w:p w14:paraId="4743E642" w14:textId="77777777" w:rsidR="003625B1" w:rsidRDefault="00000000" w:rsidP="00DD524D">
      <w:pPr>
        <w:pStyle w:val="Heading2"/>
      </w:pPr>
      <w:bookmarkStart w:id="12" w:name="_545dy0sb2l6d" w:colFirst="0" w:colLast="0"/>
      <w:bookmarkStart w:id="13" w:name="_Toc187316925"/>
      <w:bookmarkEnd w:id="12"/>
      <w:r>
        <w:t>2.5 Selection of Media: Key Channels and Effectiveness</w:t>
      </w:r>
      <w:bookmarkEnd w:id="13"/>
      <w:r>
        <w:t xml:space="preserve"> </w:t>
      </w:r>
    </w:p>
    <w:p w14:paraId="12E55A0E" w14:textId="77777777" w:rsidR="003625B1" w:rsidRDefault="00000000" w:rsidP="00DD524D">
      <w:r>
        <w:t>HSBC uses both online and traditional media since the audience is diverse and ranges due to the global operation of the company. Internet marketing encompasses most of the marketing techniques, which the Bank employs through social media, emails, and SEOs (Yathiraju and Dash, 2023). Furthermore, newspaper advertisements, television ads, and outdoor ads are still staples to the company strategy particularly the repetition that people should see the brand among the wealthy and the corporates.</w:t>
      </w:r>
    </w:p>
    <w:p w14:paraId="03BC8A08" w14:textId="77777777" w:rsidR="003625B1" w:rsidRDefault="00000000" w:rsidP="00DD524D">
      <w:pPr>
        <w:rPr>
          <w:b/>
        </w:rPr>
      </w:pPr>
      <w:r>
        <w:rPr>
          <w:b/>
        </w:rPr>
        <w:lastRenderedPageBreak/>
        <w:t>Digital Media</w:t>
      </w:r>
    </w:p>
    <w:p w14:paraId="7307F832" w14:textId="77777777" w:rsidR="003625B1" w:rsidRDefault="00000000" w:rsidP="00DD524D">
      <w:r>
        <w:t xml:space="preserve">Some of the social media that should be used are LinkedIn, Twitter, and YouTube to cover corporate customers, SMEs and technologically advanced consumers. Marketing and connecting with professional customers by posting solutions, financial insights, and educative news on LinkedIn make HSBC more credible to professionals (Philippidis, 2024). Some of the advertisements that HSBC has developed are those on YouTube featuring the company’s tagline: </w:t>
      </w:r>
      <w:r>
        <w:rPr>
          <w:b/>
          <w:i/>
        </w:rPr>
        <w:t xml:space="preserve">“Together We Thrive” </w:t>
      </w:r>
      <w:r>
        <w:t>which showcases operations globally together with a people-focused approach. SEO ensures that HSBC stays visible on the search engines and therefore, its digital platforms are easily reachable by the potential consumers. Email also helps in reaching the target consumers one on one as it offers and updates especially when targeting the affluent consumers.</w:t>
      </w:r>
    </w:p>
    <w:p w14:paraId="13C98536" w14:textId="77777777" w:rsidR="003625B1" w:rsidRDefault="00000000" w:rsidP="00DD524D">
      <w:pPr>
        <w:rPr>
          <w:b/>
        </w:rPr>
      </w:pPr>
      <w:r>
        <w:rPr>
          <w:b/>
        </w:rPr>
        <w:t>Traditional Media</w:t>
      </w:r>
    </w:p>
    <w:p w14:paraId="35082396" w14:textId="77777777" w:rsidR="003625B1" w:rsidRDefault="00000000" w:rsidP="00DD524D">
      <w:r>
        <w:t>Newspapers and television are favourites and may come in handy for supporting the promotion of HSBC’s online services. Newspapers and magazines are used for putting adverts as part of the branding appeals to the corporate world and the affluent classes, whereas television enhances the international recall value of the bank’s advertisements (Chen, 2023). An HSBC campaign that is specific to the airport campaigns its global aspect and links the brand to travellers.</w:t>
      </w:r>
    </w:p>
    <w:p w14:paraId="144A0976" w14:textId="77777777" w:rsidR="003625B1" w:rsidRDefault="00000000" w:rsidP="00DD524D">
      <w:pPr>
        <w:rPr>
          <w:b/>
        </w:rPr>
      </w:pPr>
      <w:r>
        <w:rPr>
          <w:b/>
        </w:rPr>
        <w:t>Effectiveness of the Media Mix</w:t>
      </w:r>
    </w:p>
    <w:p w14:paraId="7759B0C8" w14:textId="77777777" w:rsidR="003625B1" w:rsidRDefault="00000000" w:rsidP="00DD524D">
      <w:r>
        <w:t>Regarding media choices, HSBC appears to effectively communicate the intended message to the targeted segmented audiences. Electronic and print media can be employed to reach a wide audience while at the same time, the message can be targeted. However, this does not apply to attracting young audiences as the example of TikTok, which the bank almost does not use. However, exploring new areas of skill in digital platforms and applying for new forms might assist HSBC in moving with the new consumer changes while offsetting the costs.</w:t>
      </w:r>
    </w:p>
    <w:p w14:paraId="46DFDC58" w14:textId="77777777" w:rsidR="003625B1" w:rsidRDefault="00000000" w:rsidP="00DD524D">
      <w:pPr>
        <w:pStyle w:val="Heading2"/>
      </w:pPr>
      <w:bookmarkStart w:id="14" w:name="_bytcjuf11bi0" w:colFirst="0" w:colLast="0"/>
      <w:bookmarkStart w:id="15" w:name="_Toc187316926"/>
      <w:bookmarkEnd w:id="14"/>
      <w:r>
        <w:t>2.6 Measuring Success: Effectiveness of Campaigns and Control</w:t>
      </w:r>
      <w:bookmarkEnd w:id="15"/>
      <w:r>
        <w:t xml:space="preserve"> </w:t>
      </w:r>
    </w:p>
    <w:p w14:paraId="15150732" w14:textId="77777777" w:rsidR="003625B1" w:rsidRDefault="00000000" w:rsidP="00DD524D">
      <w:pPr>
        <w:rPr>
          <w:b/>
        </w:rPr>
      </w:pPr>
      <w:r>
        <w:rPr>
          <w:b/>
        </w:rPr>
        <w:t>Key Measurement Metrics</w:t>
      </w:r>
    </w:p>
    <w:p w14:paraId="62C1B9DE" w14:textId="77777777" w:rsidR="003625B1" w:rsidRDefault="00000000" w:rsidP="00DD524D">
      <w:r>
        <w:t xml:space="preserve">Customer acquisition and retention metrics help to understand how the campaigns affect customer decisions. A successful campaign aimed at securing SMEs may lead to more account openings as compared to the set targets. ROI is another important metric that enables HSBC to assess the financial output of marketing investments (Chang, 2022). Also, brand equity is measured by surveys and sentiment analysis to determine the image of the bank in the public domain. Cost per </w:t>
      </w:r>
      <w:r>
        <w:lastRenderedPageBreak/>
        <w:t>acquisition (CPA) and customer lifetime value (CLV) are also used to determine the efficient allocation of resources and the viability of a given campaign.</w:t>
      </w:r>
    </w:p>
    <w:p w14:paraId="3D045609" w14:textId="77777777" w:rsidR="003625B1" w:rsidRDefault="00000000" w:rsidP="00DD524D">
      <w:pPr>
        <w:rPr>
          <w:b/>
        </w:rPr>
      </w:pPr>
      <w:r>
        <w:rPr>
          <w:b/>
        </w:rPr>
        <w:t>Effectiveness of Marketing Strategies</w:t>
      </w:r>
    </w:p>
    <w:p w14:paraId="6A656FAF" w14:textId="77777777" w:rsidR="003625B1" w:rsidRDefault="00000000" w:rsidP="00DD524D">
      <w:r>
        <w:t xml:space="preserve">In this case, the marketing strategies adopted by HSBC are very successful in promoting the company brand and ensuring it is well-known globally. Marketing strategies like </w:t>
      </w:r>
      <w:r>
        <w:rPr>
          <w:b/>
          <w:i/>
        </w:rPr>
        <w:t xml:space="preserve">“Together We Thrive” </w:t>
      </w:r>
      <w:r>
        <w:t>have been used to promote the bank’s policy of inclusion and the organisation’s international reputation. Nevertheless, there is still room for growth when it comes to attracting the younger, millennial audience who are natives to the digital world. Although HSBC has adopted digital marketing strategies to the fullest, the company can improve on the application of social media analysis and artificial intelligence for customer behaviour and targeting.</w:t>
      </w:r>
    </w:p>
    <w:p w14:paraId="507A734D" w14:textId="77777777" w:rsidR="003625B1" w:rsidRDefault="00000000" w:rsidP="00DD524D">
      <w:pPr>
        <w:jc w:val="center"/>
      </w:pPr>
      <w:r>
        <w:rPr>
          <w:noProof/>
        </w:rPr>
        <w:drawing>
          <wp:inline distT="114300" distB="114300" distL="114300" distR="114300" wp14:anchorId="3FDCE7D7" wp14:editId="18B6EABD">
            <wp:extent cx="5943600" cy="34163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04A62BF1" w14:textId="77777777" w:rsidR="003625B1" w:rsidRDefault="00000000" w:rsidP="00DD524D">
      <w:pPr>
        <w:jc w:val="center"/>
        <w:rPr>
          <w:b/>
        </w:rPr>
      </w:pPr>
      <w:r>
        <w:rPr>
          <w:b/>
        </w:rPr>
        <w:t>Figure 2.5: STP Marketing Analysis of HSBC</w:t>
      </w:r>
    </w:p>
    <w:p w14:paraId="75F05D4B" w14:textId="77777777" w:rsidR="003625B1" w:rsidRDefault="00000000" w:rsidP="00DD524D">
      <w:pPr>
        <w:jc w:val="center"/>
      </w:pPr>
      <w:r>
        <w:t>(Source: mpk732t22016clusterb.wordpress.com, 2025)</w:t>
      </w:r>
    </w:p>
    <w:p w14:paraId="2137EE8C" w14:textId="77777777" w:rsidR="003625B1" w:rsidRDefault="00000000" w:rsidP="00DD524D">
      <w:pPr>
        <w:rPr>
          <w:b/>
        </w:rPr>
      </w:pPr>
      <w:r>
        <w:rPr>
          <w:b/>
        </w:rPr>
        <w:t>Controlling Marketing Efforts</w:t>
      </w:r>
    </w:p>
    <w:p w14:paraId="79C744B3" w14:textId="77777777" w:rsidR="003625B1" w:rsidRDefault="00000000" w:rsidP="00DD524D">
      <w:r>
        <w:t xml:space="preserve">HSBC employs real-time analysis to track the performance of ongoing campaigns and alter strategy if needed. Regular performance checks and marketing dashboards help to keep marketing campaigns on track with strategic goals (Xinlei, 2021). Stakeholder and customer feedback is then used to make further adjustments to the campaign. While HSBC has adequate control systems in </w:t>
      </w:r>
      <w:r>
        <w:lastRenderedPageBreak/>
        <w:t>place there is potential for the company to strengthen its ability to analyse market trends and external factors using predictive analytics.</w:t>
      </w:r>
    </w:p>
    <w:p w14:paraId="6CA3910B" w14:textId="77777777" w:rsidR="003625B1" w:rsidRDefault="00000000" w:rsidP="00DD524D">
      <w:pPr>
        <w:pStyle w:val="Heading1"/>
      </w:pPr>
      <w:bookmarkStart w:id="16" w:name="_2ets18rkny0r" w:colFirst="0" w:colLast="0"/>
      <w:bookmarkStart w:id="17" w:name="_Toc187316927"/>
      <w:bookmarkEnd w:id="16"/>
      <w:r>
        <w:t>3. Task 2: Conclusion: Shortcomings of HSBC's Marketing Strategy</w:t>
      </w:r>
      <w:bookmarkEnd w:id="17"/>
    </w:p>
    <w:p w14:paraId="5A004350" w14:textId="77777777" w:rsidR="003625B1" w:rsidRDefault="00000000" w:rsidP="00DD524D">
      <w:r>
        <w:t xml:space="preserve">HSBC’s marketing strategy ensures it connects its branding to the largest banking and financial service company while making optimal use of segmentation, digital influence and the creative campaign known as </w:t>
      </w:r>
      <w:r>
        <w:rPr>
          <w:b/>
          <w:i/>
        </w:rPr>
        <w:t>“Together We Thrive”</w:t>
      </w:r>
      <w:r>
        <w:t>. However, the evaluation revealed the following flaws that the organisation has to address in a bid to enhance its competitiveness. However, there is a strong perception towards digital applications and technologies, the company does not actively engage the recognised younger segments. Lack of engagement on the newer social media platforms like TikTok and interactive content, which reduces its outreach to millennials and Generation Z.</w:t>
      </w:r>
    </w:p>
    <w:p w14:paraId="572338B1" w14:textId="77777777" w:rsidR="003625B1" w:rsidRDefault="00000000" w:rsidP="00DD524D">
      <w:r>
        <w:t>The major strong points are compliance and trust in marketing the changes in the environmental legislation and the economic conditions could sometimes be addressed with less flexibility. Organisational flexibility could be realised if the company made use of improved systems used in accurately predicting emergent difficulties. Although traditional media do fit some target audiences, the attempts to make the brand more high-tech can go unnoticed in general. It is important to continue the innovations in using unique approaches to digital marketing for further improvement. The marketing strategy at HSBC is strong but needs to be tightened more on digital communications, more sensitivity towards the external environment and better ways of managing resources on print and electronic media for sustaining market dominance.</w:t>
      </w:r>
    </w:p>
    <w:p w14:paraId="7D42B5F7" w14:textId="77777777" w:rsidR="003625B1" w:rsidRDefault="00000000" w:rsidP="00DD524D">
      <w:pPr>
        <w:pStyle w:val="Heading1"/>
      </w:pPr>
      <w:bookmarkStart w:id="18" w:name="_w69x5xt2ki30" w:colFirst="0" w:colLast="0"/>
      <w:bookmarkStart w:id="19" w:name="_Toc187316928"/>
      <w:bookmarkEnd w:id="18"/>
      <w:r>
        <w:t>4. Task 3: Recommendations for Improving HSBC’s Marketing Strategy</w:t>
      </w:r>
      <w:bookmarkEnd w:id="19"/>
    </w:p>
    <w:p w14:paraId="034BB281" w14:textId="77777777" w:rsidR="003625B1" w:rsidRDefault="00000000" w:rsidP="00DD524D">
      <w:r>
        <w:rPr>
          <w:b/>
          <w:i/>
        </w:rPr>
        <w:t xml:space="preserve">Enhance Engagement on Emerging Digital Platforms: </w:t>
      </w:r>
      <w:r>
        <w:t xml:space="preserve">HSBC should step up in the utilisation of elements in media outlets like TikTok, incorporating a specific level of gamification. Strategies of this nature would augment shifts in the customer base because the suggested platforms would still remain cheap to run given the various scale economies obtainable in this </w:t>
      </w:r>
      <w:r>
        <w:rPr>
          <w:b/>
          <w:i/>
        </w:rPr>
        <w:t xml:space="preserve">Leverage Predictive Analytics for Market Trends: </w:t>
      </w:r>
      <w:r>
        <w:t>HSBC can obtain complex models in an attempt to foresee regulatory shifts, modification at national and global level of economy and customer trends (Danis and Biggs, 2021). Such a strategy would enable the marketing company to make the necessary modifications to marketing mix tools when the forces are at peak thus creating competitive flexibility.</w:t>
      </w:r>
    </w:p>
    <w:p w14:paraId="0A0BB664" w14:textId="77777777" w:rsidR="003625B1" w:rsidRDefault="00000000" w:rsidP="00DD524D">
      <w:r>
        <w:rPr>
          <w:b/>
          <w:i/>
        </w:rPr>
        <w:lastRenderedPageBreak/>
        <w:t xml:space="preserve">Diversify Digital Content Offerings: </w:t>
      </w:r>
      <w:r>
        <w:t>It is also important that HSBC expand beyond text and graphics, and include more effective and worthy promotional campaigns like Webinars or Live Financial Counselling. These elements can deepen audience participation and make the brand more suitable in the sphere of digital change.</w:t>
      </w:r>
    </w:p>
    <w:p w14:paraId="7E60BE4B" w14:textId="77777777" w:rsidR="003625B1" w:rsidRDefault="00000000" w:rsidP="00DD524D">
      <w:r>
        <w:rPr>
          <w:b/>
          <w:i/>
        </w:rPr>
        <w:t xml:space="preserve">Optimize Resource Allocation Between Traditional and Digital Media: </w:t>
      </w:r>
      <w:r>
        <w:t>The conventional media should still be utilised to reach specific consumers but in the future, new media should be integrated by HSBC. However, the bank can spend resources on higher-impact forms of digital marketing like search engine optimization and programmatic advertising which will yield better ROI.</w:t>
      </w:r>
    </w:p>
    <w:p w14:paraId="60713B45" w14:textId="77777777" w:rsidR="003625B1" w:rsidRDefault="00000000" w:rsidP="00DD524D">
      <w:r>
        <w:rPr>
          <w:b/>
          <w:i/>
        </w:rPr>
        <w:t xml:space="preserve">Foster Innovation Through Collaboration: </w:t>
      </w:r>
      <w:r>
        <w:t>HSBC could develop new products in cooperation with the fintech companies to address the new needs that the customers may have (Myllyvirta, 2021). Such collaborations would supplement the technological development of the organisation, which would ensure that it fits into the current progressing financial service industry.</w:t>
      </w:r>
    </w:p>
    <w:tbl>
      <w:tblPr>
        <w:tblStyle w:val="TableGrid"/>
        <w:tblW w:w="9828" w:type="dxa"/>
        <w:tblLook w:val="04A0" w:firstRow="1" w:lastRow="0" w:firstColumn="1" w:lastColumn="0" w:noHBand="0" w:noVBand="1"/>
      </w:tblPr>
      <w:tblGrid>
        <w:gridCol w:w="1485"/>
        <w:gridCol w:w="8343"/>
      </w:tblGrid>
      <w:tr w:rsidR="00CD4C6A" w:rsidRPr="00CD4C6A" w14:paraId="56790E93" w14:textId="77777777" w:rsidTr="001A557A">
        <w:trPr>
          <w:trHeight w:val="355"/>
        </w:trPr>
        <w:tc>
          <w:tcPr>
            <w:tcW w:w="1485" w:type="dxa"/>
            <w:noWrap/>
            <w:hideMark/>
          </w:tcPr>
          <w:p w14:paraId="0EF8516F" w14:textId="77777777" w:rsidR="00C33DF5" w:rsidRPr="00CD4C6A" w:rsidRDefault="00C33DF5" w:rsidP="00DD524D">
            <w:pPr>
              <w:spacing w:line="360" w:lineRule="auto"/>
              <w:jc w:val="center"/>
              <w:rPr>
                <w:b/>
                <w:bCs/>
                <w:color w:val="FF0000"/>
              </w:rPr>
            </w:pPr>
            <w:r w:rsidRPr="00CD4C6A">
              <w:rPr>
                <w:b/>
                <w:bCs/>
                <w:color w:val="FF0000"/>
              </w:rPr>
              <w:t>SOSTAC Element</w:t>
            </w:r>
          </w:p>
        </w:tc>
        <w:tc>
          <w:tcPr>
            <w:tcW w:w="8343" w:type="dxa"/>
            <w:noWrap/>
            <w:hideMark/>
          </w:tcPr>
          <w:p w14:paraId="6758D891" w14:textId="77777777" w:rsidR="00C33DF5" w:rsidRPr="00CD4C6A" w:rsidRDefault="00C33DF5" w:rsidP="00DD524D">
            <w:pPr>
              <w:spacing w:line="360" w:lineRule="auto"/>
              <w:jc w:val="center"/>
              <w:rPr>
                <w:b/>
                <w:bCs/>
                <w:color w:val="FF0000"/>
              </w:rPr>
            </w:pPr>
            <w:r w:rsidRPr="00CD4C6A">
              <w:rPr>
                <w:b/>
                <w:bCs/>
                <w:color w:val="FF0000"/>
              </w:rPr>
              <w:t>Recommendation</w:t>
            </w:r>
          </w:p>
        </w:tc>
      </w:tr>
      <w:tr w:rsidR="00CD4C6A" w:rsidRPr="00CD4C6A" w14:paraId="6AF36CC6" w14:textId="77777777" w:rsidTr="001A557A">
        <w:trPr>
          <w:trHeight w:val="355"/>
        </w:trPr>
        <w:tc>
          <w:tcPr>
            <w:tcW w:w="1485" w:type="dxa"/>
            <w:noWrap/>
            <w:hideMark/>
          </w:tcPr>
          <w:p w14:paraId="7D31021A" w14:textId="77777777" w:rsidR="00C33DF5" w:rsidRPr="00CD4C6A" w:rsidRDefault="00C33DF5" w:rsidP="00DD524D">
            <w:pPr>
              <w:spacing w:line="360" w:lineRule="auto"/>
              <w:rPr>
                <w:color w:val="FF0000"/>
              </w:rPr>
            </w:pPr>
            <w:r w:rsidRPr="00CD4C6A">
              <w:rPr>
                <w:color w:val="FF0000"/>
              </w:rPr>
              <w:t>Situation</w:t>
            </w:r>
          </w:p>
        </w:tc>
        <w:tc>
          <w:tcPr>
            <w:tcW w:w="8343" w:type="dxa"/>
            <w:noWrap/>
            <w:hideMark/>
          </w:tcPr>
          <w:p w14:paraId="5C2AA471" w14:textId="77777777" w:rsidR="00C33DF5" w:rsidRPr="00CD4C6A" w:rsidRDefault="00C33DF5" w:rsidP="00DD524D">
            <w:pPr>
              <w:spacing w:line="360" w:lineRule="auto"/>
              <w:rPr>
                <w:color w:val="FF0000"/>
              </w:rPr>
            </w:pPr>
            <w:r w:rsidRPr="00CD4C6A">
              <w:rPr>
                <w:color w:val="FF0000"/>
              </w:rPr>
              <w:t>HSBC faces increasing competition from fintech and evolving consumer preferences for digital platforms.</w:t>
            </w:r>
          </w:p>
        </w:tc>
      </w:tr>
      <w:tr w:rsidR="00CD4C6A" w:rsidRPr="00CD4C6A" w14:paraId="08A456C9" w14:textId="77777777" w:rsidTr="001A557A">
        <w:trPr>
          <w:trHeight w:val="355"/>
        </w:trPr>
        <w:tc>
          <w:tcPr>
            <w:tcW w:w="1485" w:type="dxa"/>
            <w:noWrap/>
            <w:hideMark/>
          </w:tcPr>
          <w:p w14:paraId="17A0CD16" w14:textId="77777777" w:rsidR="00C33DF5" w:rsidRPr="00CD4C6A" w:rsidRDefault="00C33DF5" w:rsidP="00DD524D">
            <w:pPr>
              <w:spacing w:line="360" w:lineRule="auto"/>
              <w:rPr>
                <w:color w:val="FF0000"/>
              </w:rPr>
            </w:pPr>
            <w:r w:rsidRPr="00CD4C6A">
              <w:rPr>
                <w:color w:val="FF0000"/>
              </w:rPr>
              <w:t>Objectives</w:t>
            </w:r>
          </w:p>
        </w:tc>
        <w:tc>
          <w:tcPr>
            <w:tcW w:w="8343" w:type="dxa"/>
            <w:noWrap/>
            <w:hideMark/>
          </w:tcPr>
          <w:p w14:paraId="0EE880DD" w14:textId="77777777" w:rsidR="00C33DF5" w:rsidRPr="00CD4C6A" w:rsidRDefault="00C33DF5" w:rsidP="00DD524D">
            <w:pPr>
              <w:spacing w:line="360" w:lineRule="auto"/>
              <w:rPr>
                <w:color w:val="FF0000"/>
              </w:rPr>
            </w:pPr>
            <w:r w:rsidRPr="00CD4C6A">
              <w:rPr>
                <w:color w:val="FF0000"/>
              </w:rPr>
              <w:t>Enhance engagement on emerging platforms, improve predictive analytics capabilities, diversify content, optimize resource allocation, and foster innovation.</w:t>
            </w:r>
          </w:p>
        </w:tc>
      </w:tr>
      <w:tr w:rsidR="00CD4C6A" w:rsidRPr="00CD4C6A" w14:paraId="45F529FE" w14:textId="77777777" w:rsidTr="001A557A">
        <w:trPr>
          <w:trHeight w:val="355"/>
        </w:trPr>
        <w:tc>
          <w:tcPr>
            <w:tcW w:w="1485" w:type="dxa"/>
            <w:noWrap/>
            <w:hideMark/>
          </w:tcPr>
          <w:p w14:paraId="23A20ED9" w14:textId="77777777" w:rsidR="00C33DF5" w:rsidRPr="00CD4C6A" w:rsidRDefault="00C33DF5" w:rsidP="00DD524D">
            <w:pPr>
              <w:spacing w:line="360" w:lineRule="auto"/>
              <w:rPr>
                <w:color w:val="FF0000"/>
              </w:rPr>
            </w:pPr>
            <w:r w:rsidRPr="00CD4C6A">
              <w:rPr>
                <w:color w:val="FF0000"/>
              </w:rPr>
              <w:t>Strategy</w:t>
            </w:r>
          </w:p>
        </w:tc>
        <w:tc>
          <w:tcPr>
            <w:tcW w:w="8343" w:type="dxa"/>
            <w:noWrap/>
            <w:hideMark/>
          </w:tcPr>
          <w:p w14:paraId="1B206CA8" w14:textId="77777777" w:rsidR="00C33DF5" w:rsidRPr="00CD4C6A" w:rsidRDefault="00C33DF5" w:rsidP="00DD524D">
            <w:pPr>
              <w:spacing w:line="360" w:lineRule="auto"/>
              <w:rPr>
                <w:color w:val="FF0000"/>
              </w:rPr>
            </w:pPr>
            <w:r w:rsidRPr="00CD4C6A">
              <w:rPr>
                <w:color w:val="FF0000"/>
              </w:rPr>
              <w:t>Focus on digital-first approaches, leveraging gamification and collaboration with fintech to meet evolving customer needs and competitive pressures.</w:t>
            </w:r>
          </w:p>
        </w:tc>
      </w:tr>
      <w:tr w:rsidR="00CD4C6A" w:rsidRPr="00CD4C6A" w14:paraId="1B0ABEA4" w14:textId="77777777" w:rsidTr="001A557A">
        <w:trPr>
          <w:trHeight w:val="355"/>
        </w:trPr>
        <w:tc>
          <w:tcPr>
            <w:tcW w:w="1485" w:type="dxa"/>
            <w:noWrap/>
            <w:hideMark/>
          </w:tcPr>
          <w:p w14:paraId="6958E19E" w14:textId="77777777" w:rsidR="00C33DF5" w:rsidRPr="00CD4C6A" w:rsidRDefault="00C33DF5" w:rsidP="00DD524D">
            <w:pPr>
              <w:spacing w:line="360" w:lineRule="auto"/>
              <w:rPr>
                <w:color w:val="FF0000"/>
              </w:rPr>
            </w:pPr>
            <w:r w:rsidRPr="00CD4C6A">
              <w:rPr>
                <w:color w:val="FF0000"/>
              </w:rPr>
              <w:t>Tactics</w:t>
            </w:r>
          </w:p>
        </w:tc>
        <w:tc>
          <w:tcPr>
            <w:tcW w:w="8343" w:type="dxa"/>
            <w:noWrap/>
            <w:hideMark/>
          </w:tcPr>
          <w:p w14:paraId="11D45D44" w14:textId="51486EE8" w:rsidR="00C33DF5" w:rsidRPr="00CD4C6A" w:rsidRDefault="00C33DF5" w:rsidP="00DD524D">
            <w:pPr>
              <w:spacing w:line="360" w:lineRule="auto"/>
              <w:rPr>
                <w:color w:val="FF0000"/>
              </w:rPr>
            </w:pPr>
            <w:r w:rsidRPr="00CD4C6A">
              <w:rPr>
                <w:color w:val="FF0000"/>
              </w:rPr>
              <w:t>Launch campaigns on TikTok with gamified content, adopt predictive analytics tools, introduce webinars</w:t>
            </w:r>
            <w:r w:rsidR="000B6A8A" w:rsidRPr="00CD4C6A">
              <w:rPr>
                <w:color w:val="FF0000"/>
              </w:rPr>
              <w:t xml:space="preserve"> or </w:t>
            </w:r>
            <w:r w:rsidRPr="00CD4C6A">
              <w:rPr>
                <w:color w:val="FF0000"/>
              </w:rPr>
              <w:t>live sessions, and optimize SEO and programmatic ads.</w:t>
            </w:r>
          </w:p>
        </w:tc>
      </w:tr>
      <w:tr w:rsidR="00CD4C6A" w:rsidRPr="00CD4C6A" w14:paraId="1A0D8CBF" w14:textId="77777777" w:rsidTr="001A557A">
        <w:trPr>
          <w:trHeight w:val="355"/>
        </w:trPr>
        <w:tc>
          <w:tcPr>
            <w:tcW w:w="1485" w:type="dxa"/>
            <w:noWrap/>
            <w:hideMark/>
          </w:tcPr>
          <w:p w14:paraId="06405141" w14:textId="77777777" w:rsidR="00C33DF5" w:rsidRPr="00CD4C6A" w:rsidRDefault="00C33DF5" w:rsidP="00DD524D">
            <w:pPr>
              <w:spacing w:line="360" w:lineRule="auto"/>
              <w:rPr>
                <w:color w:val="FF0000"/>
              </w:rPr>
            </w:pPr>
            <w:r w:rsidRPr="00CD4C6A">
              <w:rPr>
                <w:color w:val="FF0000"/>
              </w:rPr>
              <w:t>Action</w:t>
            </w:r>
          </w:p>
        </w:tc>
        <w:tc>
          <w:tcPr>
            <w:tcW w:w="8343" w:type="dxa"/>
            <w:noWrap/>
            <w:hideMark/>
          </w:tcPr>
          <w:p w14:paraId="6C79DC83" w14:textId="77777777" w:rsidR="00C33DF5" w:rsidRPr="00CD4C6A" w:rsidRDefault="00C33DF5" w:rsidP="00DD524D">
            <w:pPr>
              <w:spacing w:line="360" w:lineRule="auto"/>
              <w:rPr>
                <w:color w:val="FF0000"/>
              </w:rPr>
            </w:pPr>
            <w:r w:rsidRPr="00CD4C6A">
              <w:rPr>
                <w:color w:val="FF0000"/>
              </w:rPr>
              <w:t>Allocate budget for digital campaigns, establish partnerships with fintech, and train staff for advanced analytics and content creation.</w:t>
            </w:r>
          </w:p>
        </w:tc>
      </w:tr>
      <w:tr w:rsidR="00CD4C6A" w:rsidRPr="00CD4C6A" w14:paraId="11A29F9F" w14:textId="77777777" w:rsidTr="001A557A">
        <w:trPr>
          <w:trHeight w:val="355"/>
        </w:trPr>
        <w:tc>
          <w:tcPr>
            <w:tcW w:w="1485" w:type="dxa"/>
            <w:noWrap/>
            <w:hideMark/>
          </w:tcPr>
          <w:p w14:paraId="14DD384E" w14:textId="77777777" w:rsidR="00C33DF5" w:rsidRPr="00CD4C6A" w:rsidRDefault="00C33DF5" w:rsidP="00DD524D">
            <w:pPr>
              <w:spacing w:line="360" w:lineRule="auto"/>
              <w:rPr>
                <w:color w:val="FF0000"/>
              </w:rPr>
            </w:pPr>
            <w:r w:rsidRPr="00CD4C6A">
              <w:rPr>
                <w:color w:val="FF0000"/>
              </w:rPr>
              <w:t>Control</w:t>
            </w:r>
          </w:p>
        </w:tc>
        <w:tc>
          <w:tcPr>
            <w:tcW w:w="8343" w:type="dxa"/>
            <w:noWrap/>
            <w:hideMark/>
          </w:tcPr>
          <w:p w14:paraId="05C5D5AA" w14:textId="77777777" w:rsidR="00C33DF5" w:rsidRPr="00CD4C6A" w:rsidRDefault="00C33DF5" w:rsidP="00DD524D">
            <w:pPr>
              <w:spacing w:line="360" w:lineRule="auto"/>
              <w:rPr>
                <w:color w:val="FF0000"/>
              </w:rPr>
            </w:pPr>
            <w:r w:rsidRPr="00CD4C6A">
              <w:rPr>
                <w:color w:val="FF0000"/>
              </w:rPr>
              <w:t>Use KPIs like engagement rates, ROI, and customer acquisition to measure effectiveness, ensuring iterative improvements based on results.</w:t>
            </w:r>
          </w:p>
        </w:tc>
      </w:tr>
    </w:tbl>
    <w:p w14:paraId="72FBB6AE" w14:textId="43CB18FC" w:rsidR="003625B1" w:rsidRPr="00CD4C6A" w:rsidRDefault="0070372C" w:rsidP="00DD524D">
      <w:pPr>
        <w:jc w:val="center"/>
        <w:rPr>
          <w:b/>
          <w:bCs/>
          <w:color w:val="FF0000"/>
        </w:rPr>
      </w:pPr>
      <w:r w:rsidRPr="00CD4C6A">
        <w:rPr>
          <w:b/>
          <w:bCs/>
          <w:color w:val="FF0000"/>
        </w:rPr>
        <w:t xml:space="preserve">Table 3.1: </w:t>
      </w:r>
      <w:r w:rsidR="00BB1890" w:rsidRPr="00BB1890">
        <w:rPr>
          <w:b/>
          <w:bCs/>
          <w:color w:val="FF0000"/>
        </w:rPr>
        <w:t>Recommendations Using the SOSTAC Model</w:t>
      </w:r>
    </w:p>
    <w:p w14:paraId="3D9C31A3" w14:textId="385FD7A6" w:rsidR="003625B1" w:rsidRDefault="0070372C" w:rsidP="00DF5478">
      <w:pPr>
        <w:jc w:val="center"/>
      </w:pPr>
      <w:r w:rsidRPr="00CD4C6A">
        <w:rPr>
          <w:color w:val="FF0000"/>
        </w:rPr>
        <w:t>(Source: Self-created)</w:t>
      </w:r>
      <w:r>
        <w:br w:type="page"/>
      </w:r>
    </w:p>
    <w:p w14:paraId="2C2920F1" w14:textId="77777777" w:rsidR="003625B1" w:rsidRDefault="00000000" w:rsidP="00DD524D">
      <w:pPr>
        <w:pStyle w:val="Heading1"/>
      </w:pPr>
      <w:bookmarkStart w:id="20" w:name="_z5z124oxau64" w:colFirst="0" w:colLast="0"/>
      <w:bookmarkStart w:id="21" w:name="_Toc187316929"/>
      <w:bookmarkEnd w:id="20"/>
      <w:r>
        <w:lastRenderedPageBreak/>
        <w:t>References</w:t>
      </w:r>
      <w:bookmarkEnd w:id="21"/>
    </w:p>
    <w:p w14:paraId="12F0220F" w14:textId="21574536" w:rsidR="00AB048A" w:rsidRDefault="00C20457" w:rsidP="00DD524D">
      <w:r>
        <w:t xml:space="preserve">Abou Saleh, N. and Al Tuwaijri, N., 2022. Overseas risks leading to business failure in foreign markets: Study case of HSBC in France. </w:t>
      </w:r>
      <w:r>
        <w:rPr>
          <w:i/>
        </w:rPr>
        <w:t>Open Journal of Business and Management</w:t>
      </w:r>
      <w:r>
        <w:t xml:space="preserve">, </w:t>
      </w:r>
      <w:r>
        <w:rPr>
          <w:i/>
        </w:rPr>
        <w:t>10</w:t>
      </w:r>
      <w:r>
        <w:t>(5), pp.2209-2241.</w:t>
      </w:r>
    </w:p>
    <w:p w14:paraId="6242997E" w14:textId="4ACF05BB" w:rsidR="00AB048A" w:rsidRDefault="00C20457" w:rsidP="00DD524D">
      <w:r>
        <w:t xml:space="preserve">Assetmanagement.hsbc.co.uk, (2025). </w:t>
      </w:r>
      <w:r>
        <w:rPr>
          <w:i/>
        </w:rPr>
        <w:t>Responsible investing</w:t>
      </w:r>
      <w:r>
        <w:t xml:space="preserve">. Available at: </w:t>
      </w:r>
      <w:hyperlink r:id="rId12" w:history="1">
        <w:r w:rsidR="00AB048A" w:rsidRPr="00076598">
          <w:rPr>
            <w:rStyle w:val="Hyperlink"/>
          </w:rPr>
          <w:t>https://www.assetmanagement.hsbc.co.uk/en/institutional-investor/about-us/responsible-investing#openTab=0</w:t>
        </w:r>
      </w:hyperlink>
    </w:p>
    <w:p w14:paraId="3EA80DD6" w14:textId="77777777" w:rsidR="00C20457" w:rsidRDefault="00C20457" w:rsidP="00DD524D">
      <w:r>
        <w:t xml:space="preserve">Balaji, K., 2024. Harnessing AI for Financial Innovations: Pioneering the Future of Financial Services. In </w:t>
      </w:r>
      <w:r>
        <w:rPr>
          <w:i/>
        </w:rPr>
        <w:t>Modern Management Science Practices in the Age of AI</w:t>
      </w:r>
      <w:r>
        <w:t xml:space="preserve"> (pp. 91-122). IGI Global.</w:t>
      </w:r>
    </w:p>
    <w:p w14:paraId="5027B271" w14:textId="77777777" w:rsidR="00C20457" w:rsidRDefault="00C20457" w:rsidP="00DD524D">
      <w:r>
        <w:t xml:space="preserve">Barber, A., 2021. HSBC: Learning Without Change?. In </w:t>
      </w:r>
      <w:r>
        <w:rPr>
          <w:i/>
        </w:rPr>
        <w:t>UK Banks and the Lessons of the Great Financial Crisis</w:t>
      </w:r>
      <w:r>
        <w:t xml:space="preserve"> (pp. 237-278). Cham: Springer International Publishing.</w:t>
      </w:r>
    </w:p>
    <w:p w14:paraId="1DF581E1" w14:textId="77777777" w:rsidR="00C20457" w:rsidRDefault="00C20457" w:rsidP="00DD524D">
      <w:r>
        <w:t xml:space="preserve">BILGIN, E., 2024. From Skepticism to Integration: The Banking Sector's Evolving Relationship with Cryptocurrency and Blockchain Technology. </w:t>
      </w:r>
      <w:r>
        <w:rPr>
          <w:i/>
        </w:rPr>
        <w:t>Journal of Economics</w:t>
      </w:r>
      <w:r>
        <w:t xml:space="preserve">, </w:t>
      </w:r>
      <w:r>
        <w:rPr>
          <w:i/>
        </w:rPr>
        <w:t>12</w:t>
      </w:r>
      <w:r>
        <w:t>(1), pp.1-8.</w:t>
      </w:r>
    </w:p>
    <w:p w14:paraId="6E844CA2" w14:textId="77777777" w:rsidR="00C20457" w:rsidRPr="00F935BC" w:rsidRDefault="00C20457" w:rsidP="00DD524D">
      <w:r w:rsidRPr="00F935BC">
        <w:t>Buchanan, D. A. &amp; Badham, R.J. (2008), Power, Politics and Organisational Change, 2nd edn., London: Sage Publications</w:t>
      </w:r>
    </w:p>
    <w:p w14:paraId="647CD005" w14:textId="77777777" w:rsidR="00C20457" w:rsidRPr="00C538B1" w:rsidRDefault="00C20457" w:rsidP="00DD524D">
      <w:r w:rsidRPr="00C538B1">
        <w:t xml:space="preserve">Cameron, E. &amp; Green, M. (2015), Making Sense of Change Management: A Complete Guide to the Models, Tools and Techniques of Organisational Change, 4th edn. London: Kogan Page </w:t>
      </w:r>
    </w:p>
    <w:p w14:paraId="234542AF" w14:textId="77777777" w:rsidR="00C20457" w:rsidRDefault="00C20457" w:rsidP="00DD524D">
      <w:r>
        <w:t xml:space="preserve">Chang, Y., 2022, December. How Has the Outbreak of COVID-19 Effect the Market and the Way of Operating of HSBC?. In </w:t>
      </w:r>
      <w:r>
        <w:rPr>
          <w:i/>
        </w:rPr>
        <w:t>2022 4th International Conference on Economic Management and Cultural Industry (ICEMCI 2022)</w:t>
      </w:r>
      <w:r>
        <w:t xml:space="preserve"> (pp. 1145-1151). Atlantis Press.</w:t>
      </w:r>
    </w:p>
    <w:p w14:paraId="331BF882" w14:textId="77777777" w:rsidR="00C20457" w:rsidRDefault="00C20457" w:rsidP="00DD524D">
      <w:r>
        <w:t xml:space="preserve">Chen, J., 2023. Risk management practice for foreign banks in the Chinese financial sector: a case study of HSBC China. </w:t>
      </w:r>
      <w:r>
        <w:rPr>
          <w:i/>
        </w:rPr>
        <w:t>Highlights in Business, Economics and Management</w:t>
      </w:r>
      <w:r>
        <w:t xml:space="preserve">, </w:t>
      </w:r>
      <w:r>
        <w:rPr>
          <w:i/>
        </w:rPr>
        <w:t>21</w:t>
      </w:r>
      <w:r>
        <w:t>, pp.1057-1070.</w:t>
      </w:r>
    </w:p>
    <w:p w14:paraId="53197143" w14:textId="77777777" w:rsidR="00C20457" w:rsidRDefault="00C20457" w:rsidP="00DD524D">
      <w:r>
        <w:t>Chowdhury, M.A.I. and Islam, S., 2021. Impact of 4 th industrial Revolution on the total Operations system of the HSBC Bank.</w:t>
      </w:r>
    </w:p>
    <w:p w14:paraId="121AEF9C" w14:textId="77777777" w:rsidR="00C20457" w:rsidRDefault="00C20457" w:rsidP="00DD524D">
      <w:r>
        <w:t xml:space="preserve">Czinkota, M.R., Kotabe, M., Vrontis, D., Shams, S.R., Czinkota, M.R., Kotabe, M., Vrontis, D. and Shams, S.R., 2021. Understanding the market environment and the competition. </w:t>
      </w:r>
      <w:r>
        <w:rPr>
          <w:i/>
        </w:rPr>
        <w:t>Marketing Management: Past, Present and Future</w:t>
      </w:r>
      <w:r>
        <w:t>, pp.91-134.</w:t>
      </w:r>
    </w:p>
    <w:p w14:paraId="2E66E61A" w14:textId="77777777" w:rsidR="00C20457" w:rsidRDefault="00C20457" w:rsidP="00DD524D">
      <w:r>
        <w:t xml:space="preserve">Danis, M. and Biggs, D., 2021. Building the future of advisory in private banking. </w:t>
      </w:r>
      <w:r>
        <w:rPr>
          <w:i/>
        </w:rPr>
        <w:t>Journal of Digital Banking</w:t>
      </w:r>
      <w:r>
        <w:t xml:space="preserve">, </w:t>
      </w:r>
      <w:r>
        <w:rPr>
          <w:i/>
        </w:rPr>
        <w:t>5</w:t>
      </w:r>
      <w:r>
        <w:t>(3), pp.231-239.</w:t>
      </w:r>
    </w:p>
    <w:p w14:paraId="3C96304A" w14:textId="77777777" w:rsidR="00C20457" w:rsidRDefault="00C20457" w:rsidP="00DD524D">
      <w:r>
        <w:lastRenderedPageBreak/>
        <w:t xml:space="preserve">Ghadiridehkordi, A., Shao, J., Boojihawon, R., Wang, Q. and Li, H., 2024. Leveraging sentiment analysis via text mining to improve customer satisfaction in UK banks. </w:t>
      </w:r>
      <w:r>
        <w:rPr>
          <w:i/>
        </w:rPr>
        <w:t>International Journal of Bank Marketing</w:t>
      </w:r>
      <w:r>
        <w:t>.</w:t>
      </w:r>
    </w:p>
    <w:p w14:paraId="68C74D3D" w14:textId="77777777" w:rsidR="00C20457" w:rsidRDefault="00C20457" w:rsidP="00DD524D">
      <w:r>
        <w:t xml:space="preserve">Jain, S., 2024. AI-Driven Trading: Navigating the Complex Landscape of Market Manipulation. In </w:t>
      </w:r>
      <w:r>
        <w:rPr>
          <w:i/>
        </w:rPr>
        <w:t>Market Grooming: The Dark Side of AI Marketing</w:t>
      </w:r>
      <w:r>
        <w:t xml:space="preserve"> (pp. 37-58). Emerald Publishing Limited.</w:t>
      </w:r>
    </w:p>
    <w:p w14:paraId="40EB0C81" w14:textId="77777777" w:rsidR="00C20457" w:rsidRDefault="00C20457" w:rsidP="00DD524D">
      <w:r>
        <w:t xml:space="preserve">Kaluarachchi, B.N. and Sedera, D., 2024. Improving Efficiency Through AI-Powered Customer Engagement by Providing Personalized Solutions in the Banking Industry. In </w:t>
      </w:r>
      <w:r>
        <w:rPr>
          <w:i/>
        </w:rPr>
        <w:t>Integrating AI-Driven Technologies Into Service Marketing</w:t>
      </w:r>
      <w:r>
        <w:t xml:space="preserve"> (pp. 299-342). IGI Global.</w:t>
      </w:r>
    </w:p>
    <w:p w14:paraId="144B878F" w14:textId="77777777" w:rsidR="00C20457" w:rsidRDefault="00C20457" w:rsidP="00DD524D">
      <w:r>
        <w:t xml:space="preserve">Kapmeier, F., Greenspan, A., Jones, A. and Sterman, J., 2021. Science-based analysis for climate action: how HSBC Bank uses the En-ROADS climate policy simulation. </w:t>
      </w:r>
      <w:r>
        <w:rPr>
          <w:i/>
        </w:rPr>
        <w:t>System dynamics review: the journal of the System Dynamics Society</w:t>
      </w:r>
      <w:r>
        <w:t xml:space="preserve">, </w:t>
      </w:r>
      <w:r>
        <w:rPr>
          <w:i/>
        </w:rPr>
        <w:t>37</w:t>
      </w:r>
      <w:r>
        <w:t>(4), pp.333-352.</w:t>
      </w:r>
    </w:p>
    <w:p w14:paraId="309C327F" w14:textId="77777777" w:rsidR="00C20457" w:rsidRDefault="00C20457" w:rsidP="00DD524D">
      <w:r>
        <w:t xml:space="preserve">Lu, Q., Toms, S. and Wei, Y., 2023. From light touch to top management control: HSBC’s integration of its first two acquired subsidiaries 1960-1980. </w:t>
      </w:r>
      <w:r>
        <w:rPr>
          <w:i/>
        </w:rPr>
        <w:t>Business History</w:t>
      </w:r>
      <w:r>
        <w:t xml:space="preserve">, </w:t>
      </w:r>
      <w:r>
        <w:rPr>
          <w:i/>
        </w:rPr>
        <w:t>65</w:t>
      </w:r>
      <w:r>
        <w:t>(4), pp.656-678.</w:t>
      </w:r>
    </w:p>
    <w:p w14:paraId="7349F8CB" w14:textId="77777777" w:rsidR="00C20457" w:rsidRDefault="00C20457" w:rsidP="00DD524D">
      <w:r>
        <w:t xml:space="preserve">Marotta, S. and Bradshaw, J., 2023. Ottawa approves RBC’s $13.5-billion takeover of HSBC Canada. </w:t>
      </w:r>
      <w:r>
        <w:rPr>
          <w:i/>
        </w:rPr>
        <w:t>The Globe and Mail web edition</w:t>
      </w:r>
      <w:r>
        <w:t>, pp.NA-NA.</w:t>
      </w:r>
    </w:p>
    <w:p w14:paraId="77DA6899" w14:textId="77777777" w:rsidR="00C20457" w:rsidRDefault="00C20457" w:rsidP="00DD524D">
      <w:r>
        <w:t>Mim, R.A., 2023. Overall employee wellbeing benefits at HSBC.</w:t>
      </w:r>
    </w:p>
    <w:p w14:paraId="349B1FB4" w14:textId="5EFADDC5" w:rsidR="00AB048A" w:rsidRDefault="00C20457" w:rsidP="00DD524D">
      <w:r>
        <w:t xml:space="preserve">Mpk732t22016clusterb.wordpress.com, (2025). </w:t>
      </w:r>
      <w:r>
        <w:rPr>
          <w:i/>
        </w:rPr>
        <w:t>Key considerations when HSBC marketing in international market</w:t>
      </w:r>
      <w:r>
        <w:t xml:space="preserve">. Available at: </w:t>
      </w:r>
      <w:hyperlink r:id="rId13" w:history="1">
        <w:r w:rsidR="00AB048A" w:rsidRPr="00076598">
          <w:rPr>
            <w:rStyle w:val="Hyperlink"/>
          </w:rPr>
          <w:t>https://mpk732t22016clusterb.wordpress.com/2016/08/07/key-considerations-when-hsbc-marketing-in-international-market/</w:t>
        </w:r>
      </w:hyperlink>
      <w:r>
        <w:t xml:space="preserve"> </w:t>
      </w:r>
    </w:p>
    <w:p w14:paraId="3ABE5364" w14:textId="77777777" w:rsidR="00C20457" w:rsidRDefault="00C20457" w:rsidP="00DD524D">
      <w:proofErr w:type="spellStart"/>
      <w:r>
        <w:t>Myllyvirta</w:t>
      </w:r>
      <w:proofErr w:type="spellEnd"/>
      <w:r>
        <w:t>, L., 2021. BRIEFING: Health impacts of coal-fired power projects with HSBC equity stakes.</w:t>
      </w:r>
    </w:p>
    <w:p w14:paraId="329200FD" w14:textId="77777777" w:rsidR="00C20457" w:rsidRDefault="00C20457" w:rsidP="00DD524D">
      <w:r>
        <w:t xml:space="preserve">Nahar, S., Meero, A., Rahman, A.A.A., Hasan, K.R., Islam, K.A., Zayed, N.M. and Faisal-E-Alam, M., 2021. Analysis on the marketing strategy and competitive advantage of banking industry in Bangladesh: an entrepreneurial case study of HSBC bank. </w:t>
      </w:r>
      <w:r>
        <w:rPr>
          <w:i/>
        </w:rPr>
        <w:t>Academy of Entrepreneurship Journal</w:t>
      </w:r>
      <w:r>
        <w:t xml:space="preserve">, </w:t>
      </w:r>
      <w:r>
        <w:rPr>
          <w:i/>
        </w:rPr>
        <w:t>27</w:t>
      </w:r>
      <w:r>
        <w:t>(4), pp.1-7.</w:t>
      </w:r>
    </w:p>
    <w:p w14:paraId="263CC5B3" w14:textId="77777777" w:rsidR="00C20457" w:rsidRDefault="00C20457" w:rsidP="00DD524D">
      <w:r>
        <w:t>Ngoc, N.B., 2024. BANCASSURANCE DEVELOPMENT–SUSTAINABLE DEVELOPING TREND IN VIETNAM.</w:t>
      </w:r>
    </w:p>
    <w:p w14:paraId="04792B10" w14:textId="77777777" w:rsidR="00C20457" w:rsidRDefault="00C20457" w:rsidP="00DD524D">
      <w:r>
        <w:t xml:space="preserve">Niyazbekova, S., Jazykbayeva, B., Mottaeva, A., Beloussova, E., Suleimenova, B. and Zueva, A., 2021. The Growth of “Green” finance at the global level in the context of sustainable economic development. In </w:t>
      </w:r>
      <w:r>
        <w:rPr>
          <w:i/>
        </w:rPr>
        <w:t>E3S Web of Conferences</w:t>
      </w:r>
      <w:r>
        <w:t xml:space="preserve"> (Vol. 244, p. 10058). EDP Sciences.</w:t>
      </w:r>
    </w:p>
    <w:p w14:paraId="3775BFC8" w14:textId="77777777" w:rsidR="00C20457" w:rsidRDefault="00C20457" w:rsidP="00DD524D">
      <w:r>
        <w:lastRenderedPageBreak/>
        <w:t xml:space="preserve">Philippidis, A., 2024. StockWatch: PacBio Scores Biggest One-Day Gain Since 2018, but Momentum Fades: Long-read sequencing company gains 34% on anticipation of Q2 results, ARK stock buy; HSBC report highlights IPO market's recovery, continuing challenges in Q1-Q2 2024. </w:t>
      </w:r>
      <w:r>
        <w:rPr>
          <w:i/>
        </w:rPr>
        <w:t>GEN Edge</w:t>
      </w:r>
      <w:r>
        <w:t xml:space="preserve">, </w:t>
      </w:r>
      <w:r>
        <w:rPr>
          <w:i/>
        </w:rPr>
        <w:t>6</w:t>
      </w:r>
      <w:r>
        <w:t>(1), pp.652-656.</w:t>
      </w:r>
    </w:p>
    <w:p w14:paraId="3B4B339F" w14:textId="77777777" w:rsidR="00C20457" w:rsidRDefault="00C20457" w:rsidP="00DD524D">
      <w:r>
        <w:t xml:space="preserve">Sivaprasad, S. and Mathew, S., 2021. Corporate governance practices and the pandemic crisis: UK evidence. </w:t>
      </w:r>
      <w:r>
        <w:rPr>
          <w:i/>
        </w:rPr>
        <w:t>Corporate Governance: The international journal of business in society</w:t>
      </w:r>
      <w:r>
        <w:t xml:space="preserve">, </w:t>
      </w:r>
      <w:r>
        <w:rPr>
          <w:i/>
        </w:rPr>
        <w:t>21</w:t>
      </w:r>
      <w:r>
        <w:t>(6), pp.983-995.</w:t>
      </w:r>
    </w:p>
    <w:p w14:paraId="4F083E0B" w14:textId="77777777" w:rsidR="00C20457" w:rsidRDefault="00C20457" w:rsidP="00DD524D">
      <w:r>
        <w:t>Sourov, D.K., 2022. The Proliferation of Commercial Banking Sector in Bangladesh and the Competitive Position of Top Three commercial Banks.</w:t>
      </w:r>
    </w:p>
    <w:p w14:paraId="0A40F953" w14:textId="77777777" w:rsidR="00C20457" w:rsidRDefault="00C20457" w:rsidP="00DD524D">
      <w:r>
        <w:t xml:space="preserve">Tahri, A., 2023. </w:t>
      </w:r>
      <w:r>
        <w:rPr>
          <w:i/>
        </w:rPr>
        <w:t>Consumer based brand equity in retail banking industry: a cross analysis of a domestic and global bank operating in the UK (HSBC vs Barclays)</w:t>
      </w:r>
      <w:r>
        <w:t xml:space="preserve"> (Doctoral dissertation, Anglia Ruskin Research Online (ARRO)).</w:t>
      </w:r>
    </w:p>
    <w:p w14:paraId="59574764" w14:textId="75778C3B" w:rsidR="00AB048A" w:rsidRDefault="00C20457" w:rsidP="00DD524D">
      <w:r>
        <w:t xml:space="preserve">Thedigitaltransformationpeople.com, (2025). </w:t>
      </w:r>
      <w:r>
        <w:rPr>
          <w:i/>
        </w:rPr>
        <w:t>Innovation at Scale: An interview with Dr. David Knott, HSBC Chief Architect</w:t>
      </w:r>
      <w:r>
        <w:t xml:space="preserve">. Available at: </w:t>
      </w:r>
      <w:hyperlink r:id="rId14" w:history="1">
        <w:r w:rsidR="00AB048A" w:rsidRPr="00076598">
          <w:rPr>
            <w:rStyle w:val="Hyperlink"/>
          </w:rPr>
          <w:t>https://www.thedigitaltransformationpeople.com/channels/strategy-and-innovation/innovation-at-scale-an-interview-with-dr-david-knott-hsbc-chief-architect/</w:t>
        </w:r>
      </w:hyperlink>
      <w:r>
        <w:t xml:space="preserve"> </w:t>
      </w:r>
    </w:p>
    <w:p w14:paraId="7CEC0C27" w14:textId="12B80533" w:rsidR="00C20457" w:rsidRDefault="00C20457" w:rsidP="00DD524D">
      <w:proofErr w:type="spellStart"/>
      <w:r>
        <w:t>Vittala</w:t>
      </w:r>
      <w:proofErr w:type="spellEnd"/>
      <w:r>
        <w:t xml:space="preserve">, K.P., Ahmad, S.S., Seranmadevi, R. and Tyagi, A.K., 2024. Emerging Technology Adoption and Applications for Modern Society Towards Providing Smart Banking Solutions. In </w:t>
      </w:r>
      <w:r>
        <w:rPr>
          <w:i/>
        </w:rPr>
        <w:t>Enhancing Medical Imaging with Emerging Technologies</w:t>
      </w:r>
      <w:r>
        <w:t xml:space="preserve"> (pp. 315-329). IGI Global.</w:t>
      </w:r>
    </w:p>
    <w:p w14:paraId="069B3712" w14:textId="77777777" w:rsidR="00C20457" w:rsidRDefault="00C20457" w:rsidP="00DD524D">
      <w:r>
        <w:t xml:space="preserve">Xinlei, L., 2021. The Development Mystery of Hankou British Commercial Bank (Macquarie Bank and HSBC Bank). In </w:t>
      </w:r>
      <w:r>
        <w:rPr>
          <w:i/>
        </w:rPr>
        <w:t>Восточный калейдоскоп</w:t>
      </w:r>
      <w:r>
        <w:t xml:space="preserve"> (pp. 181-188).</w:t>
      </w:r>
    </w:p>
    <w:p w14:paraId="0B9C6D9B" w14:textId="77777777" w:rsidR="00C20457" w:rsidRDefault="00C20457" w:rsidP="00DD524D">
      <w:r>
        <w:t xml:space="preserve">Yathiraju, N. and Dash, B., 2023. BIG DATA AND METAVERSE REVOLUTIONIZING THE FUTURISTICFINTECH INDUSTRY,”. </w:t>
      </w:r>
      <w:r>
        <w:rPr>
          <w:i/>
        </w:rPr>
        <w:t>International Journal of Computer Science &amp; Information Technology (IJCSIT) Vol</w:t>
      </w:r>
      <w:r>
        <w:t xml:space="preserve">, </w:t>
      </w:r>
      <w:r>
        <w:rPr>
          <w:i/>
        </w:rPr>
        <w:t>15</w:t>
      </w:r>
      <w:r>
        <w:t>.</w:t>
      </w:r>
    </w:p>
    <w:p w14:paraId="0B259267" w14:textId="77777777" w:rsidR="00C20457" w:rsidRDefault="00C20457" w:rsidP="00DD524D">
      <w:r w:rsidRPr="003C628C">
        <w:t>Yu, H., 2023. Comparative Financial Analysis of HSBC Holdings, Royal Dutch Shell, and Unilever. </w:t>
      </w:r>
      <w:r w:rsidRPr="003C628C">
        <w:rPr>
          <w:i/>
          <w:iCs/>
        </w:rPr>
        <w:t>Probe-Accounting, Auditing and Taxation</w:t>
      </w:r>
      <w:r w:rsidRPr="003C628C">
        <w:t>, </w:t>
      </w:r>
      <w:r w:rsidRPr="003C628C">
        <w:rPr>
          <w:i/>
          <w:iCs/>
        </w:rPr>
        <w:t>5</w:t>
      </w:r>
      <w:r w:rsidRPr="003C628C">
        <w:t>(1).</w:t>
      </w:r>
    </w:p>
    <w:p w14:paraId="28A37CB6" w14:textId="77777777" w:rsidR="003625B1" w:rsidRDefault="003625B1" w:rsidP="00DD524D">
      <w:pPr>
        <w:rPr>
          <w:rFonts w:ascii="Arial" w:eastAsia="Arial" w:hAnsi="Arial" w:cs="Arial"/>
          <w:color w:val="222222"/>
          <w:sz w:val="20"/>
          <w:szCs w:val="20"/>
          <w:highlight w:val="white"/>
        </w:rPr>
      </w:pPr>
    </w:p>
    <w:sectPr w:rsidR="003625B1" w:rsidSect="00C538B1">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791FD" w14:textId="77777777" w:rsidR="0023583F" w:rsidRDefault="0023583F" w:rsidP="00C538B1">
      <w:pPr>
        <w:spacing w:line="240" w:lineRule="auto"/>
      </w:pPr>
      <w:r>
        <w:separator/>
      </w:r>
    </w:p>
  </w:endnote>
  <w:endnote w:type="continuationSeparator" w:id="0">
    <w:p w14:paraId="2CDF18CF" w14:textId="77777777" w:rsidR="0023583F" w:rsidRDefault="0023583F" w:rsidP="00C538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033609"/>
      <w:docPartObj>
        <w:docPartGallery w:val="Page Numbers (Bottom of Page)"/>
        <w:docPartUnique/>
      </w:docPartObj>
    </w:sdtPr>
    <w:sdtEndPr>
      <w:rPr>
        <w:sz w:val="20"/>
        <w:szCs w:val="20"/>
      </w:rPr>
    </w:sdtEndPr>
    <w:sdtContent>
      <w:p w14:paraId="5E97BF67" w14:textId="752D33B7" w:rsidR="00C538B1" w:rsidRPr="00C538B1" w:rsidRDefault="00C538B1">
        <w:pPr>
          <w:pStyle w:val="Footer"/>
          <w:jc w:val="right"/>
          <w:rPr>
            <w:sz w:val="20"/>
            <w:szCs w:val="20"/>
          </w:rPr>
        </w:pPr>
        <w:r w:rsidRPr="00C538B1">
          <w:rPr>
            <w:sz w:val="20"/>
            <w:szCs w:val="20"/>
          </w:rPr>
          <w:fldChar w:fldCharType="begin"/>
        </w:r>
        <w:r w:rsidRPr="00C538B1">
          <w:rPr>
            <w:sz w:val="20"/>
            <w:szCs w:val="20"/>
          </w:rPr>
          <w:instrText>PAGE   \* MERGEFORMAT</w:instrText>
        </w:r>
        <w:r w:rsidRPr="00C538B1">
          <w:rPr>
            <w:sz w:val="20"/>
            <w:szCs w:val="20"/>
          </w:rPr>
          <w:fldChar w:fldCharType="separate"/>
        </w:r>
        <w:r w:rsidRPr="00C538B1">
          <w:rPr>
            <w:sz w:val="20"/>
            <w:szCs w:val="20"/>
          </w:rPr>
          <w:t>2</w:t>
        </w:r>
        <w:r w:rsidRPr="00C538B1">
          <w:rPr>
            <w:sz w:val="20"/>
            <w:szCs w:val="20"/>
          </w:rPr>
          <w:fldChar w:fldCharType="end"/>
        </w:r>
      </w:p>
    </w:sdtContent>
  </w:sdt>
  <w:p w14:paraId="74A7E82E" w14:textId="77777777" w:rsidR="00C538B1" w:rsidRDefault="00C53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F396B" w14:textId="77777777" w:rsidR="0023583F" w:rsidRDefault="0023583F" w:rsidP="00C538B1">
      <w:pPr>
        <w:spacing w:line="240" w:lineRule="auto"/>
      </w:pPr>
      <w:r>
        <w:separator/>
      </w:r>
    </w:p>
  </w:footnote>
  <w:footnote w:type="continuationSeparator" w:id="0">
    <w:p w14:paraId="110E3E7D" w14:textId="77777777" w:rsidR="0023583F" w:rsidRDefault="0023583F" w:rsidP="00C538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5B1"/>
    <w:rsid w:val="000A4EE6"/>
    <w:rsid w:val="000B6A8A"/>
    <w:rsid w:val="000C2861"/>
    <w:rsid w:val="001270AC"/>
    <w:rsid w:val="00157AE9"/>
    <w:rsid w:val="001A557A"/>
    <w:rsid w:val="001F3051"/>
    <w:rsid w:val="0023583F"/>
    <w:rsid w:val="0034289C"/>
    <w:rsid w:val="003625B1"/>
    <w:rsid w:val="00377F80"/>
    <w:rsid w:val="003C628C"/>
    <w:rsid w:val="00415DAE"/>
    <w:rsid w:val="00477024"/>
    <w:rsid w:val="005A209A"/>
    <w:rsid w:val="0070372C"/>
    <w:rsid w:val="00790B74"/>
    <w:rsid w:val="007944DD"/>
    <w:rsid w:val="009263B7"/>
    <w:rsid w:val="00936666"/>
    <w:rsid w:val="00963CAE"/>
    <w:rsid w:val="009D716B"/>
    <w:rsid w:val="00A5650D"/>
    <w:rsid w:val="00AB048A"/>
    <w:rsid w:val="00B81D30"/>
    <w:rsid w:val="00BB1890"/>
    <w:rsid w:val="00BC147C"/>
    <w:rsid w:val="00C118FD"/>
    <w:rsid w:val="00C20457"/>
    <w:rsid w:val="00C33DF5"/>
    <w:rsid w:val="00C439B6"/>
    <w:rsid w:val="00C538B1"/>
    <w:rsid w:val="00C649F0"/>
    <w:rsid w:val="00CD4C6A"/>
    <w:rsid w:val="00D8111D"/>
    <w:rsid w:val="00DD524D"/>
    <w:rsid w:val="00DF5478"/>
    <w:rsid w:val="00EF13AF"/>
    <w:rsid w:val="00F93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31B0D"/>
  <w15:docId w15:val="{8D5CCF9E-FDDC-463C-86D0-71BDC7561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289C"/>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538B1"/>
    <w:pPr>
      <w:tabs>
        <w:tab w:val="center" w:pos="4513"/>
        <w:tab w:val="right" w:pos="9026"/>
      </w:tabs>
      <w:spacing w:line="240" w:lineRule="auto"/>
    </w:pPr>
  </w:style>
  <w:style w:type="character" w:customStyle="1" w:styleId="HeaderChar">
    <w:name w:val="Header Char"/>
    <w:basedOn w:val="DefaultParagraphFont"/>
    <w:link w:val="Header"/>
    <w:uiPriority w:val="99"/>
    <w:rsid w:val="00C538B1"/>
    <w:rPr>
      <w:lang w:val="en-GB"/>
    </w:rPr>
  </w:style>
  <w:style w:type="paragraph" w:styleId="Footer">
    <w:name w:val="footer"/>
    <w:basedOn w:val="Normal"/>
    <w:link w:val="FooterChar"/>
    <w:uiPriority w:val="99"/>
    <w:unhideWhenUsed/>
    <w:rsid w:val="00C538B1"/>
    <w:pPr>
      <w:tabs>
        <w:tab w:val="center" w:pos="4513"/>
        <w:tab w:val="right" w:pos="9026"/>
      </w:tabs>
      <w:spacing w:line="240" w:lineRule="auto"/>
    </w:pPr>
  </w:style>
  <w:style w:type="character" w:customStyle="1" w:styleId="FooterChar">
    <w:name w:val="Footer Char"/>
    <w:basedOn w:val="DefaultParagraphFont"/>
    <w:link w:val="Footer"/>
    <w:uiPriority w:val="99"/>
    <w:rsid w:val="00C538B1"/>
    <w:rPr>
      <w:lang w:val="en-GB"/>
    </w:rPr>
  </w:style>
  <w:style w:type="paragraph" w:styleId="TOCHeading">
    <w:name w:val="TOC Heading"/>
    <w:basedOn w:val="Heading1"/>
    <w:next w:val="Normal"/>
    <w:uiPriority w:val="39"/>
    <w:unhideWhenUsed/>
    <w:qFormat/>
    <w:rsid w:val="00C538B1"/>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538B1"/>
    <w:pPr>
      <w:spacing w:after="100"/>
    </w:pPr>
  </w:style>
  <w:style w:type="paragraph" w:styleId="TOC2">
    <w:name w:val="toc 2"/>
    <w:basedOn w:val="Normal"/>
    <w:next w:val="Normal"/>
    <w:autoRedefine/>
    <w:uiPriority w:val="39"/>
    <w:unhideWhenUsed/>
    <w:rsid w:val="00C538B1"/>
    <w:pPr>
      <w:spacing w:after="100"/>
      <w:ind w:left="240"/>
    </w:pPr>
  </w:style>
  <w:style w:type="character" w:styleId="Hyperlink">
    <w:name w:val="Hyperlink"/>
    <w:basedOn w:val="DefaultParagraphFont"/>
    <w:uiPriority w:val="99"/>
    <w:unhideWhenUsed/>
    <w:rsid w:val="00C538B1"/>
    <w:rPr>
      <w:color w:val="0000FF" w:themeColor="hyperlink"/>
      <w:u w:val="single"/>
    </w:rPr>
  </w:style>
  <w:style w:type="table" w:styleId="TableGrid">
    <w:name w:val="Table Grid"/>
    <w:basedOn w:val="TableNormal"/>
    <w:uiPriority w:val="39"/>
    <w:rsid w:val="0034289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1A557A"/>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1A557A"/>
    <w:rPr>
      <w:i/>
      <w:iCs/>
      <w:color w:val="4F81BD" w:themeColor="accent1"/>
      <w:lang w:val="en-GB"/>
    </w:rPr>
  </w:style>
  <w:style w:type="character" w:styleId="IntenseEmphasis">
    <w:name w:val="Intense Emphasis"/>
    <w:basedOn w:val="DefaultParagraphFont"/>
    <w:uiPriority w:val="21"/>
    <w:qFormat/>
    <w:rsid w:val="001A557A"/>
    <w:rPr>
      <w:i/>
      <w:iCs/>
      <w:color w:val="4F81BD" w:themeColor="accent1"/>
    </w:rPr>
  </w:style>
  <w:style w:type="character" w:styleId="UnresolvedMention">
    <w:name w:val="Unresolved Mention"/>
    <w:basedOn w:val="DefaultParagraphFont"/>
    <w:uiPriority w:val="99"/>
    <w:semiHidden/>
    <w:unhideWhenUsed/>
    <w:rsid w:val="00AB0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05768">
      <w:bodyDiv w:val="1"/>
      <w:marLeft w:val="0"/>
      <w:marRight w:val="0"/>
      <w:marTop w:val="0"/>
      <w:marBottom w:val="0"/>
      <w:divBdr>
        <w:top w:val="none" w:sz="0" w:space="0" w:color="auto"/>
        <w:left w:val="none" w:sz="0" w:space="0" w:color="auto"/>
        <w:bottom w:val="none" w:sz="0" w:space="0" w:color="auto"/>
        <w:right w:val="none" w:sz="0" w:space="0" w:color="auto"/>
      </w:divBdr>
    </w:div>
    <w:div w:id="1040591595">
      <w:bodyDiv w:val="1"/>
      <w:marLeft w:val="0"/>
      <w:marRight w:val="0"/>
      <w:marTop w:val="0"/>
      <w:marBottom w:val="0"/>
      <w:divBdr>
        <w:top w:val="none" w:sz="0" w:space="0" w:color="auto"/>
        <w:left w:val="none" w:sz="0" w:space="0" w:color="auto"/>
        <w:bottom w:val="none" w:sz="0" w:space="0" w:color="auto"/>
        <w:right w:val="none" w:sz="0" w:space="0" w:color="auto"/>
      </w:divBdr>
    </w:div>
    <w:div w:id="1507555707">
      <w:bodyDiv w:val="1"/>
      <w:marLeft w:val="0"/>
      <w:marRight w:val="0"/>
      <w:marTop w:val="0"/>
      <w:marBottom w:val="0"/>
      <w:divBdr>
        <w:top w:val="none" w:sz="0" w:space="0" w:color="auto"/>
        <w:left w:val="none" w:sz="0" w:space="0" w:color="auto"/>
        <w:bottom w:val="none" w:sz="0" w:space="0" w:color="auto"/>
        <w:right w:val="none" w:sz="0" w:space="0" w:color="auto"/>
      </w:divBdr>
    </w:div>
    <w:div w:id="15789773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pk732t22016clusterb.wordpress.com/2016/08/07/key-considerations-when-hsbc-marketing-in-international-marke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ssetmanagement.hsbc.co.uk/en/institutional-investor/about-us/responsible-investing#openTab=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digitaltransformationpeople.com/channels/strategy-and-innovation/innovation-at-scale-an-interview-with-dr-david-knott-hsbc-chief-archit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D89C8F-334A-47D9-A14A-F40490B65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21</Pages>
  <Words>5641</Words>
  <Characters>32157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Gowrikalyanee Anilkumar</cp:lastModifiedBy>
  <cp:revision>2</cp:revision>
  <dcterms:created xsi:type="dcterms:W3CDTF">2025-01-15T16:09:00Z</dcterms:created>
  <dcterms:modified xsi:type="dcterms:W3CDTF">2025-01-15T16:09:00Z</dcterms:modified>
</cp:coreProperties>
</file>