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33C61" w:rsidRDefault="00B33C61" w:rsidP="00680010">
      <w:pPr>
        <w:spacing w:line="360" w:lineRule="auto"/>
        <w:jc w:val="center"/>
        <w:rPr>
          <w:rFonts w:ascii="Arial" w:hAnsi="Arial" w:cs="Arial"/>
          <w:b/>
          <w:sz w:val="32"/>
        </w:rPr>
      </w:pPr>
    </w:p>
    <w:p w:rsidR="00B33C61" w:rsidRDefault="00D84247" w:rsidP="00680010">
      <w:pPr>
        <w:spacing w:line="360" w:lineRule="auto"/>
        <w:jc w:val="center"/>
        <w:rPr>
          <w:rFonts w:ascii="Arial" w:hAnsi="Arial" w:cs="Arial"/>
          <w:b/>
          <w:sz w:val="32"/>
        </w:rPr>
      </w:pPr>
      <w:r>
        <w:rPr>
          <w:rFonts w:ascii="Arial" w:hAnsi="Arial" w:cs="Arial"/>
          <w:b/>
          <w:sz w:val="32"/>
        </w:rPr>
        <w:t xml:space="preserve">Student Name: </w:t>
      </w:r>
      <w:r w:rsidR="00B745BE">
        <w:rPr>
          <w:rFonts w:ascii="Arial" w:hAnsi="Arial" w:cs="Arial"/>
          <w:b/>
          <w:sz w:val="32"/>
        </w:rPr>
        <w:t xml:space="preserve">         </w:t>
      </w:r>
      <w:r>
        <w:rPr>
          <w:rFonts w:ascii="Arial" w:hAnsi="Arial" w:cs="Arial"/>
          <w:b/>
          <w:sz w:val="32"/>
        </w:rPr>
        <w:t xml:space="preserve">   </w:t>
      </w:r>
      <w:proofErr w:type="spellStart"/>
      <w:r w:rsidR="00CC1BEE">
        <w:rPr>
          <w:rFonts w:ascii="Arial" w:hAnsi="Arial" w:cs="Arial"/>
          <w:b/>
          <w:sz w:val="32"/>
        </w:rPr>
        <w:t>Waris</w:t>
      </w:r>
      <w:proofErr w:type="spellEnd"/>
      <w:r w:rsidR="00CC1BEE">
        <w:rPr>
          <w:rFonts w:ascii="Arial" w:hAnsi="Arial" w:cs="Arial"/>
          <w:b/>
          <w:sz w:val="32"/>
        </w:rPr>
        <w:t xml:space="preserve"> </w:t>
      </w:r>
      <w:proofErr w:type="spellStart"/>
      <w:r w:rsidR="00CC1BEE">
        <w:rPr>
          <w:rFonts w:ascii="Arial" w:hAnsi="Arial" w:cs="Arial"/>
          <w:b/>
          <w:sz w:val="32"/>
        </w:rPr>
        <w:t>Qadri</w:t>
      </w:r>
      <w:proofErr w:type="spellEnd"/>
      <w:r w:rsidR="00CC1BEE">
        <w:rPr>
          <w:rFonts w:ascii="Arial" w:hAnsi="Arial" w:cs="Arial"/>
          <w:b/>
          <w:sz w:val="32"/>
        </w:rPr>
        <w:t xml:space="preserve"> </w:t>
      </w:r>
    </w:p>
    <w:p w:rsidR="00CC1BEE" w:rsidRDefault="00CC1BEE" w:rsidP="00680010">
      <w:pPr>
        <w:spacing w:line="360" w:lineRule="auto"/>
        <w:jc w:val="center"/>
        <w:rPr>
          <w:rFonts w:ascii="Arial" w:hAnsi="Arial" w:cs="Arial"/>
          <w:b/>
          <w:sz w:val="32"/>
        </w:rPr>
      </w:pPr>
      <w:r>
        <w:rPr>
          <w:rFonts w:ascii="Arial" w:hAnsi="Arial" w:cs="Arial"/>
          <w:b/>
          <w:sz w:val="32"/>
        </w:rPr>
        <w:t>Student ID</w:t>
      </w:r>
      <w:r w:rsidR="000E24BB">
        <w:rPr>
          <w:rFonts w:ascii="Arial" w:hAnsi="Arial" w:cs="Arial"/>
          <w:b/>
          <w:sz w:val="32"/>
        </w:rPr>
        <w:t xml:space="preserve">: </w:t>
      </w:r>
      <w:r w:rsidR="00B745BE">
        <w:rPr>
          <w:rFonts w:ascii="Arial" w:hAnsi="Arial" w:cs="Arial"/>
          <w:b/>
          <w:sz w:val="32"/>
        </w:rPr>
        <w:t xml:space="preserve">         </w:t>
      </w:r>
      <w:r w:rsidR="000E24BB">
        <w:rPr>
          <w:rFonts w:ascii="Arial" w:hAnsi="Arial" w:cs="Arial"/>
          <w:b/>
          <w:sz w:val="32"/>
        </w:rPr>
        <w:t xml:space="preserve">   1921231</w:t>
      </w:r>
    </w:p>
    <w:p w:rsidR="000E24BB" w:rsidRDefault="000E24BB" w:rsidP="00680010">
      <w:pPr>
        <w:spacing w:line="360" w:lineRule="auto"/>
        <w:jc w:val="center"/>
        <w:rPr>
          <w:rFonts w:ascii="Arial" w:hAnsi="Arial" w:cs="Arial"/>
          <w:b/>
          <w:sz w:val="32"/>
        </w:rPr>
      </w:pPr>
      <w:r>
        <w:rPr>
          <w:rFonts w:ascii="Arial" w:hAnsi="Arial" w:cs="Arial"/>
          <w:b/>
          <w:sz w:val="32"/>
        </w:rPr>
        <w:t>Lecture Name</w:t>
      </w:r>
      <w:r w:rsidR="00035614">
        <w:rPr>
          <w:rFonts w:ascii="Arial" w:hAnsi="Arial" w:cs="Arial"/>
          <w:b/>
          <w:sz w:val="32"/>
        </w:rPr>
        <w:t xml:space="preserve">:    </w:t>
      </w:r>
      <w:r w:rsidR="009A77FB">
        <w:rPr>
          <w:rFonts w:ascii="Arial" w:hAnsi="Arial" w:cs="Arial"/>
          <w:b/>
          <w:sz w:val="32"/>
        </w:rPr>
        <w:t xml:space="preserve">Rebecca </w:t>
      </w:r>
      <w:r w:rsidR="0034009C">
        <w:rPr>
          <w:rFonts w:ascii="Arial" w:hAnsi="Arial" w:cs="Arial"/>
          <w:b/>
          <w:sz w:val="32"/>
        </w:rPr>
        <w:t xml:space="preserve">Stewart </w:t>
      </w:r>
    </w:p>
    <w:p w:rsidR="00907606" w:rsidRDefault="00907606" w:rsidP="00680010">
      <w:pPr>
        <w:spacing w:line="360" w:lineRule="auto"/>
        <w:jc w:val="center"/>
        <w:rPr>
          <w:rFonts w:ascii="Arial" w:hAnsi="Arial" w:cs="Arial"/>
          <w:b/>
          <w:sz w:val="32"/>
        </w:rPr>
      </w:pPr>
      <w:r>
        <w:rPr>
          <w:rFonts w:ascii="Arial" w:hAnsi="Arial" w:cs="Arial"/>
          <w:b/>
          <w:sz w:val="32"/>
        </w:rPr>
        <w:t>Module code</w:t>
      </w:r>
      <w:r w:rsidR="00806FDF">
        <w:rPr>
          <w:rFonts w:ascii="Arial" w:hAnsi="Arial" w:cs="Arial"/>
          <w:b/>
          <w:sz w:val="32"/>
        </w:rPr>
        <w:t>:</w:t>
      </w:r>
      <w:r w:rsidR="00597FFE">
        <w:rPr>
          <w:rFonts w:ascii="Arial" w:hAnsi="Arial" w:cs="Arial"/>
          <w:b/>
          <w:sz w:val="32"/>
        </w:rPr>
        <w:t xml:space="preserve">  </w:t>
      </w:r>
      <w:r w:rsidR="00B745BE">
        <w:rPr>
          <w:rFonts w:ascii="Arial" w:hAnsi="Arial" w:cs="Arial"/>
          <w:b/>
          <w:sz w:val="32"/>
        </w:rPr>
        <w:t xml:space="preserve">       </w:t>
      </w:r>
      <w:r w:rsidR="00597FFE">
        <w:rPr>
          <w:rFonts w:ascii="Arial" w:hAnsi="Arial" w:cs="Arial"/>
          <w:b/>
          <w:sz w:val="32"/>
        </w:rPr>
        <w:t xml:space="preserve">   BMHP6009</w:t>
      </w:r>
    </w:p>
    <w:p w:rsidR="00B33C61" w:rsidRDefault="00B33C61" w:rsidP="00680010">
      <w:pPr>
        <w:spacing w:line="360" w:lineRule="auto"/>
        <w:jc w:val="center"/>
        <w:rPr>
          <w:rFonts w:ascii="Arial" w:hAnsi="Arial" w:cs="Arial"/>
          <w:b/>
          <w:sz w:val="32"/>
        </w:rPr>
      </w:pPr>
    </w:p>
    <w:p w:rsidR="00B33C61" w:rsidRDefault="00B33C61" w:rsidP="00680010">
      <w:pPr>
        <w:spacing w:line="360" w:lineRule="auto"/>
        <w:jc w:val="center"/>
        <w:rPr>
          <w:rFonts w:ascii="Arial" w:hAnsi="Arial" w:cs="Arial"/>
          <w:b/>
          <w:sz w:val="32"/>
        </w:rPr>
      </w:pPr>
    </w:p>
    <w:p w:rsidR="00680010" w:rsidRDefault="00A87765" w:rsidP="00680010">
      <w:pPr>
        <w:spacing w:line="360" w:lineRule="auto"/>
        <w:jc w:val="center"/>
        <w:rPr>
          <w:rFonts w:ascii="Arial" w:hAnsi="Arial" w:cs="Arial"/>
          <w:b/>
          <w:sz w:val="32"/>
        </w:rPr>
      </w:pPr>
      <w:r w:rsidRPr="00680010">
        <w:rPr>
          <w:rFonts w:ascii="Arial" w:hAnsi="Arial" w:cs="Arial"/>
          <w:b/>
          <w:sz w:val="32"/>
        </w:rPr>
        <w:t>LIVING WITH CARE: THE OLDER PERSON</w:t>
      </w:r>
    </w:p>
    <w:p w:rsidR="00A87765" w:rsidRDefault="00A87765" w:rsidP="00680010">
      <w:pPr>
        <w:spacing w:line="360" w:lineRule="auto"/>
        <w:jc w:val="center"/>
        <w:rPr>
          <w:rFonts w:ascii="Arial" w:hAnsi="Arial" w:cs="Arial"/>
          <w:b/>
          <w:sz w:val="32"/>
        </w:rPr>
      </w:pPr>
      <w:r>
        <w:rPr>
          <w:rFonts w:ascii="Arial" w:hAnsi="Arial" w:cs="Arial"/>
          <w:b/>
          <w:sz w:val="32"/>
        </w:rPr>
        <w:t>CASE REPORT</w:t>
      </w:r>
    </w:p>
    <w:p w:rsidR="00C95BA8" w:rsidRPr="00680010" w:rsidRDefault="00C95BA8" w:rsidP="00680010">
      <w:pPr>
        <w:spacing w:line="360" w:lineRule="auto"/>
        <w:jc w:val="center"/>
        <w:rPr>
          <w:rFonts w:ascii="Arial" w:hAnsi="Arial" w:cs="Arial"/>
          <w:b/>
          <w:sz w:val="32"/>
        </w:rPr>
      </w:pPr>
    </w:p>
    <w:sdt>
      <w:sdtPr>
        <w:rPr>
          <w:rFonts w:asciiTheme="minorHAnsi" w:eastAsiaTheme="minorHAnsi" w:hAnsiTheme="minorHAnsi" w:cstheme="minorBidi"/>
          <w:color w:val="auto"/>
          <w:sz w:val="22"/>
          <w:szCs w:val="22"/>
        </w:rPr>
        <w:id w:val="-1862195279"/>
        <w:docPartObj>
          <w:docPartGallery w:val="Table of Contents"/>
          <w:docPartUnique/>
        </w:docPartObj>
      </w:sdtPr>
      <w:sdtEndPr>
        <w:rPr>
          <w:b/>
          <w:bCs/>
          <w:noProof/>
        </w:rPr>
      </w:sdtEndPr>
      <w:sdtContent>
        <w:p w:rsidR="00680010" w:rsidRPr="00680010" w:rsidRDefault="00680010">
          <w:pPr>
            <w:pStyle w:val="TOCHeading"/>
            <w:rPr>
              <w:rFonts w:ascii="Arial" w:hAnsi="Arial" w:cs="Arial"/>
              <w:b/>
              <w:color w:val="auto"/>
              <w:sz w:val="28"/>
            </w:rPr>
          </w:pPr>
          <w:r w:rsidRPr="00680010">
            <w:rPr>
              <w:rFonts w:ascii="Arial" w:hAnsi="Arial" w:cs="Arial"/>
              <w:b/>
              <w:color w:val="auto"/>
              <w:sz w:val="28"/>
            </w:rPr>
            <w:t>TABLE OF CONTENTS</w:t>
          </w:r>
        </w:p>
        <w:p w:rsidR="00680010" w:rsidRPr="00680010" w:rsidRDefault="00680010">
          <w:pPr>
            <w:pStyle w:val="TOC1"/>
            <w:tabs>
              <w:tab w:val="left" w:pos="440"/>
              <w:tab w:val="right" w:leader="dot" w:pos="9017"/>
            </w:tabs>
            <w:rPr>
              <w:rFonts w:ascii="Arial" w:hAnsi="Arial" w:cs="Arial"/>
              <w:noProof/>
              <w:sz w:val="24"/>
            </w:rPr>
          </w:pPr>
          <w:r>
            <w:fldChar w:fldCharType="begin"/>
          </w:r>
          <w:r>
            <w:instrText xml:space="preserve"> TOC \o "1-3" \h \z \u </w:instrText>
          </w:r>
          <w:r>
            <w:fldChar w:fldCharType="separate"/>
          </w:r>
          <w:hyperlink w:anchor="_Toc160979172" w:history="1">
            <w:r w:rsidRPr="00680010">
              <w:rPr>
                <w:rStyle w:val="Hyperlink"/>
                <w:rFonts w:ascii="Arial" w:hAnsi="Arial" w:cs="Arial"/>
                <w:noProof/>
                <w:sz w:val="24"/>
              </w:rPr>
              <w:t>1.</w:t>
            </w:r>
            <w:r w:rsidRPr="00680010">
              <w:rPr>
                <w:rFonts w:ascii="Arial" w:hAnsi="Arial" w:cs="Arial"/>
                <w:noProof/>
                <w:sz w:val="24"/>
              </w:rPr>
              <w:tab/>
            </w:r>
            <w:r w:rsidRPr="00680010">
              <w:rPr>
                <w:rStyle w:val="Hyperlink"/>
                <w:rFonts w:ascii="Arial" w:hAnsi="Arial" w:cs="Arial"/>
                <w:noProof/>
                <w:sz w:val="24"/>
              </w:rPr>
              <w:t>INTRODUCTION</w:t>
            </w:r>
            <w:r w:rsidRPr="00680010">
              <w:rPr>
                <w:rFonts w:ascii="Arial" w:hAnsi="Arial" w:cs="Arial"/>
                <w:noProof/>
                <w:webHidden/>
                <w:sz w:val="24"/>
              </w:rPr>
              <w:tab/>
            </w:r>
            <w:r w:rsidRPr="00680010">
              <w:rPr>
                <w:rFonts w:ascii="Arial" w:hAnsi="Arial" w:cs="Arial"/>
                <w:noProof/>
                <w:webHidden/>
                <w:sz w:val="24"/>
              </w:rPr>
              <w:fldChar w:fldCharType="begin"/>
            </w:r>
            <w:r w:rsidRPr="00680010">
              <w:rPr>
                <w:rFonts w:ascii="Arial" w:hAnsi="Arial" w:cs="Arial"/>
                <w:noProof/>
                <w:webHidden/>
                <w:sz w:val="24"/>
              </w:rPr>
              <w:instrText xml:space="preserve"> PAGEREF _Toc160979172 \h </w:instrText>
            </w:r>
            <w:r w:rsidRPr="00680010">
              <w:rPr>
                <w:rFonts w:ascii="Arial" w:hAnsi="Arial" w:cs="Arial"/>
                <w:noProof/>
                <w:webHidden/>
                <w:sz w:val="24"/>
              </w:rPr>
            </w:r>
            <w:r w:rsidRPr="00680010">
              <w:rPr>
                <w:rFonts w:ascii="Arial" w:hAnsi="Arial" w:cs="Arial"/>
                <w:noProof/>
                <w:webHidden/>
                <w:sz w:val="24"/>
              </w:rPr>
              <w:fldChar w:fldCharType="separate"/>
            </w:r>
            <w:r w:rsidRPr="00680010">
              <w:rPr>
                <w:rFonts w:ascii="Arial" w:hAnsi="Arial" w:cs="Arial"/>
                <w:noProof/>
                <w:webHidden/>
                <w:sz w:val="24"/>
              </w:rPr>
              <w:t>2</w:t>
            </w:r>
            <w:r w:rsidRPr="00680010">
              <w:rPr>
                <w:rFonts w:ascii="Arial" w:hAnsi="Arial" w:cs="Arial"/>
                <w:noProof/>
                <w:webHidden/>
                <w:sz w:val="24"/>
              </w:rPr>
              <w:fldChar w:fldCharType="end"/>
            </w:r>
          </w:hyperlink>
        </w:p>
        <w:p w:rsidR="00680010" w:rsidRPr="00680010" w:rsidRDefault="001553ED">
          <w:pPr>
            <w:pStyle w:val="TOC2"/>
            <w:tabs>
              <w:tab w:val="left" w:pos="880"/>
              <w:tab w:val="right" w:leader="dot" w:pos="9017"/>
            </w:tabs>
            <w:rPr>
              <w:rFonts w:ascii="Arial" w:hAnsi="Arial" w:cs="Arial"/>
              <w:noProof/>
              <w:sz w:val="24"/>
            </w:rPr>
          </w:pPr>
          <w:hyperlink w:anchor="_Toc160979173" w:history="1">
            <w:r w:rsidR="00680010" w:rsidRPr="00680010">
              <w:rPr>
                <w:rStyle w:val="Hyperlink"/>
                <w:rFonts w:ascii="Arial" w:hAnsi="Arial" w:cs="Arial"/>
                <w:noProof/>
                <w:sz w:val="24"/>
              </w:rPr>
              <w:t>1.1</w:t>
            </w:r>
            <w:r w:rsidR="00680010" w:rsidRPr="00680010">
              <w:rPr>
                <w:rFonts w:ascii="Arial" w:hAnsi="Arial" w:cs="Arial"/>
                <w:noProof/>
                <w:sz w:val="24"/>
              </w:rPr>
              <w:tab/>
            </w:r>
            <w:r w:rsidR="00680010" w:rsidRPr="00680010">
              <w:rPr>
                <w:rStyle w:val="Hyperlink"/>
                <w:rFonts w:ascii="Arial" w:hAnsi="Arial" w:cs="Arial"/>
                <w:noProof/>
                <w:sz w:val="24"/>
              </w:rPr>
              <w:t>UK AGING POPULATIONS</w:t>
            </w:r>
            <w:r w:rsidR="00680010" w:rsidRPr="00680010">
              <w:rPr>
                <w:rFonts w:ascii="Arial" w:hAnsi="Arial" w:cs="Arial"/>
                <w:noProof/>
                <w:webHidden/>
                <w:sz w:val="24"/>
              </w:rPr>
              <w:tab/>
            </w:r>
            <w:r w:rsidR="00680010" w:rsidRPr="00680010">
              <w:rPr>
                <w:rFonts w:ascii="Arial" w:hAnsi="Arial" w:cs="Arial"/>
                <w:noProof/>
                <w:webHidden/>
                <w:sz w:val="24"/>
              </w:rPr>
              <w:fldChar w:fldCharType="begin"/>
            </w:r>
            <w:r w:rsidR="00680010" w:rsidRPr="00680010">
              <w:rPr>
                <w:rFonts w:ascii="Arial" w:hAnsi="Arial" w:cs="Arial"/>
                <w:noProof/>
                <w:webHidden/>
                <w:sz w:val="24"/>
              </w:rPr>
              <w:instrText xml:space="preserve"> PAGEREF _Toc160979173 \h </w:instrText>
            </w:r>
            <w:r w:rsidR="00680010" w:rsidRPr="00680010">
              <w:rPr>
                <w:rFonts w:ascii="Arial" w:hAnsi="Arial" w:cs="Arial"/>
                <w:noProof/>
                <w:webHidden/>
                <w:sz w:val="24"/>
              </w:rPr>
            </w:r>
            <w:r w:rsidR="00680010" w:rsidRPr="00680010">
              <w:rPr>
                <w:rFonts w:ascii="Arial" w:hAnsi="Arial" w:cs="Arial"/>
                <w:noProof/>
                <w:webHidden/>
                <w:sz w:val="24"/>
              </w:rPr>
              <w:fldChar w:fldCharType="separate"/>
            </w:r>
            <w:r w:rsidR="00680010" w:rsidRPr="00680010">
              <w:rPr>
                <w:rFonts w:ascii="Arial" w:hAnsi="Arial" w:cs="Arial"/>
                <w:noProof/>
                <w:webHidden/>
                <w:sz w:val="24"/>
              </w:rPr>
              <w:t>2</w:t>
            </w:r>
            <w:r w:rsidR="00680010" w:rsidRPr="00680010">
              <w:rPr>
                <w:rFonts w:ascii="Arial" w:hAnsi="Arial" w:cs="Arial"/>
                <w:noProof/>
                <w:webHidden/>
                <w:sz w:val="24"/>
              </w:rPr>
              <w:fldChar w:fldCharType="end"/>
            </w:r>
          </w:hyperlink>
        </w:p>
        <w:p w:rsidR="00680010" w:rsidRPr="00680010" w:rsidRDefault="001553ED">
          <w:pPr>
            <w:pStyle w:val="TOC2"/>
            <w:tabs>
              <w:tab w:val="left" w:pos="880"/>
              <w:tab w:val="right" w:leader="dot" w:pos="9017"/>
            </w:tabs>
            <w:rPr>
              <w:rFonts w:ascii="Arial" w:hAnsi="Arial" w:cs="Arial"/>
              <w:noProof/>
              <w:sz w:val="24"/>
            </w:rPr>
          </w:pPr>
          <w:hyperlink w:anchor="_Toc160979174" w:history="1">
            <w:r w:rsidR="00680010" w:rsidRPr="00680010">
              <w:rPr>
                <w:rStyle w:val="Hyperlink"/>
                <w:rFonts w:ascii="Arial" w:hAnsi="Arial" w:cs="Arial"/>
                <w:noProof/>
                <w:sz w:val="24"/>
              </w:rPr>
              <w:t>1.2</w:t>
            </w:r>
            <w:r w:rsidR="00680010" w:rsidRPr="00680010">
              <w:rPr>
                <w:rFonts w:ascii="Arial" w:hAnsi="Arial" w:cs="Arial"/>
                <w:noProof/>
                <w:sz w:val="24"/>
              </w:rPr>
              <w:tab/>
            </w:r>
            <w:r w:rsidR="00680010" w:rsidRPr="00680010">
              <w:rPr>
                <w:rStyle w:val="Hyperlink"/>
                <w:rFonts w:ascii="Arial" w:hAnsi="Arial" w:cs="Arial"/>
                <w:noProof/>
                <w:sz w:val="24"/>
              </w:rPr>
              <w:t>EMPLOYMENT AND INCOME</w:t>
            </w:r>
            <w:r w:rsidR="00680010" w:rsidRPr="00680010">
              <w:rPr>
                <w:rFonts w:ascii="Arial" w:hAnsi="Arial" w:cs="Arial"/>
                <w:noProof/>
                <w:webHidden/>
                <w:sz w:val="24"/>
              </w:rPr>
              <w:tab/>
            </w:r>
            <w:r w:rsidR="00680010" w:rsidRPr="00680010">
              <w:rPr>
                <w:rFonts w:ascii="Arial" w:hAnsi="Arial" w:cs="Arial"/>
                <w:noProof/>
                <w:webHidden/>
                <w:sz w:val="24"/>
              </w:rPr>
              <w:fldChar w:fldCharType="begin"/>
            </w:r>
            <w:r w:rsidR="00680010" w:rsidRPr="00680010">
              <w:rPr>
                <w:rFonts w:ascii="Arial" w:hAnsi="Arial" w:cs="Arial"/>
                <w:noProof/>
                <w:webHidden/>
                <w:sz w:val="24"/>
              </w:rPr>
              <w:instrText xml:space="preserve"> PAGEREF _Toc160979174 \h </w:instrText>
            </w:r>
            <w:r w:rsidR="00680010" w:rsidRPr="00680010">
              <w:rPr>
                <w:rFonts w:ascii="Arial" w:hAnsi="Arial" w:cs="Arial"/>
                <w:noProof/>
                <w:webHidden/>
                <w:sz w:val="24"/>
              </w:rPr>
            </w:r>
            <w:r w:rsidR="00680010" w:rsidRPr="00680010">
              <w:rPr>
                <w:rFonts w:ascii="Arial" w:hAnsi="Arial" w:cs="Arial"/>
                <w:noProof/>
                <w:webHidden/>
                <w:sz w:val="24"/>
              </w:rPr>
              <w:fldChar w:fldCharType="separate"/>
            </w:r>
            <w:r w:rsidR="00680010" w:rsidRPr="00680010">
              <w:rPr>
                <w:rFonts w:ascii="Arial" w:hAnsi="Arial" w:cs="Arial"/>
                <w:noProof/>
                <w:webHidden/>
                <w:sz w:val="24"/>
              </w:rPr>
              <w:t>3</w:t>
            </w:r>
            <w:r w:rsidR="00680010" w:rsidRPr="00680010">
              <w:rPr>
                <w:rFonts w:ascii="Arial" w:hAnsi="Arial" w:cs="Arial"/>
                <w:noProof/>
                <w:webHidden/>
                <w:sz w:val="24"/>
              </w:rPr>
              <w:fldChar w:fldCharType="end"/>
            </w:r>
          </w:hyperlink>
        </w:p>
        <w:p w:rsidR="00680010" w:rsidRPr="00680010" w:rsidRDefault="001553ED">
          <w:pPr>
            <w:pStyle w:val="TOC2"/>
            <w:tabs>
              <w:tab w:val="left" w:pos="880"/>
              <w:tab w:val="right" w:leader="dot" w:pos="9017"/>
            </w:tabs>
            <w:rPr>
              <w:rFonts w:ascii="Arial" w:hAnsi="Arial" w:cs="Arial"/>
              <w:noProof/>
              <w:sz w:val="24"/>
            </w:rPr>
          </w:pPr>
          <w:hyperlink w:anchor="_Toc160979175" w:history="1">
            <w:r w:rsidR="00680010" w:rsidRPr="00680010">
              <w:rPr>
                <w:rStyle w:val="Hyperlink"/>
                <w:rFonts w:ascii="Arial" w:hAnsi="Arial" w:cs="Arial"/>
                <w:noProof/>
                <w:sz w:val="24"/>
              </w:rPr>
              <w:t>1.3</w:t>
            </w:r>
            <w:r w:rsidR="00680010" w:rsidRPr="00680010">
              <w:rPr>
                <w:rFonts w:ascii="Arial" w:hAnsi="Arial" w:cs="Arial"/>
                <w:noProof/>
                <w:sz w:val="24"/>
              </w:rPr>
              <w:tab/>
            </w:r>
            <w:r w:rsidR="00680010" w:rsidRPr="00680010">
              <w:rPr>
                <w:rStyle w:val="Hyperlink"/>
                <w:rFonts w:ascii="Arial" w:hAnsi="Arial" w:cs="Arial"/>
                <w:noProof/>
                <w:sz w:val="24"/>
              </w:rPr>
              <w:t>HEALTH</w:t>
            </w:r>
            <w:r w:rsidR="00680010" w:rsidRPr="00680010">
              <w:rPr>
                <w:rFonts w:ascii="Arial" w:hAnsi="Arial" w:cs="Arial"/>
                <w:noProof/>
                <w:webHidden/>
                <w:sz w:val="24"/>
              </w:rPr>
              <w:tab/>
            </w:r>
            <w:r w:rsidR="00680010" w:rsidRPr="00680010">
              <w:rPr>
                <w:rFonts w:ascii="Arial" w:hAnsi="Arial" w:cs="Arial"/>
                <w:noProof/>
                <w:webHidden/>
                <w:sz w:val="24"/>
              </w:rPr>
              <w:fldChar w:fldCharType="begin"/>
            </w:r>
            <w:r w:rsidR="00680010" w:rsidRPr="00680010">
              <w:rPr>
                <w:rFonts w:ascii="Arial" w:hAnsi="Arial" w:cs="Arial"/>
                <w:noProof/>
                <w:webHidden/>
                <w:sz w:val="24"/>
              </w:rPr>
              <w:instrText xml:space="preserve"> PAGEREF _Toc160979175 \h </w:instrText>
            </w:r>
            <w:r w:rsidR="00680010" w:rsidRPr="00680010">
              <w:rPr>
                <w:rFonts w:ascii="Arial" w:hAnsi="Arial" w:cs="Arial"/>
                <w:noProof/>
                <w:webHidden/>
                <w:sz w:val="24"/>
              </w:rPr>
            </w:r>
            <w:r w:rsidR="00680010" w:rsidRPr="00680010">
              <w:rPr>
                <w:rFonts w:ascii="Arial" w:hAnsi="Arial" w:cs="Arial"/>
                <w:noProof/>
                <w:webHidden/>
                <w:sz w:val="24"/>
              </w:rPr>
              <w:fldChar w:fldCharType="separate"/>
            </w:r>
            <w:r w:rsidR="00680010" w:rsidRPr="00680010">
              <w:rPr>
                <w:rFonts w:ascii="Arial" w:hAnsi="Arial" w:cs="Arial"/>
                <w:noProof/>
                <w:webHidden/>
                <w:sz w:val="24"/>
              </w:rPr>
              <w:t>4</w:t>
            </w:r>
            <w:r w:rsidR="00680010" w:rsidRPr="00680010">
              <w:rPr>
                <w:rFonts w:ascii="Arial" w:hAnsi="Arial" w:cs="Arial"/>
                <w:noProof/>
                <w:webHidden/>
                <w:sz w:val="24"/>
              </w:rPr>
              <w:fldChar w:fldCharType="end"/>
            </w:r>
          </w:hyperlink>
        </w:p>
        <w:p w:rsidR="00680010" w:rsidRPr="00680010" w:rsidRDefault="001553ED">
          <w:pPr>
            <w:pStyle w:val="TOC1"/>
            <w:tabs>
              <w:tab w:val="left" w:pos="440"/>
              <w:tab w:val="right" w:leader="dot" w:pos="9017"/>
            </w:tabs>
            <w:rPr>
              <w:rFonts w:ascii="Arial" w:hAnsi="Arial" w:cs="Arial"/>
              <w:noProof/>
              <w:sz w:val="24"/>
            </w:rPr>
          </w:pPr>
          <w:hyperlink w:anchor="_Toc160979176" w:history="1">
            <w:r w:rsidR="00680010" w:rsidRPr="00680010">
              <w:rPr>
                <w:rStyle w:val="Hyperlink"/>
                <w:rFonts w:ascii="Arial" w:hAnsi="Arial" w:cs="Arial"/>
                <w:noProof/>
                <w:sz w:val="24"/>
              </w:rPr>
              <w:t>2.</w:t>
            </w:r>
            <w:r w:rsidR="00680010" w:rsidRPr="00680010">
              <w:rPr>
                <w:rFonts w:ascii="Arial" w:hAnsi="Arial" w:cs="Arial"/>
                <w:noProof/>
                <w:sz w:val="24"/>
              </w:rPr>
              <w:tab/>
            </w:r>
            <w:r w:rsidR="00680010" w:rsidRPr="00680010">
              <w:rPr>
                <w:rStyle w:val="Hyperlink"/>
                <w:rFonts w:ascii="Arial" w:hAnsi="Arial" w:cs="Arial"/>
                <w:noProof/>
                <w:sz w:val="24"/>
              </w:rPr>
              <w:t>MAIN BODY</w:t>
            </w:r>
            <w:r w:rsidR="00680010" w:rsidRPr="00680010">
              <w:rPr>
                <w:rFonts w:ascii="Arial" w:hAnsi="Arial" w:cs="Arial"/>
                <w:noProof/>
                <w:webHidden/>
                <w:sz w:val="24"/>
              </w:rPr>
              <w:tab/>
            </w:r>
            <w:r w:rsidR="00680010" w:rsidRPr="00680010">
              <w:rPr>
                <w:rFonts w:ascii="Arial" w:hAnsi="Arial" w:cs="Arial"/>
                <w:noProof/>
                <w:webHidden/>
                <w:sz w:val="24"/>
              </w:rPr>
              <w:fldChar w:fldCharType="begin"/>
            </w:r>
            <w:r w:rsidR="00680010" w:rsidRPr="00680010">
              <w:rPr>
                <w:rFonts w:ascii="Arial" w:hAnsi="Arial" w:cs="Arial"/>
                <w:noProof/>
                <w:webHidden/>
                <w:sz w:val="24"/>
              </w:rPr>
              <w:instrText xml:space="preserve"> PAGEREF _Toc160979176 \h </w:instrText>
            </w:r>
            <w:r w:rsidR="00680010" w:rsidRPr="00680010">
              <w:rPr>
                <w:rFonts w:ascii="Arial" w:hAnsi="Arial" w:cs="Arial"/>
                <w:noProof/>
                <w:webHidden/>
                <w:sz w:val="24"/>
              </w:rPr>
            </w:r>
            <w:r w:rsidR="00680010" w:rsidRPr="00680010">
              <w:rPr>
                <w:rFonts w:ascii="Arial" w:hAnsi="Arial" w:cs="Arial"/>
                <w:noProof/>
                <w:webHidden/>
                <w:sz w:val="24"/>
              </w:rPr>
              <w:fldChar w:fldCharType="separate"/>
            </w:r>
            <w:r w:rsidR="00680010" w:rsidRPr="00680010">
              <w:rPr>
                <w:rFonts w:ascii="Arial" w:hAnsi="Arial" w:cs="Arial"/>
                <w:noProof/>
                <w:webHidden/>
                <w:sz w:val="24"/>
              </w:rPr>
              <w:t>4</w:t>
            </w:r>
            <w:r w:rsidR="00680010" w:rsidRPr="00680010">
              <w:rPr>
                <w:rFonts w:ascii="Arial" w:hAnsi="Arial" w:cs="Arial"/>
                <w:noProof/>
                <w:webHidden/>
                <w:sz w:val="24"/>
              </w:rPr>
              <w:fldChar w:fldCharType="end"/>
            </w:r>
          </w:hyperlink>
        </w:p>
        <w:p w:rsidR="00680010" w:rsidRPr="00680010" w:rsidRDefault="001553ED">
          <w:pPr>
            <w:pStyle w:val="TOC2"/>
            <w:tabs>
              <w:tab w:val="left" w:pos="880"/>
              <w:tab w:val="right" w:leader="dot" w:pos="9017"/>
            </w:tabs>
            <w:rPr>
              <w:rFonts w:ascii="Arial" w:hAnsi="Arial" w:cs="Arial"/>
              <w:noProof/>
              <w:sz w:val="24"/>
            </w:rPr>
          </w:pPr>
          <w:hyperlink w:anchor="_Toc160979177" w:history="1">
            <w:r w:rsidR="00680010" w:rsidRPr="00680010">
              <w:rPr>
                <w:rStyle w:val="Hyperlink"/>
                <w:rFonts w:ascii="Arial" w:hAnsi="Arial" w:cs="Arial"/>
                <w:noProof/>
                <w:sz w:val="24"/>
              </w:rPr>
              <w:t>2.1</w:t>
            </w:r>
            <w:r w:rsidR="00680010" w:rsidRPr="00680010">
              <w:rPr>
                <w:rFonts w:ascii="Arial" w:hAnsi="Arial" w:cs="Arial"/>
                <w:noProof/>
                <w:sz w:val="24"/>
              </w:rPr>
              <w:tab/>
            </w:r>
            <w:r w:rsidR="00680010" w:rsidRPr="00680010">
              <w:rPr>
                <w:rStyle w:val="Hyperlink"/>
                <w:rFonts w:ascii="Arial" w:hAnsi="Arial" w:cs="Arial"/>
                <w:noProof/>
                <w:sz w:val="24"/>
              </w:rPr>
              <w:t>CASE STUDY</w:t>
            </w:r>
            <w:r w:rsidR="00680010" w:rsidRPr="00680010">
              <w:rPr>
                <w:rFonts w:ascii="Arial" w:hAnsi="Arial" w:cs="Arial"/>
                <w:noProof/>
                <w:webHidden/>
                <w:sz w:val="24"/>
              </w:rPr>
              <w:tab/>
            </w:r>
            <w:r w:rsidR="00680010" w:rsidRPr="00680010">
              <w:rPr>
                <w:rFonts w:ascii="Arial" w:hAnsi="Arial" w:cs="Arial"/>
                <w:noProof/>
                <w:webHidden/>
                <w:sz w:val="24"/>
              </w:rPr>
              <w:fldChar w:fldCharType="begin"/>
            </w:r>
            <w:r w:rsidR="00680010" w:rsidRPr="00680010">
              <w:rPr>
                <w:rFonts w:ascii="Arial" w:hAnsi="Arial" w:cs="Arial"/>
                <w:noProof/>
                <w:webHidden/>
                <w:sz w:val="24"/>
              </w:rPr>
              <w:instrText xml:space="preserve"> PAGEREF _Toc160979177 \h </w:instrText>
            </w:r>
            <w:r w:rsidR="00680010" w:rsidRPr="00680010">
              <w:rPr>
                <w:rFonts w:ascii="Arial" w:hAnsi="Arial" w:cs="Arial"/>
                <w:noProof/>
                <w:webHidden/>
                <w:sz w:val="24"/>
              </w:rPr>
            </w:r>
            <w:r w:rsidR="00680010" w:rsidRPr="00680010">
              <w:rPr>
                <w:rFonts w:ascii="Arial" w:hAnsi="Arial" w:cs="Arial"/>
                <w:noProof/>
                <w:webHidden/>
                <w:sz w:val="24"/>
              </w:rPr>
              <w:fldChar w:fldCharType="separate"/>
            </w:r>
            <w:r w:rsidR="00680010" w:rsidRPr="00680010">
              <w:rPr>
                <w:rFonts w:ascii="Arial" w:hAnsi="Arial" w:cs="Arial"/>
                <w:noProof/>
                <w:webHidden/>
                <w:sz w:val="24"/>
              </w:rPr>
              <w:t>4</w:t>
            </w:r>
            <w:r w:rsidR="00680010" w:rsidRPr="00680010">
              <w:rPr>
                <w:rFonts w:ascii="Arial" w:hAnsi="Arial" w:cs="Arial"/>
                <w:noProof/>
                <w:webHidden/>
                <w:sz w:val="24"/>
              </w:rPr>
              <w:fldChar w:fldCharType="end"/>
            </w:r>
          </w:hyperlink>
        </w:p>
        <w:p w:rsidR="00680010" w:rsidRPr="00680010" w:rsidRDefault="001553ED">
          <w:pPr>
            <w:pStyle w:val="TOC2"/>
            <w:tabs>
              <w:tab w:val="left" w:pos="880"/>
              <w:tab w:val="right" w:leader="dot" w:pos="9017"/>
            </w:tabs>
            <w:rPr>
              <w:rFonts w:ascii="Arial" w:hAnsi="Arial" w:cs="Arial"/>
              <w:noProof/>
              <w:sz w:val="24"/>
            </w:rPr>
          </w:pPr>
          <w:hyperlink w:anchor="_Toc160979178" w:history="1">
            <w:r w:rsidR="00680010" w:rsidRPr="00680010">
              <w:rPr>
                <w:rStyle w:val="Hyperlink"/>
                <w:rFonts w:ascii="Arial" w:eastAsia="Times New Roman" w:hAnsi="Arial" w:cs="Arial"/>
                <w:noProof/>
                <w:sz w:val="24"/>
              </w:rPr>
              <w:t>2.2</w:t>
            </w:r>
            <w:r w:rsidR="00680010" w:rsidRPr="00680010">
              <w:rPr>
                <w:rFonts w:ascii="Arial" w:hAnsi="Arial" w:cs="Arial"/>
                <w:noProof/>
                <w:sz w:val="24"/>
              </w:rPr>
              <w:tab/>
            </w:r>
            <w:r w:rsidR="00680010" w:rsidRPr="00680010">
              <w:rPr>
                <w:rStyle w:val="Hyperlink"/>
                <w:rFonts w:ascii="Arial" w:eastAsia="Times New Roman" w:hAnsi="Arial" w:cs="Arial"/>
                <w:noProof/>
                <w:sz w:val="24"/>
              </w:rPr>
              <w:t>ISSUES ABOUT CASE INDIVIDUAL</w:t>
            </w:r>
            <w:r w:rsidR="00680010" w:rsidRPr="00680010">
              <w:rPr>
                <w:rFonts w:ascii="Arial" w:hAnsi="Arial" w:cs="Arial"/>
                <w:noProof/>
                <w:webHidden/>
                <w:sz w:val="24"/>
              </w:rPr>
              <w:tab/>
            </w:r>
            <w:r w:rsidR="00680010" w:rsidRPr="00680010">
              <w:rPr>
                <w:rFonts w:ascii="Arial" w:hAnsi="Arial" w:cs="Arial"/>
                <w:noProof/>
                <w:webHidden/>
                <w:sz w:val="24"/>
              </w:rPr>
              <w:fldChar w:fldCharType="begin"/>
            </w:r>
            <w:r w:rsidR="00680010" w:rsidRPr="00680010">
              <w:rPr>
                <w:rFonts w:ascii="Arial" w:hAnsi="Arial" w:cs="Arial"/>
                <w:noProof/>
                <w:webHidden/>
                <w:sz w:val="24"/>
              </w:rPr>
              <w:instrText xml:space="preserve"> PAGEREF _Toc160979178 \h </w:instrText>
            </w:r>
            <w:r w:rsidR="00680010" w:rsidRPr="00680010">
              <w:rPr>
                <w:rFonts w:ascii="Arial" w:hAnsi="Arial" w:cs="Arial"/>
                <w:noProof/>
                <w:webHidden/>
                <w:sz w:val="24"/>
              </w:rPr>
            </w:r>
            <w:r w:rsidR="00680010" w:rsidRPr="00680010">
              <w:rPr>
                <w:rFonts w:ascii="Arial" w:hAnsi="Arial" w:cs="Arial"/>
                <w:noProof/>
                <w:webHidden/>
                <w:sz w:val="24"/>
              </w:rPr>
              <w:fldChar w:fldCharType="separate"/>
            </w:r>
            <w:r w:rsidR="00680010" w:rsidRPr="00680010">
              <w:rPr>
                <w:rFonts w:ascii="Arial" w:hAnsi="Arial" w:cs="Arial"/>
                <w:noProof/>
                <w:webHidden/>
                <w:sz w:val="24"/>
              </w:rPr>
              <w:t>5</w:t>
            </w:r>
            <w:r w:rsidR="00680010" w:rsidRPr="00680010">
              <w:rPr>
                <w:rFonts w:ascii="Arial" w:hAnsi="Arial" w:cs="Arial"/>
                <w:noProof/>
                <w:webHidden/>
                <w:sz w:val="24"/>
              </w:rPr>
              <w:fldChar w:fldCharType="end"/>
            </w:r>
          </w:hyperlink>
        </w:p>
        <w:p w:rsidR="00680010" w:rsidRPr="00680010" w:rsidRDefault="001553ED">
          <w:pPr>
            <w:pStyle w:val="TOC2"/>
            <w:tabs>
              <w:tab w:val="left" w:pos="880"/>
              <w:tab w:val="right" w:leader="dot" w:pos="9017"/>
            </w:tabs>
            <w:rPr>
              <w:rFonts w:ascii="Arial" w:hAnsi="Arial" w:cs="Arial"/>
              <w:noProof/>
              <w:sz w:val="24"/>
            </w:rPr>
          </w:pPr>
          <w:hyperlink w:anchor="_Toc160979179" w:history="1">
            <w:r w:rsidR="00680010" w:rsidRPr="00680010">
              <w:rPr>
                <w:rStyle w:val="Hyperlink"/>
                <w:rFonts w:ascii="Arial" w:eastAsia="Times New Roman" w:hAnsi="Arial" w:cs="Arial"/>
                <w:noProof/>
                <w:sz w:val="24"/>
              </w:rPr>
              <w:t>2.3</w:t>
            </w:r>
            <w:r w:rsidR="00680010" w:rsidRPr="00680010">
              <w:rPr>
                <w:rFonts w:ascii="Arial" w:hAnsi="Arial" w:cs="Arial"/>
                <w:noProof/>
                <w:sz w:val="24"/>
              </w:rPr>
              <w:tab/>
            </w:r>
            <w:r w:rsidR="00680010" w:rsidRPr="00680010">
              <w:rPr>
                <w:rStyle w:val="Hyperlink"/>
                <w:rFonts w:ascii="Arial" w:eastAsia="Times New Roman" w:hAnsi="Arial" w:cs="Arial"/>
                <w:noProof/>
                <w:sz w:val="24"/>
              </w:rPr>
              <w:t>CASE AND RELATED DISEASE</w:t>
            </w:r>
            <w:r w:rsidR="00680010" w:rsidRPr="00680010">
              <w:rPr>
                <w:rFonts w:ascii="Arial" w:hAnsi="Arial" w:cs="Arial"/>
                <w:noProof/>
                <w:webHidden/>
                <w:sz w:val="24"/>
              </w:rPr>
              <w:tab/>
            </w:r>
            <w:r w:rsidR="00680010" w:rsidRPr="00680010">
              <w:rPr>
                <w:rFonts w:ascii="Arial" w:hAnsi="Arial" w:cs="Arial"/>
                <w:noProof/>
                <w:webHidden/>
                <w:sz w:val="24"/>
              </w:rPr>
              <w:fldChar w:fldCharType="begin"/>
            </w:r>
            <w:r w:rsidR="00680010" w:rsidRPr="00680010">
              <w:rPr>
                <w:rFonts w:ascii="Arial" w:hAnsi="Arial" w:cs="Arial"/>
                <w:noProof/>
                <w:webHidden/>
                <w:sz w:val="24"/>
              </w:rPr>
              <w:instrText xml:space="preserve"> PAGEREF _Toc160979179 \h </w:instrText>
            </w:r>
            <w:r w:rsidR="00680010" w:rsidRPr="00680010">
              <w:rPr>
                <w:rFonts w:ascii="Arial" w:hAnsi="Arial" w:cs="Arial"/>
                <w:noProof/>
                <w:webHidden/>
                <w:sz w:val="24"/>
              </w:rPr>
            </w:r>
            <w:r w:rsidR="00680010" w:rsidRPr="00680010">
              <w:rPr>
                <w:rFonts w:ascii="Arial" w:hAnsi="Arial" w:cs="Arial"/>
                <w:noProof/>
                <w:webHidden/>
                <w:sz w:val="24"/>
              </w:rPr>
              <w:fldChar w:fldCharType="separate"/>
            </w:r>
            <w:r w:rsidR="00680010" w:rsidRPr="00680010">
              <w:rPr>
                <w:rFonts w:ascii="Arial" w:hAnsi="Arial" w:cs="Arial"/>
                <w:noProof/>
                <w:webHidden/>
                <w:sz w:val="24"/>
              </w:rPr>
              <w:t>5</w:t>
            </w:r>
            <w:r w:rsidR="00680010" w:rsidRPr="00680010">
              <w:rPr>
                <w:rFonts w:ascii="Arial" w:hAnsi="Arial" w:cs="Arial"/>
                <w:noProof/>
                <w:webHidden/>
                <w:sz w:val="24"/>
              </w:rPr>
              <w:fldChar w:fldCharType="end"/>
            </w:r>
          </w:hyperlink>
        </w:p>
        <w:p w:rsidR="00680010" w:rsidRPr="00680010" w:rsidRDefault="001553ED">
          <w:pPr>
            <w:pStyle w:val="TOC1"/>
            <w:tabs>
              <w:tab w:val="left" w:pos="440"/>
              <w:tab w:val="right" w:leader="dot" w:pos="9017"/>
            </w:tabs>
            <w:rPr>
              <w:rFonts w:ascii="Arial" w:hAnsi="Arial" w:cs="Arial"/>
              <w:noProof/>
              <w:sz w:val="24"/>
            </w:rPr>
          </w:pPr>
          <w:hyperlink w:anchor="_Toc160979180" w:history="1">
            <w:r w:rsidR="00680010" w:rsidRPr="00680010">
              <w:rPr>
                <w:rStyle w:val="Hyperlink"/>
                <w:rFonts w:ascii="Arial" w:hAnsi="Arial" w:cs="Arial"/>
                <w:noProof/>
                <w:sz w:val="24"/>
              </w:rPr>
              <w:t>3.</w:t>
            </w:r>
            <w:r w:rsidR="00680010" w:rsidRPr="00680010">
              <w:rPr>
                <w:rFonts w:ascii="Arial" w:hAnsi="Arial" w:cs="Arial"/>
                <w:noProof/>
                <w:sz w:val="24"/>
              </w:rPr>
              <w:tab/>
            </w:r>
            <w:r w:rsidR="00680010" w:rsidRPr="00680010">
              <w:rPr>
                <w:rStyle w:val="Hyperlink"/>
                <w:rFonts w:ascii="Arial" w:hAnsi="Arial" w:cs="Arial"/>
                <w:noProof/>
                <w:sz w:val="24"/>
              </w:rPr>
              <w:t>CONCLUSION</w:t>
            </w:r>
            <w:r w:rsidR="00680010" w:rsidRPr="00680010">
              <w:rPr>
                <w:rFonts w:ascii="Arial" w:hAnsi="Arial" w:cs="Arial"/>
                <w:noProof/>
                <w:webHidden/>
                <w:sz w:val="24"/>
              </w:rPr>
              <w:tab/>
            </w:r>
            <w:r w:rsidR="00680010" w:rsidRPr="00680010">
              <w:rPr>
                <w:rFonts w:ascii="Arial" w:hAnsi="Arial" w:cs="Arial"/>
                <w:noProof/>
                <w:webHidden/>
                <w:sz w:val="24"/>
              </w:rPr>
              <w:fldChar w:fldCharType="begin"/>
            </w:r>
            <w:r w:rsidR="00680010" w:rsidRPr="00680010">
              <w:rPr>
                <w:rFonts w:ascii="Arial" w:hAnsi="Arial" w:cs="Arial"/>
                <w:noProof/>
                <w:webHidden/>
                <w:sz w:val="24"/>
              </w:rPr>
              <w:instrText xml:space="preserve"> PAGEREF _Toc160979180 \h </w:instrText>
            </w:r>
            <w:r w:rsidR="00680010" w:rsidRPr="00680010">
              <w:rPr>
                <w:rFonts w:ascii="Arial" w:hAnsi="Arial" w:cs="Arial"/>
                <w:noProof/>
                <w:webHidden/>
                <w:sz w:val="24"/>
              </w:rPr>
            </w:r>
            <w:r w:rsidR="00680010" w:rsidRPr="00680010">
              <w:rPr>
                <w:rFonts w:ascii="Arial" w:hAnsi="Arial" w:cs="Arial"/>
                <w:noProof/>
                <w:webHidden/>
                <w:sz w:val="24"/>
              </w:rPr>
              <w:fldChar w:fldCharType="separate"/>
            </w:r>
            <w:r w:rsidR="00680010" w:rsidRPr="00680010">
              <w:rPr>
                <w:rFonts w:ascii="Arial" w:hAnsi="Arial" w:cs="Arial"/>
                <w:noProof/>
                <w:webHidden/>
                <w:sz w:val="24"/>
              </w:rPr>
              <w:t>9</w:t>
            </w:r>
            <w:r w:rsidR="00680010" w:rsidRPr="00680010">
              <w:rPr>
                <w:rFonts w:ascii="Arial" w:hAnsi="Arial" w:cs="Arial"/>
                <w:noProof/>
                <w:webHidden/>
                <w:sz w:val="24"/>
              </w:rPr>
              <w:fldChar w:fldCharType="end"/>
            </w:r>
          </w:hyperlink>
        </w:p>
        <w:p w:rsidR="00680010" w:rsidRPr="00680010" w:rsidRDefault="001553ED">
          <w:pPr>
            <w:pStyle w:val="TOC1"/>
            <w:tabs>
              <w:tab w:val="left" w:pos="440"/>
              <w:tab w:val="right" w:leader="dot" w:pos="9017"/>
            </w:tabs>
            <w:rPr>
              <w:rFonts w:ascii="Arial" w:hAnsi="Arial" w:cs="Arial"/>
              <w:noProof/>
              <w:sz w:val="24"/>
            </w:rPr>
          </w:pPr>
          <w:hyperlink w:anchor="_Toc160979181" w:history="1">
            <w:r w:rsidR="00680010" w:rsidRPr="00680010">
              <w:rPr>
                <w:rStyle w:val="Hyperlink"/>
                <w:rFonts w:ascii="Arial" w:hAnsi="Arial" w:cs="Arial"/>
                <w:noProof/>
                <w:sz w:val="24"/>
              </w:rPr>
              <w:t>4.</w:t>
            </w:r>
            <w:r w:rsidR="00680010" w:rsidRPr="00680010">
              <w:rPr>
                <w:rFonts w:ascii="Arial" w:hAnsi="Arial" w:cs="Arial"/>
                <w:noProof/>
                <w:sz w:val="24"/>
              </w:rPr>
              <w:tab/>
            </w:r>
            <w:r w:rsidR="00680010" w:rsidRPr="00680010">
              <w:rPr>
                <w:rStyle w:val="Hyperlink"/>
                <w:rFonts w:ascii="Arial" w:hAnsi="Arial" w:cs="Arial"/>
                <w:noProof/>
                <w:sz w:val="24"/>
              </w:rPr>
              <w:t>RECOMMENDATIONS</w:t>
            </w:r>
            <w:r w:rsidR="00680010" w:rsidRPr="00680010">
              <w:rPr>
                <w:rFonts w:ascii="Arial" w:hAnsi="Arial" w:cs="Arial"/>
                <w:noProof/>
                <w:webHidden/>
                <w:sz w:val="24"/>
              </w:rPr>
              <w:tab/>
            </w:r>
            <w:r w:rsidR="00680010" w:rsidRPr="00680010">
              <w:rPr>
                <w:rFonts w:ascii="Arial" w:hAnsi="Arial" w:cs="Arial"/>
                <w:noProof/>
                <w:webHidden/>
                <w:sz w:val="24"/>
              </w:rPr>
              <w:fldChar w:fldCharType="begin"/>
            </w:r>
            <w:r w:rsidR="00680010" w:rsidRPr="00680010">
              <w:rPr>
                <w:rFonts w:ascii="Arial" w:hAnsi="Arial" w:cs="Arial"/>
                <w:noProof/>
                <w:webHidden/>
                <w:sz w:val="24"/>
              </w:rPr>
              <w:instrText xml:space="preserve"> PAGEREF _Toc160979181 \h </w:instrText>
            </w:r>
            <w:r w:rsidR="00680010" w:rsidRPr="00680010">
              <w:rPr>
                <w:rFonts w:ascii="Arial" w:hAnsi="Arial" w:cs="Arial"/>
                <w:noProof/>
                <w:webHidden/>
                <w:sz w:val="24"/>
              </w:rPr>
            </w:r>
            <w:r w:rsidR="00680010" w:rsidRPr="00680010">
              <w:rPr>
                <w:rFonts w:ascii="Arial" w:hAnsi="Arial" w:cs="Arial"/>
                <w:noProof/>
                <w:webHidden/>
                <w:sz w:val="24"/>
              </w:rPr>
              <w:fldChar w:fldCharType="separate"/>
            </w:r>
            <w:r w:rsidR="00680010" w:rsidRPr="00680010">
              <w:rPr>
                <w:rFonts w:ascii="Arial" w:hAnsi="Arial" w:cs="Arial"/>
                <w:noProof/>
                <w:webHidden/>
                <w:sz w:val="24"/>
              </w:rPr>
              <w:t>9</w:t>
            </w:r>
            <w:r w:rsidR="00680010" w:rsidRPr="00680010">
              <w:rPr>
                <w:rFonts w:ascii="Arial" w:hAnsi="Arial" w:cs="Arial"/>
                <w:noProof/>
                <w:webHidden/>
                <w:sz w:val="24"/>
              </w:rPr>
              <w:fldChar w:fldCharType="end"/>
            </w:r>
          </w:hyperlink>
        </w:p>
        <w:p w:rsidR="00680010" w:rsidRDefault="001553ED">
          <w:pPr>
            <w:pStyle w:val="TOC1"/>
            <w:tabs>
              <w:tab w:val="left" w:pos="440"/>
              <w:tab w:val="right" w:leader="dot" w:pos="9017"/>
            </w:tabs>
            <w:rPr>
              <w:noProof/>
            </w:rPr>
          </w:pPr>
          <w:hyperlink w:anchor="_Toc160979182" w:history="1">
            <w:r w:rsidR="00680010" w:rsidRPr="00680010">
              <w:rPr>
                <w:rStyle w:val="Hyperlink"/>
                <w:rFonts w:ascii="Arial" w:hAnsi="Arial" w:cs="Arial"/>
                <w:noProof/>
                <w:sz w:val="24"/>
              </w:rPr>
              <w:t>5.</w:t>
            </w:r>
            <w:r w:rsidR="00680010" w:rsidRPr="00680010">
              <w:rPr>
                <w:rFonts w:ascii="Arial" w:hAnsi="Arial" w:cs="Arial"/>
                <w:noProof/>
                <w:sz w:val="24"/>
              </w:rPr>
              <w:tab/>
            </w:r>
            <w:r w:rsidR="00680010" w:rsidRPr="00680010">
              <w:rPr>
                <w:rStyle w:val="Hyperlink"/>
                <w:rFonts w:ascii="Arial" w:hAnsi="Arial" w:cs="Arial"/>
                <w:noProof/>
                <w:sz w:val="24"/>
              </w:rPr>
              <w:t>REFERENCES</w:t>
            </w:r>
            <w:r w:rsidR="00680010" w:rsidRPr="00680010">
              <w:rPr>
                <w:rFonts w:ascii="Arial" w:hAnsi="Arial" w:cs="Arial"/>
                <w:noProof/>
                <w:webHidden/>
                <w:sz w:val="24"/>
              </w:rPr>
              <w:tab/>
            </w:r>
            <w:r w:rsidR="00680010" w:rsidRPr="00680010">
              <w:rPr>
                <w:rFonts w:ascii="Arial" w:hAnsi="Arial" w:cs="Arial"/>
                <w:noProof/>
                <w:webHidden/>
                <w:sz w:val="24"/>
              </w:rPr>
              <w:fldChar w:fldCharType="begin"/>
            </w:r>
            <w:r w:rsidR="00680010" w:rsidRPr="00680010">
              <w:rPr>
                <w:rFonts w:ascii="Arial" w:hAnsi="Arial" w:cs="Arial"/>
                <w:noProof/>
                <w:webHidden/>
                <w:sz w:val="24"/>
              </w:rPr>
              <w:instrText xml:space="preserve"> PAGEREF _Toc160979182 \h </w:instrText>
            </w:r>
            <w:r w:rsidR="00680010" w:rsidRPr="00680010">
              <w:rPr>
                <w:rFonts w:ascii="Arial" w:hAnsi="Arial" w:cs="Arial"/>
                <w:noProof/>
                <w:webHidden/>
                <w:sz w:val="24"/>
              </w:rPr>
            </w:r>
            <w:r w:rsidR="00680010" w:rsidRPr="00680010">
              <w:rPr>
                <w:rFonts w:ascii="Arial" w:hAnsi="Arial" w:cs="Arial"/>
                <w:noProof/>
                <w:webHidden/>
                <w:sz w:val="24"/>
              </w:rPr>
              <w:fldChar w:fldCharType="separate"/>
            </w:r>
            <w:r w:rsidR="00680010" w:rsidRPr="00680010">
              <w:rPr>
                <w:rFonts w:ascii="Arial" w:hAnsi="Arial" w:cs="Arial"/>
                <w:noProof/>
                <w:webHidden/>
                <w:sz w:val="24"/>
              </w:rPr>
              <w:t>10</w:t>
            </w:r>
            <w:r w:rsidR="00680010" w:rsidRPr="00680010">
              <w:rPr>
                <w:rFonts w:ascii="Arial" w:hAnsi="Arial" w:cs="Arial"/>
                <w:noProof/>
                <w:webHidden/>
                <w:sz w:val="24"/>
              </w:rPr>
              <w:fldChar w:fldCharType="end"/>
            </w:r>
          </w:hyperlink>
        </w:p>
        <w:p w:rsidR="00680010" w:rsidRDefault="00680010">
          <w:r>
            <w:rPr>
              <w:b/>
              <w:bCs/>
              <w:noProof/>
            </w:rPr>
            <w:fldChar w:fldCharType="end"/>
          </w:r>
        </w:p>
      </w:sdtContent>
    </w:sdt>
    <w:p w:rsidR="00680010" w:rsidRDefault="00680010" w:rsidP="008F32EA">
      <w:pPr>
        <w:spacing w:line="360" w:lineRule="auto"/>
        <w:jc w:val="center"/>
        <w:rPr>
          <w:rFonts w:ascii="Arial" w:hAnsi="Arial" w:cs="Arial"/>
          <w:b/>
          <w:sz w:val="32"/>
        </w:rPr>
      </w:pPr>
      <w:r>
        <w:rPr>
          <w:rFonts w:ascii="Arial" w:hAnsi="Arial" w:cs="Arial"/>
          <w:b/>
          <w:sz w:val="32"/>
        </w:rPr>
        <w:br w:type="page"/>
      </w:r>
    </w:p>
    <w:p w:rsidR="008F32EA" w:rsidRPr="00680010" w:rsidRDefault="008F32EA" w:rsidP="008F32EA">
      <w:pPr>
        <w:spacing w:line="360" w:lineRule="auto"/>
        <w:jc w:val="center"/>
        <w:rPr>
          <w:rFonts w:ascii="Arial" w:hAnsi="Arial" w:cs="Arial"/>
          <w:b/>
          <w:sz w:val="32"/>
        </w:rPr>
      </w:pPr>
      <w:r w:rsidRPr="00680010">
        <w:rPr>
          <w:rFonts w:ascii="Arial" w:hAnsi="Arial" w:cs="Arial"/>
          <w:b/>
          <w:sz w:val="32"/>
        </w:rPr>
        <w:lastRenderedPageBreak/>
        <w:t>Living with Care: The Older Person</w:t>
      </w:r>
    </w:p>
    <w:p w:rsidR="001A03D6" w:rsidRPr="00680010" w:rsidRDefault="008F32EA" w:rsidP="00680010">
      <w:pPr>
        <w:pStyle w:val="Heading1"/>
      </w:pPr>
      <w:bookmarkStart w:id="0" w:name="_Toc160979172"/>
      <w:r w:rsidRPr="00680010">
        <w:t>INTRODUCTION</w:t>
      </w:r>
      <w:bookmarkEnd w:id="0"/>
    </w:p>
    <w:p w:rsidR="001F0D22" w:rsidRPr="00680010" w:rsidRDefault="001F0D22" w:rsidP="006707F2">
      <w:pPr>
        <w:spacing w:line="360" w:lineRule="auto"/>
        <w:jc w:val="both"/>
        <w:rPr>
          <w:rFonts w:ascii="Arial" w:hAnsi="Arial" w:cs="Arial"/>
          <w:sz w:val="24"/>
        </w:rPr>
      </w:pPr>
      <w:r w:rsidRPr="00680010">
        <w:rPr>
          <w:rFonts w:ascii="Arial" w:hAnsi="Arial" w:cs="Arial"/>
          <w:sz w:val="24"/>
        </w:rPr>
        <w:t>In the older stages of life, one's physical and mental health tend to decline. The reality of one's health deteriorates more quickly with the passage of time than one's perspective of their own health</w:t>
      </w:r>
      <w:r w:rsidR="00920E50" w:rsidRPr="00680010">
        <w:rPr>
          <w:rFonts w:ascii="Arial" w:hAnsi="Arial" w:cs="Arial"/>
          <w:sz w:val="24"/>
        </w:rPr>
        <w:t xml:space="preserve"> </w:t>
      </w:r>
      <w:r w:rsidR="00920E50" w:rsidRPr="00680010">
        <w:rPr>
          <w:rFonts w:ascii="Arial" w:hAnsi="Arial" w:cs="Arial"/>
          <w:sz w:val="24"/>
        </w:rPr>
        <w:fldChar w:fldCharType="begin"/>
      </w:r>
      <w:r w:rsidR="00920E50" w:rsidRPr="00680010">
        <w:rPr>
          <w:rFonts w:ascii="Arial" w:hAnsi="Arial" w:cs="Arial"/>
          <w:sz w:val="24"/>
        </w:rPr>
        <w:instrText xml:space="preserve"> ADDIN EN.CITE &lt;EndNote&gt;&lt;Cite&gt;&lt;Author&gt;Henchoz&lt;/Author&gt;&lt;Year&gt;2008&lt;/Year&gt;&lt;RecNum&gt;715&lt;/RecNum&gt;&lt;DisplayText&gt;(Clark, 1967; Henchoz et al., 2008)&lt;/DisplayText&gt;&lt;record&gt;&lt;rec-number&gt;715&lt;/rec-number&gt;&lt;foreign-keys&gt;&lt;key app="EN" db-id="sz5trpt98922r4eze0opts290ddrd9sfvwpf" timestamp="1710062209"&gt;715&lt;/key&gt;&lt;/foreign-keys&gt;&lt;ref-type name="Journal Article"&gt;17&lt;/ref-type&gt;&lt;contributors&gt;&lt;authors&gt;&lt;author&gt;Henchoz, Karine&lt;/author&gt;&lt;author&gt;Cavalli, Stefano&lt;/author&gt;&lt;author&gt;Girardin, Myriam&lt;/author&gt;&lt;/authors&gt;&lt;/contributors&gt;&lt;titles&gt;&lt;title&gt;Health perception and health status in advanced old age: A paradox of association&lt;/title&gt;&lt;secondary-title&gt;Journal of Aging Studies&lt;/secondary-title&gt;&lt;/titles&gt;&lt;periodical&gt;&lt;full-title&gt;Journal of Aging Studies&lt;/full-title&gt;&lt;/periodical&gt;&lt;pages&gt;282-290&lt;/pages&gt;&lt;volume&gt;22&lt;/volume&gt;&lt;number&gt;3&lt;/number&gt;&lt;dates&gt;&lt;year&gt;2008&lt;/year&gt;&lt;/dates&gt;&lt;isbn&gt;0890-4065&lt;/isbn&gt;&lt;urls&gt;&lt;/urls&gt;&lt;/record&gt;&lt;/Cite&gt;&lt;Cite&gt;&lt;Author&gt;Clark&lt;/Author&gt;&lt;Year&gt;1967&lt;/Year&gt;&lt;RecNum&gt;716&lt;/RecNum&gt;&lt;record&gt;&lt;rec-number&gt;716&lt;/rec-number&gt;&lt;foreign-keys&gt;&lt;key app="EN" db-id="sz5trpt98922r4eze0opts290ddrd9sfvwpf" timestamp="1710062247"&gt;716&lt;/key&gt;&lt;/foreign-keys&gt;&lt;ref-type name="Journal Article"&gt;17&lt;/ref-type&gt;&lt;contributors&gt;&lt;authors&gt;&lt;author&gt;Clark, Margaret&lt;/author&gt;&lt;/authors&gt;&lt;/contributors&gt;&lt;titles&gt;&lt;title&gt;The anthropology of aging, a new area for studies of culture and personality&lt;/title&gt;&lt;secondary-title&gt;The Gerontologist&lt;/secondary-title&gt;&lt;/titles&gt;&lt;periodical&gt;&lt;full-title&gt;The Gerontologist&lt;/full-title&gt;&lt;/periodical&gt;&lt;pages&gt;55-64&lt;/pages&gt;&lt;volume&gt;7&lt;/volume&gt;&lt;number&gt;1&lt;/number&gt;&lt;dates&gt;&lt;year&gt;1967&lt;/year&gt;&lt;/dates&gt;&lt;isbn&gt;1758-5341&lt;/isbn&gt;&lt;urls&gt;&lt;/urls&gt;&lt;/record&gt;&lt;/Cite&gt;&lt;/EndNote&gt;</w:instrText>
      </w:r>
      <w:r w:rsidR="00920E50" w:rsidRPr="00680010">
        <w:rPr>
          <w:rFonts w:ascii="Arial" w:hAnsi="Arial" w:cs="Arial"/>
          <w:sz w:val="24"/>
        </w:rPr>
        <w:fldChar w:fldCharType="separate"/>
      </w:r>
      <w:r w:rsidR="00920E50" w:rsidRPr="00680010">
        <w:rPr>
          <w:rFonts w:ascii="Arial" w:hAnsi="Arial" w:cs="Arial"/>
          <w:noProof/>
          <w:sz w:val="24"/>
        </w:rPr>
        <w:t>(Clark, 1967; Henchoz et al., 2008)</w:t>
      </w:r>
      <w:r w:rsidR="00920E50" w:rsidRPr="00680010">
        <w:rPr>
          <w:rFonts w:ascii="Arial" w:hAnsi="Arial" w:cs="Arial"/>
          <w:sz w:val="24"/>
        </w:rPr>
        <w:fldChar w:fldCharType="end"/>
      </w:r>
      <w:r w:rsidRPr="00680010">
        <w:rPr>
          <w:rFonts w:ascii="Arial" w:hAnsi="Arial" w:cs="Arial"/>
          <w:sz w:val="24"/>
        </w:rPr>
        <w:t>. In assessing their own health, people engage in a number of psychological processes that contribute to this growing gap. There is a lot of evidence that shows the health declines with age. There is a strong correlation between a</w:t>
      </w:r>
      <w:r w:rsidR="00920E50" w:rsidRPr="00680010">
        <w:rPr>
          <w:rFonts w:ascii="Arial" w:hAnsi="Arial" w:cs="Arial"/>
          <w:sz w:val="24"/>
        </w:rPr>
        <w:t xml:space="preserve">n individual's perceived health </w:t>
      </w:r>
      <w:r w:rsidRPr="00680010">
        <w:rPr>
          <w:rFonts w:ascii="Arial" w:hAnsi="Arial" w:cs="Arial"/>
          <w:sz w:val="24"/>
        </w:rPr>
        <w:t>their assessment of their own heal</w:t>
      </w:r>
      <w:r w:rsidR="00920E50" w:rsidRPr="00680010">
        <w:rPr>
          <w:rFonts w:ascii="Arial" w:hAnsi="Arial" w:cs="Arial"/>
          <w:sz w:val="24"/>
        </w:rPr>
        <w:t xml:space="preserve">th </w:t>
      </w:r>
      <w:r w:rsidRPr="00680010">
        <w:rPr>
          <w:rFonts w:ascii="Arial" w:hAnsi="Arial" w:cs="Arial"/>
          <w:sz w:val="24"/>
        </w:rPr>
        <w:t>and their actual health status as revealed by more objective metrics</w:t>
      </w:r>
      <w:r w:rsidR="00920E50" w:rsidRPr="00680010">
        <w:rPr>
          <w:rFonts w:ascii="Arial" w:hAnsi="Arial" w:cs="Arial"/>
          <w:sz w:val="24"/>
        </w:rPr>
        <w:t xml:space="preserve"> </w:t>
      </w:r>
      <w:r w:rsidR="00920E50" w:rsidRPr="00680010">
        <w:rPr>
          <w:rFonts w:ascii="Arial" w:hAnsi="Arial" w:cs="Arial"/>
          <w:sz w:val="24"/>
        </w:rPr>
        <w:fldChar w:fldCharType="begin"/>
      </w:r>
      <w:r w:rsidR="00920E50" w:rsidRPr="00680010">
        <w:rPr>
          <w:rFonts w:ascii="Arial" w:hAnsi="Arial" w:cs="Arial"/>
          <w:sz w:val="24"/>
        </w:rPr>
        <w:instrText xml:space="preserve"> ADDIN EN.CITE &lt;EndNote&gt;&lt;Cite&gt;&lt;Author&gt;Singh-Manoux&lt;/Author&gt;&lt;Year&gt;2005&lt;/Year&gt;&lt;RecNum&gt;717&lt;/RecNum&gt;&lt;DisplayText&gt;(Singh-Manoux et al., 2005)&lt;/DisplayText&gt;&lt;record&gt;&lt;rec-number&gt;717&lt;/rec-number&gt;&lt;foreign-keys&gt;&lt;key app="EN" db-id="sz5trpt98922r4eze0opts290ddrd9sfvwpf" timestamp="1710062338"&gt;717&lt;/key&gt;&lt;/foreign-keys&gt;&lt;ref-type name="Journal Article"&gt;17&lt;/ref-type&gt;&lt;contributors&gt;&lt;authors&gt;&lt;author&gt;Singh-Manoux, Archana&lt;/author&gt;&lt;author&gt;Marmot, Michael G&lt;/author&gt;&lt;author&gt;Adler, Nancy E&lt;/author&gt;&lt;/authors&gt;&lt;/contributors&gt;&lt;titles&gt;&lt;title&gt;Does subjective social status predict health and change in health status better than objective status?&lt;/title&gt;&lt;secondary-title&gt;Psychosomatic medicine&lt;/secondary-title&gt;&lt;/titles&gt;&lt;periodical&gt;&lt;full-title&gt;Psychosomatic medicine&lt;/full-title&gt;&lt;/periodical&gt;&lt;pages&gt;855-861&lt;/pages&gt;&lt;volume&gt;67&lt;/volume&gt;&lt;number&gt;6&lt;/number&gt;&lt;dates&gt;&lt;year&gt;2005&lt;/year&gt;&lt;/dates&gt;&lt;isbn&gt;0033-3174&lt;/isbn&gt;&lt;urls&gt;&lt;/urls&gt;&lt;/record&gt;&lt;/Cite&gt;&lt;/EndNote&gt;</w:instrText>
      </w:r>
      <w:r w:rsidR="00920E50" w:rsidRPr="00680010">
        <w:rPr>
          <w:rFonts w:ascii="Arial" w:hAnsi="Arial" w:cs="Arial"/>
          <w:sz w:val="24"/>
        </w:rPr>
        <w:fldChar w:fldCharType="separate"/>
      </w:r>
      <w:r w:rsidR="00920E50" w:rsidRPr="00680010">
        <w:rPr>
          <w:rFonts w:ascii="Arial" w:hAnsi="Arial" w:cs="Arial"/>
          <w:noProof/>
          <w:sz w:val="24"/>
        </w:rPr>
        <w:t>(Singh-Manoux et al., 2005)</w:t>
      </w:r>
      <w:r w:rsidR="00920E50" w:rsidRPr="00680010">
        <w:rPr>
          <w:rFonts w:ascii="Arial" w:hAnsi="Arial" w:cs="Arial"/>
          <w:sz w:val="24"/>
        </w:rPr>
        <w:fldChar w:fldCharType="end"/>
      </w:r>
      <w:r w:rsidRPr="00680010">
        <w:rPr>
          <w:rFonts w:ascii="Arial" w:hAnsi="Arial" w:cs="Arial"/>
          <w:sz w:val="24"/>
        </w:rPr>
        <w:t>. According to a number of writers, the elderly are more likely to report functional health, physical diseases, and mental health when asked to anticipate their own health perceptions</w:t>
      </w:r>
      <w:r w:rsidR="00920E50" w:rsidRPr="00680010">
        <w:rPr>
          <w:rFonts w:ascii="Arial" w:hAnsi="Arial" w:cs="Arial"/>
          <w:sz w:val="24"/>
        </w:rPr>
        <w:t xml:space="preserve"> </w:t>
      </w:r>
      <w:r w:rsidR="00920E50" w:rsidRPr="00680010">
        <w:rPr>
          <w:rFonts w:ascii="Arial" w:hAnsi="Arial" w:cs="Arial"/>
          <w:sz w:val="24"/>
        </w:rPr>
        <w:fldChar w:fldCharType="begin"/>
      </w:r>
      <w:r w:rsidR="00920E50" w:rsidRPr="00680010">
        <w:rPr>
          <w:rFonts w:ascii="Arial" w:hAnsi="Arial" w:cs="Arial"/>
          <w:sz w:val="24"/>
        </w:rPr>
        <w:instrText xml:space="preserve"> ADDIN EN.CITE &lt;EndNote&gt;&lt;Cite&gt;&lt;Author&gt;Frostholm&lt;/Author&gt;&lt;Year&gt;2007&lt;/Year&gt;&lt;RecNum&gt;714&lt;/RecNum&gt;&lt;DisplayText&gt;(Frostholm et al., 2007)&lt;/DisplayText&gt;&lt;record&gt;&lt;rec-number&gt;714&lt;/rec-number&gt;&lt;foreign-keys&gt;&lt;key app="EN" db-id="sz5trpt98922r4eze0opts290ddrd9sfvwpf" timestamp="1710062166"&gt;714&lt;/key&gt;&lt;/foreign-keys&gt;&lt;ref-type name="Journal Article"&gt;17&lt;/ref-type&gt;&lt;contributors&gt;&lt;authors&gt;&lt;author&gt;Frostholm, Lisbeth&lt;/author&gt;&lt;author&gt;Oernboel, Eva&lt;/author&gt;&lt;author&gt;Christensen, Kaj S&lt;/author&gt;&lt;author&gt;Toft, Tomas&lt;/author&gt;&lt;author&gt;Olesen, Frede&lt;/author&gt;&lt;author&gt;Weinman, John&lt;/author&gt;&lt;author&gt;Fink, Per&lt;/author&gt;&lt;/authors&gt;&lt;/contributors&gt;&lt;titles&gt;&lt;title&gt;Do illness perceptions predict health outcomes in primary care patients? A 2-year follow-up study&lt;/title&gt;&lt;secondary-title&gt;Journal of psychosomatic research&lt;/secondary-title&gt;&lt;/titles&gt;&lt;periodical&gt;&lt;full-title&gt;Journal of psychosomatic research&lt;/full-title&gt;&lt;/periodical&gt;&lt;pages&gt;129-138&lt;/pages&gt;&lt;volume&gt;62&lt;/volume&gt;&lt;number&gt;2&lt;/number&gt;&lt;dates&gt;&lt;year&gt;2007&lt;/year&gt;&lt;/dates&gt;&lt;isbn&gt;0022-3999&lt;/isbn&gt;&lt;urls&gt;&lt;/urls&gt;&lt;/record&gt;&lt;/Cite&gt;&lt;/EndNote&gt;</w:instrText>
      </w:r>
      <w:r w:rsidR="00920E50" w:rsidRPr="00680010">
        <w:rPr>
          <w:rFonts w:ascii="Arial" w:hAnsi="Arial" w:cs="Arial"/>
          <w:sz w:val="24"/>
        </w:rPr>
        <w:fldChar w:fldCharType="separate"/>
      </w:r>
      <w:r w:rsidR="00920E50" w:rsidRPr="00680010">
        <w:rPr>
          <w:rFonts w:ascii="Arial" w:hAnsi="Arial" w:cs="Arial"/>
          <w:noProof/>
          <w:sz w:val="24"/>
        </w:rPr>
        <w:t>(Frostholm et al., 2007)</w:t>
      </w:r>
      <w:r w:rsidR="00920E50" w:rsidRPr="00680010">
        <w:rPr>
          <w:rFonts w:ascii="Arial" w:hAnsi="Arial" w:cs="Arial"/>
          <w:sz w:val="24"/>
        </w:rPr>
        <w:fldChar w:fldCharType="end"/>
      </w:r>
      <w:r w:rsidRPr="00680010">
        <w:rPr>
          <w:rFonts w:ascii="Arial" w:hAnsi="Arial" w:cs="Arial"/>
          <w:sz w:val="24"/>
        </w:rPr>
        <w:t>.</w:t>
      </w:r>
    </w:p>
    <w:p w:rsidR="00F73784" w:rsidRPr="00680010" w:rsidRDefault="00680010" w:rsidP="00680010">
      <w:pPr>
        <w:pStyle w:val="Heading2"/>
      </w:pPr>
      <w:bookmarkStart w:id="1" w:name="_Toc160979173"/>
      <w:r>
        <w:t>1.1</w:t>
      </w:r>
      <w:r>
        <w:tab/>
      </w:r>
      <w:r w:rsidR="008F32EA" w:rsidRPr="00680010">
        <w:t>UK AGING POPULATIONS</w:t>
      </w:r>
      <w:bookmarkEnd w:id="1"/>
    </w:p>
    <w:p w:rsidR="008F32EA" w:rsidRPr="00680010" w:rsidRDefault="001F0D22" w:rsidP="006707F2">
      <w:pPr>
        <w:spacing w:after="0" w:line="360" w:lineRule="auto"/>
        <w:jc w:val="both"/>
        <w:rPr>
          <w:rFonts w:ascii="Arial" w:eastAsia="Times New Roman" w:hAnsi="Arial" w:cs="Arial"/>
          <w:sz w:val="24"/>
          <w:szCs w:val="24"/>
        </w:rPr>
      </w:pPr>
      <w:r w:rsidRPr="00680010">
        <w:rPr>
          <w:rFonts w:ascii="Arial" w:eastAsia="Times New Roman" w:hAnsi="Arial" w:cs="Arial"/>
          <w:sz w:val="24"/>
          <w:szCs w:val="24"/>
        </w:rPr>
        <w:t>The way healthcare systems will manage an aging population is a growing problem for businesses throughout the globe</w:t>
      </w:r>
      <w:r w:rsidR="00920E50" w:rsidRPr="00680010">
        <w:rPr>
          <w:rFonts w:ascii="Arial" w:eastAsia="Times New Roman" w:hAnsi="Arial" w:cs="Arial"/>
          <w:sz w:val="24"/>
          <w:szCs w:val="24"/>
        </w:rPr>
        <w:t xml:space="preserve"> </w:t>
      </w:r>
      <w:r w:rsidR="00920E50" w:rsidRPr="00680010">
        <w:rPr>
          <w:rFonts w:ascii="Arial" w:eastAsia="Times New Roman" w:hAnsi="Arial" w:cs="Arial"/>
          <w:sz w:val="24"/>
          <w:szCs w:val="24"/>
        </w:rPr>
        <w:fldChar w:fldCharType="begin"/>
      </w:r>
      <w:r w:rsidR="00920E50" w:rsidRPr="00680010">
        <w:rPr>
          <w:rFonts w:ascii="Arial" w:eastAsia="Times New Roman" w:hAnsi="Arial" w:cs="Arial"/>
          <w:sz w:val="24"/>
          <w:szCs w:val="24"/>
        </w:rPr>
        <w:instrText xml:space="preserve"> ADDIN EN.CITE &lt;EndNote&gt;&lt;Cite&gt;&lt;Author&gt;Scrutton&lt;/Author&gt;&lt;Year&gt;2015&lt;/Year&gt;&lt;RecNum&gt;718&lt;/RecNum&gt;&lt;DisplayText&gt;(Scrutton et al., 2015)&lt;/DisplayText&gt;&lt;record&gt;&lt;rec-number&gt;718&lt;/rec-number&gt;&lt;foreign-keys&gt;&lt;key app="EN" db-id="sz5trpt98922r4eze0opts290ddrd9sfvwpf" timestamp="1710062379"&gt;718&lt;/key&gt;&lt;/foreign-keys&gt;&lt;ref-type name="Journal Article"&gt;17&lt;/ref-type&gt;&lt;contributors&gt;&lt;authors&gt;&lt;author&gt;Scrutton, Jonathan&lt;/author&gt;&lt;author&gt;Holley-Moore, George&lt;/author&gt;&lt;author&gt;Bamford, Sally-Marie&lt;/author&gt;&lt;/authors&gt;&lt;/contributors&gt;&lt;titles&gt;&lt;title&gt;Creating a sustainable 21st century healthcare system&lt;/title&gt;&lt;secondary-title&gt;International Longevity Centre–UK (ILC-UK)&lt;/secondary-title&gt;&lt;/titles&gt;&lt;periodical&gt;&lt;full-title&gt;International Longevity Centre–UK (ILC-UK)&lt;/full-title&gt;&lt;/periodical&gt;&lt;dates&gt;&lt;year&gt;2015&lt;/year&gt;&lt;/dates&gt;&lt;urls&gt;&lt;/urls&gt;&lt;/record&gt;&lt;/Cite&gt;&lt;/EndNote&gt;</w:instrText>
      </w:r>
      <w:r w:rsidR="00920E50" w:rsidRPr="00680010">
        <w:rPr>
          <w:rFonts w:ascii="Arial" w:eastAsia="Times New Roman" w:hAnsi="Arial" w:cs="Arial"/>
          <w:sz w:val="24"/>
          <w:szCs w:val="24"/>
        </w:rPr>
        <w:fldChar w:fldCharType="separate"/>
      </w:r>
      <w:r w:rsidR="00920E50" w:rsidRPr="00680010">
        <w:rPr>
          <w:rFonts w:ascii="Arial" w:eastAsia="Times New Roman" w:hAnsi="Arial" w:cs="Arial"/>
          <w:noProof/>
          <w:sz w:val="24"/>
          <w:szCs w:val="24"/>
        </w:rPr>
        <w:t>(Scrutton et al., 2015)</w:t>
      </w:r>
      <w:r w:rsidR="00920E50" w:rsidRPr="00680010">
        <w:rPr>
          <w:rFonts w:ascii="Arial" w:eastAsia="Times New Roman" w:hAnsi="Arial" w:cs="Arial"/>
          <w:sz w:val="24"/>
          <w:szCs w:val="24"/>
        </w:rPr>
        <w:fldChar w:fldCharType="end"/>
      </w:r>
      <w:r w:rsidRPr="00680010">
        <w:rPr>
          <w:rFonts w:ascii="Arial" w:eastAsia="Times New Roman" w:hAnsi="Arial" w:cs="Arial"/>
          <w:sz w:val="24"/>
          <w:szCs w:val="24"/>
        </w:rPr>
        <w:t xml:space="preserve">. There is a clear correlation between advancing age and a rise in healthcare expenditures, and it is anticipated that healthcare for the extremely old would consume a larger share of health budgets going forward. Spending on the National Health Service (NHS) in the United Kingdom is expected to remain unchanged for at least three more years, which, if inflation rates remain unchanged, would result in a real terms yearly reduction in funding of about 1.6%. </w:t>
      </w:r>
    </w:p>
    <w:p w:rsidR="001F0D22" w:rsidRPr="00680010" w:rsidRDefault="001F0D22" w:rsidP="008F32EA">
      <w:pPr>
        <w:spacing w:before="240" w:after="0" w:line="360" w:lineRule="auto"/>
        <w:jc w:val="both"/>
        <w:rPr>
          <w:rFonts w:ascii="Arial" w:eastAsia="Times New Roman" w:hAnsi="Arial" w:cs="Arial"/>
          <w:sz w:val="24"/>
          <w:szCs w:val="24"/>
        </w:rPr>
      </w:pPr>
      <w:r w:rsidRPr="00680010">
        <w:rPr>
          <w:rFonts w:ascii="Arial" w:eastAsia="Times New Roman" w:hAnsi="Arial" w:cs="Arial"/>
          <w:sz w:val="24"/>
          <w:szCs w:val="24"/>
        </w:rPr>
        <w:t>Commissioning organizations are actively attempting to predict the impact of an aging population on future expenses and the resulting shifts in budgetary priorities in order to better manage future demands and costs</w:t>
      </w:r>
      <w:r w:rsidR="00920E50" w:rsidRPr="00680010">
        <w:rPr>
          <w:rFonts w:ascii="Arial" w:eastAsia="Times New Roman" w:hAnsi="Arial" w:cs="Arial"/>
          <w:sz w:val="24"/>
          <w:szCs w:val="24"/>
        </w:rPr>
        <w:t xml:space="preserve"> </w:t>
      </w:r>
      <w:r w:rsidR="00920E50" w:rsidRPr="00680010">
        <w:rPr>
          <w:rFonts w:ascii="Arial" w:eastAsia="Times New Roman" w:hAnsi="Arial" w:cs="Arial"/>
          <w:sz w:val="24"/>
          <w:szCs w:val="24"/>
        </w:rPr>
        <w:fldChar w:fldCharType="begin"/>
      </w:r>
      <w:r w:rsidR="00920E50" w:rsidRPr="00680010">
        <w:rPr>
          <w:rFonts w:ascii="Arial" w:eastAsia="Times New Roman" w:hAnsi="Arial" w:cs="Arial"/>
          <w:sz w:val="24"/>
          <w:szCs w:val="24"/>
        </w:rPr>
        <w:instrText xml:space="preserve"> ADDIN EN.CITE &lt;EndNote&gt;&lt;Cite&gt;&lt;Author&gt;Caley&lt;/Author&gt;&lt;Year&gt;2011&lt;/Year&gt;&lt;RecNum&gt;719&lt;/RecNum&gt;&lt;DisplayText&gt;(Caley &amp;amp; Sidhu, 2011)&lt;/DisplayText&gt;&lt;record&gt;&lt;rec-number&gt;719&lt;/rec-number&gt;&lt;foreign-keys&gt;&lt;key app="EN" db-id="sz5trpt98922r4eze0opts290ddrd9sfvwpf" timestamp="1710062482"&gt;719&lt;/key&gt;&lt;/foreign-keys&gt;&lt;ref-type name="Journal Article"&gt;17&lt;/ref-type&gt;&lt;contributors&gt;&lt;authors&gt;&lt;author&gt;Caley, Michael&lt;/author&gt;&lt;author&gt;Sidhu, Khesh&lt;/author&gt;&lt;/authors&gt;&lt;/contributors&gt;&lt;titles&gt;&lt;title&gt;Estimating the future healthcare costs of an aging population in the UK: expansion of morbidity and the need for preventative care&lt;/title&gt;&lt;secondary-title&gt;Journal of Public Health&lt;/secondary-title&gt;&lt;/titles&gt;&lt;periodical&gt;&lt;full-title&gt;Journal of Public Health&lt;/full-title&gt;&lt;/periodical&gt;&lt;pages&gt;117-122&lt;/pages&gt;&lt;volume&gt;33&lt;/volume&gt;&lt;number&gt;1&lt;/number&gt;&lt;dates&gt;&lt;year&gt;2011&lt;/year&gt;&lt;/dates&gt;&lt;isbn&gt;1741-3850&lt;/isbn&gt;&lt;urls&gt;&lt;/urls&gt;&lt;/record&gt;&lt;/Cite&gt;&lt;/EndNote&gt;</w:instrText>
      </w:r>
      <w:r w:rsidR="00920E50" w:rsidRPr="00680010">
        <w:rPr>
          <w:rFonts w:ascii="Arial" w:eastAsia="Times New Roman" w:hAnsi="Arial" w:cs="Arial"/>
          <w:sz w:val="24"/>
          <w:szCs w:val="24"/>
        </w:rPr>
        <w:fldChar w:fldCharType="separate"/>
      </w:r>
      <w:r w:rsidR="00920E50" w:rsidRPr="00680010">
        <w:rPr>
          <w:rFonts w:ascii="Arial" w:eastAsia="Times New Roman" w:hAnsi="Arial" w:cs="Arial"/>
          <w:noProof/>
          <w:sz w:val="24"/>
          <w:szCs w:val="24"/>
        </w:rPr>
        <w:t>(Caley &amp; Sidhu, 2011)</w:t>
      </w:r>
      <w:r w:rsidR="00920E50" w:rsidRPr="00680010">
        <w:rPr>
          <w:rFonts w:ascii="Arial" w:eastAsia="Times New Roman" w:hAnsi="Arial" w:cs="Arial"/>
          <w:sz w:val="24"/>
          <w:szCs w:val="24"/>
        </w:rPr>
        <w:fldChar w:fldCharType="end"/>
      </w:r>
      <w:r w:rsidRPr="00680010">
        <w:rPr>
          <w:rFonts w:ascii="Arial" w:eastAsia="Times New Roman" w:hAnsi="Arial" w:cs="Arial"/>
          <w:sz w:val="24"/>
          <w:szCs w:val="24"/>
        </w:rPr>
        <w:t>. Several PCTs within the NHS have given local estimates as part of the World Class Commissioning process</w:t>
      </w:r>
      <w:r w:rsidR="00920E50" w:rsidRPr="00680010">
        <w:rPr>
          <w:rFonts w:ascii="Arial" w:eastAsia="Times New Roman" w:hAnsi="Arial" w:cs="Arial"/>
          <w:sz w:val="24"/>
          <w:szCs w:val="24"/>
        </w:rPr>
        <w:t xml:space="preserve"> </w:t>
      </w:r>
      <w:r w:rsidR="00920E50" w:rsidRPr="00680010">
        <w:rPr>
          <w:rFonts w:ascii="Arial" w:eastAsia="Times New Roman" w:hAnsi="Arial" w:cs="Arial"/>
          <w:sz w:val="24"/>
          <w:szCs w:val="24"/>
        </w:rPr>
        <w:fldChar w:fldCharType="begin"/>
      </w:r>
      <w:r w:rsidR="00FB03DA" w:rsidRPr="00680010">
        <w:rPr>
          <w:rFonts w:ascii="Arial" w:eastAsia="Times New Roman" w:hAnsi="Arial" w:cs="Arial"/>
          <w:sz w:val="24"/>
          <w:szCs w:val="24"/>
        </w:rPr>
        <w:instrText xml:space="preserve"> ADDIN EN.CITE &lt;EndNote&gt;&lt;Cite&gt;&lt;Author&gt;Marks&lt;/Author&gt;&lt;Year&gt;2014&lt;/Year&gt;&lt;RecNum&gt;720&lt;/RecNum&gt;&lt;DisplayText&gt;(Marks, 2014; Sheaff et al., 2015)&lt;/DisplayText&gt;&lt;record&gt;&lt;rec-number&gt;720&lt;/rec-number&gt;&lt;foreign-keys&gt;&lt;key app="EN" db-id="sz5trpt98922r4eze0opts290ddrd9sfvwpf" timestamp="1710062523"&gt;720&lt;/key&gt;&lt;/foreign-keys&gt;&lt;ref-type name="Book Section"&gt;5&lt;/ref-type&gt;&lt;contributors&gt;&lt;authors&gt;&lt;author&gt;Marks, Linda&lt;/author&gt;&lt;/authors&gt;&lt;/contributors&gt;&lt;titles&gt;&lt;title&gt;Commissioning for health and wellbeing&lt;/title&gt;&lt;secondary-title&gt;Governance, Commissioning and Public Health&lt;/secondary-title&gt;&lt;/titles&gt;&lt;pages&gt;55-94&lt;/pages&gt;&lt;dates&gt;&lt;year&gt;2014&lt;/year&gt;&lt;/dates&gt;&lt;publisher&gt;Policy Press&lt;/publisher&gt;&lt;isbn&gt;1447304950&lt;/isbn&gt;&lt;urls&gt;&lt;/urls&gt;&lt;/record&gt;&lt;/Cite&gt;&lt;Cite&gt;&lt;Author&gt;Sheaff&lt;/Author&gt;&lt;Year&gt;2015&lt;/Year&gt;&lt;RecNum&gt;721&lt;/RecNum&gt;&lt;record&gt;&lt;rec-number&gt;721&lt;/rec-number&gt;&lt;foreign-keys&gt;&lt;key app="EN" db-id="sz5trpt98922r4eze0opts290ddrd9sfvwpf" timestamp="1710062592"&gt;721&lt;/key&gt;&lt;/foreign-keys&gt;&lt;ref-type name="Journal Article"&gt;17&lt;/ref-type&gt;&lt;contributors&gt;&lt;authors&gt;&lt;author&gt;Sheaff, Rod&lt;/author&gt;&lt;author&gt;Charles, Nigel&lt;/author&gt;&lt;author&gt;Mahon, Ann&lt;/author&gt;&lt;author&gt;Chambers, Naomi&lt;/author&gt;&lt;author&gt;Morando, Verdiana&lt;/author&gt;&lt;author&gt;Exworthy, Mark&lt;/author&gt;&lt;author&gt;Byng, Richard&lt;/author&gt;&lt;author&gt;Mannion, Russell&lt;/author&gt;&lt;author&gt;Llewellyn, Sue&lt;/author&gt;&lt;/authors&gt;&lt;/contributors&gt;&lt;titles&gt;&lt;title&gt;NHS commissioning practice and health system governance: a mixed-methods realistic evaluation&lt;/title&gt;&lt;/titles&gt;&lt;dates&gt;&lt;year&gt;2015&lt;/year&gt;&lt;/dates&gt;&lt;isbn&gt;2050-4349&lt;/isbn&gt;&lt;urls&gt;&lt;/urls&gt;&lt;/record&gt;&lt;/Cite&gt;&lt;/EndNote&gt;</w:instrText>
      </w:r>
      <w:r w:rsidR="00920E50" w:rsidRPr="00680010">
        <w:rPr>
          <w:rFonts w:ascii="Arial" w:eastAsia="Times New Roman" w:hAnsi="Arial" w:cs="Arial"/>
          <w:sz w:val="24"/>
          <w:szCs w:val="24"/>
        </w:rPr>
        <w:fldChar w:fldCharType="separate"/>
      </w:r>
      <w:r w:rsidR="00FB03DA" w:rsidRPr="00680010">
        <w:rPr>
          <w:rFonts w:ascii="Arial" w:eastAsia="Times New Roman" w:hAnsi="Arial" w:cs="Arial"/>
          <w:noProof/>
          <w:sz w:val="24"/>
          <w:szCs w:val="24"/>
        </w:rPr>
        <w:t>(Marks, 2014; Sheaff et al., 2015)</w:t>
      </w:r>
      <w:r w:rsidR="00920E50" w:rsidRPr="00680010">
        <w:rPr>
          <w:rFonts w:ascii="Arial" w:eastAsia="Times New Roman" w:hAnsi="Arial" w:cs="Arial"/>
          <w:sz w:val="24"/>
          <w:szCs w:val="24"/>
        </w:rPr>
        <w:fldChar w:fldCharType="end"/>
      </w:r>
      <w:r w:rsidRPr="00680010">
        <w:rPr>
          <w:rFonts w:ascii="Arial" w:eastAsia="Times New Roman" w:hAnsi="Arial" w:cs="Arial"/>
          <w:sz w:val="24"/>
          <w:szCs w:val="24"/>
        </w:rPr>
        <w:t>. These estimates are based on models that assume the costs of health care for particular age groups would remain constant over time, accounting for inflation</w:t>
      </w:r>
      <w:r w:rsidR="00FB03DA" w:rsidRPr="00680010">
        <w:rPr>
          <w:rFonts w:ascii="Arial" w:eastAsia="Times New Roman" w:hAnsi="Arial" w:cs="Arial"/>
          <w:sz w:val="24"/>
          <w:szCs w:val="24"/>
        </w:rPr>
        <w:t xml:space="preserve"> </w:t>
      </w:r>
      <w:r w:rsidR="00FB03DA" w:rsidRPr="00680010">
        <w:rPr>
          <w:rFonts w:ascii="Arial" w:eastAsia="Times New Roman" w:hAnsi="Arial" w:cs="Arial"/>
          <w:sz w:val="24"/>
          <w:szCs w:val="24"/>
        </w:rPr>
        <w:fldChar w:fldCharType="begin"/>
      </w:r>
      <w:r w:rsidR="00FB03DA" w:rsidRPr="00680010">
        <w:rPr>
          <w:rFonts w:ascii="Arial" w:eastAsia="Times New Roman" w:hAnsi="Arial" w:cs="Arial"/>
          <w:sz w:val="24"/>
          <w:szCs w:val="24"/>
        </w:rPr>
        <w:instrText xml:space="preserve"> ADDIN EN.CITE &lt;EndNote&gt;&lt;Cite&gt;&lt;Author&gt;Getzen&lt;/Author&gt;&lt;Year&gt;2007&lt;/Year&gt;&lt;RecNum&gt;722&lt;/RecNum&gt;&lt;DisplayText&gt;(Getzen, 2007)&lt;/DisplayText&gt;&lt;record&gt;&lt;rec-number&gt;722&lt;/rec-number&gt;&lt;foreign-keys&gt;&lt;key app="EN" db-id="sz5trpt98922r4eze0opts290ddrd9sfvwpf" timestamp="1710062636"&gt;722&lt;/key&gt;&lt;/foreign-keys&gt;&lt;ref-type name="Journal Article"&gt;17&lt;/ref-type&gt;&lt;contributors&gt;&lt;authors&gt;&lt;author&gt;Getzen, Thomas E&lt;/author&gt;&lt;/authors&gt;&lt;/contributors&gt;&lt;titles&gt;&lt;title&gt;Modeling long term healthcare cost trends&lt;/title&gt;&lt;secondary-title&gt;The Society of Actuaries&lt;/secondary-title&gt;&lt;/titles&gt;&lt;periodical&gt;&lt;full-title&gt;The Society of Actuaries&lt;/full-title&gt;&lt;/periodical&gt;&lt;dates&gt;&lt;year&gt;2007&lt;/year&gt;&lt;/dates&gt;&lt;urls&gt;&lt;/urls&gt;&lt;/record&gt;&lt;/Cite&gt;&lt;/EndNote&gt;</w:instrText>
      </w:r>
      <w:r w:rsidR="00FB03DA" w:rsidRPr="00680010">
        <w:rPr>
          <w:rFonts w:ascii="Arial" w:eastAsia="Times New Roman" w:hAnsi="Arial" w:cs="Arial"/>
          <w:sz w:val="24"/>
          <w:szCs w:val="24"/>
        </w:rPr>
        <w:fldChar w:fldCharType="separate"/>
      </w:r>
      <w:r w:rsidR="00FB03DA" w:rsidRPr="00680010">
        <w:rPr>
          <w:rFonts w:ascii="Arial" w:eastAsia="Times New Roman" w:hAnsi="Arial" w:cs="Arial"/>
          <w:noProof/>
          <w:sz w:val="24"/>
          <w:szCs w:val="24"/>
        </w:rPr>
        <w:t>(Getzen, 2007)</w:t>
      </w:r>
      <w:r w:rsidR="00FB03DA" w:rsidRPr="00680010">
        <w:rPr>
          <w:rFonts w:ascii="Arial" w:eastAsia="Times New Roman" w:hAnsi="Arial" w:cs="Arial"/>
          <w:sz w:val="24"/>
          <w:szCs w:val="24"/>
        </w:rPr>
        <w:fldChar w:fldCharType="end"/>
      </w:r>
      <w:r w:rsidRPr="00680010">
        <w:rPr>
          <w:rFonts w:ascii="Arial" w:eastAsia="Times New Roman" w:hAnsi="Arial" w:cs="Arial"/>
          <w:sz w:val="24"/>
          <w:szCs w:val="24"/>
        </w:rPr>
        <w:t xml:space="preserve">. The two well-documented phenomena of morbidity compression and expansion, as well as the dramatic increase in yearly healthcare expenditures </w:t>
      </w:r>
      <w:r w:rsidR="00FB03DA" w:rsidRPr="00680010">
        <w:rPr>
          <w:rFonts w:ascii="Arial" w:eastAsia="Times New Roman" w:hAnsi="Arial" w:cs="Arial"/>
          <w:sz w:val="24"/>
          <w:szCs w:val="24"/>
        </w:rPr>
        <w:t xml:space="preserve">during the latter years of life </w:t>
      </w:r>
      <w:r w:rsidRPr="00680010">
        <w:rPr>
          <w:rFonts w:ascii="Arial" w:eastAsia="Times New Roman" w:hAnsi="Arial" w:cs="Arial"/>
          <w:sz w:val="24"/>
          <w:szCs w:val="24"/>
        </w:rPr>
        <w:t>which can constitute around 10% o</w:t>
      </w:r>
      <w:r w:rsidR="00FB03DA" w:rsidRPr="00680010">
        <w:rPr>
          <w:rFonts w:ascii="Arial" w:eastAsia="Times New Roman" w:hAnsi="Arial" w:cs="Arial"/>
          <w:sz w:val="24"/>
          <w:szCs w:val="24"/>
        </w:rPr>
        <w:t xml:space="preserve">f total healthcare expenditures </w:t>
      </w:r>
      <w:r w:rsidRPr="00680010">
        <w:rPr>
          <w:rFonts w:ascii="Arial" w:eastAsia="Times New Roman" w:hAnsi="Arial" w:cs="Arial"/>
          <w:sz w:val="24"/>
          <w:szCs w:val="24"/>
        </w:rPr>
        <w:t>are overlooked by this approach.</w:t>
      </w:r>
    </w:p>
    <w:p w:rsidR="008F32EA" w:rsidRPr="00680010" w:rsidRDefault="001F0D22" w:rsidP="008F32EA">
      <w:pPr>
        <w:spacing w:before="240" w:after="240" w:line="360" w:lineRule="auto"/>
        <w:jc w:val="both"/>
        <w:rPr>
          <w:rFonts w:ascii="Arial" w:eastAsia="Times New Roman" w:hAnsi="Arial" w:cs="Arial"/>
          <w:sz w:val="24"/>
          <w:szCs w:val="24"/>
        </w:rPr>
      </w:pPr>
      <w:r w:rsidRPr="00680010">
        <w:rPr>
          <w:rFonts w:ascii="Arial" w:eastAsia="Times New Roman" w:hAnsi="Arial" w:cs="Arial"/>
          <w:sz w:val="24"/>
          <w:szCs w:val="24"/>
        </w:rPr>
        <w:lastRenderedPageBreak/>
        <w:t>The population of the United Kingdom is expanding and getting older at a rapid pace. The ageing of the UK population is a major contributor to the aging of the overall population, and this trend is expected to persist in the years to come. Projections show that the number of individuals 65 and older in the UK might reach 16.1 million by 2032, up from 9.8 million in 2007</w:t>
      </w:r>
      <w:r w:rsidR="00A63B5B" w:rsidRPr="00680010">
        <w:rPr>
          <w:rFonts w:ascii="Arial" w:eastAsia="Times New Roman" w:hAnsi="Arial" w:cs="Arial"/>
          <w:sz w:val="24"/>
          <w:szCs w:val="24"/>
        </w:rPr>
        <w:t xml:space="preserve"> </w:t>
      </w:r>
      <w:r w:rsidR="00A63B5B" w:rsidRPr="00680010">
        <w:rPr>
          <w:rFonts w:ascii="Arial" w:eastAsia="Times New Roman" w:hAnsi="Arial" w:cs="Arial"/>
          <w:sz w:val="24"/>
          <w:szCs w:val="24"/>
        </w:rPr>
        <w:fldChar w:fldCharType="begin"/>
      </w:r>
      <w:r w:rsidR="00A63B5B" w:rsidRPr="00680010">
        <w:rPr>
          <w:rFonts w:ascii="Arial" w:eastAsia="Times New Roman" w:hAnsi="Arial" w:cs="Arial"/>
          <w:sz w:val="24"/>
          <w:szCs w:val="24"/>
        </w:rPr>
        <w:instrText xml:space="preserve"> ADDIN EN.CITE &lt;EndNote&gt;&lt;Cite&gt;&lt;Author&gt;Dunnell&lt;/Author&gt;&lt;Year&gt;2008&lt;/Year&gt;&lt;RecNum&gt;723&lt;/RecNum&gt;&lt;DisplayText&gt;(Dunnell, 2008; Wren, 2009)&lt;/DisplayText&gt;&lt;record&gt;&lt;rec-number&gt;723&lt;/rec-number&gt;&lt;foreign-keys&gt;&lt;key app="EN" db-id="sz5trpt98922r4eze0opts290ddrd9sfvwpf" timestamp="1710062704"&gt;723&lt;/key&gt;&lt;/foreign-keys&gt;&lt;ref-type name="Journal Article"&gt;17&lt;/ref-type&gt;&lt;contributors&gt;&lt;authors&gt;&lt;author&gt;Dunnell, Karen&lt;/author&gt;&lt;/authors&gt;&lt;/contributors&gt;&lt;titles&gt;&lt;title&gt;Ageing and mortality in the UK&lt;/title&gt;&lt;secondary-title&gt;Popul Trends&lt;/secondary-title&gt;&lt;/titles&gt;&lt;periodical&gt;&lt;full-title&gt;Popul Trends&lt;/full-title&gt;&lt;/periodical&gt;&lt;pages&gt;6-23&lt;/pages&gt;&lt;volume&gt;134&lt;/volume&gt;&lt;dates&gt;&lt;year&gt;2008&lt;/year&gt;&lt;/dates&gt;&lt;urls&gt;&lt;/urls&gt;&lt;/record&gt;&lt;/Cite&gt;&lt;Cite&gt;&lt;Author&gt;Wren&lt;/Author&gt;&lt;Year&gt;2009&lt;/Year&gt;&lt;RecNum&gt;724&lt;/RecNum&gt;&lt;record&gt;&lt;rec-number&gt;724&lt;/rec-number&gt;&lt;foreign-keys&gt;&lt;key app="EN" db-id="sz5trpt98922r4eze0opts290ddrd9sfvwpf" timestamp="1710062732"&gt;724&lt;/key&gt;&lt;/foreign-keys&gt;&lt;ref-type name="Journal Article"&gt;17&lt;/ref-type&gt;&lt;contributors&gt;&lt;authors&gt;&lt;author&gt;Wren, Maev-Ann&lt;/author&gt;&lt;/authors&gt;&lt;/contributors&gt;&lt;titles&gt;&lt;title&gt;Long-term health and social care&lt;/title&gt;&lt;secondary-title&gt;Projecting the Impact of Demographic Change on the Demand for and Delivery of Health Care in Ireland. Dublin: Economic and Social Research Institute (Research Series No. 13)&lt;/secondary-title&gt;&lt;/titles&gt;&lt;periodical&gt;&lt;full-title&gt;Projecting the Impact of Demographic Change on the Demand for and Delivery of Health Care in Ireland. Dublin: Economic and Social Research Institute (Research Series No. 13)&lt;/full-title&gt;&lt;/periodical&gt;&lt;pages&gt;100-123&lt;/pages&gt;&lt;dates&gt;&lt;year&gt;2009&lt;/year&gt;&lt;/dates&gt;&lt;urls&gt;&lt;/urls&gt;&lt;/record&gt;&lt;/Cite&gt;&lt;/EndNote&gt;</w:instrText>
      </w:r>
      <w:r w:rsidR="00A63B5B" w:rsidRPr="00680010">
        <w:rPr>
          <w:rFonts w:ascii="Arial" w:eastAsia="Times New Roman" w:hAnsi="Arial" w:cs="Arial"/>
          <w:sz w:val="24"/>
          <w:szCs w:val="24"/>
        </w:rPr>
        <w:fldChar w:fldCharType="separate"/>
      </w:r>
      <w:r w:rsidR="00A63B5B" w:rsidRPr="00680010">
        <w:rPr>
          <w:rFonts w:ascii="Arial" w:eastAsia="Times New Roman" w:hAnsi="Arial" w:cs="Arial"/>
          <w:noProof/>
          <w:sz w:val="24"/>
          <w:szCs w:val="24"/>
        </w:rPr>
        <w:t>(Dunnell, 2008; Wren, 2009)</w:t>
      </w:r>
      <w:r w:rsidR="00A63B5B" w:rsidRPr="00680010">
        <w:rPr>
          <w:rFonts w:ascii="Arial" w:eastAsia="Times New Roman" w:hAnsi="Arial" w:cs="Arial"/>
          <w:sz w:val="24"/>
          <w:szCs w:val="24"/>
        </w:rPr>
        <w:fldChar w:fldCharType="end"/>
      </w:r>
      <w:r w:rsidRPr="00680010">
        <w:rPr>
          <w:rFonts w:ascii="Arial" w:eastAsia="Times New Roman" w:hAnsi="Arial" w:cs="Arial"/>
          <w:sz w:val="24"/>
          <w:szCs w:val="24"/>
        </w:rPr>
        <w:t>. In 2007, there were 1.3 million individuals in the UK who were 85 and older; by 2032, that number is expected to rise to 3.1 million</w:t>
      </w:r>
      <w:r w:rsidR="00A63B5B" w:rsidRPr="00680010">
        <w:rPr>
          <w:rFonts w:ascii="Arial" w:eastAsia="Times New Roman" w:hAnsi="Arial" w:cs="Arial"/>
          <w:sz w:val="24"/>
          <w:szCs w:val="24"/>
        </w:rPr>
        <w:t xml:space="preserve"> </w:t>
      </w:r>
      <w:r w:rsidR="00A63B5B" w:rsidRPr="00680010">
        <w:rPr>
          <w:rFonts w:ascii="Arial" w:eastAsia="Times New Roman" w:hAnsi="Arial" w:cs="Arial"/>
          <w:sz w:val="24"/>
          <w:szCs w:val="24"/>
        </w:rPr>
        <w:fldChar w:fldCharType="begin"/>
      </w:r>
      <w:r w:rsidR="00A63B5B" w:rsidRPr="00680010">
        <w:rPr>
          <w:rFonts w:ascii="Arial" w:eastAsia="Times New Roman" w:hAnsi="Arial" w:cs="Arial"/>
          <w:sz w:val="24"/>
          <w:szCs w:val="24"/>
        </w:rPr>
        <w:instrText xml:space="preserve"> ADDIN EN.CITE &lt;EndNote&gt;&lt;Cite&gt;&lt;Author&gt;Gu&lt;/Author&gt;&lt;Year&gt;2020&lt;/Year&gt;&lt;RecNum&gt;725&lt;/RecNum&gt;&lt;DisplayText&gt;(Gu, 2020)&lt;/DisplayText&gt;&lt;record&gt;&lt;rec-number&gt;725&lt;/rec-number&gt;&lt;foreign-keys&gt;&lt;key app="EN" db-id="sz5trpt98922r4eze0opts290ddrd9sfvwpf" timestamp="1710062801"&gt;725&lt;/key&gt;&lt;/foreign-keys&gt;&lt;ref-type name="Journal Article"&gt;17&lt;/ref-type&gt;&lt;contributors&gt;&lt;authors&gt;&lt;author&gt;Gu, Shengyu&lt;/author&gt;&lt;/authors&gt;&lt;/contributors&gt;&lt;titles&gt;&lt;title&gt;A comparative study of increasing demand for health care for older people in China and the United Kingdom&lt;/title&gt;&lt;secondary-title&gt;World Sci. Res. J&lt;/secondary-title&gt;&lt;/titles&gt;&lt;periodical&gt;&lt;full-title&gt;World Sci. Res. J&lt;/full-title&gt;&lt;/periodical&gt;&lt;pages&gt;218-251&lt;/pages&gt;&lt;volume&gt;6&lt;/volume&gt;&lt;dates&gt;&lt;year&gt;2020&lt;/year&gt;&lt;/dates&gt;&lt;urls&gt;&lt;/urls&gt;&lt;/record&gt;&lt;/Cite&gt;&lt;/EndNote&gt;</w:instrText>
      </w:r>
      <w:r w:rsidR="00A63B5B" w:rsidRPr="00680010">
        <w:rPr>
          <w:rFonts w:ascii="Arial" w:eastAsia="Times New Roman" w:hAnsi="Arial" w:cs="Arial"/>
          <w:sz w:val="24"/>
          <w:szCs w:val="24"/>
        </w:rPr>
        <w:fldChar w:fldCharType="separate"/>
      </w:r>
      <w:r w:rsidR="00A63B5B" w:rsidRPr="00680010">
        <w:rPr>
          <w:rFonts w:ascii="Arial" w:eastAsia="Times New Roman" w:hAnsi="Arial" w:cs="Arial"/>
          <w:noProof/>
          <w:sz w:val="24"/>
          <w:szCs w:val="24"/>
        </w:rPr>
        <w:t>(Gu, 2020)</w:t>
      </w:r>
      <w:r w:rsidR="00A63B5B" w:rsidRPr="00680010">
        <w:rPr>
          <w:rFonts w:ascii="Arial" w:eastAsia="Times New Roman" w:hAnsi="Arial" w:cs="Arial"/>
          <w:sz w:val="24"/>
          <w:szCs w:val="24"/>
        </w:rPr>
        <w:fldChar w:fldCharType="end"/>
      </w:r>
      <w:r w:rsidRPr="00680010">
        <w:rPr>
          <w:rFonts w:ascii="Arial" w:eastAsia="Times New Roman" w:hAnsi="Arial" w:cs="Arial"/>
          <w:sz w:val="24"/>
          <w:szCs w:val="24"/>
        </w:rPr>
        <w:t>. Society will face additional issues as a result of an aging population, including making sure people can access services, housing, welfare, pensions, and</w:t>
      </w:r>
      <w:r w:rsidR="008F32EA" w:rsidRPr="00680010">
        <w:rPr>
          <w:rFonts w:ascii="Arial" w:eastAsia="Times New Roman" w:hAnsi="Arial" w:cs="Arial"/>
          <w:sz w:val="24"/>
          <w:szCs w:val="24"/>
        </w:rPr>
        <w:t xml:space="preserve"> benefits, among other things. </w:t>
      </w:r>
    </w:p>
    <w:p w:rsidR="001F0D22" w:rsidRPr="00680010" w:rsidRDefault="001F0D22" w:rsidP="008F32EA">
      <w:pPr>
        <w:spacing w:before="240" w:after="240" w:line="360" w:lineRule="auto"/>
        <w:jc w:val="both"/>
        <w:rPr>
          <w:rFonts w:ascii="Arial" w:eastAsia="Times New Roman" w:hAnsi="Arial" w:cs="Arial"/>
          <w:sz w:val="24"/>
          <w:szCs w:val="24"/>
        </w:rPr>
      </w:pPr>
      <w:r w:rsidRPr="00680010">
        <w:rPr>
          <w:rFonts w:ascii="Arial" w:eastAsia="Times New Roman" w:hAnsi="Arial" w:cs="Arial"/>
          <w:sz w:val="24"/>
          <w:szCs w:val="24"/>
        </w:rPr>
        <w:t>Nearly 61 million people called the United Kingdom home in 2007. With a rise of 3% from slightly over 59 million in the five years following 2002, and an increase of 8% from slightly over 56 million in 1982, this was a significant growth</w:t>
      </w:r>
      <w:r w:rsidR="00A63B5B" w:rsidRPr="00680010">
        <w:rPr>
          <w:rFonts w:ascii="Arial" w:eastAsia="Times New Roman" w:hAnsi="Arial" w:cs="Arial"/>
          <w:sz w:val="24"/>
          <w:szCs w:val="24"/>
        </w:rPr>
        <w:t xml:space="preserve"> </w:t>
      </w:r>
      <w:r w:rsidR="00A63B5B" w:rsidRPr="00680010">
        <w:rPr>
          <w:rFonts w:ascii="Arial" w:eastAsia="Times New Roman" w:hAnsi="Arial" w:cs="Arial"/>
          <w:sz w:val="24"/>
          <w:szCs w:val="24"/>
        </w:rPr>
        <w:fldChar w:fldCharType="begin"/>
      </w:r>
      <w:r w:rsidR="00A63B5B" w:rsidRPr="00680010">
        <w:rPr>
          <w:rFonts w:ascii="Arial" w:eastAsia="Times New Roman" w:hAnsi="Arial" w:cs="Arial"/>
          <w:sz w:val="24"/>
          <w:szCs w:val="24"/>
        </w:rPr>
        <w:instrText xml:space="preserve"> ADDIN EN.CITE &lt;EndNote&gt;&lt;Cite&gt;&lt;Author&gt;Passel&lt;/Author&gt;&lt;Year&gt;2008&lt;/Year&gt;&lt;RecNum&gt;726&lt;/RecNum&gt;&lt;DisplayText&gt;(Passel &amp;amp; D&amp;apos;Vera Cohn, 2008)&lt;/DisplayText&gt;&lt;record&gt;&lt;rec-number&gt;726&lt;/rec-number&gt;&lt;foreign-keys&gt;&lt;key app="EN" db-id="sz5trpt98922r4eze0opts290ddrd9sfvwpf" timestamp="1710062853"&gt;726&lt;/key&gt;&lt;/foreign-keys&gt;&lt;ref-type name="Book"&gt;6&lt;/ref-type&gt;&lt;contributors&gt;&lt;authors&gt;&lt;author&gt;Passel, Jeffrey S&lt;/author&gt;&lt;author&gt;D&amp;apos;Vera Cohn, D&lt;/author&gt;&lt;/authors&gt;&lt;/contributors&gt;&lt;titles&gt;&lt;title&gt;US population projections, 2005-2050&lt;/title&gt;&lt;/titles&gt;&lt;dates&gt;&lt;year&gt;2008&lt;/year&gt;&lt;/dates&gt;&lt;publisher&gt;Pew Research Center Washington, DC&lt;/publisher&gt;&lt;urls&gt;&lt;/urls&gt;&lt;/record&gt;&lt;/Cite&gt;&lt;/EndNote&gt;</w:instrText>
      </w:r>
      <w:r w:rsidR="00A63B5B" w:rsidRPr="00680010">
        <w:rPr>
          <w:rFonts w:ascii="Arial" w:eastAsia="Times New Roman" w:hAnsi="Arial" w:cs="Arial"/>
          <w:sz w:val="24"/>
          <w:szCs w:val="24"/>
        </w:rPr>
        <w:fldChar w:fldCharType="separate"/>
      </w:r>
      <w:r w:rsidR="00A63B5B" w:rsidRPr="00680010">
        <w:rPr>
          <w:rFonts w:ascii="Arial" w:eastAsia="Times New Roman" w:hAnsi="Arial" w:cs="Arial"/>
          <w:noProof/>
          <w:sz w:val="24"/>
          <w:szCs w:val="24"/>
        </w:rPr>
        <w:t>(Passel &amp; D'Vera Cohn, 2008)</w:t>
      </w:r>
      <w:r w:rsidR="00A63B5B" w:rsidRPr="00680010">
        <w:rPr>
          <w:rFonts w:ascii="Arial" w:eastAsia="Times New Roman" w:hAnsi="Arial" w:cs="Arial"/>
          <w:sz w:val="24"/>
          <w:szCs w:val="24"/>
        </w:rPr>
        <w:fldChar w:fldCharType="end"/>
      </w:r>
      <w:r w:rsidRPr="00680010">
        <w:rPr>
          <w:rFonts w:ascii="Arial" w:eastAsia="Times New Roman" w:hAnsi="Arial" w:cs="Arial"/>
          <w:sz w:val="24"/>
          <w:szCs w:val="24"/>
        </w:rPr>
        <w:t>. While Scotland's population shrank somewhat between 1982 and 2007, the populations of England, Wales, and Northern Ireland grew by 9%, 6%, and 14% correspondingly. All four nations, nevertheless, have seen increases in their populations within the last five years</w:t>
      </w:r>
      <w:r w:rsidR="00A63B5B" w:rsidRPr="00680010">
        <w:rPr>
          <w:rFonts w:ascii="Arial" w:eastAsia="Times New Roman" w:hAnsi="Arial" w:cs="Arial"/>
          <w:sz w:val="24"/>
          <w:szCs w:val="24"/>
        </w:rPr>
        <w:t xml:space="preserve"> </w:t>
      </w:r>
      <w:r w:rsidR="00A63B5B" w:rsidRPr="00680010">
        <w:rPr>
          <w:rFonts w:ascii="Arial" w:eastAsia="Times New Roman" w:hAnsi="Arial" w:cs="Arial"/>
          <w:sz w:val="24"/>
          <w:szCs w:val="24"/>
        </w:rPr>
        <w:fldChar w:fldCharType="begin"/>
      </w:r>
      <w:r w:rsidR="00A63B5B" w:rsidRPr="00680010">
        <w:rPr>
          <w:rFonts w:ascii="Arial" w:eastAsia="Times New Roman" w:hAnsi="Arial" w:cs="Arial"/>
          <w:sz w:val="24"/>
          <w:szCs w:val="24"/>
        </w:rPr>
        <w:instrText xml:space="preserve"> ADDIN EN.CITE &lt;EndNote&gt;&lt;Cite&gt;&lt;Author&gt;Dunleavy&lt;/Author&gt;&lt;Year&gt;2018&lt;/Year&gt;&lt;RecNum&gt;727&lt;/RecNum&gt;&lt;DisplayText&gt;(Dunleavy et al., 2018)&lt;/DisplayText&gt;&lt;record&gt;&lt;rec-number&gt;727&lt;/rec-number&gt;&lt;foreign-keys&gt;&lt;key app="EN" db-id="sz5trpt98922r4eze0opts290ddrd9sfvwpf" timestamp="1710062900"&gt;727&lt;/key&gt;&lt;/foreign-keys&gt;&lt;ref-type name="Book"&gt;6&lt;/ref-type&gt;&lt;contributors&gt;&lt;authors&gt;&lt;author&gt;Dunleavy, Patrick&lt;/author&gt;&lt;author&gt;Park, Alice&lt;/author&gt;&lt;author&gt;Taylor, Ros&lt;/author&gt;&lt;/authors&gt;&lt;/contributors&gt;&lt;titles&gt;&lt;title&gt;The UK&amp;apos;s changing democracy: the 2018 Democratic Audit&lt;/title&gt;&lt;/titles&gt;&lt;dates&gt;&lt;year&gt;2018&lt;/year&gt;&lt;/dates&gt;&lt;publisher&gt;LSE Press&lt;/publisher&gt;&lt;urls&gt;&lt;/urls&gt;&lt;/record&gt;&lt;/Cite&gt;&lt;/EndNote&gt;</w:instrText>
      </w:r>
      <w:r w:rsidR="00A63B5B" w:rsidRPr="00680010">
        <w:rPr>
          <w:rFonts w:ascii="Arial" w:eastAsia="Times New Roman" w:hAnsi="Arial" w:cs="Arial"/>
          <w:sz w:val="24"/>
          <w:szCs w:val="24"/>
        </w:rPr>
        <w:fldChar w:fldCharType="separate"/>
      </w:r>
      <w:r w:rsidR="00A63B5B" w:rsidRPr="00680010">
        <w:rPr>
          <w:rFonts w:ascii="Arial" w:eastAsia="Times New Roman" w:hAnsi="Arial" w:cs="Arial"/>
          <w:noProof/>
          <w:sz w:val="24"/>
          <w:szCs w:val="24"/>
        </w:rPr>
        <w:t>(Dunleavy et al., 2018)</w:t>
      </w:r>
      <w:r w:rsidR="00A63B5B" w:rsidRPr="00680010">
        <w:rPr>
          <w:rFonts w:ascii="Arial" w:eastAsia="Times New Roman" w:hAnsi="Arial" w:cs="Arial"/>
          <w:sz w:val="24"/>
          <w:szCs w:val="24"/>
        </w:rPr>
        <w:fldChar w:fldCharType="end"/>
      </w:r>
      <w:r w:rsidRPr="00680010">
        <w:rPr>
          <w:rFonts w:ascii="Arial" w:eastAsia="Times New Roman" w:hAnsi="Arial" w:cs="Arial"/>
          <w:sz w:val="24"/>
          <w:szCs w:val="24"/>
        </w:rPr>
        <w:t xml:space="preserve">. </w:t>
      </w:r>
    </w:p>
    <w:p w:rsidR="000D35C6" w:rsidRPr="00680010" w:rsidRDefault="00680010" w:rsidP="00680010">
      <w:pPr>
        <w:pStyle w:val="Heading2"/>
      </w:pPr>
      <w:bookmarkStart w:id="2" w:name="_Toc160979174"/>
      <w:r>
        <w:t>1.2</w:t>
      </w:r>
      <w:r>
        <w:tab/>
      </w:r>
      <w:r w:rsidR="008F32EA" w:rsidRPr="00680010">
        <w:t>EMPLOYMENT AND INCOME</w:t>
      </w:r>
      <w:bookmarkEnd w:id="2"/>
    </w:p>
    <w:p w:rsidR="001F0D22" w:rsidRPr="00680010" w:rsidRDefault="006707F2" w:rsidP="006707F2">
      <w:pPr>
        <w:spacing w:after="0" w:line="360" w:lineRule="auto"/>
        <w:jc w:val="both"/>
        <w:rPr>
          <w:rFonts w:ascii="Arial" w:eastAsia="Times New Roman" w:hAnsi="Arial" w:cs="Arial"/>
          <w:sz w:val="24"/>
          <w:szCs w:val="24"/>
        </w:rPr>
      </w:pPr>
      <w:r w:rsidRPr="00680010">
        <w:rPr>
          <w:rFonts w:ascii="Arial" w:eastAsia="Times New Roman" w:hAnsi="Arial" w:cs="Arial"/>
          <w:sz w:val="24"/>
          <w:szCs w:val="24"/>
        </w:rPr>
        <w:t>Figure</w:t>
      </w:r>
      <w:r w:rsidR="001F0D22" w:rsidRPr="00680010">
        <w:rPr>
          <w:rFonts w:ascii="Arial" w:eastAsia="Times New Roman" w:hAnsi="Arial" w:cs="Arial"/>
          <w:sz w:val="24"/>
          <w:szCs w:val="24"/>
        </w:rPr>
        <w:t xml:space="preserve"> displays the predicted and estimated old-age support ratio for the United Kingdom from 1972 to 2032. The ratio shows the proportion of the population that is of working age relative to the total population in SPA, which accounts for the UK government's planned gradual modifications to SPA from 2010 to 2046</w:t>
      </w:r>
      <w:r w:rsidR="00A63B5B" w:rsidRPr="00680010">
        <w:rPr>
          <w:rFonts w:ascii="Arial" w:eastAsia="Times New Roman" w:hAnsi="Arial" w:cs="Arial"/>
          <w:sz w:val="24"/>
          <w:szCs w:val="24"/>
        </w:rPr>
        <w:t xml:space="preserve"> </w:t>
      </w:r>
      <w:r w:rsidR="00A63B5B" w:rsidRPr="00680010">
        <w:rPr>
          <w:rFonts w:ascii="Arial" w:eastAsia="Times New Roman" w:hAnsi="Arial" w:cs="Arial"/>
          <w:sz w:val="24"/>
          <w:szCs w:val="24"/>
        </w:rPr>
        <w:fldChar w:fldCharType="begin"/>
      </w:r>
      <w:r w:rsidR="00A63B5B" w:rsidRPr="00680010">
        <w:rPr>
          <w:rFonts w:ascii="Arial" w:eastAsia="Times New Roman" w:hAnsi="Arial" w:cs="Arial"/>
          <w:sz w:val="24"/>
          <w:szCs w:val="24"/>
        </w:rPr>
        <w:instrText xml:space="preserve"> ADDIN EN.CITE &lt;EndNote&gt;&lt;Cite&gt;&lt;Author&gt;Payne&lt;/Author&gt;&lt;Year&gt;2018&lt;/Year&gt;&lt;RecNum&gt;728&lt;/RecNum&gt;&lt;DisplayText&gt;(Kanabar &amp;amp; Kalwij, 2019; Payne, 2018)&lt;/DisplayText&gt;&lt;record&gt;&lt;rec-number&gt;728&lt;/rec-number&gt;&lt;foreign-keys&gt;&lt;key app="EN" db-id="sz5trpt98922r4eze0opts290ddrd9sfvwpf" timestamp="1710062955"&gt;728&lt;/key&gt;&lt;/foreign-keys&gt;&lt;ref-type name="Thesis"&gt;32&lt;/ref-type&gt;&lt;contributors&gt;&lt;authors&gt;&lt;author&gt;Payne, Gregory Michael&lt;/author&gt;&lt;/authors&gt;&lt;/contributors&gt;&lt;titles&gt;&lt;title&gt;The changing state pension age: Health impacts and ability to remain in employment&lt;/title&gt;&lt;/titles&gt;&lt;dates&gt;&lt;year&gt;2018&lt;/year&gt;&lt;/dates&gt;&lt;publisher&gt;University of Southampton&lt;/publisher&gt;&lt;urls&gt;&lt;/urls&gt;&lt;/record&gt;&lt;/Cite&gt;&lt;Cite&gt;&lt;Author&gt;Kanabar&lt;/Author&gt;&lt;Year&gt;2019&lt;/Year&gt;&lt;RecNum&gt;729&lt;/RecNum&gt;&lt;record&gt;&lt;rec-number&gt;729&lt;/rec-number&gt;&lt;foreign-keys&gt;&lt;key app="EN" db-id="sz5trpt98922r4eze0opts290ddrd9sfvwpf" timestamp="1710062975"&gt;729&lt;/key&gt;&lt;/foreign-keys&gt;&lt;ref-type name="Journal Article"&gt;17&lt;/ref-type&gt;&lt;contributors&gt;&lt;authors&gt;&lt;author&gt;Kanabar, Ricky&lt;/author&gt;&lt;author&gt;Kalwij, Adriaan&lt;/author&gt;&lt;/authors&gt;&lt;/contributors&gt;&lt;titles&gt;&lt;title&gt;Mind the Gap! The effect of an increased UK State Pension Age on expected working life of employees&lt;/title&gt;&lt;/titles&gt;&lt;dates&gt;&lt;year&gt;2019&lt;/year&gt;&lt;/dates&gt;&lt;urls&gt;&lt;/urls&gt;&lt;/record&gt;&lt;/Cite&gt;&lt;/EndNote&gt;</w:instrText>
      </w:r>
      <w:r w:rsidR="00A63B5B" w:rsidRPr="00680010">
        <w:rPr>
          <w:rFonts w:ascii="Arial" w:eastAsia="Times New Roman" w:hAnsi="Arial" w:cs="Arial"/>
          <w:sz w:val="24"/>
          <w:szCs w:val="24"/>
        </w:rPr>
        <w:fldChar w:fldCharType="separate"/>
      </w:r>
      <w:r w:rsidR="00A63B5B" w:rsidRPr="00680010">
        <w:rPr>
          <w:rFonts w:ascii="Arial" w:eastAsia="Times New Roman" w:hAnsi="Arial" w:cs="Arial"/>
          <w:noProof/>
          <w:sz w:val="24"/>
          <w:szCs w:val="24"/>
        </w:rPr>
        <w:t>(Kanabar &amp; Kalwij, 2019; Payne, 2018)</w:t>
      </w:r>
      <w:r w:rsidR="00A63B5B" w:rsidRPr="00680010">
        <w:rPr>
          <w:rFonts w:ascii="Arial" w:eastAsia="Times New Roman" w:hAnsi="Arial" w:cs="Arial"/>
          <w:sz w:val="24"/>
          <w:szCs w:val="24"/>
        </w:rPr>
        <w:fldChar w:fldCharType="end"/>
      </w:r>
      <w:r w:rsidR="001F0D22" w:rsidRPr="00680010">
        <w:rPr>
          <w:rFonts w:ascii="Arial" w:eastAsia="Times New Roman" w:hAnsi="Arial" w:cs="Arial"/>
          <w:sz w:val="24"/>
          <w:szCs w:val="24"/>
        </w:rPr>
        <w:t>. Figure 21 shows the old-age support ratio as a function of the retirement age and how it may alter over time. The ratio of persons of working age to those above SPA will be around 2.9 by the year 2032. It was anticipated that this number would drop to around 2.2 individuals in the absence of the proposed SPA modifications. Considering potential future inactivity due to early retirement, health issues, impairments, or care obligations that prohibit individuals from working is not taken into consideration by the old-age support ratio, which is a demographic ratio. Similarly, some SPA members will opt to keep working even after they retire. Use it with caution since it does not reflect the economic support ratio, which is calculated as the ratio of the number of working-age adults to the number of retirees aged SPA.</w:t>
      </w:r>
    </w:p>
    <w:p w:rsidR="006707F2" w:rsidRPr="00680010" w:rsidRDefault="006707F2" w:rsidP="006707F2">
      <w:pPr>
        <w:spacing w:after="0" w:line="360" w:lineRule="auto"/>
        <w:jc w:val="both"/>
        <w:rPr>
          <w:rFonts w:ascii="Arial" w:eastAsia="Times New Roman" w:hAnsi="Arial" w:cs="Arial"/>
          <w:sz w:val="24"/>
          <w:szCs w:val="24"/>
        </w:rPr>
      </w:pPr>
    </w:p>
    <w:p w:rsidR="00BD2BD6" w:rsidRPr="00680010" w:rsidRDefault="00BD2BD6" w:rsidP="006707F2">
      <w:pPr>
        <w:spacing w:line="360" w:lineRule="auto"/>
        <w:jc w:val="center"/>
        <w:rPr>
          <w:rFonts w:ascii="Arial" w:hAnsi="Arial" w:cs="Arial"/>
        </w:rPr>
      </w:pPr>
      <w:r w:rsidRPr="00680010">
        <w:rPr>
          <w:rFonts w:ascii="Arial" w:hAnsi="Arial" w:cs="Arial"/>
          <w:noProof/>
        </w:rPr>
        <w:lastRenderedPageBreak/>
        <w:drawing>
          <wp:inline distT="0" distB="0" distL="0" distR="0">
            <wp:extent cx="3302000" cy="284479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4-03-10 121929.png"/>
                    <pic:cNvPicPr/>
                  </pic:nvPicPr>
                  <pic:blipFill rotWithShape="1">
                    <a:blip r:embed="rId6">
                      <a:extLst>
                        <a:ext uri="{28A0092B-C50C-407E-A947-70E740481C1C}">
                          <a14:useLocalDpi xmlns:a14="http://schemas.microsoft.com/office/drawing/2010/main" val="0"/>
                        </a:ext>
                      </a:extLst>
                    </a:blip>
                    <a:srcRect t="15631"/>
                    <a:stretch/>
                  </pic:blipFill>
                  <pic:spPr bwMode="auto">
                    <a:xfrm>
                      <a:off x="0" y="0"/>
                      <a:ext cx="3302170" cy="2844945"/>
                    </a:xfrm>
                    <a:prstGeom prst="rect">
                      <a:avLst/>
                    </a:prstGeom>
                    <a:ln>
                      <a:noFill/>
                    </a:ln>
                    <a:extLst>
                      <a:ext uri="{53640926-AAD7-44D8-BBD7-CCE9431645EC}">
                        <a14:shadowObscured xmlns:a14="http://schemas.microsoft.com/office/drawing/2010/main"/>
                      </a:ext>
                    </a:extLst>
                  </pic:spPr>
                </pic:pic>
              </a:graphicData>
            </a:graphic>
          </wp:inline>
        </w:drawing>
      </w:r>
    </w:p>
    <w:p w:rsidR="00BD2BD6" w:rsidRPr="00680010" w:rsidRDefault="00680010" w:rsidP="00680010">
      <w:pPr>
        <w:pStyle w:val="Heading2"/>
      </w:pPr>
      <w:bookmarkStart w:id="3" w:name="_Toc160979175"/>
      <w:r>
        <w:t>1.3</w:t>
      </w:r>
      <w:r>
        <w:tab/>
      </w:r>
      <w:r w:rsidR="008F32EA" w:rsidRPr="00680010">
        <w:t>HEALTH</w:t>
      </w:r>
      <w:bookmarkEnd w:id="3"/>
    </w:p>
    <w:p w:rsidR="001F0D22" w:rsidRPr="00680010" w:rsidRDefault="001F0D22" w:rsidP="008F32EA">
      <w:pPr>
        <w:spacing w:after="0" w:line="360" w:lineRule="auto"/>
        <w:jc w:val="both"/>
        <w:rPr>
          <w:rFonts w:ascii="Arial" w:eastAsia="Times New Roman" w:hAnsi="Arial" w:cs="Arial"/>
          <w:sz w:val="24"/>
          <w:szCs w:val="24"/>
        </w:rPr>
      </w:pPr>
      <w:r w:rsidRPr="00680010">
        <w:rPr>
          <w:rFonts w:ascii="Arial" w:eastAsia="Times New Roman" w:hAnsi="Arial" w:cs="Arial"/>
          <w:sz w:val="24"/>
          <w:szCs w:val="24"/>
        </w:rPr>
        <w:t>More and more individuals are surviving to incredibly old ages as a result of advances in the life expectancy. You might not have perfect health or be free from crippling infirmity for all of those extra years. It is anticipated that the number of individuals suffering morbidity in old age and the number of years people may expect to live with morbidity would both rise due to rising morbidity rates and the projected growth in the number of persons at older ages. When it comes to allocating resources and assessing health requirements, up-to-date and reliable information on older adults' health condition is becoming increasingly vital.</w:t>
      </w:r>
    </w:p>
    <w:p w:rsidR="000D35C6" w:rsidRPr="00680010" w:rsidRDefault="008F32EA" w:rsidP="00680010">
      <w:pPr>
        <w:pStyle w:val="Heading1"/>
      </w:pPr>
      <w:bookmarkStart w:id="4" w:name="_Toc160979176"/>
      <w:r w:rsidRPr="00680010">
        <w:t>MAIN BODY</w:t>
      </w:r>
      <w:bookmarkEnd w:id="4"/>
    </w:p>
    <w:p w:rsidR="00BC41BA" w:rsidRPr="00680010" w:rsidRDefault="00680010" w:rsidP="00680010">
      <w:pPr>
        <w:pStyle w:val="Heading2"/>
      </w:pPr>
      <w:bookmarkStart w:id="5" w:name="_Toc160979177"/>
      <w:r>
        <w:t>2.1</w:t>
      </w:r>
      <w:r>
        <w:tab/>
      </w:r>
      <w:r w:rsidR="008F32EA" w:rsidRPr="00680010">
        <w:t>CASE STUDY</w:t>
      </w:r>
      <w:bookmarkEnd w:id="5"/>
    </w:p>
    <w:p w:rsidR="008F32EA" w:rsidRPr="00680010" w:rsidRDefault="001F0D22" w:rsidP="006707F2">
      <w:pPr>
        <w:spacing w:after="240" w:line="360" w:lineRule="auto"/>
        <w:jc w:val="both"/>
        <w:rPr>
          <w:rFonts w:ascii="Arial" w:eastAsia="Times New Roman" w:hAnsi="Arial" w:cs="Arial"/>
          <w:sz w:val="24"/>
          <w:szCs w:val="24"/>
        </w:rPr>
      </w:pPr>
      <w:r w:rsidRPr="00680010">
        <w:rPr>
          <w:rFonts w:ascii="Arial" w:eastAsia="Times New Roman" w:hAnsi="Arial" w:cs="Arial"/>
          <w:sz w:val="24"/>
          <w:szCs w:val="24"/>
        </w:rPr>
        <w:t xml:space="preserve">The 81-year-old Bernard lives in a nursing home with the help of his family, who contribute £345 weekly toward the £850 weekly cost of his care. </w:t>
      </w:r>
      <w:r w:rsidRPr="00680010">
        <w:rPr>
          <w:rFonts w:ascii="Arial" w:eastAsia="Times New Roman" w:hAnsi="Arial" w:cs="Arial"/>
          <w:sz w:val="24"/>
          <w:szCs w:val="24"/>
        </w:rPr>
        <w:br/>
        <w:t>Bernard is a cricket fanatic with Type 1 diabetes and vascular dementia; he can still identify members of his family and reminisce about his time serving in</w:t>
      </w:r>
      <w:r w:rsidR="006707F2" w:rsidRPr="00680010">
        <w:rPr>
          <w:rFonts w:ascii="Arial" w:eastAsia="Times New Roman" w:hAnsi="Arial" w:cs="Arial"/>
          <w:sz w:val="24"/>
          <w:szCs w:val="24"/>
        </w:rPr>
        <w:t xml:space="preserve"> the RAF in the '60s and '70s. </w:t>
      </w:r>
      <w:r w:rsidRPr="00680010">
        <w:rPr>
          <w:rFonts w:ascii="Arial" w:eastAsia="Times New Roman" w:hAnsi="Arial" w:cs="Arial"/>
          <w:sz w:val="24"/>
          <w:szCs w:val="24"/>
        </w:rPr>
        <w:t>All o</w:t>
      </w:r>
      <w:r w:rsidR="008F32EA" w:rsidRPr="00680010">
        <w:rPr>
          <w:rFonts w:ascii="Arial" w:eastAsia="Times New Roman" w:hAnsi="Arial" w:cs="Arial"/>
          <w:sz w:val="24"/>
          <w:szCs w:val="24"/>
        </w:rPr>
        <w:t xml:space="preserve">f Bernard's great-grandchildren </w:t>
      </w:r>
      <w:r w:rsidRPr="00680010">
        <w:rPr>
          <w:rFonts w:ascii="Arial" w:eastAsia="Times New Roman" w:hAnsi="Arial" w:cs="Arial"/>
          <w:sz w:val="24"/>
          <w:szCs w:val="24"/>
        </w:rPr>
        <w:t>two great-grandsons, three great-gra</w:t>
      </w:r>
      <w:r w:rsidR="008F32EA" w:rsidRPr="00680010">
        <w:rPr>
          <w:rFonts w:ascii="Arial" w:eastAsia="Times New Roman" w:hAnsi="Arial" w:cs="Arial"/>
          <w:sz w:val="24"/>
          <w:szCs w:val="24"/>
        </w:rPr>
        <w:t xml:space="preserve">nddaughters, and one grandchild </w:t>
      </w:r>
      <w:r w:rsidRPr="00680010">
        <w:rPr>
          <w:rFonts w:ascii="Arial" w:eastAsia="Times New Roman" w:hAnsi="Arial" w:cs="Arial"/>
          <w:sz w:val="24"/>
          <w:szCs w:val="24"/>
        </w:rPr>
        <w:t xml:space="preserve">visit once a week. His 73-year-old wife has trouble seeing other people taking care of her husband and is anxious whenever she visits the residential care facility. As a result, she no longer sees Bernard frequently but instead contacts the nursing staff once </w:t>
      </w:r>
      <w:r w:rsidR="008F32EA" w:rsidRPr="00680010">
        <w:rPr>
          <w:rFonts w:ascii="Arial" w:eastAsia="Times New Roman" w:hAnsi="Arial" w:cs="Arial"/>
          <w:sz w:val="24"/>
          <w:szCs w:val="24"/>
        </w:rPr>
        <w:t xml:space="preserve">a week to see how he is doing. </w:t>
      </w:r>
    </w:p>
    <w:p w:rsidR="008F32EA" w:rsidRPr="00680010" w:rsidRDefault="00680010" w:rsidP="00680010">
      <w:pPr>
        <w:pStyle w:val="Heading2"/>
        <w:rPr>
          <w:rFonts w:eastAsia="Times New Roman"/>
        </w:rPr>
      </w:pPr>
      <w:bookmarkStart w:id="6" w:name="_Toc160979178"/>
      <w:r>
        <w:rPr>
          <w:rFonts w:eastAsia="Times New Roman"/>
        </w:rPr>
        <w:lastRenderedPageBreak/>
        <w:t>2.2</w:t>
      </w:r>
      <w:r>
        <w:rPr>
          <w:rFonts w:eastAsia="Times New Roman"/>
        </w:rPr>
        <w:tab/>
      </w:r>
      <w:r w:rsidR="008F32EA" w:rsidRPr="00680010">
        <w:rPr>
          <w:rFonts w:eastAsia="Times New Roman"/>
        </w:rPr>
        <w:t>ISSUES ABOUT CASE INDIVIDUAL</w:t>
      </w:r>
      <w:bookmarkEnd w:id="6"/>
      <w:r w:rsidR="008F32EA" w:rsidRPr="00680010">
        <w:rPr>
          <w:rFonts w:eastAsia="Times New Roman"/>
        </w:rPr>
        <w:t xml:space="preserve"> </w:t>
      </w:r>
    </w:p>
    <w:p w:rsidR="008F32EA" w:rsidRPr="00680010" w:rsidRDefault="001F0D22" w:rsidP="006707F2">
      <w:pPr>
        <w:spacing w:after="240" w:line="360" w:lineRule="auto"/>
        <w:jc w:val="both"/>
        <w:rPr>
          <w:rFonts w:ascii="Arial" w:eastAsia="Times New Roman" w:hAnsi="Arial" w:cs="Arial"/>
          <w:sz w:val="24"/>
          <w:szCs w:val="24"/>
        </w:rPr>
      </w:pPr>
      <w:r w:rsidRPr="00680010">
        <w:rPr>
          <w:rFonts w:ascii="Arial" w:eastAsia="Times New Roman" w:hAnsi="Arial" w:cs="Arial"/>
          <w:sz w:val="24"/>
          <w:szCs w:val="24"/>
        </w:rPr>
        <w:t xml:space="preserve">After Bernard spent three years in the hospital with recurring UTIs and difficulties controlling his blood sugar levels, a social worker started helping him. Although occupational therapists helped Bernard and his wife make adjustments to their home, a team consisting of Bernard's social worker, medical consultant, and general practitioner determined that he could not return home because of his medical issues, which his wife could not </w:t>
      </w:r>
      <w:r w:rsidR="008F32EA" w:rsidRPr="00680010">
        <w:rPr>
          <w:rFonts w:ascii="Arial" w:eastAsia="Times New Roman" w:hAnsi="Arial" w:cs="Arial"/>
          <w:sz w:val="24"/>
          <w:szCs w:val="24"/>
        </w:rPr>
        <w:t xml:space="preserve">handle on her own. </w:t>
      </w:r>
    </w:p>
    <w:p w:rsidR="001F0D22" w:rsidRPr="00680010" w:rsidRDefault="001F0D22" w:rsidP="006707F2">
      <w:pPr>
        <w:spacing w:after="240" w:line="360" w:lineRule="auto"/>
        <w:jc w:val="both"/>
        <w:rPr>
          <w:rFonts w:ascii="Arial" w:eastAsia="Times New Roman" w:hAnsi="Arial" w:cs="Arial"/>
          <w:sz w:val="24"/>
          <w:szCs w:val="24"/>
        </w:rPr>
      </w:pPr>
      <w:r w:rsidRPr="00680010">
        <w:rPr>
          <w:rFonts w:ascii="Arial" w:eastAsia="Times New Roman" w:hAnsi="Arial" w:cs="Arial"/>
          <w:sz w:val="24"/>
          <w:szCs w:val="24"/>
        </w:rPr>
        <w:t xml:space="preserve">In the course of his stay at the residential home, Bernard has been involved in many problems. One of them was when he followed others out of the main door and proceeded to a nearby pub, where he purchased a pint of beer without paying. The bartenders phoned the authorities to report the incident. Bernard, who finds the maintenance crew fascinating, has taken to accompanying them on many occasions, helping them with tasks such as mounting ladders, disconnecting wiring, deactivating door locks, and "fixing" the sink in his </w:t>
      </w:r>
      <w:proofErr w:type="spellStart"/>
      <w:r w:rsidRPr="00680010">
        <w:rPr>
          <w:rFonts w:ascii="Arial" w:eastAsia="Times New Roman" w:hAnsi="Arial" w:cs="Arial"/>
          <w:sz w:val="24"/>
          <w:szCs w:val="24"/>
        </w:rPr>
        <w:t>ensuite</w:t>
      </w:r>
      <w:proofErr w:type="spellEnd"/>
      <w:r w:rsidRPr="00680010">
        <w:rPr>
          <w:rFonts w:ascii="Arial" w:eastAsia="Times New Roman" w:hAnsi="Arial" w:cs="Arial"/>
          <w:sz w:val="24"/>
          <w:szCs w:val="24"/>
        </w:rPr>
        <w:t xml:space="preserve"> bathroom. </w:t>
      </w:r>
    </w:p>
    <w:p w:rsidR="001F0D22" w:rsidRPr="00680010" w:rsidRDefault="00680010" w:rsidP="00680010">
      <w:pPr>
        <w:pStyle w:val="Heading2"/>
        <w:rPr>
          <w:rFonts w:eastAsia="Times New Roman"/>
        </w:rPr>
      </w:pPr>
      <w:bookmarkStart w:id="7" w:name="_Toc160979179"/>
      <w:r>
        <w:rPr>
          <w:rFonts w:eastAsia="Times New Roman"/>
        </w:rPr>
        <w:t>2.3</w:t>
      </w:r>
      <w:r>
        <w:rPr>
          <w:rFonts w:eastAsia="Times New Roman"/>
        </w:rPr>
        <w:tab/>
      </w:r>
      <w:r w:rsidRPr="00680010">
        <w:rPr>
          <w:rFonts w:eastAsia="Times New Roman"/>
        </w:rPr>
        <w:t>CASE AND RELATED DISEASE</w:t>
      </w:r>
      <w:bookmarkEnd w:id="7"/>
    </w:p>
    <w:p w:rsidR="008F32EA" w:rsidRPr="00680010" w:rsidRDefault="001F0D22" w:rsidP="00680010">
      <w:pPr>
        <w:spacing w:after="0" w:line="360" w:lineRule="auto"/>
        <w:jc w:val="both"/>
        <w:rPr>
          <w:rFonts w:ascii="Arial" w:eastAsia="Times New Roman" w:hAnsi="Arial" w:cs="Arial"/>
          <w:sz w:val="24"/>
          <w:szCs w:val="24"/>
        </w:rPr>
      </w:pPr>
      <w:r w:rsidRPr="00680010">
        <w:rPr>
          <w:rFonts w:ascii="Arial" w:eastAsia="Times New Roman" w:hAnsi="Arial" w:cs="Arial"/>
          <w:sz w:val="24"/>
          <w:szCs w:val="24"/>
        </w:rPr>
        <w:t xml:space="preserve">The fast aging of the population is leading to an increase in both the incidence and prevalence of diabetes. While type 2 diabetes is mostly to blame, epidemiological evidence shows that type 1 diabetes is also on the rise, with an annual increase of 2-5% globally. More people with type 1 diabetes are making it into their senior years because to better diabetes care. Plans for the management of elderly persons with diabetes should take into account the fact that their functional status and capacity to self-manage their condition might change as a result of aging. Because of the advances in type 1 diabetes care following the Diabetes Control and Complications Trial, older persons may find it challenging to adhere to the frequent usage of sophisticated insulin regimens. Because of the normal changes that occur with age, treatment plans will need to be adjusted. Improving the quality of life of older persons and reducing needless health care expenses are both possible outcomes of addressing the special difficulties connected with aging. </w:t>
      </w:r>
    </w:p>
    <w:p w:rsidR="00596DB8" w:rsidRPr="00680010" w:rsidRDefault="00680010" w:rsidP="00680010">
      <w:pPr>
        <w:spacing w:before="240" w:line="360" w:lineRule="auto"/>
        <w:jc w:val="both"/>
        <w:rPr>
          <w:rFonts w:ascii="Arial" w:hAnsi="Arial" w:cs="Arial"/>
          <w:b/>
          <w:sz w:val="24"/>
        </w:rPr>
      </w:pPr>
      <w:r>
        <w:rPr>
          <w:rFonts w:ascii="Arial" w:hAnsi="Arial" w:cs="Arial"/>
          <w:b/>
          <w:sz w:val="24"/>
        </w:rPr>
        <w:t>2.4</w:t>
      </w:r>
      <w:r>
        <w:rPr>
          <w:rFonts w:ascii="Arial" w:hAnsi="Arial" w:cs="Arial"/>
          <w:b/>
          <w:sz w:val="24"/>
        </w:rPr>
        <w:tab/>
      </w:r>
      <w:r w:rsidRPr="00680010">
        <w:rPr>
          <w:rFonts w:ascii="Arial" w:hAnsi="Arial" w:cs="Arial"/>
          <w:b/>
          <w:sz w:val="24"/>
        </w:rPr>
        <w:t>HEALTH CARE</w:t>
      </w:r>
    </w:p>
    <w:p w:rsidR="006707F2" w:rsidRPr="00680010" w:rsidRDefault="001F0D22" w:rsidP="006707F2">
      <w:pPr>
        <w:spacing w:line="360" w:lineRule="auto"/>
        <w:jc w:val="both"/>
        <w:rPr>
          <w:rFonts w:ascii="Arial" w:eastAsia="Times New Roman" w:hAnsi="Arial" w:cs="Arial"/>
          <w:sz w:val="24"/>
          <w:szCs w:val="24"/>
        </w:rPr>
      </w:pPr>
      <w:r w:rsidRPr="00680010">
        <w:rPr>
          <w:rFonts w:ascii="Arial" w:eastAsia="Times New Roman" w:hAnsi="Arial" w:cs="Arial"/>
          <w:sz w:val="24"/>
          <w:szCs w:val="24"/>
        </w:rPr>
        <w:t xml:space="preserve">Severe hypoglycemia, micro- and </w:t>
      </w:r>
      <w:proofErr w:type="spellStart"/>
      <w:r w:rsidRPr="00680010">
        <w:rPr>
          <w:rFonts w:ascii="Arial" w:eastAsia="Times New Roman" w:hAnsi="Arial" w:cs="Arial"/>
          <w:sz w:val="24"/>
          <w:szCs w:val="24"/>
        </w:rPr>
        <w:t>macrovascular</w:t>
      </w:r>
      <w:proofErr w:type="spellEnd"/>
      <w:r w:rsidRPr="00680010">
        <w:rPr>
          <w:rFonts w:ascii="Arial" w:eastAsia="Times New Roman" w:hAnsi="Arial" w:cs="Arial"/>
          <w:sz w:val="24"/>
          <w:szCs w:val="24"/>
        </w:rPr>
        <w:t xml:space="preserve"> problems, cognitive decline, and physical limitations are all more likely in elderly persons with long-term diabetes. Inadequate social support, functional impairments, irregular eating habits, and other medical comorbidities are all possible among the elderly. Additional challenges in self-management duties and worse quality of life are experienced by those with geriatric syndromes, which include chronic pain, urine incontinence, polypharmacy, cognitive impairment, frequent falls, and depression. Treatment strategies should take into account the clinical, functional, and psychological aspects. To maintain quality of life, it is necessary to reduce hypoglyc</w:t>
      </w:r>
      <w:r w:rsidR="006707F2" w:rsidRPr="00680010">
        <w:rPr>
          <w:rFonts w:ascii="Arial" w:eastAsia="Times New Roman" w:hAnsi="Arial" w:cs="Arial"/>
          <w:sz w:val="24"/>
          <w:szCs w:val="24"/>
        </w:rPr>
        <w:t xml:space="preserve">emia and severe hyperglycemia. </w:t>
      </w:r>
    </w:p>
    <w:p w:rsidR="006707F2" w:rsidRPr="00680010" w:rsidRDefault="001F0D22" w:rsidP="006707F2">
      <w:pPr>
        <w:spacing w:line="360" w:lineRule="auto"/>
        <w:jc w:val="both"/>
        <w:rPr>
          <w:rFonts w:ascii="Arial" w:eastAsia="Times New Roman" w:hAnsi="Arial" w:cs="Arial"/>
          <w:sz w:val="24"/>
          <w:szCs w:val="24"/>
        </w:rPr>
      </w:pPr>
      <w:r w:rsidRPr="00680010">
        <w:rPr>
          <w:rFonts w:ascii="Arial" w:eastAsia="Times New Roman" w:hAnsi="Arial" w:cs="Arial"/>
          <w:sz w:val="24"/>
          <w:szCs w:val="24"/>
        </w:rPr>
        <w:t xml:space="preserve">Visual and auditory deficits impact self-care abilities and are associated with aging, diabetes-related vascular and neurological damage, and other conditions. Serious hypoglycemia (such as central </w:t>
      </w:r>
      <w:proofErr w:type="spellStart"/>
      <w:r w:rsidRPr="00680010">
        <w:rPr>
          <w:rFonts w:ascii="Arial" w:eastAsia="Times New Roman" w:hAnsi="Arial" w:cs="Arial"/>
          <w:sz w:val="24"/>
          <w:szCs w:val="24"/>
        </w:rPr>
        <w:t>scotoma</w:t>
      </w:r>
      <w:proofErr w:type="spellEnd"/>
      <w:r w:rsidRPr="00680010">
        <w:rPr>
          <w:rFonts w:ascii="Arial" w:eastAsia="Times New Roman" w:hAnsi="Arial" w:cs="Arial"/>
          <w:sz w:val="24"/>
          <w:szCs w:val="24"/>
        </w:rPr>
        <w:t xml:space="preserve"> and impaired contrast sensitivity) and hyperglycemia (such as fuzzy vision) can cause acute reversible alterations in vision. Insulin errors could lead to hypoglycemia and falls if the patient has impaired eyesight. If a patient has hearing loss, it could be harder for them to grasp what their physicians are saying. Negative psychosocial impacts, such as exhaustion, avoidance, sadness, and negativism, as well as impaired hearing and vision, might further restrict social contact and autonomy. Diabetes education and training should include the identification and treatment of such impairments, as well as the modification of care programs as necessary. A magnifying glass, an insulin pen, a "talking" glucose meter, or instructions given in a hig</w:t>
      </w:r>
      <w:r w:rsidR="006707F2" w:rsidRPr="00680010">
        <w:rPr>
          <w:rFonts w:ascii="Arial" w:eastAsia="Times New Roman" w:hAnsi="Arial" w:cs="Arial"/>
          <w:sz w:val="24"/>
          <w:szCs w:val="24"/>
        </w:rPr>
        <w:t xml:space="preserve">h font size can all be useful. </w:t>
      </w:r>
    </w:p>
    <w:p w:rsidR="001F0D22" w:rsidRPr="00680010" w:rsidRDefault="001F0D22" w:rsidP="006707F2">
      <w:pPr>
        <w:spacing w:line="360" w:lineRule="auto"/>
        <w:jc w:val="both"/>
        <w:rPr>
          <w:rFonts w:ascii="Arial" w:eastAsia="Times New Roman" w:hAnsi="Arial" w:cs="Arial"/>
          <w:sz w:val="24"/>
          <w:szCs w:val="24"/>
        </w:rPr>
      </w:pPr>
      <w:r w:rsidRPr="00680010">
        <w:rPr>
          <w:rFonts w:ascii="Arial" w:eastAsia="Times New Roman" w:hAnsi="Arial" w:cs="Arial"/>
          <w:sz w:val="24"/>
          <w:szCs w:val="24"/>
        </w:rPr>
        <w:t xml:space="preserve">Micronutrient deficits can occur in older persons with diabetes due to a decrease in calorie intake that occurs naturally with age. Some of the factors that might contribute to </w:t>
      </w:r>
      <w:proofErr w:type="spellStart"/>
      <w:r w:rsidRPr="00680010">
        <w:rPr>
          <w:rFonts w:ascii="Arial" w:eastAsia="Times New Roman" w:hAnsi="Arial" w:cs="Arial"/>
          <w:sz w:val="24"/>
          <w:szCs w:val="24"/>
        </w:rPr>
        <w:t>undernutrition</w:t>
      </w:r>
      <w:proofErr w:type="spellEnd"/>
      <w:r w:rsidRPr="00680010">
        <w:rPr>
          <w:rFonts w:ascii="Arial" w:eastAsia="Times New Roman" w:hAnsi="Arial" w:cs="Arial"/>
          <w:sz w:val="24"/>
          <w:szCs w:val="24"/>
        </w:rPr>
        <w:t xml:space="preserve"> include dental problems and tooth loss, difficulties with shopping for food or cooking or eating, depression, trouble swallowing, and taking many medications. Dietary deficiencies, accelerated </w:t>
      </w:r>
      <w:proofErr w:type="spellStart"/>
      <w:r w:rsidRPr="00680010">
        <w:rPr>
          <w:rFonts w:ascii="Arial" w:eastAsia="Times New Roman" w:hAnsi="Arial" w:cs="Arial"/>
          <w:sz w:val="24"/>
          <w:szCs w:val="24"/>
        </w:rPr>
        <w:t>sarcopenia</w:t>
      </w:r>
      <w:proofErr w:type="spellEnd"/>
      <w:r w:rsidRPr="00680010">
        <w:rPr>
          <w:rFonts w:ascii="Arial" w:eastAsia="Times New Roman" w:hAnsi="Arial" w:cs="Arial"/>
          <w:sz w:val="24"/>
          <w:szCs w:val="24"/>
        </w:rPr>
        <w:t xml:space="preserve">, and compromised bone health can result from any kind of weight reduction, whether deliberate or accidental. </w:t>
      </w:r>
      <w:r w:rsidRPr="00680010">
        <w:rPr>
          <w:rFonts w:ascii="Arial" w:eastAsia="Times New Roman" w:hAnsi="Arial" w:cs="Arial"/>
          <w:sz w:val="24"/>
          <w:szCs w:val="24"/>
        </w:rPr>
        <w:br/>
        <w:t xml:space="preserve">It is advised to seek out dietary guidance. You can utilize nutritional supplements and meals that are already fortified. Community services like Meals on Wheels or the meals provided by senior centers may be helpful for the elderly. </w:t>
      </w:r>
      <w:r w:rsidR="006707F2" w:rsidRPr="00680010">
        <w:rPr>
          <w:rFonts w:ascii="Arial" w:eastAsia="Times New Roman" w:hAnsi="Arial" w:cs="Arial"/>
          <w:sz w:val="24"/>
          <w:szCs w:val="24"/>
        </w:rPr>
        <w:t>To better manage poor and unpredictable food intake, it may be more prudent to inject rapid-acting insulin after meals than of before. This will enable for lower doses in the event that food consumption decreases.</w:t>
      </w:r>
      <w:r w:rsidRPr="00680010">
        <w:rPr>
          <w:rFonts w:ascii="Arial" w:eastAsia="Times New Roman" w:hAnsi="Arial" w:cs="Arial"/>
          <w:sz w:val="24"/>
          <w:szCs w:val="24"/>
        </w:rPr>
        <w:t xml:space="preserve"> </w:t>
      </w:r>
    </w:p>
    <w:p w:rsidR="00596DB8" w:rsidRPr="00680010" w:rsidRDefault="00680010" w:rsidP="006707F2">
      <w:pPr>
        <w:spacing w:line="360" w:lineRule="auto"/>
        <w:jc w:val="both"/>
        <w:rPr>
          <w:rFonts w:ascii="Arial" w:hAnsi="Arial" w:cs="Arial"/>
          <w:b/>
          <w:sz w:val="24"/>
        </w:rPr>
      </w:pPr>
      <w:r>
        <w:rPr>
          <w:rFonts w:ascii="Arial" w:hAnsi="Arial" w:cs="Arial"/>
          <w:b/>
          <w:sz w:val="24"/>
        </w:rPr>
        <w:t>2.5</w:t>
      </w:r>
      <w:r>
        <w:rPr>
          <w:rFonts w:ascii="Arial" w:hAnsi="Arial" w:cs="Arial"/>
          <w:b/>
          <w:sz w:val="24"/>
        </w:rPr>
        <w:tab/>
      </w:r>
      <w:r w:rsidRPr="00680010">
        <w:rPr>
          <w:rFonts w:ascii="Arial" w:hAnsi="Arial" w:cs="Arial"/>
          <w:b/>
          <w:sz w:val="24"/>
        </w:rPr>
        <w:t>RELEVANT SUPPORT AND INTERVENTION</w:t>
      </w:r>
    </w:p>
    <w:p w:rsidR="006707F2" w:rsidRPr="00680010" w:rsidRDefault="006707F2" w:rsidP="006707F2">
      <w:pPr>
        <w:spacing w:line="360" w:lineRule="auto"/>
        <w:jc w:val="both"/>
        <w:rPr>
          <w:rFonts w:ascii="Arial" w:eastAsia="Times New Roman" w:hAnsi="Arial" w:cs="Arial"/>
          <w:sz w:val="24"/>
          <w:szCs w:val="24"/>
        </w:rPr>
      </w:pPr>
      <w:r w:rsidRPr="006707F2">
        <w:rPr>
          <w:rFonts w:ascii="Arial" w:eastAsia="Times New Roman" w:hAnsi="Arial" w:cs="Arial"/>
          <w:sz w:val="24"/>
          <w:szCs w:val="24"/>
        </w:rPr>
        <w:t>Few studies have examined the best ways to manage type 1 diabetes in the elderly. The American Geriatrics Society and the American Diabetes Association both agree that treating diabetic elderly individuals requires a m</w:t>
      </w:r>
      <w:r w:rsidRPr="00680010">
        <w:rPr>
          <w:rFonts w:ascii="Arial" w:eastAsia="Times New Roman" w:hAnsi="Arial" w:cs="Arial"/>
          <w:sz w:val="24"/>
          <w:szCs w:val="24"/>
        </w:rPr>
        <w:t xml:space="preserve">ultidisciplinary team approach </w:t>
      </w:r>
      <w:r w:rsidR="00A63B5B" w:rsidRPr="00680010">
        <w:rPr>
          <w:rFonts w:ascii="Arial" w:eastAsia="Times New Roman" w:hAnsi="Arial" w:cs="Arial"/>
          <w:sz w:val="24"/>
          <w:szCs w:val="24"/>
        </w:rPr>
        <w:fldChar w:fldCharType="begin"/>
      </w:r>
      <w:r w:rsidR="00A63B5B" w:rsidRPr="00680010">
        <w:rPr>
          <w:rFonts w:ascii="Arial" w:eastAsia="Times New Roman" w:hAnsi="Arial" w:cs="Arial"/>
          <w:sz w:val="24"/>
          <w:szCs w:val="24"/>
        </w:rPr>
        <w:instrText xml:space="preserve"> ADDIN EN.CITE &lt;EndNote&gt;&lt;Cite&gt;&lt;Author&gt;Huang&lt;/Author&gt;&lt;Year&gt;2016&lt;/Year&gt;&lt;RecNum&gt;730&lt;/RecNum&gt;&lt;DisplayText&gt;(Huang, 2016)&lt;/DisplayText&gt;&lt;record&gt;&lt;rec-number&gt;730&lt;/rec-number&gt;&lt;foreign-keys&gt;&lt;key app="EN" db-id="sz5trpt98922r4eze0opts290ddrd9sfvwpf" timestamp="1710063027"&gt;730&lt;/key&gt;&lt;/foreign-keys&gt;&lt;ref-type name="Journal Article"&gt;17&lt;/ref-type&gt;&lt;contributors&gt;&lt;authors&gt;&lt;author&gt;Huang, Elbert S&lt;/author&gt;&lt;/authors&gt;&lt;/contributors&gt;&lt;titles&gt;&lt;title&gt;Management of diabetes mellitus in older people with comorbidities&lt;/title&gt;&lt;secondary-title&gt;Bmj&lt;/secondary-title&gt;&lt;/titles&gt;&lt;periodical&gt;&lt;full-title&gt;Bmj&lt;/full-title&gt;&lt;/periodical&gt;&lt;volume&gt;353&lt;/volume&gt;&lt;dates&gt;&lt;year&gt;2016&lt;/year&gt;&lt;/dates&gt;&lt;isbn&gt;1756-1833&lt;/isbn&gt;&lt;urls&gt;&lt;/urls&gt;&lt;/record&gt;&lt;/Cite&gt;&lt;/EndNote&gt;</w:instrText>
      </w:r>
      <w:r w:rsidR="00A63B5B" w:rsidRPr="00680010">
        <w:rPr>
          <w:rFonts w:ascii="Arial" w:eastAsia="Times New Roman" w:hAnsi="Arial" w:cs="Arial"/>
          <w:sz w:val="24"/>
          <w:szCs w:val="24"/>
        </w:rPr>
        <w:fldChar w:fldCharType="separate"/>
      </w:r>
      <w:r w:rsidR="00A63B5B" w:rsidRPr="00680010">
        <w:rPr>
          <w:rFonts w:ascii="Arial" w:eastAsia="Times New Roman" w:hAnsi="Arial" w:cs="Arial"/>
          <w:noProof/>
          <w:sz w:val="24"/>
          <w:szCs w:val="24"/>
        </w:rPr>
        <w:t>(Huang, 2016)</w:t>
      </w:r>
      <w:r w:rsidR="00A63B5B" w:rsidRPr="00680010">
        <w:rPr>
          <w:rFonts w:ascii="Arial" w:eastAsia="Times New Roman" w:hAnsi="Arial" w:cs="Arial"/>
          <w:sz w:val="24"/>
          <w:szCs w:val="24"/>
        </w:rPr>
        <w:fldChar w:fldCharType="end"/>
      </w:r>
      <w:r w:rsidR="001F0D22" w:rsidRPr="00680010">
        <w:rPr>
          <w:rFonts w:ascii="Arial" w:eastAsia="Times New Roman" w:hAnsi="Arial" w:cs="Arial"/>
          <w:sz w:val="24"/>
          <w:szCs w:val="24"/>
        </w:rPr>
        <w:t xml:space="preserve">. </w:t>
      </w:r>
      <w:r w:rsidRPr="00680010">
        <w:rPr>
          <w:rFonts w:ascii="Arial" w:eastAsia="Times New Roman" w:hAnsi="Arial" w:cs="Arial"/>
          <w:sz w:val="24"/>
          <w:szCs w:val="24"/>
        </w:rPr>
        <w:t xml:space="preserve">Adapting to the unique challenges of each age group, developing individualized treatment programs, and educating the patient and caregiver are all essential components of this strategy. </w:t>
      </w:r>
    </w:p>
    <w:p w:rsidR="001F0D22" w:rsidRPr="00680010" w:rsidRDefault="006707F2" w:rsidP="006707F2">
      <w:pPr>
        <w:spacing w:line="360" w:lineRule="auto"/>
        <w:jc w:val="both"/>
        <w:rPr>
          <w:rFonts w:ascii="Arial" w:eastAsia="Times New Roman" w:hAnsi="Arial" w:cs="Arial"/>
          <w:sz w:val="24"/>
          <w:szCs w:val="24"/>
        </w:rPr>
      </w:pPr>
      <w:r w:rsidRPr="00680010">
        <w:rPr>
          <w:rFonts w:ascii="Arial" w:eastAsia="Times New Roman" w:hAnsi="Arial" w:cs="Arial"/>
          <w:sz w:val="24"/>
          <w:szCs w:val="24"/>
        </w:rPr>
        <w:t>Treatment aims to achieve healthy glycemic control and lessen the chance of dangerous acute complications including hypoglycemia and extreme hyperglycemia. These suggestions are mostly meant for those with type 2 diabetes who are 65 and older. A framework is provided for addressing glycemic aims and therapeutic goals for blood pressure and dyslipidemia, taking into consideration the health condition and comorbidities of older adults</w:t>
      </w:r>
      <w:r w:rsidR="00A63B5B" w:rsidRPr="00680010">
        <w:rPr>
          <w:rFonts w:ascii="Arial" w:eastAsia="Times New Roman" w:hAnsi="Arial" w:cs="Arial"/>
          <w:sz w:val="24"/>
          <w:szCs w:val="24"/>
        </w:rPr>
        <w:t xml:space="preserve"> </w:t>
      </w:r>
      <w:r w:rsidR="00A63B5B" w:rsidRPr="00680010">
        <w:rPr>
          <w:rFonts w:ascii="Arial" w:eastAsia="Times New Roman" w:hAnsi="Arial" w:cs="Arial"/>
          <w:sz w:val="24"/>
          <w:szCs w:val="24"/>
        </w:rPr>
        <w:fldChar w:fldCharType="begin"/>
      </w:r>
      <w:r w:rsidR="00A63B5B" w:rsidRPr="00680010">
        <w:rPr>
          <w:rFonts w:ascii="Arial" w:eastAsia="Times New Roman" w:hAnsi="Arial" w:cs="Arial"/>
          <w:sz w:val="24"/>
          <w:szCs w:val="24"/>
        </w:rPr>
        <w:instrText xml:space="preserve"> ADDIN EN.CITE &lt;EndNote&gt;&lt;Cite&gt;&lt;Author&gt;Durso&lt;/Author&gt;&lt;Year&gt;2006&lt;/Year&gt;&lt;RecNum&gt;731&lt;/RecNum&gt;&lt;DisplayText&gt;(Durso, 2006)&lt;/DisplayText&gt;&lt;record&gt;&lt;rec-number&gt;731&lt;/rec-number&gt;&lt;foreign-keys&gt;&lt;key app="EN" db-id="sz5trpt98922r4eze0opts290ddrd9sfvwpf" timestamp="1710063063"&gt;731&lt;/key&gt;&lt;/foreign-keys&gt;&lt;ref-type name="Journal Article"&gt;17&lt;/ref-type&gt;&lt;contributors&gt;&lt;authors&gt;&lt;author&gt;Durso, Samuel C&lt;/author&gt;&lt;/authors&gt;&lt;/contributors&gt;&lt;titles&gt;&lt;title&gt;Using clinical guidelines designed for older adults with diabetes mellitus and complex health status&lt;/title&gt;&lt;secondary-title&gt;JaMa&lt;/secondary-title&gt;&lt;/titles&gt;&lt;periodical&gt;&lt;full-title&gt;JaMa&lt;/full-title&gt;&lt;/periodical&gt;&lt;pages&gt;1935-1940&lt;/pages&gt;&lt;volume&gt;295&lt;/volume&gt;&lt;number&gt;16&lt;/number&gt;&lt;dates&gt;&lt;year&gt;2006&lt;/year&gt;&lt;/dates&gt;&lt;isbn&gt;0098-7484&lt;/isbn&gt;&lt;urls&gt;&lt;/urls&gt;&lt;/record&gt;&lt;/Cite&gt;&lt;/EndNote&gt;</w:instrText>
      </w:r>
      <w:r w:rsidR="00A63B5B" w:rsidRPr="00680010">
        <w:rPr>
          <w:rFonts w:ascii="Arial" w:eastAsia="Times New Roman" w:hAnsi="Arial" w:cs="Arial"/>
          <w:sz w:val="24"/>
          <w:szCs w:val="24"/>
        </w:rPr>
        <w:fldChar w:fldCharType="separate"/>
      </w:r>
      <w:r w:rsidR="00A63B5B" w:rsidRPr="00680010">
        <w:rPr>
          <w:rFonts w:ascii="Arial" w:eastAsia="Times New Roman" w:hAnsi="Arial" w:cs="Arial"/>
          <w:noProof/>
          <w:sz w:val="24"/>
          <w:szCs w:val="24"/>
        </w:rPr>
        <w:t>(Durso, 2006)</w:t>
      </w:r>
      <w:r w:rsidR="00A63B5B" w:rsidRPr="00680010">
        <w:rPr>
          <w:rFonts w:ascii="Arial" w:eastAsia="Times New Roman" w:hAnsi="Arial" w:cs="Arial"/>
          <w:sz w:val="24"/>
          <w:szCs w:val="24"/>
        </w:rPr>
        <w:fldChar w:fldCharType="end"/>
      </w:r>
      <w:r w:rsidRPr="00680010">
        <w:rPr>
          <w:rFonts w:ascii="Arial" w:eastAsia="Times New Roman" w:hAnsi="Arial" w:cs="Arial"/>
          <w:sz w:val="24"/>
          <w:szCs w:val="24"/>
        </w:rPr>
        <w:t xml:space="preserve">. </w:t>
      </w:r>
      <w:r w:rsidR="001F0D22" w:rsidRPr="00680010">
        <w:rPr>
          <w:rFonts w:ascii="Arial" w:eastAsia="Times New Roman" w:hAnsi="Arial" w:cs="Arial"/>
          <w:sz w:val="24"/>
          <w:szCs w:val="24"/>
        </w:rPr>
        <w:t>The elderly who are healthy and able to care for themselves should receive more intensive treatment than the elderly who are fragile or who suffer from a number of diseases and impairments that shorten their life expectancy. A suggested A1C goal for healthy older persons who are able to self-manage their diabetes and have minimal comorbid chronic conditions is less than 7.5%</w:t>
      </w:r>
      <w:r w:rsidR="00A63B5B" w:rsidRPr="00680010">
        <w:rPr>
          <w:rFonts w:ascii="Arial" w:eastAsia="Times New Roman" w:hAnsi="Arial" w:cs="Arial"/>
          <w:sz w:val="24"/>
          <w:szCs w:val="24"/>
        </w:rPr>
        <w:t xml:space="preserve"> </w:t>
      </w:r>
      <w:r w:rsidR="00A63B5B" w:rsidRPr="00680010">
        <w:rPr>
          <w:rFonts w:ascii="Arial" w:eastAsia="Times New Roman" w:hAnsi="Arial" w:cs="Arial"/>
          <w:sz w:val="24"/>
          <w:szCs w:val="24"/>
        </w:rPr>
        <w:fldChar w:fldCharType="begin"/>
      </w:r>
      <w:r w:rsidR="00A63B5B" w:rsidRPr="00680010">
        <w:rPr>
          <w:rFonts w:ascii="Arial" w:eastAsia="Times New Roman" w:hAnsi="Arial" w:cs="Arial"/>
          <w:sz w:val="24"/>
          <w:szCs w:val="24"/>
        </w:rPr>
        <w:instrText xml:space="preserve"> ADDIN EN.CITE &lt;EndNote&gt;&lt;Cite&gt;&lt;Author&gt;Strain&lt;/Author&gt;&lt;Year&gt;2021&lt;/Year&gt;&lt;RecNum&gt;732&lt;/RecNum&gt;&lt;DisplayText&gt;(Strain et al., 2021)&lt;/DisplayText&gt;&lt;record&gt;&lt;rec-number&gt;732&lt;/rec-number&gt;&lt;foreign-keys&gt;&lt;key app="EN" db-id="sz5trpt98922r4eze0opts290ddrd9sfvwpf" timestamp="1710063102"&gt;732&lt;/key&gt;&lt;/foreign-keys&gt;&lt;ref-type name="Journal Article"&gt;17&lt;/ref-type&gt;&lt;contributors&gt;&lt;authors&gt;&lt;author&gt;Strain, W David&lt;/author&gt;&lt;author&gt;Down, Su&lt;/author&gt;&lt;author&gt;Brown, Pam&lt;/author&gt;&lt;author&gt;Puttanna, Amar&lt;/author&gt;&lt;author&gt;Sinclair, Alan&lt;/author&gt;&lt;/authors&gt;&lt;/contributors&gt;&lt;titles&gt;&lt;title&gt;Diabetes and frailty: an expert consensus statement on the management of older adults with type 2 diabetes&lt;/title&gt;&lt;secondary-title&gt;Diabetes Therapy&lt;/secondary-title&gt;&lt;/titles&gt;&lt;periodical&gt;&lt;full-title&gt;Diabetes Therapy&lt;/full-title&gt;&lt;/periodical&gt;&lt;pages&gt;1227-1247&lt;/pages&gt;&lt;volume&gt;12&lt;/volume&gt;&lt;number&gt;5&lt;/number&gt;&lt;dates&gt;&lt;year&gt;2021&lt;/year&gt;&lt;/dates&gt;&lt;isbn&gt;1869-6953&lt;/isbn&gt;&lt;urls&gt;&lt;/urls&gt;&lt;/record&gt;&lt;/Cite&gt;&lt;/EndNote&gt;</w:instrText>
      </w:r>
      <w:r w:rsidR="00A63B5B" w:rsidRPr="00680010">
        <w:rPr>
          <w:rFonts w:ascii="Arial" w:eastAsia="Times New Roman" w:hAnsi="Arial" w:cs="Arial"/>
          <w:sz w:val="24"/>
          <w:szCs w:val="24"/>
        </w:rPr>
        <w:fldChar w:fldCharType="separate"/>
      </w:r>
      <w:r w:rsidR="00A63B5B" w:rsidRPr="00680010">
        <w:rPr>
          <w:rFonts w:ascii="Arial" w:eastAsia="Times New Roman" w:hAnsi="Arial" w:cs="Arial"/>
          <w:noProof/>
          <w:sz w:val="24"/>
          <w:szCs w:val="24"/>
        </w:rPr>
        <w:t>(Strain et al., 2021)</w:t>
      </w:r>
      <w:r w:rsidR="00A63B5B" w:rsidRPr="00680010">
        <w:rPr>
          <w:rFonts w:ascii="Arial" w:eastAsia="Times New Roman" w:hAnsi="Arial" w:cs="Arial"/>
          <w:sz w:val="24"/>
          <w:szCs w:val="24"/>
        </w:rPr>
        <w:fldChar w:fldCharType="end"/>
      </w:r>
      <w:r w:rsidR="001F0D22" w:rsidRPr="00680010">
        <w:rPr>
          <w:rFonts w:ascii="Arial" w:eastAsia="Times New Roman" w:hAnsi="Arial" w:cs="Arial"/>
          <w:sz w:val="24"/>
          <w:szCs w:val="24"/>
        </w:rPr>
        <w:t xml:space="preserve">. </w:t>
      </w:r>
    </w:p>
    <w:p w:rsidR="00596DB8" w:rsidRPr="00680010" w:rsidRDefault="00680010" w:rsidP="006707F2">
      <w:pPr>
        <w:spacing w:line="360" w:lineRule="auto"/>
        <w:jc w:val="both"/>
        <w:rPr>
          <w:rFonts w:ascii="Arial" w:hAnsi="Arial" w:cs="Arial"/>
          <w:b/>
          <w:sz w:val="24"/>
        </w:rPr>
      </w:pPr>
      <w:r>
        <w:rPr>
          <w:rFonts w:ascii="Arial" w:hAnsi="Arial" w:cs="Arial"/>
          <w:b/>
          <w:sz w:val="24"/>
        </w:rPr>
        <w:t>2.6</w:t>
      </w:r>
      <w:r>
        <w:rPr>
          <w:rFonts w:ascii="Arial" w:hAnsi="Arial" w:cs="Arial"/>
          <w:b/>
          <w:sz w:val="24"/>
        </w:rPr>
        <w:tab/>
      </w:r>
      <w:r w:rsidRPr="00680010">
        <w:rPr>
          <w:rFonts w:ascii="Arial" w:hAnsi="Arial" w:cs="Arial"/>
          <w:b/>
          <w:sz w:val="24"/>
        </w:rPr>
        <w:t>INSULIN THERAPY</w:t>
      </w:r>
    </w:p>
    <w:p w:rsidR="006707F2" w:rsidRPr="00680010" w:rsidRDefault="001F0D22" w:rsidP="006707F2">
      <w:pPr>
        <w:spacing w:after="240" w:line="360" w:lineRule="auto"/>
        <w:jc w:val="both"/>
        <w:rPr>
          <w:rFonts w:ascii="Arial" w:eastAsia="Times New Roman" w:hAnsi="Arial" w:cs="Arial"/>
          <w:sz w:val="24"/>
          <w:szCs w:val="24"/>
        </w:rPr>
      </w:pPr>
      <w:r w:rsidRPr="00680010">
        <w:rPr>
          <w:rFonts w:ascii="Arial" w:eastAsia="Times New Roman" w:hAnsi="Arial" w:cs="Arial"/>
          <w:sz w:val="24"/>
          <w:szCs w:val="24"/>
        </w:rPr>
        <w:t>Serious hyperglycemia and DKA can only be prevented by insulin treatment in type 1 diabetes. Different frailty levels and life expectancies necessitate different insulin treatment plans and administration meth</w:t>
      </w:r>
      <w:r w:rsidR="006707F2" w:rsidRPr="00680010">
        <w:rPr>
          <w:rFonts w:ascii="Arial" w:eastAsia="Times New Roman" w:hAnsi="Arial" w:cs="Arial"/>
          <w:sz w:val="24"/>
          <w:szCs w:val="24"/>
        </w:rPr>
        <w:t xml:space="preserve">ods for healthy older persons. </w:t>
      </w:r>
    </w:p>
    <w:p w:rsidR="001F0D22" w:rsidRPr="00680010" w:rsidRDefault="001F0D22" w:rsidP="006707F2">
      <w:pPr>
        <w:spacing w:after="240" w:line="360" w:lineRule="auto"/>
        <w:jc w:val="both"/>
        <w:rPr>
          <w:rFonts w:ascii="Arial" w:eastAsia="Times New Roman" w:hAnsi="Arial" w:cs="Arial"/>
          <w:sz w:val="24"/>
          <w:szCs w:val="24"/>
        </w:rPr>
      </w:pPr>
      <w:r w:rsidRPr="00680010">
        <w:rPr>
          <w:rFonts w:ascii="Arial" w:eastAsia="Times New Roman" w:hAnsi="Arial" w:cs="Arial"/>
          <w:sz w:val="24"/>
          <w:szCs w:val="24"/>
        </w:rPr>
        <w:t xml:space="preserve">For financial reasons, some elderly people take a combination of NPH insulin twice day and conventional insulin before meals (or lunch if the NPH effect in the morning isn't enough to cover lunch) instead of insulin analogs. Snacks may be necessary in the middle of the morning, mid-afternoon, and before sleep due to the increased risk of hypoglycemia with these insulin formulations. In order to rule out nocturnal hypoglycemia, it is recommended to check glucose levels in the middle of the night. One strategy to lessen the likelihood of hypoglycemia throughout the night is to inject NPH insulin before going to bed (rather than before supper). </w:t>
      </w:r>
    </w:p>
    <w:p w:rsidR="00887E9C" w:rsidRPr="00680010" w:rsidRDefault="00680010" w:rsidP="006707F2">
      <w:pPr>
        <w:spacing w:line="360" w:lineRule="auto"/>
        <w:jc w:val="both"/>
        <w:rPr>
          <w:rFonts w:ascii="Arial" w:hAnsi="Arial" w:cs="Arial"/>
          <w:b/>
          <w:sz w:val="24"/>
        </w:rPr>
      </w:pPr>
      <w:r>
        <w:rPr>
          <w:rFonts w:ascii="Arial" w:hAnsi="Arial" w:cs="Arial"/>
          <w:b/>
          <w:sz w:val="24"/>
        </w:rPr>
        <w:t>2.7</w:t>
      </w:r>
      <w:r>
        <w:rPr>
          <w:rFonts w:ascii="Arial" w:hAnsi="Arial" w:cs="Arial"/>
          <w:b/>
          <w:sz w:val="24"/>
        </w:rPr>
        <w:tab/>
      </w:r>
      <w:r w:rsidRPr="00680010">
        <w:rPr>
          <w:rFonts w:ascii="Arial" w:hAnsi="Arial" w:cs="Arial"/>
          <w:b/>
          <w:sz w:val="24"/>
        </w:rPr>
        <w:t xml:space="preserve">RELEVANT POLICIES AND LEGISLATION </w:t>
      </w:r>
    </w:p>
    <w:p w:rsidR="006707F2" w:rsidRPr="00680010" w:rsidRDefault="001F0D22" w:rsidP="006707F2">
      <w:pPr>
        <w:spacing w:after="240" w:line="360" w:lineRule="auto"/>
        <w:jc w:val="both"/>
        <w:rPr>
          <w:rFonts w:ascii="Arial" w:eastAsia="Times New Roman" w:hAnsi="Arial" w:cs="Arial"/>
          <w:sz w:val="24"/>
          <w:szCs w:val="24"/>
        </w:rPr>
      </w:pPr>
      <w:r w:rsidRPr="00680010">
        <w:rPr>
          <w:rFonts w:ascii="Arial" w:eastAsia="Times New Roman" w:hAnsi="Arial" w:cs="Arial"/>
          <w:sz w:val="24"/>
          <w:szCs w:val="24"/>
        </w:rPr>
        <w:t xml:space="preserve">Worldwide, there is a growing interest in adult safeguarding from both policymakers and practitioners. Social workers and others in Ireland's professional community now routinely investigate and intervene in cases involving the suspected abuse of vulnerable persons. This suggests significant organizational hurdles in carrying out adult protection duties in a manner that benefits all parties involved. A prominent aspect of social work in Ireland now involves investigating and intervening in cases of suspected abuse of older individuals. "Elder abuse is a single or repeated act or lack of appropriate action occurring within any relationship where there is an expectation of trust which causes harm to an older person," goes the worldwide definition of elder mistreatment that much of the West, including Ireland, has accepted. To put this theoretical concept into practice, we may classify forms of abuse against the elderly into the following: physical, sexual, psychological, financial, and neglect. </w:t>
      </w:r>
    </w:p>
    <w:p w:rsidR="006707F2" w:rsidRPr="00680010" w:rsidRDefault="001F0D22" w:rsidP="006707F2">
      <w:pPr>
        <w:spacing w:after="240" w:line="360" w:lineRule="auto"/>
        <w:jc w:val="both"/>
        <w:rPr>
          <w:rFonts w:ascii="Arial" w:eastAsia="Times New Roman" w:hAnsi="Arial" w:cs="Arial"/>
          <w:sz w:val="24"/>
          <w:szCs w:val="24"/>
        </w:rPr>
      </w:pPr>
      <w:r w:rsidRPr="00680010">
        <w:rPr>
          <w:rFonts w:ascii="Arial" w:eastAsia="Times New Roman" w:hAnsi="Arial" w:cs="Arial"/>
          <w:sz w:val="24"/>
          <w:szCs w:val="24"/>
        </w:rPr>
        <w:t xml:space="preserve">Despite their usefulness, the limits of these specific and restricted classifications are being more acknowledged. When it comes to abuse, the perspectives and realities of elderly people are largely ignored. Studies conducted in Ireland have shown that the elderly view elder abuse as a phenomenon that causes them to lose control over their own lives, their social standing, their rights, and their ability to express themselves. </w:t>
      </w:r>
      <w:r w:rsidRPr="00680010">
        <w:rPr>
          <w:rFonts w:ascii="Arial" w:eastAsia="Times New Roman" w:hAnsi="Arial" w:cs="Arial"/>
          <w:sz w:val="24"/>
          <w:szCs w:val="24"/>
        </w:rPr>
        <w:br/>
        <w:t>July 2009 saw the implementation of Ireland's National Quality Standards for Residential Care Settings for Older People</w:t>
      </w:r>
      <w:r w:rsidR="00A63B5B" w:rsidRPr="00680010">
        <w:rPr>
          <w:rFonts w:ascii="Arial" w:eastAsia="Times New Roman" w:hAnsi="Arial" w:cs="Arial"/>
          <w:sz w:val="24"/>
          <w:szCs w:val="24"/>
        </w:rPr>
        <w:t xml:space="preserve"> </w:t>
      </w:r>
      <w:r w:rsidR="00A63B5B" w:rsidRPr="00680010">
        <w:rPr>
          <w:rFonts w:ascii="Arial" w:eastAsia="Times New Roman" w:hAnsi="Arial" w:cs="Arial"/>
          <w:sz w:val="24"/>
          <w:szCs w:val="24"/>
        </w:rPr>
        <w:fldChar w:fldCharType="begin"/>
      </w:r>
      <w:r w:rsidR="00A63B5B" w:rsidRPr="00680010">
        <w:rPr>
          <w:rFonts w:ascii="Arial" w:eastAsia="Times New Roman" w:hAnsi="Arial" w:cs="Arial"/>
          <w:sz w:val="24"/>
          <w:szCs w:val="24"/>
        </w:rPr>
        <w:instrText xml:space="preserve"> ADDIN EN.CITE &lt;EndNote&gt;&lt;Cite&gt;&lt;Author&gt;Naughton&lt;/Author&gt;&lt;Year&gt;2010&lt;/Year&gt;&lt;RecNum&gt;733&lt;/RecNum&gt;&lt;DisplayText&gt;(Naughton et al., 2010)&lt;/DisplayText&gt;&lt;record&gt;&lt;rec-number&gt;733&lt;/rec-number&gt;&lt;foreign-keys&gt;&lt;key app="EN" db-id="sz5trpt98922r4eze0opts290ddrd9sfvwpf" timestamp="1710063161"&gt;733&lt;/key&gt;&lt;/foreign-keys&gt;&lt;ref-type name="Journal Article"&gt;17&lt;/ref-type&gt;&lt;contributors&gt;&lt;authors&gt;&lt;author&gt;Naughton, Corina&lt;/author&gt;&lt;author&gt;Drennan, Jonathan&lt;/author&gt;&lt;author&gt;Treacy, Margaret P&lt;/author&gt;&lt;author&gt;Lafferty, A&lt;/author&gt;&lt;author&gt;Lyons, I&lt;/author&gt;&lt;author&gt;Phelan, Amanda&lt;/author&gt;&lt;author&gt;Quin, S&lt;/author&gt;&lt;author&gt;O’loughlin, A&lt;/author&gt;&lt;author&gt;Delaney, L&lt;/author&gt;&lt;/authors&gt;&lt;/contributors&gt;&lt;titles&gt;&lt;title&gt;Abuse and neglect of older people in Ireland&lt;/title&gt;&lt;secondary-title&gt;Report on The National Study of Elder Abuse and Neglect. Report Summary. Ireland: National Centre for the Protection of Older People&lt;/secondary-title&gt;&lt;/titles&gt;&lt;periodical&gt;&lt;full-title&gt;Report on The National Study of Elder Abuse and Neglect. Report Summary. Ireland: National Centre for the Protection of Older People&lt;/full-title&gt;&lt;/periodical&gt;&lt;dates&gt;&lt;year&gt;2010&lt;/year&gt;&lt;/dates&gt;&lt;urls&gt;&lt;/urls&gt;&lt;/record&gt;&lt;/Cite&gt;&lt;/EndNote&gt;</w:instrText>
      </w:r>
      <w:r w:rsidR="00A63B5B" w:rsidRPr="00680010">
        <w:rPr>
          <w:rFonts w:ascii="Arial" w:eastAsia="Times New Roman" w:hAnsi="Arial" w:cs="Arial"/>
          <w:sz w:val="24"/>
          <w:szCs w:val="24"/>
        </w:rPr>
        <w:fldChar w:fldCharType="separate"/>
      </w:r>
      <w:r w:rsidR="00A63B5B" w:rsidRPr="00680010">
        <w:rPr>
          <w:rFonts w:ascii="Arial" w:eastAsia="Times New Roman" w:hAnsi="Arial" w:cs="Arial"/>
          <w:noProof/>
          <w:sz w:val="24"/>
          <w:szCs w:val="24"/>
        </w:rPr>
        <w:t>(Naughton et al., 2010)</w:t>
      </w:r>
      <w:r w:rsidR="00A63B5B" w:rsidRPr="00680010">
        <w:rPr>
          <w:rFonts w:ascii="Arial" w:eastAsia="Times New Roman" w:hAnsi="Arial" w:cs="Arial"/>
          <w:sz w:val="24"/>
          <w:szCs w:val="24"/>
        </w:rPr>
        <w:fldChar w:fldCharType="end"/>
      </w:r>
      <w:r w:rsidRPr="00680010">
        <w:rPr>
          <w:rFonts w:ascii="Arial" w:eastAsia="Times New Roman" w:hAnsi="Arial" w:cs="Arial"/>
          <w:sz w:val="24"/>
          <w:szCs w:val="24"/>
        </w:rPr>
        <w:t xml:space="preserve">. The requirement that "each resident is protected from all forms of abuse" (Standard 8) is especially pertinent. Individuals receiving long-term care can suffer from a variety of health problems, including frailty, disability, and cognitive impairments. Because of how much they rely on other people, they may be more susceptible to neglect and abuse. </w:t>
      </w:r>
    </w:p>
    <w:p w:rsidR="001F0D22" w:rsidRPr="00680010" w:rsidRDefault="001F0D22" w:rsidP="006707F2">
      <w:pPr>
        <w:spacing w:after="240" w:line="360" w:lineRule="auto"/>
        <w:jc w:val="both"/>
        <w:rPr>
          <w:rFonts w:ascii="Arial" w:eastAsia="Times New Roman" w:hAnsi="Arial" w:cs="Arial"/>
          <w:sz w:val="24"/>
          <w:szCs w:val="24"/>
        </w:rPr>
      </w:pPr>
      <w:r w:rsidRPr="00680010">
        <w:rPr>
          <w:rFonts w:ascii="Arial" w:eastAsia="Times New Roman" w:hAnsi="Arial" w:cs="Arial"/>
          <w:sz w:val="24"/>
          <w:szCs w:val="24"/>
        </w:rPr>
        <w:t xml:space="preserve">Furthermore, they face several challenges when trying to report abuse or act assertively because of the fear of retaliation. While social workers are not commonly hired in Ireland, they have long been an integral element of nursing care staff teams on a global scale. The recent abuse scandals, like </w:t>
      </w:r>
      <w:proofErr w:type="spellStart"/>
      <w:r w:rsidRPr="00680010">
        <w:rPr>
          <w:rFonts w:ascii="Arial" w:eastAsia="Times New Roman" w:hAnsi="Arial" w:cs="Arial"/>
          <w:sz w:val="24"/>
          <w:szCs w:val="24"/>
        </w:rPr>
        <w:t>Áras</w:t>
      </w:r>
      <w:proofErr w:type="spellEnd"/>
      <w:r w:rsidRPr="00680010">
        <w:rPr>
          <w:rFonts w:ascii="Arial" w:eastAsia="Times New Roman" w:hAnsi="Arial" w:cs="Arial"/>
          <w:sz w:val="24"/>
          <w:szCs w:val="24"/>
        </w:rPr>
        <w:t xml:space="preserve"> </w:t>
      </w:r>
      <w:proofErr w:type="spellStart"/>
      <w:r w:rsidRPr="00680010">
        <w:rPr>
          <w:rFonts w:ascii="Arial" w:eastAsia="Times New Roman" w:hAnsi="Arial" w:cs="Arial"/>
          <w:sz w:val="24"/>
          <w:szCs w:val="24"/>
        </w:rPr>
        <w:t>Attracta</w:t>
      </w:r>
      <w:proofErr w:type="spellEnd"/>
      <w:r w:rsidRPr="00680010">
        <w:rPr>
          <w:rFonts w:ascii="Arial" w:eastAsia="Times New Roman" w:hAnsi="Arial" w:cs="Arial"/>
          <w:sz w:val="24"/>
          <w:szCs w:val="24"/>
        </w:rPr>
        <w:t>, have made it extremely difficult for Ireland to respond to cases of maltreatment or abuse in residential institutions like nursing homes. The existing narrow mandate of social workers to investigate claims of abuse or institutional abuse of vulnerable people in nursing, residential, or institutional care must, therefore, be carefully considered while formulating a new policy for the protection of adults</w:t>
      </w:r>
      <w:r w:rsidR="00A63B5B" w:rsidRPr="00680010">
        <w:rPr>
          <w:rFonts w:ascii="Arial" w:eastAsia="Times New Roman" w:hAnsi="Arial" w:cs="Arial"/>
          <w:sz w:val="24"/>
          <w:szCs w:val="24"/>
        </w:rPr>
        <w:t xml:space="preserve"> </w:t>
      </w:r>
      <w:r w:rsidR="00A63B5B" w:rsidRPr="00680010">
        <w:rPr>
          <w:rFonts w:ascii="Arial" w:eastAsia="Times New Roman" w:hAnsi="Arial" w:cs="Arial"/>
          <w:sz w:val="24"/>
          <w:szCs w:val="24"/>
        </w:rPr>
        <w:fldChar w:fldCharType="begin"/>
      </w:r>
      <w:r w:rsidR="00A63B5B" w:rsidRPr="00680010">
        <w:rPr>
          <w:rFonts w:ascii="Arial" w:eastAsia="Times New Roman" w:hAnsi="Arial" w:cs="Arial"/>
          <w:sz w:val="24"/>
          <w:szCs w:val="24"/>
        </w:rPr>
        <w:instrText xml:space="preserve"> ADDIN EN.CITE &lt;EndNote&gt;&lt;Cite&gt;&lt;Author&gt;Donnelly&lt;/Author&gt;&lt;Year&gt;2018&lt;/Year&gt;&lt;RecNum&gt;734&lt;/RecNum&gt;&lt;DisplayText&gt;(Donnelly &amp;amp; O&amp;apos;Brien, 2018)&lt;/DisplayText&gt;&lt;record&gt;&lt;rec-number&gt;734&lt;/rec-number&gt;&lt;foreign-keys&gt;&lt;key app="EN" db-id="sz5trpt98922r4eze0opts290ddrd9sfvwpf" timestamp="1710063207"&gt;734&lt;/key&gt;&lt;/foreign-keys&gt;&lt;ref-type name="Report"&gt;27&lt;/ref-type&gt;&lt;contributors&gt;&lt;authors&gt;&lt;author&gt;Donnelly, Sarah&lt;/author&gt;&lt;author&gt;O&amp;apos;Brien, Marita&lt;/author&gt;&lt;/authors&gt;&lt;/contributors&gt;&lt;titles&gt;&lt;title&gt;Speaking up about adult harm: Options for policy and practice in the Irish context&lt;/title&gt;&lt;/titles&gt;&lt;dates&gt;&lt;year&gt;2018&lt;/year&gt;&lt;/dates&gt;&lt;publisher&gt;University College Dublin&lt;/publisher&gt;&lt;urls&gt;&lt;/urls&gt;&lt;/record&gt;&lt;/Cite&gt;&lt;/EndNote&gt;</w:instrText>
      </w:r>
      <w:r w:rsidR="00A63B5B" w:rsidRPr="00680010">
        <w:rPr>
          <w:rFonts w:ascii="Arial" w:eastAsia="Times New Roman" w:hAnsi="Arial" w:cs="Arial"/>
          <w:sz w:val="24"/>
          <w:szCs w:val="24"/>
        </w:rPr>
        <w:fldChar w:fldCharType="separate"/>
      </w:r>
      <w:r w:rsidR="00A63B5B" w:rsidRPr="00680010">
        <w:rPr>
          <w:rFonts w:ascii="Arial" w:eastAsia="Times New Roman" w:hAnsi="Arial" w:cs="Arial"/>
          <w:noProof/>
          <w:sz w:val="24"/>
          <w:szCs w:val="24"/>
        </w:rPr>
        <w:t>(Donnelly &amp; O'Brien, 2018)</w:t>
      </w:r>
      <w:r w:rsidR="00A63B5B" w:rsidRPr="00680010">
        <w:rPr>
          <w:rFonts w:ascii="Arial" w:eastAsia="Times New Roman" w:hAnsi="Arial" w:cs="Arial"/>
          <w:sz w:val="24"/>
          <w:szCs w:val="24"/>
        </w:rPr>
        <w:fldChar w:fldCharType="end"/>
      </w:r>
      <w:r w:rsidRPr="00680010">
        <w:rPr>
          <w:rFonts w:ascii="Arial" w:eastAsia="Times New Roman" w:hAnsi="Arial" w:cs="Arial"/>
          <w:sz w:val="24"/>
          <w:szCs w:val="24"/>
        </w:rPr>
        <w:t xml:space="preserve">. </w:t>
      </w:r>
    </w:p>
    <w:p w:rsidR="00087FBE" w:rsidRPr="00680010" w:rsidRDefault="00680010" w:rsidP="00680010">
      <w:pPr>
        <w:pStyle w:val="Heading1"/>
      </w:pPr>
      <w:bookmarkStart w:id="8" w:name="_Toc160979180"/>
      <w:r w:rsidRPr="00680010">
        <w:t>CONCLUSION</w:t>
      </w:r>
      <w:bookmarkEnd w:id="8"/>
    </w:p>
    <w:p w:rsidR="008F32EA" w:rsidRPr="00680010" w:rsidRDefault="001F0D22" w:rsidP="00680010">
      <w:pPr>
        <w:spacing w:after="0" w:line="360" w:lineRule="auto"/>
        <w:jc w:val="both"/>
        <w:rPr>
          <w:rFonts w:ascii="Arial" w:eastAsia="Times New Roman" w:hAnsi="Arial" w:cs="Arial"/>
          <w:sz w:val="24"/>
          <w:szCs w:val="24"/>
        </w:rPr>
      </w:pPr>
      <w:r w:rsidRPr="00680010">
        <w:rPr>
          <w:rFonts w:ascii="Arial" w:eastAsia="Times New Roman" w:hAnsi="Arial" w:cs="Arial"/>
          <w:sz w:val="24"/>
          <w:szCs w:val="24"/>
        </w:rPr>
        <w:t>Significant functional impairment and worse health status are common among older adults with diabetes. Personalized diabetic care and thorough geriatric evaluations may help this group. Exercise is likely to improve metabolic control and daily function, particularly mobility, and there is mounting evidence that physical activity, and resistance training in particular, is an important part of managing diabetes in older adults. Falls are more common in older adults with diabetes due to factors including decreased limb function, cardiovascular disease, polypharmacy, and reduced balance. Comprehensive geriatric evaluation and treatments, as well as individualized fitness regimens, have a strong clinical track record of success in reducing the risk of falls among the elderly. Recommending a comprehensive intervention, like those used in programs to reduce falls, seems sensible given the complex challenges that older people with diabetes face.</w:t>
      </w:r>
    </w:p>
    <w:p w:rsidR="000E141B" w:rsidRPr="00680010" w:rsidRDefault="00680010" w:rsidP="00680010">
      <w:pPr>
        <w:pStyle w:val="Heading1"/>
      </w:pPr>
      <w:bookmarkStart w:id="9" w:name="_Toc160979181"/>
      <w:r w:rsidRPr="00680010">
        <w:t>RECOMMENDATIONS</w:t>
      </w:r>
      <w:bookmarkEnd w:id="9"/>
    </w:p>
    <w:p w:rsidR="008F32EA" w:rsidRPr="00680010" w:rsidRDefault="001F0D22" w:rsidP="006707F2">
      <w:pPr>
        <w:spacing w:after="240" w:line="360" w:lineRule="auto"/>
        <w:jc w:val="both"/>
        <w:rPr>
          <w:rFonts w:ascii="Arial" w:eastAsia="Times New Roman" w:hAnsi="Arial" w:cs="Arial"/>
          <w:sz w:val="24"/>
          <w:szCs w:val="24"/>
        </w:rPr>
      </w:pPr>
      <w:r w:rsidRPr="00680010">
        <w:rPr>
          <w:rFonts w:ascii="Arial" w:eastAsia="Times New Roman" w:hAnsi="Arial" w:cs="Arial"/>
          <w:sz w:val="24"/>
          <w:szCs w:val="24"/>
        </w:rPr>
        <w:t>Special care is needed while managing diabetes in the elderly to guarantee general health and wellness. Maintain consistent monitoring of blood glucose levels. If you want to know how your body reacts to various meals, drugs, and activities, you need to monitor it. Eat a variety of fruits and vegetables together with nutritious grains and lean meats on a regular basis. To keep your weight in check and your blood sugar levels under control, watch what you eat. Be sure to follow your doctor's orders about medication. Make sure you take your prescripti</w:t>
      </w:r>
      <w:r w:rsidR="006707F2" w:rsidRPr="00680010">
        <w:rPr>
          <w:rFonts w:ascii="Arial" w:eastAsia="Times New Roman" w:hAnsi="Arial" w:cs="Arial"/>
          <w:sz w:val="24"/>
          <w:szCs w:val="24"/>
        </w:rPr>
        <w:t>on at the same times every day.</w:t>
      </w:r>
      <w:r w:rsidRPr="00680010">
        <w:rPr>
          <w:rFonts w:ascii="Arial" w:eastAsia="Times New Roman" w:hAnsi="Arial" w:cs="Arial"/>
          <w:sz w:val="24"/>
          <w:szCs w:val="24"/>
        </w:rPr>
        <w:br/>
        <w:t xml:space="preserve">Stay active on a regular basis; it will help you manage your blood sugar levels, boost your circulation, and enhance your health in general. Pick exercises that are manageable given the person's current health status and degree of fitness. Look for wounds, blisters, or infections on the foot on a regular basis. Prevent foot issues by wearing shoes that fit </w:t>
      </w:r>
      <w:r w:rsidR="008F32EA" w:rsidRPr="00680010">
        <w:rPr>
          <w:rFonts w:ascii="Arial" w:eastAsia="Times New Roman" w:hAnsi="Arial" w:cs="Arial"/>
          <w:sz w:val="24"/>
          <w:szCs w:val="24"/>
        </w:rPr>
        <w:t xml:space="preserve">correctly and are comfortable. </w:t>
      </w:r>
    </w:p>
    <w:p w:rsidR="001F0D22" w:rsidRPr="00680010" w:rsidRDefault="001F0D22" w:rsidP="006707F2">
      <w:pPr>
        <w:spacing w:after="240" w:line="360" w:lineRule="auto"/>
        <w:jc w:val="both"/>
        <w:rPr>
          <w:rFonts w:ascii="Arial" w:eastAsia="Times New Roman" w:hAnsi="Arial" w:cs="Arial"/>
          <w:sz w:val="24"/>
          <w:szCs w:val="24"/>
        </w:rPr>
      </w:pPr>
      <w:r w:rsidRPr="00680010">
        <w:rPr>
          <w:rFonts w:ascii="Arial" w:eastAsia="Times New Roman" w:hAnsi="Arial" w:cs="Arial"/>
          <w:sz w:val="24"/>
          <w:szCs w:val="24"/>
        </w:rPr>
        <w:t xml:space="preserve">Keep tabs on your health by making an appointment with your doctor on a frequent basis. Talk about any worries or changes in your health as soon as possible. Maintaining an adequate fluid intake aids in both kidney function and glucose regulation. </w:t>
      </w:r>
    </w:p>
    <w:p w:rsidR="00A63B5B" w:rsidRPr="00680010" w:rsidRDefault="00A63B5B" w:rsidP="006707F2">
      <w:pPr>
        <w:spacing w:line="360" w:lineRule="auto"/>
        <w:jc w:val="both"/>
        <w:rPr>
          <w:rFonts w:ascii="Arial" w:hAnsi="Arial" w:cs="Arial"/>
          <w:sz w:val="24"/>
        </w:rPr>
      </w:pPr>
    </w:p>
    <w:p w:rsidR="00920E50" w:rsidRPr="00680010" w:rsidRDefault="00680010" w:rsidP="00680010">
      <w:pPr>
        <w:pStyle w:val="Heading1"/>
      </w:pPr>
      <w:bookmarkStart w:id="10" w:name="_Toc160979182"/>
      <w:r w:rsidRPr="00680010">
        <w:t>REFERENCES</w:t>
      </w:r>
      <w:bookmarkEnd w:id="10"/>
    </w:p>
    <w:p w:rsidR="00A63B5B" w:rsidRPr="00680010" w:rsidRDefault="00920E50" w:rsidP="006707F2">
      <w:pPr>
        <w:pStyle w:val="EndNoteBibliography"/>
        <w:spacing w:after="0" w:line="360" w:lineRule="auto"/>
        <w:ind w:left="720" w:hanging="720"/>
        <w:jc w:val="both"/>
        <w:rPr>
          <w:rFonts w:ascii="Arial" w:hAnsi="Arial" w:cs="Arial"/>
        </w:rPr>
      </w:pPr>
      <w:r w:rsidRPr="00680010">
        <w:rPr>
          <w:rFonts w:ascii="Arial" w:hAnsi="Arial" w:cs="Arial"/>
          <w:sz w:val="24"/>
        </w:rPr>
        <w:fldChar w:fldCharType="begin"/>
      </w:r>
      <w:r w:rsidRPr="00680010">
        <w:rPr>
          <w:rFonts w:ascii="Arial" w:hAnsi="Arial" w:cs="Arial"/>
          <w:sz w:val="24"/>
        </w:rPr>
        <w:instrText xml:space="preserve"> ADDIN EN.REFLIST </w:instrText>
      </w:r>
      <w:r w:rsidRPr="00680010">
        <w:rPr>
          <w:rFonts w:ascii="Arial" w:hAnsi="Arial" w:cs="Arial"/>
          <w:sz w:val="24"/>
        </w:rPr>
        <w:fldChar w:fldCharType="separate"/>
      </w:r>
      <w:r w:rsidR="00A63B5B" w:rsidRPr="00680010">
        <w:rPr>
          <w:rFonts w:ascii="Arial" w:hAnsi="Arial" w:cs="Arial"/>
        </w:rPr>
        <w:t xml:space="preserve">Caley, M., &amp; Sidhu, K. (2011). Estimating the future healthcare costs of an aging population in the UK: expansion of morbidity and the need for preventative care. </w:t>
      </w:r>
      <w:r w:rsidR="00A63B5B" w:rsidRPr="00680010">
        <w:rPr>
          <w:rFonts w:ascii="Arial" w:hAnsi="Arial" w:cs="Arial"/>
          <w:i/>
        </w:rPr>
        <w:t>Journal of Public Health</w:t>
      </w:r>
      <w:r w:rsidR="00A63B5B" w:rsidRPr="00680010">
        <w:rPr>
          <w:rFonts w:ascii="Arial" w:hAnsi="Arial" w:cs="Arial"/>
        </w:rPr>
        <w:t>,</w:t>
      </w:r>
      <w:r w:rsidR="00A63B5B" w:rsidRPr="00680010">
        <w:rPr>
          <w:rFonts w:ascii="Arial" w:hAnsi="Arial" w:cs="Arial"/>
          <w:i/>
        </w:rPr>
        <w:t xml:space="preserve"> 33</w:t>
      </w:r>
      <w:r w:rsidR="00A63B5B" w:rsidRPr="00680010">
        <w:rPr>
          <w:rFonts w:ascii="Arial" w:hAnsi="Arial" w:cs="Arial"/>
        </w:rPr>
        <w:t xml:space="preserve">(1), 117-122. </w:t>
      </w:r>
    </w:p>
    <w:p w:rsidR="00A63B5B" w:rsidRPr="00680010" w:rsidRDefault="00A63B5B" w:rsidP="006707F2">
      <w:pPr>
        <w:pStyle w:val="EndNoteBibliography"/>
        <w:spacing w:after="0" w:line="360" w:lineRule="auto"/>
        <w:ind w:left="720" w:hanging="720"/>
        <w:jc w:val="both"/>
        <w:rPr>
          <w:rFonts w:ascii="Arial" w:hAnsi="Arial" w:cs="Arial"/>
        </w:rPr>
      </w:pPr>
      <w:r w:rsidRPr="00680010">
        <w:rPr>
          <w:rFonts w:ascii="Arial" w:hAnsi="Arial" w:cs="Arial"/>
        </w:rPr>
        <w:t xml:space="preserve">Clark, M. (1967). The anthropology of aging, a new area for studies of culture and personality. </w:t>
      </w:r>
      <w:r w:rsidRPr="00680010">
        <w:rPr>
          <w:rFonts w:ascii="Arial" w:hAnsi="Arial" w:cs="Arial"/>
          <w:i/>
        </w:rPr>
        <w:t>The Gerontologist</w:t>
      </w:r>
      <w:r w:rsidRPr="00680010">
        <w:rPr>
          <w:rFonts w:ascii="Arial" w:hAnsi="Arial" w:cs="Arial"/>
        </w:rPr>
        <w:t>,</w:t>
      </w:r>
      <w:r w:rsidRPr="00680010">
        <w:rPr>
          <w:rFonts w:ascii="Arial" w:hAnsi="Arial" w:cs="Arial"/>
          <w:i/>
        </w:rPr>
        <w:t xml:space="preserve"> 7</w:t>
      </w:r>
      <w:r w:rsidRPr="00680010">
        <w:rPr>
          <w:rFonts w:ascii="Arial" w:hAnsi="Arial" w:cs="Arial"/>
        </w:rPr>
        <w:t xml:space="preserve">(1), 55-64. </w:t>
      </w:r>
    </w:p>
    <w:p w:rsidR="00A63B5B" w:rsidRPr="00680010" w:rsidRDefault="00A63B5B" w:rsidP="006707F2">
      <w:pPr>
        <w:pStyle w:val="EndNoteBibliography"/>
        <w:spacing w:after="0" w:line="360" w:lineRule="auto"/>
        <w:ind w:left="720" w:hanging="720"/>
        <w:jc w:val="both"/>
        <w:rPr>
          <w:rFonts w:ascii="Arial" w:hAnsi="Arial" w:cs="Arial"/>
        </w:rPr>
      </w:pPr>
      <w:r w:rsidRPr="00680010">
        <w:rPr>
          <w:rFonts w:ascii="Arial" w:hAnsi="Arial" w:cs="Arial"/>
        </w:rPr>
        <w:t xml:space="preserve">Donnelly, S., &amp; O'Brien, M. (2018). </w:t>
      </w:r>
      <w:r w:rsidRPr="00680010">
        <w:rPr>
          <w:rFonts w:ascii="Arial" w:hAnsi="Arial" w:cs="Arial"/>
          <w:i/>
        </w:rPr>
        <w:t>Speaking up about adult harm: Options for policy and practice in the Irish context</w:t>
      </w:r>
      <w:r w:rsidRPr="00680010">
        <w:rPr>
          <w:rFonts w:ascii="Arial" w:hAnsi="Arial" w:cs="Arial"/>
        </w:rPr>
        <w:t xml:space="preserve">. </w:t>
      </w:r>
    </w:p>
    <w:p w:rsidR="00A63B5B" w:rsidRPr="00680010" w:rsidRDefault="00A63B5B" w:rsidP="006707F2">
      <w:pPr>
        <w:pStyle w:val="EndNoteBibliography"/>
        <w:spacing w:after="0" w:line="360" w:lineRule="auto"/>
        <w:ind w:left="720" w:hanging="720"/>
        <w:jc w:val="both"/>
        <w:rPr>
          <w:rFonts w:ascii="Arial" w:hAnsi="Arial" w:cs="Arial"/>
        </w:rPr>
      </w:pPr>
      <w:r w:rsidRPr="00680010">
        <w:rPr>
          <w:rFonts w:ascii="Arial" w:hAnsi="Arial" w:cs="Arial"/>
        </w:rPr>
        <w:t xml:space="preserve">Dunleavy, P., Park, A., &amp; Taylor, R. (2018). </w:t>
      </w:r>
      <w:r w:rsidRPr="00680010">
        <w:rPr>
          <w:rFonts w:ascii="Arial" w:hAnsi="Arial" w:cs="Arial"/>
          <w:i/>
        </w:rPr>
        <w:t>The UK's changing democracy: the 2018 Democratic Audit</w:t>
      </w:r>
      <w:r w:rsidRPr="00680010">
        <w:rPr>
          <w:rFonts w:ascii="Arial" w:hAnsi="Arial" w:cs="Arial"/>
        </w:rPr>
        <w:t xml:space="preserve">. LSE Press. </w:t>
      </w:r>
    </w:p>
    <w:p w:rsidR="00A63B5B" w:rsidRPr="00680010" w:rsidRDefault="00A63B5B" w:rsidP="006707F2">
      <w:pPr>
        <w:pStyle w:val="EndNoteBibliography"/>
        <w:spacing w:after="0" w:line="360" w:lineRule="auto"/>
        <w:ind w:left="720" w:hanging="720"/>
        <w:jc w:val="both"/>
        <w:rPr>
          <w:rFonts w:ascii="Arial" w:hAnsi="Arial" w:cs="Arial"/>
        </w:rPr>
      </w:pPr>
      <w:r w:rsidRPr="00680010">
        <w:rPr>
          <w:rFonts w:ascii="Arial" w:hAnsi="Arial" w:cs="Arial"/>
        </w:rPr>
        <w:t xml:space="preserve">Dunnell, K. (2008). Ageing and mortality in the UK. </w:t>
      </w:r>
      <w:r w:rsidRPr="00680010">
        <w:rPr>
          <w:rFonts w:ascii="Arial" w:hAnsi="Arial" w:cs="Arial"/>
          <w:i/>
        </w:rPr>
        <w:t>Popul Trends</w:t>
      </w:r>
      <w:r w:rsidRPr="00680010">
        <w:rPr>
          <w:rFonts w:ascii="Arial" w:hAnsi="Arial" w:cs="Arial"/>
        </w:rPr>
        <w:t>,</w:t>
      </w:r>
      <w:r w:rsidRPr="00680010">
        <w:rPr>
          <w:rFonts w:ascii="Arial" w:hAnsi="Arial" w:cs="Arial"/>
          <w:i/>
        </w:rPr>
        <w:t xml:space="preserve"> 134</w:t>
      </w:r>
      <w:r w:rsidRPr="00680010">
        <w:rPr>
          <w:rFonts w:ascii="Arial" w:hAnsi="Arial" w:cs="Arial"/>
        </w:rPr>
        <w:t xml:space="preserve">, 6-23. </w:t>
      </w:r>
    </w:p>
    <w:p w:rsidR="00A63B5B" w:rsidRPr="00680010" w:rsidRDefault="00A63B5B" w:rsidP="006707F2">
      <w:pPr>
        <w:pStyle w:val="EndNoteBibliography"/>
        <w:spacing w:after="0" w:line="360" w:lineRule="auto"/>
        <w:ind w:left="720" w:hanging="720"/>
        <w:jc w:val="both"/>
        <w:rPr>
          <w:rFonts w:ascii="Arial" w:hAnsi="Arial" w:cs="Arial"/>
        </w:rPr>
      </w:pPr>
      <w:r w:rsidRPr="00680010">
        <w:rPr>
          <w:rFonts w:ascii="Arial" w:hAnsi="Arial" w:cs="Arial"/>
        </w:rPr>
        <w:t xml:space="preserve">Durso, S. C. (2006). Using clinical guidelines designed for older adults with diabetes mellitus and complex health status. </w:t>
      </w:r>
      <w:r w:rsidRPr="00680010">
        <w:rPr>
          <w:rFonts w:ascii="Arial" w:hAnsi="Arial" w:cs="Arial"/>
          <w:i/>
        </w:rPr>
        <w:t>JaMa</w:t>
      </w:r>
      <w:r w:rsidRPr="00680010">
        <w:rPr>
          <w:rFonts w:ascii="Arial" w:hAnsi="Arial" w:cs="Arial"/>
        </w:rPr>
        <w:t>,</w:t>
      </w:r>
      <w:r w:rsidRPr="00680010">
        <w:rPr>
          <w:rFonts w:ascii="Arial" w:hAnsi="Arial" w:cs="Arial"/>
          <w:i/>
        </w:rPr>
        <w:t xml:space="preserve"> 295</w:t>
      </w:r>
      <w:r w:rsidRPr="00680010">
        <w:rPr>
          <w:rFonts w:ascii="Arial" w:hAnsi="Arial" w:cs="Arial"/>
        </w:rPr>
        <w:t xml:space="preserve">(16), 1935-1940. </w:t>
      </w:r>
    </w:p>
    <w:p w:rsidR="00A63B5B" w:rsidRPr="00680010" w:rsidRDefault="00A63B5B" w:rsidP="006707F2">
      <w:pPr>
        <w:pStyle w:val="EndNoteBibliography"/>
        <w:spacing w:after="0" w:line="360" w:lineRule="auto"/>
        <w:ind w:left="720" w:hanging="720"/>
        <w:jc w:val="both"/>
        <w:rPr>
          <w:rFonts w:ascii="Arial" w:hAnsi="Arial" w:cs="Arial"/>
        </w:rPr>
      </w:pPr>
      <w:r w:rsidRPr="00680010">
        <w:rPr>
          <w:rFonts w:ascii="Arial" w:hAnsi="Arial" w:cs="Arial"/>
        </w:rPr>
        <w:t xml:space="preserve">Frostholm, L., Oernboel, E., Christensen, K. S., Toft, T., Olesen, F., Weinman, J., &amp; Fink, P. (2007). Do illness perceptions predict health outcomes in primary care patients? A 2-year follow-up study. </w:t>
      </w:r>
      <w:r w:rsidRPr="00680010">
        <w:rPr>
          <w:rFonts w:ascii="Arial" w:hAnsi="Arial" w:cs="Arial"/>
          <w:i/>
        </w:rPr>
        <w:t>Journal of psychosomatic research</w:t>
      </w:r>
      <w:r w:rsidRPr="00680010">
        <w:rPr>
          <w:rFonts w:ascii="Arial" w:hAnsi="Arial" w:cs="Arial"/>
        </w:rPr>
        <w:t>,</w:t>
      </w:r>
      <w:r w:rsidRPr="00680010">
        <w:rPr>
          <w:rFonts w:ascii="Arial" w:hAnsi="Arial" w:cs="Arial"/>
          <w:i/>
        </w:rPr>
        <w:t xml:space="preserve"> 62</w:t>
      </w:r>
      <w:r w:rsidRPr="00680010">
        <w:rPr>
          <w:rFonts w:ascii="Arial" w:hAnsi="Arial" w:cs="Arial"/>
        </w:rPr>
        <w:t xml:space="preserve">(2), 129-138. </w:t>
      </w:r>
    </w:p>
    <w:p w:rsidR="00A63B5B" w:rsidRPr="00680010" w:rsidRDefault="00A63B5B" w:rsidP="006707F2">
      <w:pPr>
        <w:pStyle w:val="EndNoteBibliography"/>
        <w:spacing w:after="0" w:line="360" w:lineRule="auto"/>
        <w:ind w:left="720" w:hanging="720"/>
        <w:jc w:val="both"/>
        <w:rPr>
          <w:rFonts w:ascii="Arial" w:hAnsi="Arial" w:cs="Arial"/>
        </w:rPr>
      </w:pPr>
      <w:r w:rsidRPr="00680010">
        <w:rPr>
          <w:rFonts w:ascii="Arial" w:hAnsi="Arial" w:cs="Arial"/>
        </w:rPr>
        <w:t xml:space="preserve">Getzen, T. E. (2007). Modeling long term healthcare cost trends. </w:t>
      </w:r>
      <w:r w:rsidRPr="00680010">
        <w:rPr>
          <w:rFonts w:ascii="Arial" w:hAnsi="Arial" w:cs="Arial"/>
          <w:i/>
        </w:rPr>
        <w:t>The Society of Actuaries</w:t>
      </w:r>
      <w:r w:rsidRPr="00680010">
        <w:rPr>
          <w:rFonts w:ascii="Arial" w:hAnsi="Arial" w:cs="Arial"/>
        </w:rPr>
        <w:t xml:space="preserve">. </w:t>
      </w:r>
    </w:p>
    <w:p w:rsidR="00A63B5B" w:rsidRPr="00680010" w:rsidRDefault="00A63B5B" w:rsidP="006707F2">
      <w:pPr>
        <w:pStyle w:val="EndNoteBibliography"/>
        <w:spacing w:after="0" w:line="360" w:lineRule="auto"/>
        <w:ind w:left="720" w:hanging="720"/>
        <w:jc w:val="both"/>
        <w:rPr>
          <w:rFonts w:ascii="Arial" w:hAnsi="Arial" w:cs="Arial"/>
        </w:rPr>
      </w:pPr>
      <w:r w:rsidRPr="00680010">
        <w:rPr>
          <w:rFonts w:ascii="Arial" w:hAnsi="Arial" w:cs="Arial"/>
        </w:rPr>
        <w:t xml:space="preserve">Gu, S. (2020). A comparative study of increasing demand for health care for older people in China and the United Kingdom. </w:t>
      </w:r>
      <w:r w:rsidRPr="00680010">
        <w:rPr>
          <w:rFonts w:ascii="Arial" w:hAnsi="Arial" w:cs="Arial"/>
          <w:i/>
        </w:rPr>
        <w:t>World Sci. Res. J</w:t>
      </w:r>
      <w:r w:rsidRPr="00680010">
        <w:rPr>
          <w:rFonts w:ascii="Arial" w:hAnsi="Arial" w:cs="Arial"/>
        </w:rPr>
        <w:t>,</w:t>
      </w:r>
      <w:r w:rsidRPr="00680010">
        <w:rPr>
          <w:rFonts w:ascii="Arial" w:hAnsi="Arial" w:cs="Arial"/>
          <w:i/>
        </w:rPr>
        <w:t xml:space="preserve"> 6</w:t>
      </w:r>
      <w:r w:rsidRPr="00680010">
        <w:rPr>
          <w:rFonts w:ascii="Arial" w:hAnsi="Arial" w:cs="Arial"/>
        </w:rPr>
        <w:t xml:space="preserve">, 218-251. </w:t>
      </w:r>
    </w:p>
    <w:p w:rsidR="00A63B5B" w:rsidRPr="00680010" w:rsidRDefault="00A63B5B" w:rsidP="006707F2">
      <w:pPr>
        <w:pStyle w:val="EndNoteBibliography"/>
        <w:spacing w:after="0" w:line="360" w:lineRule="auto"/>
        <w:ind w:left="720" w:hanging="720"/>
        <w:jc w:val="both"/>
        <w:rPr>
          <w:rFonts w:ascii="Arial" w:hAnsi="Arial" w:cs="Arial"/>
        </w:rPr>
      </w:pPr>
      <w:r w:rsidRPr="00680010">
        <w:rPr>
          <w:rFonts w:ascii="Arial" w:hAnsi="Arial" w:cs="Arial"/>
        </w:rPr>
        <w:t xml:space="preserve">Henchoz, K., Cavalli, S., &amp; Girardin, M. (2008). Health perception and health status in advanced old age: A paradox of association. </w:t>
      </w:r>
      <w:r w:rsidRPr="00680010">
        <w:rPr>
          <w:rFonts w:ascii="Arial" w:hAnsi="Arial" w:cs="Arial"/>
          <w:i/>
        </w:rPr>
        <w:t>Journal of Aging Studies</w:t>
      </w:r>
      <w:r w:rsidRPr="00680010">
        <w:rPr>
          <w:rFonts w:ascii="Arial" w:hAnsi="Arial" w:cs="Arial"/>
        </w:rPr>
        <w:t>,</w:t>
      </w:r>
      <w:r w:rsidRPr="00680010">
        <w:rPr>
          <w:rFonts w:ascii="Arial" w:hAnsi="Arial" w:cs="Arial"/>
          <w:i/>
        </w:rPr>
        <w:t xml:space="preserve"> 22</w:t>
      </w:r>
      <w:r w:rsidRPr="00680010">
        <w:rPr>
          <w:rFonts w:ascii="Arial" w:hAnsi="Arial" w:cs="Arial"/>
        </w:rPr>
        <w:t xml:space="preserve">(3), 282-290. </w:t>
      </w:r>
    </w:p>
    <w:p w:rsidR="00A63B5B" w:rsidRPr="00680010" w:rsidRDefault="00A63B5B" w:rsidP="006707F2">
      <w:pPr>
        <w:pStyle w:val="EndNoteBibliography"/>
        <w:spacing w:after="0" w:line="360" w:lineRule="auto"/>
        <w:ind w:left="720" w:hanging="720"/>
        <w:jc w:val="both"/>
        <w:rPr>
          <w:rFonts w:ascii="Arial" w:hAnsi="Arial" w:cs="Arial"/>
        </w:rPr>
      </w:pPr>
      <w:r w:rsidRPr="00680010">
        <w:rPr>
          <w:rFonts w:ascii="Arial" w:hAnsi="Arial" w:cs="Arial"/>
        </w:rPr>
        <w:t xml:space="preserve">Huang, E. S. (2016). Management of diabetes mellitus in older people with comorbidities. </w:t>
      </w:r>
      <w:r w:rsidRPr="00680010">
        <w:rPr>
          <w:rFonts w:ascii="Arial" w:hAnsi="Arial" w:cs="Arial"/>
          <w:i/>
        </w:rPr>
        <w:t>Bmj</w:t>
      </w:r>
      <w:r w:rsidRPr="00680010">
        <w:rPr>
          <w:rFonts w:ascii="Arial" w:hAnsi="Arial" w:cs="Arial"/>
        </w:rPr>
        <w:t>,</w:t>
      </w:r>
      <w:r w:rsidRPr="00680010">
        <w:rPr>
          <w:rFonts w:ascii="Arial" w:hAnsi="Arial" w:cs="Arial"/>
          <w:i/>
        </w:rPr>
        <w:t xml:space="preserve"> 353</w:t>
      </w:r>
      <w:r w:rsidRPr="00680010">
        <w:rPr>
          <w:rFonts w:ascii="Arial" w:hAnsi="Arial" w:cs="Arial"/>
        </w:rPr>
        <w:t xml:space="preserve">. </w:t>
      </w:r>
    </w:p>
    <w:p w:rsidR="00A63B5B" w:rsidRPr="00680010" w:rsidRDefault="00A63B5B" w:rsidP="006707F2">
      <w:pPr>
        <w:pStyle w:val="EndNoteBibliography"/>
        <w:spacing w:after="0" w:line="360" w:lineRule="auto"/>
        <w:ind w:left="720" w:hanging="720"/>
        <w:jc w:val="both"/>
        <w:rPr>
          <w:rFonts w:ascii="Arial" w:hAnsi="Arial" w:cs="Arial"/>
        </w:rPr>
      </w:pPr>
      <w:r w:rsidRPr="00680010">
        <w:rPr>
          <w:rFonts w:ascii="Arial" w:hAnsi="Arial" w:cs="Arial"/>
        </w:rPr>
        <w:t xml:space="preserve">Kanabar, R., &amp; Kalwij, A. (2019). Mind the Gap! The effect of an increased UK State Pension Age on expected working life of employees. </w:t>
      </w:r>
    </w:p>
    <w:p w:rsidR="00A63B5B" w:rsidRPr="00680010" w:rsidRDefault="00A63B5B" w:rsidP="006707F2">
      <w:pPr>
        <w:pStyle w:val="EndNoteBibliography"/>
        <w:spacing w:after="0" w:line="360" w:lineRule="auto"/>
        <w:ind w:left="720" w:hanging="720"/>
        <w:jc w:val="both"/>
        <w:rPr>
          <w:rFonts w:ascii="Arial" w:hAnsi="Arial" w:cs="Arial"/>
        </w:rPr>
      </w:pPr>
      <w:r w:rsidRPr="00680010">
        <w:rPr>
          <w:rFonts w:ascii="Arial" w:hAnsi="Arial" w:cs="Arial"/>
        </w:rPr>
        <w:t xml:space="preserve">Marks, L. (2014). Commissioning for health and wellbeing. In </w:t>
      </w:r>
      <w:r w:rsidRPr="00680010">
        <w:rPr>
          <w:rFonts w:ascii="Arial" w:hAnsi="Arial" w:cs="Arial"/>
          <w:i/>
        </w:rPr>
        <w:t>Governance, Commissioning and Public Health</w:t>
      </w:r>
      <w:r w:rsidRPr="00680010">
        <w:rPr>
          <w:rFonts w:ascii="Arial" w:hAnsi="Arial" w:cs="Arial"/>
        </w:rPr>
        <w:t xml:space="preserve"> (pp. 55-94). Policy Press. </w:t>
      </w:r>
    </w:p>
    <w:p w:rsidR="00A63B5B" w:rsidRPr="00680010" w:rsidRDefault="00A63B5B" w:rsidP="006707F2">
      <w:pPr>
        <w:pStyle w:val="EndNoteBibliography"/>
        <w:spacing w:after="0" w:line="360" w:lineRule="auto"/>
        <w:ind w:left="720" w:hanging="720"/>
        <w:jc w:val="both"/>
        <w:rPr>
          <w:rFonts w:ascii="Arial" w:hAnsi="Arial" w:cs="Arial"/>
        </w:rPr>
      </w:pPr>
      <w:r w:rsidRPr="00680010">
        <w:rPr>
          <w:rFonts w:ascii="Arial" w:hAnsi="Arial" w:cs="Arial"/>
        </w:rPr>
        <w:t xml:space="preserve">Naughton, C., Drennan, J., Treacy, M. P., Lafferty, A., Lyons, I., Phelan, A., Quin, S., O’loughlin, A., &amp; Delaney, L. (2010). Abuse and neglect of older people in Ireland. </w:t>
      </w:r>
      <w:r w:rsidRPr="00680010">
        <w:rPr>
          <w:rFonts w:ascii="Arial" w:hAnsi="Arial" w:cs="Arial"/>
          <w:i/>
        </w:rPr>
        <w:t>Report on The National Study of Elder Abuse and Neglect. Report Summary. Ireland: National Centre for the Protection of Older People</w:t>
      </w:r>
      <w:r w:rsidRPr="00680010">
        <w:rPr>
          <w:rFonts w:ascii="Arial" w:hAnsi="Arial" w:cs="Arial"/>
        </w:rPr>
        <w:t xml:space="preserve">. </w:t>
      </w:r>
    </w:p>
    <w:p w:rsidR="00A63B5B" w:rsidRPr="00680010" w:rsidRDefault="00A63B5B" w:rsidP="006707F2">
      <w:pPr>
        <w:pStyle w:val="EndNoteBibliography"/>
        <w:spacing w:after="0" w:line="360" w:lineRule="auto"/>
        <w:ind w:left="720" w:hanging="720"/>
        <w:jc w:val="both"/>
        <w:rPr>
          <w:rFonts w:ascii="Arial" w:hAnsi="Arial" w:cs="Arial"/>
        </w:rPr>
      </w:pPr>
      <w:r w:rsidRPr="00680010">
        <w:rPr>
          <w:rFonts w:ascii="Arial" w:hAnsi="Arial" w:cs="Arial"/>
        </w:rPr>
        <w:t xml:space="preserve">Passel, J. S., &amp; D'Vera Cohn, D. (2008). </w:t>
      </w:r>
      <w:r w:rsidRPr="00680010">
        <w:rPr>
          <w:rFonts w:ascii="Arial" w:hAnsi="Arial" w:cs="Arial"/>
          <w:i/>
        </w:rPr>
        <w:t>US population projections, 2005-2050</w:t>
      </w:r>
      <w:r w:rsidRPr="00680010">
        <w:rPr>
          <w:rFonts w:ascii="Arial" w:hAnsi="Arial" w:cs="Arial"/>
        </w:rPr>
        <w:t xml:space="preserve">. Pew Research Center Washington, DC. </w:t>
      </w:r>
    </w:p>
    <w:p w:rsidR="00A63B5B" w:rsidRPr="00680010" w:rsidRDefault="00A63B5B" w:rsidP="006707F2">
      <w:pPr>
        <w:pStyle w:val="EndNoteBibliography"/>
        <w:spacing w:after="0" w:line="360" w:lineRule="auto"/>
        <w:ind w:left="720" w:hanging="720"/>
        <w:jc w:val="both"/>
        <w:rPr>
          <w:rFonts w:ascii="Arial" w:hAnsi="Arial" w:cs="Arial"/>
        </w:rPr>
      </w:pPr>
      <w:r w:rsidRPr="00680010">
        <w:rPr>
          <w:rFonts w:ascii="Arial" w:hAnsi="Arial" w:cs="Arial"/>
        </w:rPr>
        <w:t xml:space="preserve">Payne, G. M. (2018). </w:t>
      </w:r>
      <w:r w:rsidRPr="00680010">
        <w:rPr>
          <w:rFonts w:ascii="Arial" w:hAnsi="Arial" w:cs="Arial"/>
          <w:i/>
        </w:rPr>
        <w:t>The changing state pension age: Health impacts and ability to remain in employment</w:t>
      </w:r>
      <w:r w:rsidRPr="00680010">
        <w:rPr>
          <w:rFonts w:ascii="Arial" w:hAnsi="Arial" w:cs="Arial"/>
        </w:rPr>
        <w:t xml:space="preserve"> University of Southampton]. </w:t>
      </w:r>
    </w:p>
    <w:p w:rsidR="00A63B5B" w:rsidRPr="00680010" w:rsidRDefault="00A63B5B" w:rsidP="006707F2">
      <w:pPr>
        <w:pStyle w:val="EndNoteBibliography"/>
        <w:spacing w:after="0" w:line="360" w:lineRule="auto"/>
        <w:ind w:left="720" w:hanging="720"/>
        <w:jc w:val="both"/>
        <w:rPr>
          <w:rFonts w:ascii="Arial" w:hAnsi="Arial" w:cs="Arial"/>
        </w:rPr>
      </w:pPr>
      <w:r w:rsidRPr="00680010">
        <w:rPr>
          <w:rFonts w:ascii="Arial" w:hAnsi="Arial" w:cs="Arial"/>
        </w:rPr>
        <w:t xml:space="preserve">Scrutton, J., Holley-Moore, G., &amp; Bamford, S.-M. (2015). Creating a sustainable 21st century healthcare system. </w:t>
      </w:r>
      <w:r w:rsidRPr="00680010">
        <w:rPr>
          <w:rFonts w:ascii="Arial" w:hAnsi="Arial" w:cs="Arial"/>
          <w:i/>
        </w:rPr>
        <w:t>International Longevity Centre–UK (ILC-UK)</w:t>
      </w:r>
      <w:r w:rsidRPr="00680010">
        <w:rPr>
          <w:rFonts w:ascii="Arial" w:hAnsi="Arial" w:cs="Arial"/>
        </w:rPr>
        <w:t xml:space="preserve">. </w:t>
      </w:r>
    </w:p>
    <w:p w:rsidR="00A63B5B" w:rsidRPr="00680010" w:rsidRDefault="00A63B5B" w:rsidP="006707F2">
      <w:pPr>
        <w:pStyle w:val="EndNoteBibliography"/>
        <w:spacing w:after="0" w:line="360" w:lineRule="auto"/>
        <w:ind w:left="720" w:hanging="720"/>
        <w:jc w:val="both"/>
        <w:rPr>
          <w:rFonts w:ascii="Arial" w:hAnsi="Arial" w:cs="Arial"/>
        </w:rPr>
      </w:pPr>
      <w:r w:rsidRPr="00680010">
        <w:rPr>
          <w:rFonts w:ascii="Arial" w:hAnsi="Arial" w:cs="Arial"/>
        </w:rPr>
        <w:t xml:space="preserve">Sheaff, R., Charles, N., Mahon, A., Chambers, N., Morando, V., Exworthy, M., Byng, R., Mannion, R., &amp; Llewellyn, S. (2015). NHS commissioning practice and health system governance: a mixed-methods realistic evaluation. </w:t>
      </w:r>
    </w:p>
    <w:p w:rsidR="00A63B5B" w:rsidRPr="00680010" w:rsidRDefault="00A63B5B" w:rsidP="006707F2">
      <w:pPr>
        <w:pStyle w:val="EndNoteBibliography"/>
        <w:spacing w:after="0" w:line="360" w:lineRule="auto"/>
        <w:ind w:left="720" w:hanging="720"/>
        <w:jc w:val="both"/>
        <w:rPr>
          <w:rFonts w:ascii="Arial" w:hAnsi="Arial" w:cs="Arial"/>
        </w:rPr>
      </w:pPr>
      <w:r w:rsidRPr="00680010">
        <w:rPr>
          <w:rFonts w:ascii="Arial" w:hAnsi="Arial" w:cs="Arial"/>
        </w:rPr>
        <w:t xml:space="preserve">Singh-Manoux, A., Marmot, M. G., &amp; Adler, N. E. (2005). Does subjective social status predict health and change in health status better than objective status? </w:t>
      </w:r>
      <w:r w:rsidRPr="00680010">
        <w:rPr>
          <w:rFonts w:ascii="Arial" w:hAnsi="Arial" w:cs="Arial"/>
          <w:i/>
        </w:rPr>
        <w:t>Psychosomatic medicine</w:t>
      </w:r>
      <w:r w:rsidRPr="00680010">
        <w:rPr>
          <w:rFonts w:ascii="Arial" w:hAnsi="Arial" w:cs="Arial"/>
        </w:rPr>
        <w:t>,</w:t>
      </w:r>
      <w:r w:rsidRPr="00680010">
        <w:rPr>
          <w:rFonts w:ascii="Arial" w:hAnsi="Arial" w:cs="Arial"/>
          <w:i/>
        </w:rPr>
        <w:t xml:space="preserve"> 67</w:t>
      </w:r>
      <w:r w:rsidRPr="00680010">
        <w:rPr>
          <w:rFonts w:ascii="Arial" w:hAnsi="Arial" w:cs="Arial"/>
        </w:rPr>
        <w:t xml:space="preserve">(6), 855-861. </w:t>
      </w:r>
    </w:p>
    <w:p w:rsidR="00A63B5B" w:rsidRPr="00680010" w:rsidRDefault="00A63B5B" w:rsidP="006707F2">
      <w:pPr>
        <w:pStyle w:val="EndNoteBibliography"/>
        <w:spacing w:after="0" w:line="360" w:lineRule="auto"/>
        <w:ind w:left="720" w:hanging="720"/>
        <w:jc w:val="both"/>
        <w:rPr>
          <w:rFonts w:ascii="Arial" w:hAnsi="Arial" w:cs="Arial"/>
        </w:rPr>
      </w:pPr>
      <w:r w:rsidRPr="00680010">
        <w:rPr>
          <w:rFonts w:ascii="Arial" w:hAnsi="Arial" w:cs="Arial"/>
        </w:rPr>
        <w:t xml:space="preserve">Strain, W. D., Down, S., Brown, P., Puttanna, A., &amp; Sinclair, A. (2021). Diabetes and frailty: an expert consensus statement on the management of older adults with type 2 diabetes. </w:t>
      </w:r>
      <w:r w:rsidRPr="00680010">
        <w:rPr>
          <w:rFonts w:ascii="Arial" w:hAnsi="Arial" w:cs="Arial"/>
          <w:i/>
        </w:rPr>
        <w:t>Diabetes Therapy</w:t>
      </w:r>
      <w:r w:rsidRPr="00680010">
        <w:rPr>
          <w:rFonts w:ascii="Arial" w:hAnsi="Arial" w:cs="Arial"/>
        </w:rPr>
        <w:t>,</w:t>
      </w:r>
      <w:r w:rsidRPr="00680010">
        <w:rPr>
          <w:rFonts w:ascii="Arial" w:hAnsi="Arial" w:cs="Arial"/>
          <w:i/>
        </w:rPr>
        <w:t xml:space="preserve"> 12</w:t>
      </w:r>
      <w:r w:rsidRPr="00680010">
        <w:rPr>
          <w:rFonts w:ascii="Arial" w:hAnsi="Arial" w:cs="Arial"/>
        </w:rPr>
        <w:t xml:space="preserve">(5), 1227-1247. </w:t>
      </w:r>
    </w:p>
    <w:p w:rsidR="00A63B5B" w:rsidRPr="00680010" w:rsidRDefault="00A63B5B" w:rsidP="006707F2">
      <w:pPr>
        <w:pStyle w:val="EndNoteBibliography"/>
        <w:spacing w:line="360" w:lineRule="auto"/>
        <w:ind w:left="720" w:hanging="720"/>
        <w:jc w:val="both"/>
        <w:rPr>
          <w:rFonts w:ascii="Arial" w:hAnsi="Arial" w:cs="Arial"/>
        </w:rPr>
      </w:pPr>
      <w:r w:rsidRPr="00680010">
        <w:rPr>
          <w:rFonts w:ascii="Arial" w:hAnsi="Arial" w:cs="Arial"/>
        </w:rPr>
        <w:t xml:space="preserve">Wren, M.-A. (2009). Long-term health and social care. </w:t>
      </w:r>
      <w:r w:rsidRPr="00680010">
        <w:rPr>
          <w:rFonts w:ascii="Arial" w:hAnsi="Arial" w:cs="Arial"/>
          <w:i/>
        </w:rPr>
        <w:t>Projecting the Impact of Demographic Change on the Demand for and Delivery of Health Care in Ireland. Dublin: Economic and Social Research Institute (Research Series No. 13)</w:t>
      </w:r>
      <w:r w:rsidRPr="00680010">
        <w:rPr>
          <w:rFonts w:ascii="Arial" w:hAnsi="Arial" w:cs="Arial"/>
        </w:rPr>
        <w:t xml:space="preserve">, 100-123. </w:t>
      </w:r>
    </w:p>
    <w:p w:rsidR="00BC41BA" w:rsidRPr="00680010" w:rsidRDefault="00920E50" w:rsidP="006707F2">
      <w:pPr>
        <w:spacing w:line="360" w:lineRule="auto"/>
        <w:jc w:val="both"/>
        <w:rPr>
          <w:rFonts w:ascii="Arial" w:hAnsi="Arial" w:cs="Arial"/>
          <w:sz w:val="24"/>
        </w:rPr>
      </w:pPr>
      <w:r w:rsidRPr="00680010">
        <w:rPr>
          <w:rFonts w:ascii="Arial" w:hAnsi="Arial" w:cs="Arial"/>
          <w:sz w:val="24"/>
        </w:rPr>
        <w:fldChar w:fldCharType="end"/>
      </w:r>
    </w:p>
    <w:sectPr w:rsidR="00BC41BA" w:rsidRPr="00680010" w:rsidSect="0042435D">
      <w:pgSz w:w="11907" w:h="16839"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706397"/>
    <w:multiLevelType w:val="hybridMultilevel"/>
    <w:tmpl w:val="D97CF676"/>
    <w:lvl w:ilvl="0" w:tplc="F282E850">
      <w:start w:val="1"/>
      <w:numFmt w:val="decimal"/>
      <w:pStyle w:val="Heading1"/>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103817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APA 7th&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sz5trpt98922r4eze0opts290ddrd9sfvwpf&quot;&gt;fish&lt;record-ids&gt;&lt;item&gt;714&lt;/item&gt;&lt;item&gt;715&lt;/item&gt;&lt;item&gt;716&lt;/item&gt;&lt;item&gt;717&lt;/item&gt;&lt;item&gt;718&lt;/item&gt;&lt;item&gt;719&lt;/item&gt;&lt;item&gt;720&lt;/item&gt;&lt;item&gt;721&lt;/item&gt;&lt;item&gt;722&lt;/item&gt;&lt;item&gt;723&lt;/item&gt;&lt;item&gt;724&lt;/item&gt;&lt;item&gt;725&lt;/item&gt;&lt;item&gt;726&lt;/item&gt;&lt;item&gt;727&lt;/item&gt;&lt;item&gt;728&lt;/item&gt;&lt;item&gt;729&lt;/item&gt;&lt;item&gt;730&lt;/item&gt;&lt;item&gt;731&lt;/item&gt;&lt;item&gt;732&lt;/item&gt;&lt;item&gt;733&lt;/item&gt;&lt;item&gt;734&lt;/item&gt;&lt;/record-ids&gt;&lt;/item&gt;&lt;/Libraries&gt;"/>
  </w:docVars>
  <w:rsids>
    <w:rsidRoot w:val="00A20FE0"/>
    <w:rsid w:val="00035614"/>
    <w:rsid w:val="00087FBE"/>
    <w:rsid w:val="000D35C6"/>
    <w:rsid w:val="000E141B"/>
    <w:rsid w:val="000E24BB"/>
    <w:rsid w:val="001553ED"/>
    <w:rsid w:val="001A03D6"/>
    <w:rsid w:val="001F0D22"/>
    <w:rsid w:val="00225CCD"/>
    <w:rsid w:val="0034009C"/>
    <w:rsid w:val="0042435D"/>
    <w:rsid w:val="00441A06"/>
    <w:rsid w:val="004A2E87"/>
    <w:rsid w:val="005458DA"/>
    <w:rsid w:val="00577C5C"/>
    <w:rsid w:val="00596DB8"/>
    <w:rsid w:val="00597FFE"/>
    <w:rsid w:val="006707F2"/>
    <w:rsid w:val="00680010"/>
    <w:rsid w:val="006F4EA5"/>
    <w:rsid w:val="00806FDF"/>
    <w:rsid w:val="00887E9C"/>
    <w:rsid w:val="008F32EA"/>
    <w:rsid w:val="00907606"/>
    <w:rsid w:val="00920E50"/>
    <w:rsid w:val="009A77FB"/>
    <w:rsid w:val="00A20FE0"/>
    <w:rsid w:val="00A63B5B"/>
    <w:rsid w:val="00A87765"/>
    <w:rsid w:val="00B33C61"/>
    <w:rsid w:val="00B745BE"/>
    <w:rsid w:val="00B7469A"/>
    <w:rsid w:val="00BC41BA"/>
    <w:rsid w:val="00BD2BD6"/>
    <w:rsid w:val="00C95BA8"/>
    <w:rsid w:val="00CC1BEE"/>
    <w:rsid w:val="00D84247"/>
    <w:rsid w:val="00EB79E5"/>
    <w:rsid w:val="00F73784"/>
    <w:rsid w:val="00FB03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5A14BA"/>
  <w15:chartTrackingRefBased/>
  <w15:docId w15:val="{7EEA0CD3-AAAA-48D0-B7EC-B0C49702DB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0010"/>
    <w:pPr>
      <w:keepNext/>
      <w:keepLines/>
      <w:numPr>
        <w:numId w:val="1"/>
      </w:numPr>
      <w:spacing w:before="240" w:after="0" w:line="360" w:lineRule="auto"/>
      <w:outlineLvl w:val="0"/>
    </w:pPr>
    <w:rPr>
      <w:rFonts w:ascii="Arial" w:eastAsiaTheme="majorEastAsia" w:hAnsi="Arial" w:cstheme="majorBidi"/>
      <w:b/>
      <w:color w:val="000000" w:themeColor="text1"/>
      <w:sz w:val="28"/>
      <w:szCs w:val="32"/>
    </w:rPr>
  </w:style>
  <w:style w:type="paragraph" w:styleId="Heading2">
    <w:name w:val="heading 2"/>
    <w:basedOn w:val="Normal"/>
    <w:next w:val="Normal"/>
    <w:link w:val="Heading2Char"/>
    <w:uiPriority w:val="9"/>
    <w:unhideWhenUsed/>
    <w:qFormat/>
    <w:rsid w:val="00680010"/>
    <w:pPr>
      <w:keepNext/>
      <w:keepLines/>
      <w:spacing w:before="40" w:after="0" w:line="360" w:lineRule="auto"/>
      <w:outlineLvl w:val="1"/>
    </w:pPr>
    <w:rPr>
      <w:rFonts w:ascii="Arial" w:eastAsiaTheme="majorEastAsia" w:hAnsi="Arial" w:cstheme="majorBidi"/>
      <w:b/>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80010"/>
    <w:rPr>
      <w:rFonts w:ascii="Arial" w:eastAsiaTheme="majorEastAsia" w:hAnsi="Arial" w:cstheme="majorBidi"/>
      <w:b/>
      <w:color w:val="000000" w:themeColor="text1"/>
      <w:sz w:val="24"/>
      <w:szCs w:val="26"/>
    </w:rPr>
  </w:style>
  <w:style w:type="character" w:customStyle="1" w:styleId="Heading1Char">
    <w:name w:val="Heading 1 Char"/>
    <w:basedOn w:val="DefaultParagraphFont"/>
    <w:link w:val="Heading1"/>
    <w:uiPriority w:val="9"/>
    <w:rsid w:val="00680010"/>
    <w:rPr>
      <w:rFonts w:ascii="Arial" w:eastAsiaTheme="majorEastAsia" w:hAnsi="Arial" w:cstheme="majorBidi"/>
      <w:b/>
      <w:color w:val="000000" w:themeColor="text1"/>
      <w:sz w:val="28"/>
      <w:szCs w:val="32"/>
    </w:rPr>
  </w:style>
  <w:style w:type="paragraph" w:customStyle="1" w:styleId="EndNoteBibliographyTitle">
    <w:name w:val="EndNote Bibliography Title"/>
    <w:basedOn w:val="Normal"/>
    <w:link w:val="EndNoteBibliographyTitleChar"/>
    <w:rsid w:val="00920E50"/>
    <w:pPr>
      <w:spacing w:after="0"/>
      <w:jc w:val="center"/>
    </w:pPr>
    <w:rPr>
      <w:rFonts w:ascii="Calibri" w:hAnsi="Calibri" w:cs="Calibri"/>
      <w:noProof/>
    </w:rPr>
  </w:style>
  <w:style w:type="character" w:customStyle="1" w:styleId="EndNoteBibliographyTitleChar">
    <w:name w:val="EndNote Bibliography Title Char"/>
    <w:basedOn w:val="DefaultParagraphFont"/>
    <w:link w:val="EndNoteBibliographyTitle"/>
    <w:rsid w:val="00920E50"/>
    <w:rPr>
      <w:rFonts w:ascii="Calibri" w:hAnsi="Calibri" w:cs="Calibri"/>
      <w:noProof/>
    </w:rPr>
  </w:style>
  <w:style w:type="paragraph" w:customStyle="1" w:styleId="EndNoteBibliography">
    <w:name w:val="EndNote Bibliography"/>
    <w:basedOn w:val="Normal"/>
    <w:link w:val="EndNoteBibliographyChar"/>
    <w:rsid w:val="00920E50"/>
    <w:pPr>
      <w:spacing w:line="240" w:lineRule="auto"/>
    </w:pPr>
    <w:rPr>
      <w:rFonts w:ascii="Calibri" w:hAnsi="Calibri" w:cs="Calibri"/>
      <w:noProof/>
    </w:rPr>
  </w:style>
  <w:style w:type="character" w:customStyle="1" w:styleId="EndNoteBibliographyChar">
    <w:name w:val="EndNote Bibliography Char"/>
    <w:basedOn w:val="DefaultParagraphFont"/>
    <w:link w:val="EndNoteBibliography"/>
    <w:rsid w:val="00920E50"/>
    <w:rPr>
      <w:rFonts w:ascii="Calibri" w:hAnsi="Calibri" w:cs="Calibri"/>
      <w:noProof/>
    </w:rPr>
  </w:style>
  <w:style w:type="paragraph" w:styleId="TOCHeading">
    <w:name w:val="TOC Heading"/>
    <w:basedOn w:val="Heading1"/>
    <w:next w:val="Normal"/>
    <w:uiPriority w:val="39"/>
    <w:unhideWhenUsed/>
    <w:qFormat/>
    <w:rsid w:val="00680010"/>
    <w:pPr>
      <w:numPr>
        <w:numId w:val="0"/>
      </w:numPr>
      <w:spacing w:line="259" w:lineRule="auto"/>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680010"/>
    <w:pPr>
      <w:spacing w:after="100"/>
    </w:pPr>
  </w:style>
  <w:style w:type="paragraph" w:styleId="TOC2">
    <w:name w:val="toc 2"/>
    <w:basedOn w:val="Normal"/>
    <w:next w:val="Normal"/>
    <w:autoRedefine/>
    <w:uiPriority w:val="39"/>
    <w:unhideWhenUsed/>
    <w:rsid w:val="00680010"/>
    <w:pPr>
      <w:spacing w:after="100"/>
      <w:ind w:left="220"/>
    </w:pPr>
  </w:style>
  <w:style w:type="character" w:styleId="Hyperlink">
    <w:name w:val="Hyperlink"/>
    <w:basedOn w:val="DefaultParagraphFont"/>
    <w:uiPriority w:val="99"/>
    <w:unhideWhenUsed/>
    <w:rsid w:val="0068001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28308">
      <w:bodyDiv w:val="1"/>
      <w:marLeft w:val="0"/>
      <w:marRight w:val="0"/>
      <w:marTop w:val="0"/>
      <w:marBottom w:val="0"/>
      <w:divBdr>
        <w:top w:val="none" w:sz="0" w:space="0" w:color="auto"/>
        <w:left w:val="none" w:sz="0" w:space="0" w:color="auto"/>
        <w:bottom w:val="none" w:sz="0" w:space="0" w:color="auto"/>
        <w:right w:val="none" w:sz="0" w:space="0" w:color="auto"/>
      </w:divBdr>
    </w:div>
    <w:div w:id="29570866">
      <w:bodyDiv w:val="1"/>
      <w:marLeft w:val="0"/>
      <w:marRight w:val="0"/>
      <w:marTop w:val="0"/>
      <w:marBottom w:val="0"/>
      <w:divBdr>
        <w:top w:val="none" w:sz="0" w:space="0" w:color="auto"/>
        <w:left w:val="none" w:sz="0" w:space="0" w:color="auto"/>
        <w:bottom w:val="none" w:sz="0" w:space="0" w:color="auto"/>
        <w:right w:val="none" w:sz="0" w:space="0" w:color="auto"/>
      </w:divBdr>
    </w:div>
    <w:div w:id="116802168">
      <w:bodyDiv w:val="1"/>
      <w:marLeft w:val="0"/>
      <w:marRight w:val="0"/>
      <w:marTop w:val="0"/>
      <w:marBottom w:val="0"/>
      <w:divBdr>
        <w:top w:val="none" w:sz="0" w:space="0" w:color="auto"/>
        <w:left w:val="none" w:sz="0" w:space="0" w:color="auto"/>
        <w:bottom w:val="none" w:sz="0" w:space="0" w:color="auto"/>
        <w:right w:val="none" w:sz="0" w:space="0" w:color="auto"/>
      </w:divBdr>
    </w:div>
    <w:div w:id="307169439">
      <w:bodyDiv w:val="1"/>
      <w:marLeft w:val="0"/>
      <w:marRight w:val="0"/>
      <w:marTop w:val="0"/>
      <w:marBottom w:val="0"/>
      <w:divBdr>
        <w:top w:val="none" w:sz="0" w:space="0" w:color="auto"/>
        <w:left w:val="none" w:sz="0" w:space="0" w:color="auto"/>
        <w:bottom w:val="none" w:sz="0" w:space="0" w:color="auto"/>
        <w:right w:val="none" w:sz="0" w:space="0" w:color="auto"/>
      </w:divBdr>
    </w:div>
    <w:div w:id="427702103">
      <w:bodyDiv w:val="1"/>
      <w:marLeft w:val="0"/>
      <w:marRight w:val="0"/>
      <w:marTop w:val="0"/>
      <w:marBottom w:val="0"/>
      <w:divBdr>
        <w:top w:val="none" w:sz="0" w:space="0" w:color="auto"/>
        <w:left w:val="none" w:sz="0" w:space="0" w:color="auto"/>
        <w:bottom w:val="none" w:sz="0" w:space="0" w:color="auto"/>
        <w:right w:val="none" w:sz="0" w:space="0" w:color="auto"/>
      </w:divBdr>
    </w:div>
    <w:div w:id="454300322">
      <w:bodyDiv w:val="1"/>
      <w:marLeft w:val="0"/>
      <w:marRight w:val="0"/>
      <w:marTop w:val="0"/>
      <w:marBottom w:val="0"/>
      <w:divBdr>
        <w:top w:val="none" w:sz="0" w:space="0" w:color="auto"/>
        <w:left w:val="none" w:sz="0" w:space="0" w:color="auto"/>
        <w:bottom w:val="none" w:sz="0" w:space="0" w:color="auto"/>
        <w:right w:val="none" w:sz="0" w:space="0" w:color="auto"/>
      </w:divBdr>
    </w:div>
    <w:div w:id="483280117">
      <w:bodyDiv w:val="1"/>
      <w:marLeft w:val="0"/>
      <w:marRight w:val="0"/>
      <w:marTop w:val="0"/>
      <w:marBottom w:val="0"/>
      <w:divBdr>
        <w:top w:val="none" w:sz="0" w:space="0" w:color="auto"/>
        <w:left w:val="none" w:sz="0" w:space="0" w:color="auto"/>
        <w:bottom w:val="none" w:sz="0" w:space="0" w:color="auto"/>
        <w:right w:val="none" w:sz="0" w:space="0" w:color="auto"/>
      </w:divBdr>
    </w:div>
    <w:div w:id="586766145">
      <w:bodyDiv w:val="1"/>
      <w:marLeft w:val="0"/>
      <w:marRight w:val="0"/>
      <w:marTop w:val="0"/>
      <w:marBottom w:val="0"/>
      <w:divBdr>
        <w:top w:val="none" w:sz="0" w:space="0" w:color="auto"/>
        <w:left w:val="none" w:sz="0" w:space="0" w:color="auto"/>
        <w:bottom w:val="none" w:sz="0" w:space="0" w:color="auto"/>
        <w:right w:val="none" w:sz="0" w:space="0" w:color="auto"/>
      </w:divBdr>
    </w:div>
    <w:div w:id="607664849">
      <w:bodyDiv w:val="1"/>
      <w:marLeft w:val="0"/>
      <w:marRight w:val="0"/>
      <w:marTop w:val="0"/>
      <w:marBottom w:val="0"/>
      <w:divBdr>
        <w:top w:val="none" w:sz="0" w:space="0" w:color="auto"/>
        <w:left w:val="none" w:sz="0" w:space="0" w:color="auto"/>
        <w:bottom w:val="none" w:sz="0" w:space="0" w:color="auto"/>
        <w:right w:val="none" w:sz="0" w:space="0" w:color="auto"/>
      </w:divBdr>
    </w:div>
    <w:div w:id="949046531">
      <w:bodyDiv w:val="1"/>
      <w:marLeft w:val="0"/>
      <w:marRight w:val="0"/>
      <w:marTop w:val="0"/>
      <w:marBottom w:val="0"/>
      <w:divBdr>
        <w:top w:val="none" w:sz="0" w:space="0" w:color="auto"/>
        <w:left w:val="none" w:sz="0" w:space="0" w:color="auto"/>
        <w:bottom w:val="none" w:sz="0" w:space="0" w:color="auto"/>
        <w:right w:val="none" w:sz="0" w:space="0" w:color="auto"/>
      </w:divBdr>
    </w:div>
    <w:div w:id="1042023838">
      <w:bodyDiv w:val="1"/>
      <w:marLeft w:val="0"/>
      <w:marRight w:val="0"/>
      <w:marTop w:val="0"/>
      <w:marBottom w:val="0"/>
      <w:divBdr>
        <w:top w:val="none" w:sz="0" w:space="0" w:color="auto"/>
        <w:left w:val="none" w:sz="0" w:space="0" w:color="auto"/>
        <w:bottom w:val="none" w:sz="0" w:space="0" w:color="auto"/>
        <w:right w:val="none" w:sz="0" w:space="0" w:color="auto"/>
      </w:divBdr>
    </w:div>
    <w:div w:id="1059935266">
      <w:bodyDiv w:val="1"/>
      <w:marLeft w:val="0"/>
      <w:marRight w:val="0"/>
      <w:marTop w:val="0"/>
      <w:marBottom w:val="0"/>
      <w:divBdr>
        <w:top w:val="none" w:sz="0" w:space="0" w:color="auto"/>
        <w:left w:val="none" w:sz="0" w:space="0" w:color="auto"/>
        <w:bottom w:val="none" w:sz="0" w:space="0" w:color="auto"/>
        <w:right w:val="none" w:sz="0" w:space="0" w:color="auto"/>
      </w:divBdr>
    </w:div>
    <w:div w:id="1149249656">
      <w:bodyDiv w:val="1"/>
      <w:marLeft w:val="0"/>
      <w:marRight w:val="0"/>
      <w:marTop w:val="0"/>
      <w:marBottom w:val="0"/>
      <w:divBdr>
        <w:top w:val="none" w:sz="0" w:space="0" w:color="auto"/>
        <w:left w:val="none" w:sz="0" w:space="0" w:color="auto"/>
        <w:bottom w:val="none" w:sz="0" w:space="0" w:color="auto"/>
        <w:right w:val="none" w:sz="0" w:space="0" w:color="auto"/>
      </w:divBdr>
    </w:div>
    <w:div w:id="1264142575">
      <w:bodyDiv w:val="1"/>
      <w:marLeft w:val="0"/>
      <w:marRight w:val="0"/>
      <w:marTop w:val="0"/>
      <w:marBottom w:val="0"/>
      <w:divBdr>
        <w:top w:val="none" w:sz="0" w:space="0" w:color="auto"/>
        <w:left w:val="none" w:sz="0" w:space="0" w:color="auto"/>
        <w:bottom w:val="none" w:sz="0" w:space="0" w:color="auto"/>
        <w:right w:val="none" w:sz="0" w:space="0" w:color="auto"/>
      </w:divBdr>
    </w:div>
    <w:div w:id="1265189488">
      <w:bodyDiv w:val="1"/>
      <w:marLeft w:val="0"/>
      <w:marRight w:val="0"/>
      <w:marTop w:val="0"/>
      <w:marBottom w:val="0"/>
      <w:divBdr>
        <w:top w:val="none" w:sz="0" w:space="0" w:color="auto"/>
        <w:left w:val="none" w:sz="0" w:space="0" w:color="auto"/>
        <w:bottom w:val="none" w:sz="0" w:space="0" w:color="auto"/>
        <w:right w:val="none" w:sz="0" w:space="0" w:color="auto"/>
      </w:divBdr>
    </w:div>
    <w:div w:id="1326320139">
      <w:bodyDiv w:val="1"/>
      <w:marLeft w:val="0"/>
      <w:marRight w:val="0"/>
      <w:marTop w:val="0"/>
      <w:marBottom w:val="0"/>
      <w:divBdr>
        <w:top w:val="none" w:sz="0" w:space="0" w:color="auto"/>
        <w:left w:val="none" w:sz="0" w:space="0" w:color="auto"/>
        <w:bottom w:val="none" w:sz="0" w:space="0" w:color="auto"/>
        <w:right w:val="none" w:sz="0" w:space="0" w:color="auto"/>
      </w:divBdr>
    </w:div>
    <w:div w:id="1487745594">
      <w:bodyDiv w:val="1"/>
      <w:marLeft w:val="0"/>
      <w:marRight w:val="0"/>
      <w:marTop w:val="0"/>
      <w:marBottom w:val="0"/>
      <w:divBdr>
        <w:top w:val="none" w:sz="0" w:space="0" w:color="auto"/>
        <w:left w:val="none" w:sz="0" w:space="0" w:color="auto"/>
        <w:bottom w:val="none" w:sz="0" w:space="0" w:color="auto"/>
        <w:right w:val="none" w:sz="0" w:space="0" w:color="auto"/>
      </w:divBdr>
    </w:div>
    <w:div w:id="1494107810">
      <w:bodyDiv w:val="1"/>
      <w:marLeft w:val="0"/>
      <w:marRight w:val="0"/>
      <w:marTop w:val="0"/>
      <w:marBottom w:val="0"/>
      <w:divBdr>
        <w:top w:val="none" w:sz="0" w:space="0" w:color="auto"/>
        <w:left w:val="none" w:sz="0" w:space="0" w:color="auto"/>
        <w:bottom w:val="none" w:sz="0" w:space="0" w:color="auto"/>
        <w:right w:val="none" w:sz="0" w:space="0" w:color="auto"/>
      </w:divBdr>
    </w:div>
    <w:div w:id="1625039707">
      <w:bodyDiv w:val="1"/>
      <w:marLeft w:val="0"/>
      <w:marRight w:val="0"/>
      <w:marTop w:val="0"/>
      <w:marBottom w:val="0"/>
      <w:divBdr>
        <w:top w:val="none" w:sz="0" w:space="0" w:color="auto"/>
        <w:left w:val="none" w:sz="0" w:space="0" w:color="auto"/>
        <w:bottom w:val="none" w:sz="0" w:space="0" w:color="auto"/>
        <w:right w:val="none" w:sz="0" w:space="0" w:color="auto"/>
      </w:divBdr>
    </w:div>
    <w:div w:id="1644578158">
      <w:bodyDiv w:val="1"/>
      <w:marLeft w:val="0"/>
      <w:marRight w:val="0"/>
      <w:marTop w:val="0"/>
      <w:marBottom w:val="0"/>
      <w:divBdr>
        <w:top w:val="none" w:sz="0" w:space="0" w:color="auto"/>
        <w:left w:val="none" w:sz="0" w:space="0" w:color="auto"/>
        <w:bottom w:val="none" w:sz="0" w:space="0" w:color="auto"/>
        <w:right w:val="none" w:sz="0" w:space="0" w:color="auto"/>
      </w:divBdr>
    </w:div>
    <w:div w:id="1650475554">
      <w:bodyDiv w:val="1"/>
      <w:marLeft w:val="0"/>
      <w:marRight w:val="0"/>
      <w:marTop w:val="0"/>
      <w:marBottom w:val="0"/>
      <w:divBdr>
        <w:top w:val="none" w:sz="0" w:space="0" w:color="auto"/>
        <w:left w:val="none" w:sz="0" w:space="0" w:color="auto"/>
        <w:bottom w:val="none" w:sz="0" w:space="0" w:color="auto"/>
        <w:right w:val="none" w:sz="0" w:space="0" w:color="auto"/>
      </w:divBdr>
    </w:div>
    <w:div w:id="1671983732">
      <w:bodyDiv w:val="1"/>
      <w:marLeft w:val="0"/>
      <w:marRight w:val="0"/>
      <w:marTop w:val="0"/>
      <w:marBottom w:val="0"/>
      <w:divBdr>
        <w:top w:val="none" w:sz="0" w:space="0" w:color="auto"/>
        <w:left w:val="none" w:sz="0" w:space="0" w:color="auto"/>
        <w:bottom w:val="none" w:sz="0" w:space="0" w:color="auto"/>
        <w:right w:val="none" w:sz="0" w:space="0" w:color="auto"/>
      </w:divBdr>
    </w:div>
    <w:div w:id="1767578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png"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7AE9BF-CD69-4D60-9D8C-A8A01173A43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5925</Words>
  <Characters>33776</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Waris Qadri (1921231)</cp:lastModifiedBy>
  <cp:revision>2</cp:revision>
  <dcterms:created xsi:type="dcterms:W3CDTF">2024-03-25T10:15:00Z</dcterms:created>
  <dcterms:modified xsi:type="dcterms:W3CDTF">2024-03-25T10:15:00Z</dcterms:modified>
</cp:coreProperties>
</file>